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B0821">
      <w:pPr>
        <w:pStyle w:val="15"/>
        <w:jc w:val="center"/>
        <w:rPr>
          <w:rFonts w:ascii="微软雅黑" w:hAnsi="微软雅黑" w:eastAsia="微软雅黑" w:cs="微软雅黑"/>
          <w:sz w:val="56"/>
          <w:szCs w:val="56"/>
        </w:rPr>
      </w:pPr>
    </w:p>
    <w:p w14:paraId="4960A643">
      <w:pPr>
        <w:pStyle w:val="15"/>
        <w:jc w:val="center"/>
        <w:rPr>
          <w:rFonts w:ascii="微软雅黑" w:hAnsi="微软雅黑" w:eastAsia="微软雅黑" w:cs="微软雅黑"/>
          <w:sz w:val="56"/>
          <w:szCs w:val="56"/>
        </w:rPr>
      </w:pPr>
    </w:p>
    <w:p w14:paraId="5DD8B869">
      <w:pPr>
        <w:pStyle w:val="15"/>
        <w:jc w:val="center"/>
        <w:rPr>
          <w:rFonts w:ascii="微软雅黑" w:hAnsi="微软雅黑" w:eastAsia="微软雅黑" w:cs="微软雅黑"/>
          <w:sz w:val="84"/>
          <w:szCs w:val="84"/>
        </w:rPr>
      </w:pPr>
    </w:p>
    <w:p w14:paraId="4302AE47">
      <w:pPr>
        <w:pStyle w:val="15"/>
        <w:jc w:val="center"/>
        <w:rPr>
          <w:rFonts w:ascii="微软雅黑" w:hAnsi="微软雅黑" w:eastAsia="微软雅黑" w:cs="微软雅黑"/>
          <w:sz w:val="84"/>
          <w:szCs w:val="84"/>
        </w:rPr>
      </w:pPr>
    </w:p>
    <w:p w14:paraId="3B02B579">
      <w:pPr>
        <w:pStyle w:val="15"/>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2023</w:t>
      </w:r>
      <w:r>
        <w:rPr>
          <w:rFonts w:ascii="微软雅黑" w:hAnsi="微软雅黑" w:eastAsia="微软雅黑" w:cs="微软雅黑"/>
          <w:b/>
          <w:sz w:val="84"/>
        </w:rPr>
        <w:t>年度</w:t>
      </w:r>
    </w:p>
    <w:p w14:paraId="5AD8A004">
      <w:pPr>
        <w:pStyle w:val="15"/>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岳阳县建筑市场服务中心</w:t>
      </w:r>
      <w:r>
        <w:rPr>
          <w:rFonts w:ascii="微软雅黑" w:hAnsi="微软雅黑" w:eastAsia="微软雅黑" w:cs="微软雅黑"/>
          <w:b/>
          <w:sz w:val="84"/>
        </w:rPr>
        <w:t>部门部门决算</w:t>
      </w:r>
    </w:p>
    <w:p w14:paraId="54B6CA39">
      <w:pPr>
        <w:pStyle w:val="15"/>
        <w:jc w:val="center"/>
        <w:rPr>
          <w:rFonts w:ascii="微软雅黑" w:hAnsi="微软雅黑" w:eastAsia="微软雅黑" w:cs="微软雅黑"/>
          <w:sz w:val="84"/>
          <w:szCs w:val="84"/>
        </w:rPr>
      </w:pPr>
    </w:p>
    <w:p w14:paraId="3888350B">
      <w:pPr>
        <w:pStyle w:val="15"/>
        <w:jc w:val="center"/>
        <w:rPr>
          <w:rFonts w:ascii="微软雅黑" w:hAnsi="微软雅黑" w:eastAsia="微软雅黑" w:cs="微软雅黑"/>
          <w:sz w:val="84"/>
          <w:szCs w:val="84"/>
        </w:rPr>
      </w:pPr>
    </w:p>
    <w:p w14:paraId="1B1B052B">
      <w:pPr>
        <w:pStyle w:val="15"/>
        <w:jc w:val="center"/>
        <w:rPr>
          <w:rFonts w:ascii="微软雅黑" w:hAnsi="微软雅黑" w:eastAsia="微软雅黑" w:cs="微软雅黑"/>
          <w:sz w:val="84"/>
          <w:szCs w:val="84"/>
        </w:rPr>
      </w:pPr>
    </w:p>
    <w:p w14:paraId="25A693C4">
      <w:pPr>
        <w:pStyle w:val="15"/>
        <w:jc w:val="center"/>
        <w:rPr>
          <w:rFonts w:ascii="微软雅黑" w:hAnsi="微软雅黑" w:eastAsia="微软雅黑" w:cs="微软雅黑"/>
          <w:sz w:val="84"/>
          <w:szCs w:val="84"/>
        </w:rPr>
      </w:pPr>
    </w:p>
    <w:p w14:paraId="17B21111">
      <w:pPr>
        <w:rPr>
          <w:rFonts w:ascii="微软雅黑" w:hAnsi="微软雅黑" w:eastAsia="微软雅黑" w:cs="微软雅黑"/>
        </w:rPr>
      </w:pPr>
    </w:p>
    <w:p w14:paraId="1490E6BF">
      <w:pPr>
        <w:pStyle w:val="15"/>
        <w:spacing w:line="500" w:lineRule="exact"/>
        <w:jc w:val="center"/>
        <w:rPr>
          <w:rFonts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7FBF084B">
      <w:pPr>
        <w:pStyle w:val="15"/>
        <w:spacing w:line="500" w:lineRule="exact"/>
        <w:jc w:val="center"/>
        <w:rPr>
          <w:rFonts w:ascii="微软雅黑" w:hAnsi="微软雅黑" w:eastAsia="微软雅黑" w:cs="微软雅黑"/>
          <w:b/>
          <w:sz w:val="36"/>
          <w:szCs w:val="28"/>
        </w:rPr>
      </w:pPr>
    </w:p>
    <w:p w14:paraId="37DA05F6">
      <w:pPr>
        <w:pStyle w:val="15"/>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第一部分岳阳县建筑市场服务中心部门（单位）概况</w:t>
      </w:r>
    </w:p>
    <w:p w14:paraId="19EFC1BD">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0605B22E">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370D9F7C">
      <w:pPr>
        <w:pStyle w:val="15"/>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第二部分部门决算表</w:t>
      </w:r>
    </w:p>
    <w:p w14:paraId="1B233F96">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F3ACD27">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5383EBD2">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42684728">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0D590AA">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7474F99B">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2B74D121">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2F403398">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70274920">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15B0E9DA">
      <w:pPr>
        <w:pStyle w:val="15"/>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第三部分部门决算情况说明</w:t>
      </w:r>
    </w:p>
    <w:p w14:paraId="2710A783">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2A4EAF80">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0F32120E">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2BCBA750">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27748F7F">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40D35676">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112B4CED">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七、政府性基金预算收入支出决算情况</w:t>
      </w:r>
    </w:p>
    <w:p w14:paraId="44D66448">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八、国有资本经营预算财政拨款支出决算情况</w:t>
      </w:r>
    </w:p>
    <w:p w14:paraId="100A333D">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九、财政拨款三公经费支出决算情况说明</w:t>
      </w:r>
    </w:p>
    <w:p w14:paraId="6F54F31B">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2587E2BF">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561DBD6B">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1C8C6A77">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63B0AB33">
      <w:pPr>
        <w:pStyle w:val="15"/>
        <w:spacing w:line="360" w:lineRule="auto"/>
        <w:ind w:firstLine="700" w:firstLineChars="250"/>
        <w:rPr>
          <w:rFonts w:ascii="微软雅黑" w:hAnsi="微软雅黑" w:eastAsia="微软雅黑" w:cs="微软雅黑"/>
          <w:sz w:val="28"/>
          <w:szCs w:val="28"/>
        </w:rPr>
      </w:pPr>
      <w:r>
        <w:rPr>
          <w:rFonts w:hint="eastAsia" w:ascii="微软雅黑" w:hAnsi="微软雅黑" w:eastAsia="微软雅黑" w:cs="微软雅黑"/>
          <w:sz w:val="28"/>
          <w:szCs w:val="28"/>
        </w:rPr>
        <w:t>十四、关于2023</w:t>
      </w:r>
      <w:r>
        <w:rPr>
          <w:rFonts w:ascii="微软雅黑" w:hAnsi="微软雅黑" w:eastAsia="微软雅黑" w:cs="微软雅黑"/>
          <w:sz w:val="28"/>
        </w:rPr>
        <w:t>年度</w:t>
      </w:r>
      <w:r>
        <w:rPr>
          <w:rFonts w:hint="eastAsia" w:ascii="微软雅黑" w:hAnsi="微软雅黑" w:eastAsia="微软雅黑" w:cs="微软雅黑"/>
          <w:sz w:val="28"/>
          <w:szCs w:val="28"/>
        </w:rPr>
        <w:t>绩效评价情况的说明</w:t>
      </w:r>
    </w:p>
    <w:p w14:paraId="47557703">
      <w:pPr>
        <w:pStyle w:val="15"/>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第四部分名词解释</w:t>
      </w:r>
    </w:p>
    <w:p w14:paraId="6259EA10">
      <w:pPr>
        <w:pStyle w:val="15"/>
        <w:spacing w:line="360" w:lineRule="auto"/>
        <w:rPr>
          <w:rFonts w:ascii="微软雅黑" w:hAnsi="微软雅黑" w:eastAsia="微软雅黑" w:cs="微软雅黑"/>
          <w:b/>
          <w:sz w:val="28"/>
          <w:szCs w:val="28"/>
        </w:rPr>
      </w:pPr>
      <w:r>
        <w:rPr>
          <w:rFonts w:hint="eastAsia" w:ascii="微软雅黑" w:hAnsi="微软雅黑" w:eastAsia="微软雅黑" w:cs="微软雅黑"/>
          <w:b/>
          <w:sz w:val="28"/>
          <w:szCs w:val="28"/>
        </w:rPr>
        <w:t>第五部分 附件</w:t>
      </w:r>
    </w:p>
    <w:p w14:paraId="04E89BFB">
      <w:pPr>
        <w:pStyle w:val="15"/>
        <w:spacing w:line="500" w:lineRule="exact"/>
        <w:rPr>
          <w:rFonts w:ascii="微软雅黑" w:hAnsi="微软雅黑" w:eastAsia="微软雅黑" w:cs="微软雅黑"/>
          <w:bCs/>
          <w:sz w:val="28"/>
          <w:szCs w:val="28"/>
        </w:rPr>
      </w:pPr>
      <w:r>
        <w:rPr>
          <w:rFonts w:hint="eastAsia" w:ascii="微软雅黑" w:hAnsi="微软雅黑" w:eastAsia="微软雅黑" w:cs="微软雅黑"/>
          <w:bCs/>
          <w:sz w:val="28"/>
          <w:szCs w:val="28"/>
        </w:rPr>
        <w:br w:type="page"/>
      </w:r>
    </w:p>
    <w:p w14:paraId="4B96A6FF">
      <w:pPr>
        <w:jc w:val="center"/>
        <w:rPr>
          <w:rFonts w:ascii="微软雅黑" w:hAnsi="微软雅黑" w:eastAsia="微软雅黑" w:cs="微软雅黑"/>
          <w:sz w:val="72"/>
          <w:szCs w:val="72"/>
        </w:rPr>
      </w:pPr>
    </w:p>
    <w:p w14:paraId="467E3FBF">
      <w:pPr>
        <w:jc w:val="center"/>
        <w:rPr>
          <w:rFonts w:ascii="微软雅黑" w:hAnsi="微软雅黑" w:eastAsia="微软雅黑" w:cs="微软雅黑"/>
          <w:sz w:val="72"/>
          <w:szCs w:val="72"/>
        </w:rPr>
      </w:pPr>
    </w:p>
    <w:p w14:paraId="3E19DFD9">
      <w:pPr>
        <w:jc w:val="center"/>
        <w:rPr>
          <w:rFonts w:ascii="微软雅黑" w:hAnsi="微软雅黑" w:eastAsia="微软雅黑" w:cs="微软雅黑"/>
          <w:sz w:val="72"/>
          <w:szCs w:val="72"/>
        </w:rPr>
      </w:pPr>
    </w:p>
    <w:p w14:paraId="052DB451">
      <w:pPr>
        <w:jc w:val="center"/>
        <w:rPr>
          <w:rFonts w:ascii="微软雅黑" w:hAnsi="微软雅黑" w:eastAsia="微软雅黑" w:cs="微软雅黑"/>
          <w:sz w:val="72"/>
          <w:szCs w:val="72"/>
        </w:rPr>
      </w:pPr>
    </w:p>
    <w:p w14:paraId="3C1C4AE1">
      <w:pPr>
        <w:pStyle w:val="15"/>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4D2C4C71">
      <w:pPr>
        <w:pStyle w:val="15"/>
        <w:jc w:val="center"/>
        <w:rPr>
          <w:rFonts w:ascii="微软雅黑" w:hAnsi="微软雅黑" w:eastAsia="微软雅黑" w:cs="微软雅黑"/>
          <w:b/>
          <w:bCs/>
          <w:sz w:val="84"/>
          <w:szCs w:val="84"/>
        </w:rPr>
      </w:pPr>
    </w:p>
    <w:p w14:paraId="29AFB74A">
      <w:pPr>
        <w:pStyle w:val="15"/>
        <w:jc w:val="center"/>
        <w:rPr>
          <w:rFonts w:ascii="微软雅黑" w:hAnsi="微软雅黑" w:eastAsia="微软雅黑" w:cs="微软雅黑"/>
          <w:b/>
          <w:bCs/>
          <w:sz w:val="84"/>
          <w:szCs w:val="84"/>
        </w:rPr>
      </w:pPr>
      <w:r>
        <w:rPr>
          <w:rFonts w:hint="eastAsia" w:ascii="微软雅黑" w:hAnsi="微软雅黑" w:eastAsia="微软雅黑" w:cs="微软雅黑"/>
          <w:b/>
          <w:bCs/>
          <w:sz w:val="84"/>
          <w:szCs w:val="84"/>
        </w:rPr>
        <w:t>岳阳县建筑市场服务中心部门概况</w:t>
      </w:r>
    </w:p>
    <w:p w14:paraId="67A1034A">
      <w:pPr>
        <w:jc w:val="center"/>
        <w:rPr>
          <w:rFonts w:ascii="微软雅黑" w:hAnsi="微软雅黑" w:eastAsia="微软雅黑" w:cs="微软雅黑"/>
          <w:sz w:val="72"/>
          <w:szCs w:val="72"/>
        </w:rPr>
      </w:pPr>
    </w:p>
    <w:p w14:paraId="0EA92BB8">
      <w:pPr>
        <w:jc w:val="center"/>
        <w:rPr>
          <w:rFonts w:ascii="微软雅黑" w:hAnsi="微软雅黑" w:eastAsia="微软雅黑" w:cs="微软雅黑"/>
          <w:sz w:val="72"/>
          <w:szCs w:val="72"/>
        </w:rPr>
      </w:pPr>
    </w:p>
    <w:p w14:paraId="1CE88DBE">
      <w:pPr>
        <w:jc w:val="center"/>
        <w:rPr>
          <w:rFonts w:ascii="微软雅黑" w:hAnsi="微软雅黑" w:eastAsia="微软雅黑" w:cs="微软雅黑"/>
          <w:sz w:val="72"/>
          <w:szCs w:val="72"/>
        </w:rPr>
      </w:pPr>
    </w:p>
    <w:p w14:paraId="291AE28F">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一、部门职责</w:t>
      </w:r>
    </w:p>
    <w:p w14:paraId="68EFDDF7">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r>
        <w:rPr>
          <w:rFonts w:ascii="微软雅黑" w:hAnsi="微软雅黑" w:eastAsia="微软雅黑" w:cs="微软雅黑"/>
          <w:color w:val="000000"/>
          <w:kern w:val="2"/>
          <w:sz w:val="32"/>
        </w:rPr>
        <w:t>（一）负责全县建筑市场施工企业管理，建筑工程报建，建筑施工安全监督，施工企业劳保基金行业管理。</w:t>
      </w:r>
    </w:p>
    <w:p w14:paraId="30D44CEA">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r>
        <w:rPr>
          <w:rFonts w:ascii="微软雅黑" w:hAnsi="微软雅黑" w:eastAsia="微软雅黑" w:cs="微软雅黑"/>
          <w:color w:val="000000"/>
          <w:kern w:val="2"/>
          <w:sz w:val="32"/>
        </w:rPr>
        <w:t>（二）岳阳县建筑市场服务中心属岳阳县住房和城乡建设局二级机构，副科级单位。岳阳县建设工程造价服务中心，岳阳县建筑工程安全监督站合署办公，实行一套机构、三个名称。</w:t>
      </w:r>
    </w:p>
    <w:p w14:paraId="492C1BDB">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二、机构设置及决算单位构成</w:t>
      </w:r>
    </w:p>
    <w:p w14:paraId="06C72D1E">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r>
        <w:rPr>
          <w:rFonts w:ascii="微软雅黑" w:hAnsi="微软雅黑" w:eastAsia="微软雅黑" w:cs="微软雅黑"/>
          <w:color w:val="000000"/>
          <w:kern w:val="2"/>
          <w:sz w:val="32"/>
        </w:rPr>
        <w:t>（一）内设机构设置。岳阳县建筑市场服务中心内设机构包括：办公室、人事股、财务股、企管股、造价站、安全监督站及建筑市场股。</w:t>
      </w:r>
    </w:p>
    <w:p w14:paraId="7AB6A563">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r>
        <w:rPr>
          <w:rFonts w:ascii="微软雅黑" w:hAnsi="微软雅黑" w:eastAsia="微软雅黑" w:cs="微软雅黑"/>
          <w:color w:val="000000"/>
          <w:kern w:val="2"/>
          <w:sz w:val="32"/>
        </w:rPr>
        <w:t>（二）部门决算单位构成。本单位没有所属二级机构，因此本年度部门</w:t>
      </w:r>
      <w:r>
        <w:rPr>
          <w:rFonts w:hint="eastAsia" w:ascii="微软雅黑" w:hAnsi="微软雅黑" w:eastAsia="微软雅黑" w:cs="微软雅黑"/>
          <w:color w:val="000000"/>
          <w:kern w:val="2"/>
          <w:sz w:val="32"/>
        </w:rPr>
        <w:t>决</w:t>
      </w:r>
      <w:r>
        <w:rPr>
          <w:rFonts w:ascii="微软雅黑" w:hAnsi="微软雅黑" w:eastAsia="微软雅黑" w:cs="微软雅黑"/>
          <w:color w:val="000000"/>
          <w:kern w:val="2"/>
          <w:sz w:val="32"/>
        </w:rPr>
        <w:t>算仅为本级部门</w:t>
      </w:r>
      <w:r>
        <w:rPr>
          <w:rFonts w:hint="eastAsia" w:ascii="微软雅黑" w:hAnsi="微软雅黑" w:eastAsia="微软雅黑" w:cs="微软雅黑"/>
          <w:color w:val="000000"/>
          <w:kern w:val="2"/>
          <w:sz w:val="32"/>
        </w:rPr>
        <w:t>决</w:t>
      </w:r>
      <w:r>
        <w:rPr>
          <w:rFonts w:ascii="微软雅黑" w:hAnsi="微软雅黑" w:eastAsia="微软雅黑" w:cs="微软雅黑"/>
          <w:color w:val="000000"/>
          <w:kern w:val="2"/>
          <w:sz w:val="32"/>
        </w:rPr>
        <w:t>算。</w:t>
      </w:r>
    </w:p>
    <w:p w14:paraId="091732F3">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2643D4C8">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696B0A9B">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76B168B9">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63FE939E">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087674AB">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09F63399">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3B22232F">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35666277">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5C35888F">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5D3F684D">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522730BF">
      <w:pPr>
        <w:pStyle w:val="5"/>
        <w:widowControl/>
        <w:shd w:val="clear" w:color="auto" w:fill="FFFFFF"/>
        <w:spacing w:before="0" w:beforeAutospacing="0" w:after="0" w:afterAutospacing="0" w:line="360" w:lineRule="auto"/>
        <w:ind w:firstLine="640" w:firstLineChars="200"/>
        <w:rPr>
          <w:rFonts w:ascii="微软雅黑" w:hAnsi="微软雅黑" w:eastAsia="微软雅黑" w:cs="微软雅黑"/>
          <w:color w:val="000000"/>
          <w:kern w:val="2"/>
          <w:sz w:val="32"/>
        </w:rPr>
      </w:pPr>
    </w:p>
    <w:p w14:paraId="342B703C">
      <w:pPr>
        <w:pStyle w:val="15"/>
        <w:jc w:val="center"/>
        <w:rPr>
          <w:rFonts w:ascii="微软雅黑" w:hAnsi="微软雅黑" w:eastAsia="微软雅黑" w:cs="微软雅黑"/>
          <w:b/>
          <w:bCs/>
          <w:sz w:val="72"/>
          <w:szCs w:val="72"/>
        </w:rPr>
      </w:pPr>
    </w:p>
    <w:p w14:paraId="61E44891">
      <w:pPr>
        <w:pStyle w:val="15"/>
        <w:jc w:val="center"/>
        <w:rPr>
          <w:rFonts w:ascii="微软雅黑" w:hAnsi="微软雅黑" w:eastAsia="微软雅黑" w:cs="微软雅黑"/>
          <w:b/>
          <w:bCs/>
          <w:sz w:val="72"/>
          <w:szCs w:val="72"/>
        </w:rPr>
      </w:pPr>
    </w:p>
    <w:p w14:paraId="09C52F14">
      <w:pPr>
        <w:pStyle w:val="15"/>
        <w:jc w:val="center"/>
        <w:rPr>
          <w:rFonts w:ascii="微软雅黑" w:hAnsi="微软雅黑" w:eastAsia="微软雅黑" w:cs="微软雅黑"/>
          <w:b/>
          <w:bCs/>
          <w:sz w:val="72"/>
          <w:szCs w:val="72"/>
        </w:rPr>
      </w:pPr>
    </w:p>
    <w:p w14:paraId="10049D0A">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5EBB7CE5">
      <w:pPr>
        <w:pStyle w:val="15"/>
        <w:jc w:val="center"/>
        <w:rPr>
          <w:rFonts w:ascii="微软雅黑" w:hAnsi="微软雅黑" w:eastAsia="微软雅黑" w:cs="微软雅黑"/>
          <w:b/>
          <w:bCs/>
          <w:sz w:val="72"/>
          <w:szCs w:val="72"/>
        </w:rPr>
      </w:pPr>
    </w:p>
    <w:p w14:paraId="0E4BBD0C">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1EEB1BAC">
      <w:pPr>
        <w:jc w:val="center"/>
        <w:rPr>
          <w:rFonts w:ascii="微软雅黑" w:hAnsi="微软雅黑" w:eastAsia="微软雅黑" w:cs="微软雅黑"/>
          <w:b/>
          <w:bCs/>
          <w:sz w:val="72"/>
          <w:szCs w:val="72"/>
        </w:rPr>
        <w:sectPr>
          <w:pgSz w:w="11906" w:h="16838"/>
          <w:pgMar w:top="720" w:right="720" w:bottom="720" w:left="720" w:header="851" w:footer="992" w:gutter="0"/>
          <w:cols w:space="720" w:num="1"/>
          <w:docGrid w:type="linesAndChars" w:linePitch="312" w:charSpace="0"/>
        </w:sectPr>
      </w:pPr>
      <w:r>
        <w:rPr>
          <w:rFonts w:hint="eastAsia" w:ascii="微软雅黑" w:hAnsi="微软雅黑" w:eastAsia="微软雅黑" w:cs="微软雅黑"/>
          <w:b/>
          <w:bCs/>
          <w:sz w:val="72"/>
          <w:szCs w:val="72"/>
        </w:rPr>
        <w:t>（见附件）</w:t>
      </w:r>
    </w:p>
    <w:p w14:paraId="27F635FA">
      <w:pPr>
        <w:pStyle w:val="15"/>
        <w:jc w:val="center"/>
        <w:rPr>
          <w:rFonts w:ascii="微软雅黑" w:hAnsi="微软雅黑" w:eastAsia="微软雅黑" w:cs="微软雅黑"/>
          <w:b/>
          <w:bCs/>
          <w:sz w:val="72"/>
          <w:szCs w:val="72"/>
        </w:rPr>
      </w:pPr>
    </w:p>
    <w:p w14:paraId="3063646E">
      <w:pPr>
        <w:pStyle w:val="15"/>
        <w:jc w:val="center"/>
        <w:rPr>
          <w:rFonts w:ascii="微软雅黑" w:hAnsi="微软雅黑" w:eastAsia="微软雅黑" w:cs="微软雅黑"/>
          <w:b/>
          <w:bCs/>
          <w:sz w:val="72"/>
          <w:szCs w:val="72"/>
        </w:rPr>
      </w:pPr>
    </w:p>
    <w:p w14:paraId="57F72DA0">
      <w:pPr>
        <w:pStyle w:val="15"/>
        <w:jc w:val="center"/>
        <w:rPr>
          <w:rFonts w:ascii="微软雅黑" w:hAnsi="微软雅黑" w:eastAsia="微软雅黑" w:cs="微软雅黑"/>
          <w:b/>
          <w:bCs/>
          <w:sz w:val="72"/>
          <w:szCs w:val="72"/>
        </w:rPr>
      </w:pPr>
    </w:p>
    <w:p w14:paraId="73D4E38F">
      <w:pPr>
        <w:pStyle w:val="15"/>
        <w:jc w:val="center"/>
        <w:rPr>
          <w:rFonts w:ascii="微软雅黑" w:hAnsi="微软雅黑" w:eastAsia="微软雅黑" w:cs="微软雅黑"/>
          <w:b/>
          <w:bCs/>
          <w:sz w:val="72"/>
          <w:szCs w:val="72"/>
        </w:rPr>
      </w:pPr>
    </w:p>
    <w:p w14:paraId="33EBC070">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第三部分</w:t>
      </w:r>
    </w:p>
    <w:p w14:paraId="7E390E81">
      <w:pPr>
        <w:pStyle w:val="15"/>
        <w:jc w:val="center"/>
        <w:rPr>
          <w:rFonts w:ascii="微软雅黑" w:hAnsi="微软雅黑" w:eastAsia="微软雅黑" w:cs="微软雅黑"/>
          <w:b/>
          <w:bCs/>
          <w:sz w:val="70"/>
          <w:szCs w:val="70"/>
        </w:rPr>
      </w:pPr>
    </w:p>
    <w:p w14:paraId="2F50D0E4">
      <w:pPr>
        <w:pStyle w:val="15"/>
        <w:jc w:val="center"/>
        <w:rPr>
          <w:rFonts w:ascii="微软雅黑" w:hAnsi="微软雅黑" w:eastAsia="微软雅黑" w:cs="微软雅黑"/>
          <w:b/>
          <w:bCs/>
          <w:sz w:val="70"/>
          <w:szCs w:val="70"/>
        </w:rPr>
      </w:pPr>
      <w:r>
        <w:rPr>
          <w:rFonts w:hint="eastAsia" w:ascii="微软雅黑" w:hAnsi="微软雅黑" w:eastAsia="微软雅黑" w:cs="微软雅黑"/>
          <w:b/>
          <w:bCs/>
          <w:sz w:val="70"/>
          <w:szCs w:val="70"/>
        </w:rPr>
        <w:t>2023年度部门决算情况说明</w:t>
      </w:r>
    </w:p>
    <w:p w14:paraId="1D1D8ED6">
      <w:pPr>
        <w:pStyle w:val="15"/>
        <w:jc w:val="center"/>
        <w:rPr>
          <w:rFonts w:ascii="微软雅黑" w:hAnsi="微软雅黑" w:eastAsia="微软雅黑" w:cs="微软雅黑"/>
          <w:b/>
          <w:bCs/>
          <w:sz w:val="70"/>
          <w:szCs w:val="70"/>
        </w:rPr>
      </w:pPr>
    </w:p>
    <w:p w14:paraId="7D4A51F8">
      <w:pPr>
        <w:pStyle w:val="15"/>
        <w:jc w:val="center"/>
        <w:rPr>
          <w:rFonts w:ascii="微软雅黑" w:hAnsi="微软雅黑" w:eastAsia="微软雅黑" w:cs="微软雅黑"/>
          <w:b/>
          <w:bCs/>
          <w:sz w:val="70"/>
          <w:szCs w:val="70"/>
        </w:rPr>
      </w:pPr>
    </w:p>
    <w:p w14:paraId="0A999ECB">
      <w:pPr>
        <w:pStyle w:val="15"/>
        <w:jc w:val="center"/>
        <w:rPr>
          <w:rFonts w:ascii="微软雅黑" w:hAnsi="微软雅黑" w:eastAsia="微软雅黑" w:cs="微软雅黑"/>
          <w:b/>
          <w:bCs/>
          <w:sz w:val="70"/>
          <w:szCs w:val="70"/>
        </w:rPr>
      </w:pPr>
    </w:p>
    <w:p w14:paraId="3FBFBE98">
      <w:pPr>
        <w:pStyle w:val="15"/>
        <w:jc w:val="center"/>
        <w:rPr>
          <w:rFonts w:ascii="微软雅黑" w:hAnsi="微软雅黑" w:eastAsia="微软雅黑" w:cs="微软雅黑"/>
          <w:b/>
          <w:bCs/>
          <w:sz w:val="70"/>
          <w:szCs w:val="70"/>
        </w:rPr>
      </w:pPr>
    </w:p>
    <w:p w14:paraId="22CF2804">
      <w:pPr>
        <w:pStyle w:val="15"/>
        <w:jc w:val="center"/>
        <w:rPr>
          <w:rFonts w:ascii="微软雅黑" w:hAnsi="微软雅黑" w:eastAsia="微软雅黑" w:cs="微软雅黑"/>
          <w:b/>
          <w:bCs/>
          <w:sz w:val="70"/>
          <w:szCs w:val="70"/>
        </w:rPr>
      </w:pPr>
    </w:p>
    <w:p w14:paraId="7FCDE751">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一、收入支出决算总体情况说明</w:t>
      </w:r>
    </w:p>
    <w:p w14:paraId="5D24BA00">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2023年度收、支总计</w:t>
      </w:r>
      <w:r>
        <w:rPr>
          <w:rFonts w:ascii="微软雅黑" w:hAnsi="微软雅黑" w:eastAsia="微软雅黑" w:cs="微软雅黑"/>
          <w:sz w:val="32"/>
        </w:rPr>
        <w:t>419.14万元。与上年</w:t>
      </w:r>
      <w:r>
        <w:rPr>
          <w:rFonts w:hint="eastAsia" w:ascii="微软雅黑" w:hAnsi="微软雅黑" w:eastAsia="微软雅黑" w:cs="微软雅黑"/>
          <w:sz w:val="32"/>
          <w:szCs w:val="32"/>
        </w:rPr>
        <w:t>相比，减少109.50</w:t>
      </w:r>
      <w:r>
        <w:rPr>
          <w:rFonts w:ascii="微软雅黑" w:hAnsi="微软雅黑" w:eastAsia="微软雅黑" w:cs="微软雅黑"/>
          <w:sz w:val="32"/>
        </w:rPr>
        <w:t>万元，减少20.71%，主要是因为</w:t>
      </w:r>
      <w:r>
        <w:rPr>
          <w:rFonts w:hint="eastAsia" w:ascii="微软雅黑" w:hAnsi="微软雅黑" w:eastAsia="微软雅黑" w:cs="微软雅黑"/>
          <w:sz w:val="32"/>
        </w:rPr>
        <w:t>2022年度本单位发生了老旧小区改造项目支付，2023年度无此项目经费开支。</w:t>
      </w:r>
    </w:p>
    <w:p w14:paraId="1F332695">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二、收入决算情况说明</w:t>
      </w:r>
    </w:p>
    <w:p w14:paraId="6667F733">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年度收入合计</w:t>
      </w:r>
      <w:r>
        <w:rPr>
          <w:rFonts w:hint="eastAsia" w:ascii="微软雅黑" w:hAnsi="微软雅黑" w:eastAsia="微软雅黑" w:cs="微软雅黑"/>
          <w:sz w:val="32"/>
          <w:szCs w:val="32"/>
        </w:rPr>
        <w:t>361.03万元，其中：财政拨款收入</w:t>
      </w:r>
      <w:r>
        <w:rPr>
          <w:rFonts w:ascii="微软雅黑" w:hAnsi="微软雅黑" w:eastAsia="微软雅黑" w:cs="微软雅黑"/>
          <w:sz w:val="32"/>
        </w:rPr>
        <w:t>347.61万元，占96.28</w:t>
      </w:r>
      <w:r>
        <w:rPr>
          <w:rFonts w:hint="eastAsia" w:ascii="微软雅黑" w:hAnsi="微软雅黑" w:eastAsia="微软雅黑" w:cs="微软雅黑"/>
          <w:sz w:val="32"/>
          <w:szCs w:val="32"/>
        </w:rPr>
        <w:t>%；上级补助收入0</w:t>
      </w:r>
      <w:r>
        <w:rPr>
          <w:rFonts w:ascii="微软雅黑" w:hAnsi="微软雅黑" w:eastAsia="微软雅黑" w:cs="微软雅黑"/>
          <w:sz w:val="32"/>
        </w:rPr>
        <w:t>万元，占0.00</w:t>
      </w:r>
      <w:r>
        <w:rPr>
          <w:rFonts w:hint="eastAsia" w:ascii="微软雅黑" w:hAnsi="微软雅黑" w:eastAsia="微软雅黑" w:cs="微软雅黑"/>
          <w:sz w:val="32"/>
          <w:szCs w:val="32"/>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rPr>
        <w:t>%；其他收入</w:t>
      </w:r>
      <w:r>
        <w:rPr>
          <w:rFonts w:ascii="微软雅黑" w:hAnsi="微软雅黑" w:eastAsia="微软雅黑" w:cs="微软雅黑"/>
          <w:sz w:val="32"/>
        </w:rPr>
        <w:t>13.42万元，占</w:t>
      </w:r>
      <w:r>
        <w:rPr>
          <w:rFonts w:hint="eastAsia" w:ascii="微软雅黑" w:hAnsi="微软雅黑" w:eastAsia="微软雅黑" w:cs="微软雅黑"/>
          <w:sz w:val="32"/>
          <w:szCs w:val="32"/>
        </w:rPr>
        <w:t>3.72%。</w:t>
      </w:r>
    </w:p>
    <w:p w14:paraId="2565B0B6">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三、支出决算情况说明</w:t>
      </w:r>
    </w:p>
    <w:p w14:paraId="33A8E17B">
      <w:pPr>
        <w:pStyle w:val="15"/>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年度支出合计419.14万元，其中：基本支出419.14万元，占100.00%；项目支出0.00万元，占0.00%；上缴上级支出0.00万元，占0.00%；经营支出0.00万元，占0.00%；对附属单位补助支出0.00万元，占0.00%。</w:t>
      </w:r>
    </w:p>
    <w:p w14:paraId="44521FC9">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四、财政拨款收入支出决算总体情况说明</w:t>
      </w:r>
    </w:p>
    <w:p w14:paraId="6A305926">
      <w:pPr>
        <w:pStyle w:val="15"/>
        <w:spacing w:line="600" w:lineRule="exact"/>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年度财政拨款收、支总计347.61万元，与上年相比，增长25.37万元,增长7.87%，主要是因为</w:t>
      </w:r>
      <w:r>
        <w:rPr>
          <w:rFonts w:hint="eastAsia" w:ascii="微软雅黑" w:hAnsi="微软雅黑" w:eastAsia="微软雅黑" w:cs="微软雅黑"/>
          <w:sz w:val="32"/>
        </w:rPr>
        <w:t>人员经费增加。</w:t>
      </w:r>
    </w:p>
    <w:p w14:paraId="095C8D63">
      <w:pPr>
        <w:pStyle w:val="15"/>
        <w:spacing w:line="600" w:lineRule="exact"/>
        <w:ind w:firstLine="640" w:firstLineChars="200"/>
        <w:rPr>
          <w:rFonts w:ascii="微软雅黑" w:hAnsi="微软雅黑" w:eastAsia="微软雅黑" w:cs="微软雅黑"/>
          <w:bCs/>
          <w:sz w:val="32"/>
          <w:szCs w:val="32"/>
        </w:rPr>
      </w:pPr>
      <w:r>
        <w:rPr>
          <w:rFonts w:hint="eastAsia" w:ascii="微软雅黑" w:hAnsi="微软雅黑" w:eastAsia="微软雅黑" w:cs="微软雅黑"/>
          <w:b/>
          <w:sz w:val="32"/>
          <w:szCs w:val="32"/>
        </w:rPr>
        <w:t>五、一般公共预算财政拨款支出决算情况说明</w:t>
      </w:r>
    </w:p>
    <w:p w14:paraId="4CB7C3DB">
      <w:pPr>
        <w:pStyle w:val="15"/>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（一）财政拨款支出决算总体情况</w:t>
      </w:r>
    </w:p>
    <w:p w14:paraId="6CC9492B">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年度财政拨款支出347.61万元，占本年支出合计的82.93</w:t>
      </w:r>
      <w:r>
        <w:rPr>
          <w:rFonts w:hint="eastAsia" w:ascii="微软雅黑" w:hAnsi="微软雅黑" w:eastAsia="微软雅黑" w:cs="微软雅黑"/>
          <w:sz w:val="32"/>
          <w:szCs w:val="32"/>
        </w:rPr>
        <w:t>%，与上年相比，财政拨款支出</w:t>
      </w:r>
      <w:r>
        <w:rPr>
          <w:rFonts w:ascii="微软雅黑" w:hAnsi="微软雅黑" w:eastAsia="微软雅黑" w:cs="微软雅黑"/>
          <w:sz w:val="32"/>
        </w:rPr>
        <w:t>增长25.37万元，增长7.87%，主要是因为</w:t>
      </w:r>
      <w:r>
        <w:rPr>
          <w:rFonts w:hint="eastAsia" w:ascii="微软雅黑" w:hAnsi="微软雅黑" w:eastAsia="微软雅黑" w:cs="微软雅黑"/>
          <w:sz w:val="32"/>
        </w:rPr>
        <w:t>人员经费增加。</w:t>
      </w:r>
    </w:p>
    <w:p w14:paraId="3B1A44D4">
      <w:pPr>
        <w:pStyle w:val="15"/>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（二）财政拨款支出决算结构情况</w:t>
      </w:r>
    </w:p>
    <w:p w14:paraId="7AEA0DC1">
      <w:pPr>
        <w:pStyle w:val="15"/>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年度财政拨款支出347.61万元，主要用于以下方面：</w:t>
      </w:r>
      <w:r>
        <w:rPr>
          <w:rFonts w:hint="eastAsia" w:ascii="微软雅黑" w:hAnsi="微软雅黑" w:eastAsia="微软雅黑" w:cs="微软雅黑"/>
          <w:sz w:val="32"/>
        </w:rPr>
        <w:t>住房保障</w:t>
      </w:r>
      <w:r>
        <w:rPr>
          <w:rFonts w:ascii="微软雅黑" w:hAnsi="微软雅黑" w:eastAsia="微软雅黑" w:cs="微软雅黑"/>
          <w:sz w:val="32"/>
        </w:rPr>
        <w:t>（类）支出</w:t>
      </w:r>
      <w:r>
        <w:rPr>
          <w:rFonts w:hint="eastAsia" w:ascii="微软雅黑" w:hAnsi="微软雅黑" w:eastAsia="微软雅黑" w:cs="微软雅黑"/>
          <w:sz w:val="32"/>
        </w:rPr>
        <w:t>13.22</w:t>
      </w:r>
      <w:r>
        <w:rPr>
          <w:rFonts w:hint="eastAsia" w:ascii="微软雅黑" w:hAnsi="微软雅黑" w:eastAsia="微软雅黑" w:cs="微软雅黑"/>
          <w:sz w:val="32"/>
          <w:szCs w:val="32"/>
        </w:rPr>
        <w:t>万元，占</w:t>
      </w:r>
      <w:r>
        <w:rPr>
          <w:rFonts w:hint="eastAsia" w:ascii="微软雅黑" w:hAnsi="微软雅黑" w:eastAsia="微软雅黑" w:cs="微软雅黑"/>
          <w:sz w:val="32"/>
        </w:rPr>
        <w:t>3.80</w:t>
      </w:r>
      <w:r>
        <w:rPr>
          <w:rFonts w:hint="eastAsia" w:ascii="微软雅黑" w:hAnsi="微软雅黑" w:eastAsia="微软雅黑" w:cs="微软雅黑"/>
          <w:sz w:val="32"/>
          <w:szCs w:val="32"/>
        </w:rPr>
        <w:t>%；社会保障和就业（类）支出18.73万元，占</w:t>
      </w:r>
      <w:r>
        <w:rPr>
          <w:rFonts w:hint="eastAsia" w:ascii="微软雅黑" w:hAnsi="微软雅黑" w:eastAsia="微软雅黑" w:cs="微软雅黑"/>
          <w:sz w:val="32"/>
        </w:rPr>
        <w:t>5.39</w:t>
      </w:r>
      <w:r>
        <w:rPr>
          <w:rFonts w:hint="eastAsia" w:ascii="微软雅黑" w:hAnsi="微软雅黑" w:eastAsia="微软雅黑" w:cs="微软雅黑"/>
          <w:sz w:val="32"/>
          <w:szCs w:val="32"/>
        </w:rPr>
        <w:t>%；城乡社区</w:t>
      </w:r>
      <w:r>
        <w:rPr>
          <w:rFonts w:ascii="微软雅黑" w:hAnsi="微软雅黑" w:eastAsia="微软雅黑" w:cs="微软雅黑"/>
          <w:sz w:val="32"/>
        </w:rPr>
        <w:t>（类）</w:t>
      </w:r>
      <w:r>
        <w:rPr>
          <w:rFonts w:hint="eastAsia" w:ascii="微软雅黑" w:hAnsi="微软雅黑" w:eastAsia="微软雅黑" w:cs="微软雅黑"/>
          <w:sz w:val="32"/>
          <w:szCs w:val="32"/>
        </w:rPr>
        <w:t>支出305.18万元，占87.79%；卫生健康</w:t>
      </w:r>
      <w:r>
        <w:rPr>
          <w:rFonts w:ascii="微软雅黑" w:hAnsi="微软雅黑" w:eastAsia="微软雅黑" w:cs="微软雅黑"/>
          <w:sz w:val="32"/>
        </w:rPr>
        <w:t>（类）</w:t>
      </w:r>
      <w:r>
        <w:rPr>
          <w:rFonts w:hint="eastAsia" w:ascii="微软雅黑" w:hAnsi="微软雅黑" w:eastAsia="微软雅黑" w:cs="微软雅黑"/>
          <w:sz w:val="32"/>
          <w:szCs w:val="32"/>
        </w:rPr>
        <w:t>支出10.47万元，占3.01%。</w:t>
      </w:r>
    </w:p>
    <w:p w14:paraId="1B5F7ED7">
      <w:pPr>
        <w:pStyle w:val="15"/>
        <w:spacing w:line="360" w:lineRule="auto"/>
        <w:ind w:firstLine="640" w:firstLineChars="200"/>
        <w:rPr>
          <w:rFonts w:ascii="微软雅黑" w:hAnsi="微软雅黑" w:eastAsia="微软雅黑" w:cs="微软雅黑"/>
          <w:b/>
          <w:bCs/>
          <w:sz w:val="32"/>
          <w:szCs w:val="32"/>
        </w:rPr>
      </w:pPr>
      <w:r>
        <w:rPr>
          <w:rFonts w:hint="eastAsia" w:ascii="微软雅黑" w:hAnsi="微软雅黑" w:eastAsia="微软雅黑" w:cs="微软雅黑"/>
          <w:b/>
          <w:bCs/>
          <w:sz w:val="32"/>
          <w:szCs w:val="32"/>
        </w:rPr>
        <w:t>（三）财政拨款支出决算具体情况</w:t>
      </w:r>
    </w:p>
    <w:p w14:paraId="20FE08DD">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年度财政拨款支出年初预算数为332.5</w:t>
      </w:r>
      <w:r>
        <w:rPr>
          <w:rFonts w:hint="eastAsia" w:ascii="微软雅黑" w:hAnsi="微软雅黑" w:eastAsia="微软雅黑" w:cs="微软雅黑"/>
          <w:sz w:val="32"/>
        </w:rPr>
        <w:t>9</w:t>
      </w:r>
      <w:r>
        <w:rPr>
          <w:rFonts w:ascii="微软雅黑" w:hAnsi="微软雅黑" w:eastAsia="微软雅黑" w:cs="微软雅黑"/>
          <w:sz w:val="32"/>
        </w:rPr>
        <w:t>万元，支出决算数为</w:t>
      </w:r>
      <w:r>
        <w:rPr>
          <w:rFonts w:hint="eastAsia" w:ascii="微软雅黑" w:hAnsi="微软雅黑" w:eastAsia="微软雅黑" w:cs="微软雅黑"/>
          <w:sz w:val="32"/>
        </w:rPr>
        <w:t>347.61</w:t>
      </w:r>
      <w:r>
        <w:rPr>
          <w:rFonts w:hint="eastAsia" w:ascii="微软雅黑" w:hAnsi="微软雅黑" w:eastAsia="微软雅黑" w:cs="微软雅黑"/>
          <w:sz w:val="32"/>
          <w:szCs w:val="32"/>
        </w:rPr>
        <w:t>万元，完成年初预算的</w:t>
      </w:r>
      <w:r>
        <w:rPr>
          <w:rFonts w:hint="eastAsia" w:ascii="微软雅黑" w:hAnsi="微软雅黑" w:eastAsia="微软雅黑" w:cs="微软雅黑"/>
          <w:sz w:val="32"/>
        </w:rPr>
        <w:t>104.52</w:t>
      </w:r>
      <w:r>
        <w:rPr>
          <w:rFonts w:hint="eastAsia" w:ascii="微软雅黑" w:hAnsi="微软雅黑" w:eastAsia="微软雅黑" w:cs="微软雅黑"/>
          <w:sz w:val="32"/>
          <w:szCs w:val="32"/>
        </w:rPr>
        <w:t>%，其中：</w:t>
      </w:r>
    </w:p>
    <w:p w14:paraId="660F1E02">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1、住房保障支出（类）住房改革支出（款）住房公积金（项）。</w:t>
      </w:r>
    </w:p>
    <w:p w14:paraId="4A036AE8">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年初预算为13.22万元，支出决算为13.22万元，完成年初预算的100%，决算数等于年初预算数，此项资金主要用于人员住房公积金缴纳。</w:t>
      </w:r>
    </w:p>
    <w:p w14:paraId="27CDEDA7">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2、社会保障和就业支出（类）行政事业单位养老支出（款）机关事业单位基本养老保险缴费支出（项）。</w:t>
      </w:r>
    </w:p>
    <w:p w14:paraId="1D2D3516">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年初预算为17.63万元，支出决算为17.63万元，完成年初预算的100%，决算数等于年初预算数 ,此项资金主要用于职工养老保险、职业年金等基本社会保险费的缴纳。</w:t>
      </w:r>
    </w:p>
    <w:p w14:paraId="04EA3E8C">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3、社会保障和就业支出（类）其他社会保障和就业支出（款）其他社会保障和就业支出（项）。</w:t>
      </w:r>
    </w:p>
    <w:p w14:paraId="7824BF20">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年初预算为1.10万元，支出决算为1.10万元，完成年初预算的100%，决算数等于年初预算数，此项资金主要用于职工工伤保险、失业保险等其他社会保险费用缴纳。</w:t>
      </w:r>
    </w:p>
    <w:p w14:paraId="64BC9CC3">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4、城乡社区支出（类）城乡社区管理事务（款）工程建设管理（项）。</w:t>
      </w:r>
    </w:p>
    <w:p w14:paraId="0105671C">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年初预算为290.15万元，支出决算为305.18万元，完成年初预算的105.18%，决算数大于年初预算数，增长的主要原因是</w:t>
      </w:r>
      <w:r>
        <w:rPr>
          <w:rFonts w:hint="eastAsia" w:ascii="微软雅黑" w:hAnsi="微软雅黑" w:eastAsia="微软雅黑" w:cs="微软雅黑"/>
          <w:sz w:val="32"/>
        </w:rPr>
        <w:t>人员经费增加。此项经费主要用于人员工资发放，以及正常的公用经费开支。</w:t>
      </w:r>
    </w:p>
    <w:p w14:paraId="0354BB04">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5、卫生健康支出（类）行政事业单位医疗（款）事业单位医疗（项）。</w:t>
      </w:r>
    </w:p>
    <w:p w14:paraId="24C483DE">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年初预算为10.47万元，支出决算为10.47万元，完成年初预算的100%，决算数等于年初预算数，此项资金主要用于职工基本医疗保险费用缴纳。</w:t>
      </w:r>
    </w:p>
    <w:p w14:paraId="17D3DA90">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六、一般公共预算财政拨款基本支出决算情况说明</w:t>
      </w:r>
    </w:p>
    <w:p w14:paraId="18CF5437">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w:t>
      </w:r>
      <w:r>
        <w:rPr>
          <w:rFonts w:ascii="微软雅黑" w:hAnsi="微软雅黑" w:eastAsia="微软雅黑" w:cs="微软雅黑"/>
          <w:sz w:val="32"/>
        </w:rPr>
        <w:t>年度财政拨款基本支出347.61万元，其中：</w:t>
      </w:r>
    </w:p>
    <w:p w14:paraId="78EBA8FD">
      <w:pPr>
        <w:rPr>
          <w:rFonts w:ascii="微软雅黑" w:hAnsi="微软雅黑" w:eastAsia="微软雅黑" w:cs="微软雅黑"/>
          <w:sz w:val="32"/>
        </w:rPr>
      </w:pPr>
      <w:r>
        <w:rPr>
          <w:rFonts w:hint="eastAsia" w:ascii="微软雅黑" w:hAnsi="微软雅黑" w:eastAsia="微软雅黑" w:cs="微软雅黑"/>
          <w:sz w:val="32"/>
          <w:szCs w:val="32"/>
        </w:rPr>
        <w:t>人员经费</w:t>
      </w:r>
      <w:r>
        <w:rPr>
          <w:rFonts w:ascii="微软雅黑" w:hAnsi="微软雅黑" w:eastAsia="微软雅黑" w:cs="微软雅黑"/>
          <w:sz w:val="32"/>
        </w:rPr>
        <w:t>268.64万元，占基本支出的77.28%</w:t>
      </w:r>
      <w:r>
        <w:rPr>
          <w:rFonts w:hint="eastAsia" w:ascii="微软雅黑" w:hAnsi="微软雅黑" w:eastAsia="微软雅黑" w:cs="微软雅黑"/>
          <w:sz w:val="32"/>
        </w:rPr>
        <w:t>，</w:t>
      </w:r>
      <w:r>
        <w:rPr>
          <w:rFonts w:ascii="微软雅黑" w:hAnsi="微软雅黑" w:eastAsia="微软雅黑" w:cs="微软雅黑"/>
          <w:sz w:val="32"/>
        </w:rPr>
        <w:t>主要包括基本工资、津贴补贴、奖金、</w:t>
      </w:r>
      <w:r>
        <w:rPr>
          <w:rFonts w:hint="eastAsia" w:ascii="微软雅黑" w:hAnsi="微软雅黑" w:eastAsia="微软雅黑" w:cs="微软雅黑"/>
          <w:sz w:val="32"/>
        </w:rPr>
        <w:t>绩效工资、机关事业单位基本养老保险缴费、职业年金缴费、职工基本医疗保险缴费、其他社会保障缴费、住房公积金、其他工资福利支出、退休费、生活补助、奖励金支出</w:t>
      </w:r>
      <w:r>
        <w:rPr>
          <w:rFonts w:ascii="微软雅黑" w:hAnsi="微软雅黑" w:eastAsia="微软雅黑" w:cs="微软雅黑"/>
          <w:sz w:val="32"/>
        </w:rPr>
        <w:t>。</w:t>
      </w:r>
    </w:p>
    <w:p w14:paraId="52E1D3A2">
      <w:pPr>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公用经费</w:t>
      </w:r>
      <w:r>
        <w:rPr>
          <w:rFonts w:ascii="微软雅黑" w:hAnsi="微软雅黑" w:eastAsia="微软雅黑" w:cs="微软雅黑"/>
          <w:sz w:val="32"/>
        </w:rPr>
        <w:t>78.97万元，占基本支出的</w:t>
      </w:r>
      <w:r>
        <w:rPr>
          <w:rFonts w:hint="eastAsia" w:ascii="微软雅黑" w:hAnsi="微软雅黑" w:eastAsia="微软雅黑" w:cs="微软雅黑"/>
          <w:sz w:val="32"/>
          <w:szCs w:val="32"/>
        </w:rPr>
        <w:t>22.72%，主要包括办公费、印刷费、咨询费、手续费、电费、邮电费、差旅费、维修（护）费、租赁费、培训费、公务接待费、专用材料费、劳务费、工会经费、福利费、其他交通费用、其他商品和服务支出</w:t>
      </w:r>
      <w:r>
        <w:rPr>
          <w:rFonts w:hint="eastAsia" w:ascii="Times New Roman" w:hAnsi="Times New Roman" w:eastAsia="仿宋_GB2312"/>
          <w:sz w:val="32"/>
          <w:szCs w:val="32"/>
        </w:rPr>
        <w:t>、</w:t>
      </w:r>
      <w:r>
        <w:rPr>
          <w:rFonts w:hint="eastAsia" w:ascii="微软雅黑" w:hAnsi="微软雅黑" w:eastAsia="微软雅黑" w:cs="微软雅黑"/>
          <w:sz w:val="32"/>
          <w:szCs w:val="32"/>
        </w:rPr>
        <w:t>办公设备购置支出。</w:t>
      </w:r>
    </w:p>
    <w:p w14:paraId="2DF05AA2">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七、政府性基金预算收入支出决算情况</w:t>
      </w:r>
    </w:p>
    <w:p w14:paraId="5C3F2D28">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本单位无政府性基金预算收入支出。</w:t>
      </w:r>
    </w:p>
    <w:p w14:paraId="3C68C469">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八、国有资本经营预算财政拨款支出决算情况</w:t>
      </w:r>
    </w:p>
    <w:p w14:paraId="0680E392">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本单位无国有资本经营预算财政拨款支出。</w:t>
      </w:r>
    </w:p>
    <w:p w14:paraId="683EB131">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九、财政拨款三公经费支出决算情况说明</w:t>
      </w:r>
    </w:p>
    <w:p w14:paraId="432C935B">
      <w:pPr>
        <w:pStyle w:val="15"/>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（一）“三公”经费财政拨款支出决算总体情况说明</w:t>
      </w:r>
    </w:p>
    <w:p w14:paraId="1B983ED6">
      <w:pPr>
        <w:pStyle w:val="15"/>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0.81</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0.81</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100.00</w:t>
      </w:r>
      <w:r>
        <w:rPr>
          <w:rFonts w:hint="eastAsia" w:ascii="微软雅黑" w:hAnsi="微软雅黑" w:eastAsia="微软雅黑" w:cs="微软雅黑"/>
          <w:sz w:val="32"/>
          <w:szCs w:val="32"/>
        </w:rPr>
        <w:t>%，其中：</w:t>
      </w:r>
    </w:p>
    <w:p w14:paraId="0FC5F121">
      <w:pPr>
        <w:pStyle w:val="15"/>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%，决算数等于预算数的主要原因是未安排因公出国（境）费，与上年相比</w:t>
      </w:r>
      <w:r>
        <w:rPr>
          <w:rFonts w:ascii="微软雅黑" w:hAnsi="微软雅黑" w:eastAsia="微软雅黑" w:cs="微软雅黑"/>
          <w:sz w:val="32"/>
        </w:rPr>
        <w:t>增长0.00</w:t>
      </w:r>
      <w:r>
        <w:rPr>
          <w:rFonts w:hint="eastAsia" w:ascii="微软雅黑" w:hAnsi="微软雅黑" w:eastAsia="微软雅黑" w:cs="微软雅黑"/>
          <w:sz w:val="32"/>
          <w:szCs w:val="32"/>
        </w:rPr>
        <w:t>万元，</w:t>
      </w:r>
      <w:r>
        <w:rPr>
          <w:rFonts w:ascii="微软雅黑" w:hAnsi="微软雅黑" w:eastAsia="微软雅黑" w:cs="微软雅黑"/>
          <w:sz w:val="32"/>
        </w:rPr>
        <w:t>增长0.00</w:t>
      </w:r>
      <w:r>
        <w:rPr>
          <w:rFonts w:hint="eastAsia" w:ascii="微软雅黑" w:hAnsi="微软雅黑" w:eastAsia="微软雅黑" w:cs="微软雅黑"/>
          <w:sz w:val="32"/>
          <w:szCs w:val="32"/>
        </w:rPr>
        <w:t>%，等于的主要原因是本年与上年均未安排因公出国（境）费。</w:t>
      </w:r>
    </w:p>
    <w:p w14:paraId="77C02E15">
      <w:pPr>
        <w:pStyle w:val="15"/>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公务接待费支出预算为</w:t>
      </w:r>
      <w:r>
        <w:rPr>
          <w:rFonts w:ascii="微软雅黑" w:hAnsi="微软雅黑" w:eastAsia="微软雅黑" w:cs="微软雅黑"/>
          <w:sz w:val="32"/>
        </w:rPr>
        <w:t>0.81</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0.81</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100.00</w:t>
      </w:r>
      <w:r>
        <w:rPr>
          <w:rFonts w:hint="eastAsia" w:ascii="微软雅黑" w:hAnsi="微软雅黑" w:eastAsia="微软雅黑" w:cs="微软雅黑"/>
          <w:sz w:val="32"/>
          <w:szCs w:val="32"/>
        </w:rPr>
        <w:t>%，决算数等于预算数的主要原因是严格执行年初预算。与上年相比</w:t>
      </w:r>
      <w:r>
        <w:rPr>
          <w:rFonts w:ascii="微软雅黑" w:hAnsi="微软雅黑" w:eastAsia="微软雅黑" w:cs="微软雅黑"/>
          <w:sz w:val="32"/>
        </w:rPr>
        <w:t>增长0.81</w:t>
      </w:r>
      <w:r>
        <w:rPr>
          <w:rFonts w:hint="eastAsia" w:ascii="微软雅黑" w:hAnsi="微软雅黑" w:eastAsia="微软雅黑" w:cs="微软雅黑"/>
          <w:sz w:val="32"/>
          <w:szCs w:val="32"/>
        </w:rPr>
        <w:t>万元，因上年决算数为0，无百分比情况，增长的主要原因是本年度组织多家施工单位分批次参加学习全县建设工程质量安全检查发生的工作业务用餐费。</w:t>
      </w:r>
    </w:p>
    <w:p w14:paraId="5446F036">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公务用车购置费支出预算为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%，决算数等于预算数的主要原因是</w:t>
      </w:r>
      <w:r>
        <w:rPr>
          <w:rFonts w:ascii="微软雅黑" w:hAnsi="微软雅黑" w:eastAsia="微软雅黑" w:cs="微软雅黑"/>
          <w:sz w:val="32"/>
          <w:szCs w:val="32"/>
        </w:rPr>
        <w:t>未购置公务用车</w:t>
      </w:r>
      <w:r>
        <w:rPr>
          <w:rFonts w:hint="eastAsia" w:ascii="微软雅黑" w:hAnsi="微软雅黑" w:eastAsia="微软雅黑" w:cs="微软雅黑"/>
          <w:sz w:val="32"/>
          <w:szCs w:val="32"/>
        </w:rPr>
        <w:t>，与上年相比</w:t>
      </w:r>
      <w:r>
        <w:rPr>
          <w:rFonts w:ascii="微软雅黑" w:hAnsi="微软雅黑" w:eastAsia="微软雅黑" w:cs="微软雅黑"/>
          <w:sz w:val="32"/>
        </w:rPr>
        <w:t>增长0.00</w:t>
      </w:r>
      <w:r>
        <w:rPr>
          <w:rFonts w:hint="eastAsia" w:ascii="微软雅黑" w:hAnsi="微软雅黑" w:eastAsia="微软雅黑" w:cs="微软雅黑"/>
          <w:sz w:val="32"/>
          <w:szCs w:val="32"/>
        </w:rPr>
        <w:t>万元，</w:t>
      </w:r>
      <w:r>
        <w:rPr>
          <w:rFonts w:ascii="微软雅黑" w:hAnsi="微软雅黑" w:eastAsia="微软雅黑" w:cs="微软雅黑"/>
          <w:sz w:val="32"/>
        </w:rPr>
        <w:t>增长0.00</w:t>
      </w:r>
      <w:r>
        <w:rPr>
          <w:rFonts w:hint="eastAsia" w:ascii="微软雅黑" w:hAnsi="微软雅黑" w:eastAsia="微软雅黑" w:cs="微软雅黑"/>
          <w:sz w:val="32"/>
          <w:szCs w:val="32"/>
        </w:rPr>
        <w:t>%，等于的主要原因是本年与上年</w:t>
      </w:r>
      <w:r>
        <w:rPr>
          <w:rFonts w:ascii="微软雅黑" w:hAnsi="微软雅黑" w:eastAsia="微软雅黑" w:cs="微软雅黑"/>
          <w:sz w:val="32"/>
          <w:szCs w:val="32"/>
        </w:rPr>
        <w:t>均未购置公务用车</w:t>
      </w:r>
      <w:r>
        <w:rPr>
          <w:rFonts w:hint="eastAsia" w:ascii="微软雅黑" w:hAnsi="微软雅黑" w:eastAsia="微软雅黑" w:cs="微软雅黑"/>
          <w:sz w:val="32"/>
          <w:szCs w:val="32"/>
        </w:rPr>
        <w:t>。</w:t>
      </w:r>
    </w:p>
    <w:p w14:paraId="39851311">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公务用车运行维护费支出预算为</w:t>
      </w:r>
      <w:r>
        <w:rPr>
          <w:rFonts w:ascii="微软雅黑" w:hAnsi="微软雅黑" w:eastAsia="微软雅黑" w:cs="微软雅黑"/>
          <w:sz w:val="32"/>
        </w:rPr>
        <w:t>0.00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0.00</w:t>
      </w:r>
      <w:r>
        <w:rPr>
          <w:rFonts w:hint="eastAsia" w:ascii="微软雅黑" w:hAnsi="微软雅黑" w:eastAsia="微软雅黑" w:cs="微软雅黑"/>
          <w:sz w:val="32"/>
          <w:szCs w:val="32"/>
        </w:rPr>
        <w:t>%，决算数等于预算数的主要原因是</w:t>
      </w:r>
      <w:r>
        <w:rPr>
          <w:rFonts w:ascii="微软雅黑" w:hAnsi="微软雅黑" w:eastAsia="微软雅黑" w:cs="微软雅黑"/>
          <w:sz w:val="32"/>
          <w:szCs w:val="32"/>
        </w:rPr>
        <w:t>未安排公务用车运行维护</w:t>
      </w:r>
      <w:r>
        <w:rPr>
          <w:rFonts w:hint="eastAsia" w:ascii="微软雅黑" w:hAnsi="微软雅黑" w:eastAsia="微软雅黑" w:cs="微软雅黑"/>
          <w:sz w:val="32"/>
          <w:szCs w:val="32"/>
        </w:rPr>
        <w:t>，与上年相比</w:t>
      </w:r>
      <w:r>
        <w:rPr>
          <w:rFonts w:ascii="微软雅黑" w:hAnsi="微软雅黑" w:eastAsia="微软雅黑" w:cs="微软雅黑"/>
          <w:sz w:val="32"/>
        </w:rPr>
        <w:t>增长0.00</w:t>
      </w:r>
      <w:r>
        <w:rPr>
          <w:rFonts w:hint="eastAsia" w:ascii="微软雅黑" w:hAnsi="微软雅黑" w:eastAsia="微软雅黑" w:cs="微软雅黑"/>
          <w:sz w:val="32"/>
          <w:szCs w:val="32"/>
        </w:rPr>
        <w:t>万元，</w:t>
      </w:r>
      <w:r>
        <w:rPr>
          <w:rFonts w:ascii="微软雅黑" w:hAnsi="微软雅黑" w:eastAsia="微软雅黑" w:cs="微软雅黑"/>
          <w:sz w:val="32"/>
        </w:rPr>
        <w:t>增长0.00</w:t>
      </w:r>
      <w:r>
        <w:rPr>
          <w:rFonts w:hint="eastAsia" w:ascii="微软雅黑" w:hAnsi="微软雅黑" w:eastAsia="微软雅黑" w:cs="微软雅黑"/>
          <w:sz w:val="32"/>
          <w:szCs w:val="32"/>
        </w:rPr>
        <w:t>%，等于的主要原因是本年与上年均未安排公务用车运行维护费。</w:t>
      </w:r>
    </w:p>
    <w:p w14:paraId="5D319E81">
      <w:pPr>
        <w:pStyle w:val="15"/>
        <w:spacing w:line="360" w:lineRule="auto"/>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（二）“三公”经费财政拨款支出决算具体情况说明</w:t>
      </w:r>
    </w:p>
    <w:p w14:paraId="1FE89B02">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2023年度“三公”经费财政拨款支出决算中，公务接待费支出决算</w:t>
      </w:r>
      <w:r>
        <w:rPr>
          <w:rFonts w:ascii="微软雅黑" w:hAnsi="微软雅黑" w:eastAsia="微软雅黑" w:cs="微软雅黑"/>
          <w:sz w:val="32"/>
        </w:rPr>
        <w:t>0.81</w:t>
      </w:r>
      <w:r>
        <w:rPr>
          <w:rFonts w:hint="eastAsia" w:ascii="微软雅黑" w:hAnsi="微软雅黑" w:eastAsia="微软雅黑" w:cs="微软雅黑"/>
          <w:sz w:val="32"/>
          <w:szCs w:val="32"/>
        </w:rPr>
        <w:t>万元，占</w:t>
      </w:r>
      <w:r>
        <w:rPr>
          <w:rFonts w:ascii="微软雅黑" w:hAnsi="微软雅黑" w:eastAsia="微软雅黑" w:cs="微软雅黑"/>
          <w:sz w:val="32"/>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%。其中：</w:t>
      </w:r>
    </w:p>
    <w:p w14:paraId="5C323902">
      <w:pPr>
        <w:pStyle w:val="15"/>
        <w:spacing w:line="360" w:lineRule="auto"/>
        <w:ind w:firstLine="640" w:firstLineChars="200"/>
        <w:rPr>
          <w:rFonts w:ascii="微软雅黑" w:hAnsi="微软雅黑" w:eastAsia="微软雅黑" w:cs="微软雅黑"/>
          <w:b/>
          <w:bCs/>
          <w:i/>
          <w:color w:val="auto"/>
          <w:sz w:val="32"/>
          <w:szCs w:val="32"/>
        </w:rPr>
      </w:pPr>
      <w:r>
        <w:rPr>
          <w:rFonts w:hint="eastAsia" w:ascii="微软雅黑" w:hAnsi="微软雅黑" w:eastAsia="微软雅黑" w:cs="微软雅黑"/>
          <w:sz w:val="32"/>
          <w:szCs w:val="32"/>
        </w:rPr>
        <w:t>1、因公出国（境）费支出决算为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万元，全年安排因公出国（境）团组0个，累计0人次。</w:t>
      </w:r>
    </w:p>
    <w:p w14:paraId="5CFA0ADD">
      <w:pPr>
        <w:pStyle w:val="15"/>
        <w:spacing w:line="360" w:lineRule="auto"/>
        <w:ind w:firstLine="800" w:firstLineChars="250"/>
        <w:rPr>
          <w:rFonts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0.81</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rPr>
        <w:t>10</w:t>
      </w:r>
      <w:r>
        <w:rPr>
          <w:rFonts w:hint="eastAsia" w:ascii="微软雅黑" w:hAnsi="微软雅黑" w:eastAsia="微软雅黑" w:cs="微软雅黑"/>
          <w:sz w:val="32"/>
          <w:szCs w:val="32"/>
        </w:rPr>
        <w:t>个、来宾</w:t>
      </w:r>
      <w:r>
        <w:rPr>
          <w:rFonts w:hint="eastAsia" w:ascii="微软雅黑" w:hAnsi="微软雅黑" w:eastAsia="微软雅黑" w:cs="微软雅黑"/>
          <w:sz w:val="32"/>
        </w:rPr>
        <w:t>162</w:t>
      </w:r>
      <w:r>
        <w:rPr>
          <w:rFonts w:hint="eastAsia" w:ascii="微软雅黑" w:hAnsi="微软雅黑" w:eastAsia="微软雅黑" w:cs="微软雅黑"/>
          <w:sz w:val="32"/>
          <w:szCs w:val="32"/>
        </w:rPr>
        <w:t>人次，主要是发生会议用餐的接待支出。</w:t>
      </w:r>
    </w:p>
    <w:p w14:paraId="3C3ACE1C">
      <w:pPr>
        <w:spacing w:line="360" w:lineRule="auto"/>
        <w:ind w:firstLine="800" w:firstLineChars="250"/>
        <w:rPr>
          <w:rFonts w:ascii="微软雅黑" w:hAnsi="微软雅黑" w:eastAsia="微软雅黑" w:cs="微软雅黑"/>
          <w:i/>
          <w:color w:val="FF0000"/>
          <w:sz w:val="32"/>
          <w:szCs w:val="32"/>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0.00</w:t>
      </w:r>
      <w:r>
        <w:rPr>
          <w:rFonts w:hint="eastAsia" w:ascii="微软雅黑" w:hAnsi="微软雅黑" w:eastAsia="微软雅黑" w:cs="微软雅黑"/>
          <w:sz w:val="32"/>
          <w:szCs w:val="32"/>
        </w:rPr>
        <w:t>万元，</w:t>
      </w:r>
      <w:r>
        <w:rPr>
          <w:rFonts w:ascii="微软雅黑" w:hAnsi="微软雅黑" w:eastAsia="微软雅黑" w:cs="微软雅黑"/>
          <w:sz w:val="32"/>
        </w:rPr>
        <w:t>岳阳县建筑市场服务中心（单位本级或某二级机构）更新公务用车</w:t>
      </w:r>
      <w:r>
        <w:rPr>
          <w:rFonts w:hint="eastAsia" w:ascii="微软雅黑" w:hAnsi="微软雅黑" w:eastAsia="微软雅黑" w:cs="微软雅黑"/>
          <w:sz w:val="32"/>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0.00</w:t>
      </w:r>
      <w:r>
        <w:rPr>
          <w:rFonts w:hint="eastAsia" w:ascii="微软雅黑" w:hAnsi="微软雅黑" w:eastAsia="微软雅黑" w:cs="微软雅黑"/>
          <w:sz w:val="32"/>
          <w:szCs w:val="32"/>
        </w:rPr>
        <w:t>万元，主要是因</w:t>
      </w:r>
      <w:r>
        <w:rPr>
          <w:rFonts w:ascii="微软雅黑" w:hAnsi="微软雅黑" w:eastAsia="微软雅黑" w:cs="微软雅黑"/>
          <w:sz w:val="32"/>
          <w:szCs w:val="32"/>
        </w:rPr>
        <w:t>实行公车改革未发生</w:t>
      </w:r>
      <w:r>
        <w:rPr>
          <w:rFonts w:hint="eastAsia" w:ascii="微软雅黑" w:hAnsi="微软雅黑" w:eastAsia="微软雅黑" w:cs="微软雅黑"/>
          <w:sz w:val="32"/>
          <w:szCs w:val="32"/>
        </w:rPr>
        <w:t>公务用车</w:t>
      </w:r>
      <w:r>
        <w:rPr>
          <w:rFonts w:ascii="微软雅黑" w:hAnsi="微软雅黑" w:eastAsia="微软雅黑" w:cs="微软雅黑"/>
          <w:sz w:val="32"/>
          <w:szCs w:val="32"/>
        </w:rPr>
        <w:t>运行维护费</w:t>
      </w:r>
      <w:r>
        <w:rPr>
          <w:rFonts w:hint="eastAsia" w:ascii="微软雅黑" w:hAnsi="微软雅黑" w:eastAsia="微软雅黑" w:cs="微软雅黑"/>
          <w:sz w:val="32"/>
          <w:szCs w:val="32"/>
        </w:rPr>
        <w:t>，截至2023年12月31日，我单位开支财政拨款的公务用车保有量为0辆。</w:t>
      </w:r>
    </w:p>
    <w:p w14:paraId="3C79E7D2">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十、关于机关运行经费支出说明</w:t>
      </w:r>
    </w:p>
    <w:p w14:paraId="26888801">
      <w:pPr>
        <w:pStyle w:val="15"/>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本部门2023年度机关运行经费支出</w:t>
      </w:r>
      <w:r>
        <w:rPr>
          <w:rFonts w:ascii="微软雅黑" w:hAnsi="微软雅黑" w:eastAsia="微软雅黑" w:cs="微软雅黑"/>
          <w:sz w:val="32"/>
        </w:rPr>
        <w:t>78.97万元</w:t>
      </w:r>
      <w:r>
        <w:rPr>
          <w:rFonts w:hint="eastAsia" w:ascii="微软雅黑" w:hAnsi="微软雅黑" w:eastAsia="微软雅黑" w:cs="微软雅黑"/>
          <w:sz w:val="32"/>
          <w:szCs w:val="32"/>
        </w:rPr>
        <w:t>，比上年决算数</w:t>
      </w:r>
      <w:r>
        <w:rPr>
          <w:rFonts w:ascii="微软雅黑" w:hAnsi="微软雅黑" w:eastAsia="微软雅黑" w:cs="微软雅黑"/>
          <w:sz w:val="32"/>
        </w:rPr>
        <w:t>减少68.23 万元，减少46.35</w:t>
      </w:r>
      <w:r>
        <w:rPr>
          <w:rFonts w:hint="eastAsia" w:ascii="微软雅黑" w:hAnsi="微软雅黑" w:eastAsia="微软雅黑" w:cs="微软雅黑"/>
          <w:sz w:val="32"/>
          <w:szCs w:val="32"/>
        </w:rPr>
        <w:t xml:space="preserve"> %。减少主要原因是严格执行年初预算制度，厉行节约，压缩非生产性开支。</w:t>
      </w:r>
    </w:p>
    <w:p w14:paraId="4AC98C84">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十一、一般性支出情况说明</w:t>
      </w:r>
    </w:p>
    <w:p w14:paraId="2EDDCF54">
      <w:pPr>
        <w:pStyle w:val="15"/>
        <w:spacing w:line="360" w:lineRule="auto"/>
        <w:ind w:firstLine="640" w:firstLineChars="200"/>
        <w:rPr>
          <w:rFonts w:ascii="微软雅黑" w:hAnsi="微软雅黑" w:eastAsia="微软雅黑" w:cs="微软雅黑"/>
          <w:b/>
          <w:bCs/>
          <w:i/>
          <w:color w:val="FF0000"/>
          <w:sz w:val="32"/>
          <w:szCs w:val="32"/>
        </w:rPr>
      </w:pPr>
      <w:r>
        <w:rPr>
          <w:rFonts w:hint="eastAsia" w:ascii="微软雅黑" w:hAnsi="微软雅黑" w:eastAsia="微软雅黑" w:cs="微软雅黑"/>
          <w:sz w:val="32"/>
          <w:szCs w:val="32"/>
        </w:rPr>
        <w:t>2023年本部门开支会议费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万元；开支培训费</w:t>
      </w:r>
      <w:r>
        <w:rPr>
          <w:rFonts w:ascii="微软雅黑" w:hAnsi="微软雅黑" w:eastAsia="微软雅黑" w:cs="微软雅黑"/>
          <w:sz w:val="32"/>
        </w:rPr>
        <w:t>0</w:t>
      </w:r>
      <w:r>
        <w:rPr>
          <w:rFonts w:hint="eastAsia" w:ascii="微软雅黑" w:hAnsi="微软雅黑" w:eastAsia="微软雅黑" w:cs="微软雅黑"/>
          <w:sz w:val="32"/>
        </w:rPr>
        <w:t>.92</w:t>
      </w:r>
      <w:r>
        <w:rPr>
          <w:rFonts w:ascii="微软雅黑" w:hAnsi="微软雅黑" w:eastAsia="微软雅黑" w:cs="微软雅黑"/>
          <w:sz w:val="32"/>
        </w:rPr>
        <w:t>万元，</w:t>
      </w:r>
      <w:r>
        <w:rPr>
          <w:rFonts w:hint="eastAsia" w:ascii="微软雅黑" w:hAnsi="微软雅黑" w:eastAsia="微软雅黑" w:cs="微软雅黑"/>
          <w:sz w:val="32"/>
          <w:szCs w:val="32"/>
        </w:rPr>
        <w:t>用于召开专业技术人员继续教育会议，建筑市场安全管理培训等，人数30人，培训的内容为建筑市场安全管理；因本年度未举办各类庆典等活动，故</w:t>
      </w:r>
      <w:r>
        <w:rPr>
          <w:rFonts w:ascii="微软雅黑" w:hAnsi="微软雅黑" w:eastAsia="微软雅黑" w:cs="微软雅黑"/>
          <w:sz w:val="32"/>
        </w:rPr>
        <w:t>节庆、晚会、论坛、赛事活动，开支</w:t>
      </w:r>
      <w:r>
        <w:rPr>
          <w:rFonts w:hint="eastAsia" w:ascii="微软雅黑" w:hAnsi="微软雅黑" w:eastAsia="微软雅黑" w:cs="微软雅黑"/>
          <w:sz w:val="32"/>
        </w:rPr>
        <w:t>均为0.00</w:t>
      </w:r>
      <w:r>
        <w:rPr>
          <w:rFonts w:ascii="微软雅黑" w:hAnsi="微软雅黑" w:eastAsia="微软雅黑" w:cs="微软雅黑"/>
          <w:sz w:val="32"/>
        </w:rPr>
        <w:t>万元</w:t>
      </w:r>
      <w:r>
        <w:rPr>
          <w:rFonts w:hint="eastAsia" w:ascii="微软雅黑" w:hAnsi="微软雅黑" w:eastAsia="微软雅黑" w:cs="微软雅黑"/>
          <w:sz w:val="32"/>
        </w:rPr>
        <w:t>。</w:t>
      </w:r>
    </w:p>
    <w:p w14:paraId="0AD1891C">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十二、关于政府采购支出说明</w:t>
      </w:r>
    </w:p>
    <w:p w14:paraId="5F14F84A">
      <w:pPr>
        <w:pStyle w:val="15"/>
        <w:spacing w:line="360" w:lineRule="auto"/>
        <w:ind w:firstLine="640" w:firstLineChars="200"/>
        <w:rPr>
          <w:rFonts w:ascii="微软雅黑" w:hAnsi="微软雅黑" w:eastAsia="微软雅黑" w:cs="微软雅黑"/>
          <w:i/>
          <w:iCs/>
          <w:color w:val="FF0000"/>
          <w:sz w:val="32"/>
          <w:szCs w:val="32"/>
        </w:rPr>
      </w:pPr>
      <w:r>
        <w:rPr>
          <w:rFonts w:hint="eastAsia" w:ascii="微软雅黑" w:hAnsi="微软雅黑" w:eastAsia="微软雅黑" w:cs="微软雅黑"/>
          <w:sz w:val="32"/>
          <w:szCs w:val="32"/>
        </w:rPr>
        <w:t>本部门2023年度政府采购支出总额9.86万元，其中：政府采购货物支出6.36万元、政府采购工程支出0万元、政府采购服务支出3.50万元。授予中小企业合同金额9.86万元，占政府采购支出总额的100%，其中：授予小微企业合同金额9.86万元，占授予中小企业合同金额的100%。货物采购授予中小企业合同金额占货物支出金额的100%，工程采购授予中小企业合同金额占工程支出金额的0%，服务采购授予中小企业合同金额占服务支出金额的100%。</w:t>
      </w:r>
    </w:p>
    <w:p w14:paraId="3170BB85">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十三、关于国有资产占用情况说明</w:t>
      </w:r>
    </w:p>
    <w:p w14:paraId="6AC50157">
      <w:pPr>
        <w:pStyle w:val="15"/>
        <w:spacing w:line="360" w:lineRule="auto"/>
        <w:ind w:firstLine="640" w:firstLineChars="200"/>
        <w:rPr>
          <w:rFonts w:ascii="微软雅黑" w:hAnsi="微软雅黑" w:eastAsia="微软雅黑" w:cs="微软雅黑"/>
          <w:sz w:val="32"/>
          <w:szCs w:val="32"/>
        </w:rPr>
      </w:pPr>
      <w:r>
        <w:rPr>
          <w:rFonts w:hint="eastAsia" w:ascii="微软雅黑" w:hAnsi="微软雅黑" w:eastAsia="微软雅黑" w:cs="微软雅黑"/>
          <w:sz w:val="32"/>
          <w:szCs w:val="32"/>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4D87FE6C">
      <w:pPr>
        <w:pStyle w:val="15"/>
        <w:spacing w:line="600" w:lineRule="exact"/>
        <w:ind w:firstLine="640" w:firstLineChars="200"/>
        <w:rPr>
          <w:rFonts w:ascii="微软雅黑" w:hAnsi="微软雅黑" w:eastAsia="微软雅黑" w:cs="微软雅黑"/>
          <w:b/>
          <w:sz w:val="32"/>
          <w:szCs w:val="32"/>
        </w:rPr>
      </w:pPr>
      <w:r>
        <w:rPr>
          <w:rFonts w:hint="eastAsia" w:ascii="微软雅黑" w:hAnsi="微软雅黑" w:eastAsia="微软雅黑" w:cs="微软雅黑"/>
          <w:b/>
          <w:sz w:val="32"/>
          <w:szCs w:val="32"/>
        </w:rPr>
        <w:t>十四、关于2023年度绩效评价情况的说明</w:t>
      </w:r>
    </w:p>
    <w:p w14:paraId="52EC4A52">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5C8CC7F7">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根据预算绩效管理要求，我部门组织对</w:t>
      </w:r>
      <w:r>
        <w:rPr>
          <w:rFonts w:ascii="微软雅黑" w:hAnsi="微软雅黑" w:eastAsia="微软雅黑" w:cs="微软雅黑"/>
          <w:color w:val="000000"/>
          <w:sz w:val="32"/>
        </w:rPr>
        <w:t>2023年度一般公共预算项目支出全面开展绩效自评，其中，一级项目</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个，共涉及资金</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万元，占一般公共预算项目支出总额的</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个政府性基金预算项目支出开展绩效自评，共涉及资金</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万元，占政府性基金预算项目支出总额的</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%。组织对2023年度</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rPr>
        <w:t>0</w:t>
      </w:r>
      <w:r>
        <w:rPr>
          <w:rFonts w:ascii="微软雅黑" w:hAnsi="微软雅黑" w:eastAsia="微软雅黑" w:cs="微软雅黑"/>
          <w:color w:val="000000"/>
          <w:sz w:val="32"/>
        </w:rPr>
        <w:t>%。</w:t>
      </w:r>
    </w:p>
    <w:p w14:paraId="1D63D94E">
      <w:pPr>
        <w:autoSpaceDE w:val="0"/>
        <w:autoSpaceDN w:val="0"/>
        <w:adjustRightInd w:val="0"/>
        <w:spacing w:line="360" w:lineRule="auto"/>
        <w:ind w:firstLine="640" w:firstLineChars="200"/>
        <w:jc w:val="left"/>
        <w:rPr>
          <w:rFonts w:hint="eastAsia" w:ascii="微软雅黑" w:hAnsi="微软雅黑" w:eastAsia="微软雅黑" w:cs="微软雅黑"/>
          <w:color w:val="FF0000"/>
          <w:kern w:val="0"/>
          <w:sz w:val="32"/>
          <w:szCs w:val="32"/>
        </w:rPr>
      </w:pPr>
      <w:r>
        <w:rPr>
          <w:rFonts w:hint="eastAsia" w:ascii="微软雅黑" w:hAnsi="微软雅黑" w:eastAsia="微软雅黑" w:cs="微软雅黑"/>
          <w:color w:val="000000"/>
          <w:kern w:val="0"/>
          <w:sz w:val="32"/>
          <w:szCs w:val="32"/>
        </w:rPr>
        <w:t>组织对0个项目开展了部门评价，涉及一般公共预算支出0万元，政府性基金预算支出0万元，国有资本经营预算支出0万元。</w:t>
      </w:r>
    </w:p>
    <w:p w14:paraId="3CA45E9D">
      <w:pPr>
        <w:autoSpaceDE w:val="0"/>
        <w:autoSpaceDN w:val="0"/>
        <w:adjustRightInd w:val="0"/>
        <w:spacing w:line="360" w:lineRule="auto"/>
        <w:ind w:firstLine="640" w:firstLineChars="200"/>
        <w:jc w:val="left"/>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组织对本单位开展整体支出绩效评价，涉及一般公共预算支出347.61万元，政府性基金预算支出0万元。</w:t>
      </w:r>
    </w:p>
    <w:p w14:paraId="62A317C8">
      <w:pPr>
        <w:pStyle w:val="15"/>
        <w:ind w:firstLine="640" w:firstLineChars="200"/>
        <w:rPr>
          <w:rFonts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 xml:space="preserve">从整体支出评价情况来看, </w:t>
      </w:r>
      <w:r>
        <w:rPr>
          <w:rFonts w:hint="eastAsia" w:ascii="微软雅黑" w:hAnsi="微软雅黑" w:eastAsia="微软雅黑" w:cs="Times New Roman"/>
          <w:color w:val="auto"/>
          <w:kern w:val="2"/>
          <w:sz w:val="32"/>
          <w:szCs w:val="32"/>
        </w:rPr>
        <w:t>2023年度支出总计419.14万元，其中基本支出419.14万元，主要用于人员工资、福利、社会保障缴费及办公室公用支出等，项目支出0万元。</w:t>
      </w:r>
      <w:r>
        <w:rPr>
          <w:rFonts w:hint="eastAsia" w:ascii="微软雅黑" w:hAnsi="微软雅黑" w:eastAsia="微软雅黑" w:cs="仿宋_GB2312"/>
          <w:bCs/>
          <w:color w:val="auto"/>
          <w:sz w:val="32"/>
          <w:szCs w:val="32"/>
        </w:rPr>
        <w:t>我们对整个资金支出情况和工作成果进行了认真分析，部门整体支出达到了预期工作成果，实现了预期工作目标，本单位工作经费安排严格按照年初预算来执行，有效防止了超预算；认真学习财经法规，严格执行财经纪律，防止了违法违纪行为的发生。严格按照厉行节约的要求，精打细算，规范机关事务管理工作，提高服务质量，降低运行成本，合理配置，提高保障能力。保障了干部待遇按政策发放落实。不断改进和提升财政内部控制，从注重财政内部资金使用效益的提升，形成规范、高效、透明的资金运用秩序，严格执行预决算公开，主动接受社会监督，进而为整体财政资金的提质增效赋能。</w:t>
      </w:r>
    </w:p>
    <w:p w14:paraId="50440789">
      <w:pPr>
        <w:autoSpaceDE w:val="0"/>
        <w:autoSpaceDN w:val="0"/>
        <w:adjustRightInd w:val="0"/>
        <w:spacing w:line="360" w:lineRule="auto"/>
        <w:ind w:firstLine="640" w:firstLineChars="200"/>
        <w:jc w:val="left"/>
        <w:rPr>
          <w:rFonts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14:paraId="5C376FDA">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单位本年度部门决算无项目绩效自评。</w:t>
      </w:r>
    </w:p>
    <w:p w14:paraId="61B7DB1B">
      <w:pPr>
        <w:autoSpaceDE w:val="0"/>
        <w:autoSpaceDN w:val="0"/>
        <w:adjustRightInd w:val="0"/>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480ABD32">
      <w:pPr>
        <w:autoSpaceDE w:val="0"/>
        <w:autoSpaceDN w:val="0"/>
        <w:adjustRightInd w:val="0"/>
        <w:spacing w:line="360" w:lineRule="auto"/>
        <w:ind w:firstLine="640" w:firstLineChars="200"/>
        <w:jc w:val="left"/>
        <w:rPr>
          <w:rFonts w:ascii="微软雅黑" w:hAnsi="微软雅黑" w:eastAsia="微软雅黑" w:cs="微软雅黑"/>
          <w:i/>
          <w:iCs/>
          <w:color w:val="FF0000"/>
          <w:sz w:val="32"/>
          <w:szCs w:val="32"/>
        </w:rPr>
      </w:pPr>
      <w:r>
        <w:rPr>
          <w:rFonts w:hint="eastAsia" w:ascii="微软雅黑" w:hAnsi="微软雅黑" w:eastAsia="微软雅黑" w:cs="微软雅黑"/>
          <w:color w:val="000000"/>
          <w:kern w:val="0"/>
          <w:sz w:val="32"/>
          <w:szCs w:val="32"/>
        </w:rPr>
        <w:t>单位本年度部门决算无项目。</w:t>
      </w:r>
      <w:r>
        <w:rPr>
          <w:rFonts w:hint="eastAsia" w:ascii="微软雅黑" w:hAnsi="微软雅黑" w:eastAsia="微软雅黑" w:cs="微软雅黑"/>
          <w:i/>
          <w:iCs/>
          <w:color w:val="FF0000"/>
          <w:sz w:val="32"/>
          <w:szCs w:val="32"/>
        </w:rPr>
        <w:br w:type="page"/>
      </w:r>
    </w:p>
    <w:p w14:paraId="7EA0091B">
      <w:pPr>
        <w:pStyle w:val="15"/>
        <w:spacing w:line="360" w:lineRule="auto"/>
        <w:ind w:firstLine="640" w:firstLineChars="200"/>
        <w:rPr>
          <w:rFonts w:ascii="微软雅黑" w:hAnsi="微软雅黑" w:eastAsia="微软雅黑" w:cs="微软雅黑"/>
          <w:i/>
          <w:iCs/>
          <w:color w:val="FF0000"/>
          <w:sz w:val="32"/>
          <w:szCs w:val="32"/>
        </w:rPr>
      </w:pPr>
    </w:p>
    <w:p w14:paraId="661C03AE">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0D796A94">
      <w:pPr>
        <w:jc w:val="center"/>
        <w:rPr>
          <w:rFonts w:ascii="微软雅黑" w:hAnsi="微软雅黑" w:eastAsia="微软雅黑" w:cs="微软雅黑"/>
          <w:b/>
          <w:bCs/>
          <w:color w:val="000000"/>
          <w:kern w:val="0"/>
          <w:sz w:val="70"/>
          <w:szCs w:val="70"/>
        </w:rPr>
      </w:pPr>
    </w:p>
    <w:p w14:paraId="41129E88">
      <w:pPr>
        <w:jc w:val="center"/>
        <w:rPr>
          <w:rFonts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44601E5E">
      <w:pPr>
        <w:widowControl/>
        <w:jc w:val="left"/>
        <w:rPr>
          <w:rFonts w:ascii="微软雅黑" w:hAnsi="微软雅黑" w:eastAsia="微软雅黑" w:cs="微软雅黑"/>
          <w:color w:val="000000"/>
          <w:kern w:val="0"/>
          <w:sz w:val="32"/>
          <w:szCs w:val="32"/>
        </w:rPr>
      </w:pPr>
    </w:p>
    <w:p w14:paraId="18BC02EF">
      <w:pPr>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5E6AE81">
      <w:pPr>
        <w:spacing w:line="360" w:lineRule="auto"/>
        <w:ind w:firstLine="640" w:firstLineChars="200"/>
        <w:jc w:val="left"/>
        <w:rPr>
          <w:rFonts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0B43DC3E">
      <w:pPr>
        <w:pStyle w:val="5"/>
        <w:widowControl/>
        <w:shd w:val="clear" w:color="auto" w:fill="FFFFFF"/>
        <w:spacing w:before="0" w:beforeAutospacing="0" w:after="0" w:afterAutospacing="0" w:line="33" w:lineRule="atLeast"/>
        <w:ind w:firstLine="480" w:firstLineChars="150"/>
        <w:jc w:val="both"/>
        <w:rPr>
          <w:rFonts w:ascii="微软雅黑" w:hAnsi="微软雅黑" w:eastAsia="微软雅黑" w:cs="黑体"/>
          <w:color w:val="000000"/>
          <w:sz w:val="70"/>
          <w:szCs w:val="70"/>
        </w:rPr>
      </w:pPr>
      <w:r>
        <w:rPr>
          <w:rFonts w:hint="eastAsia" w:ascii="微软雅黑" w:hAnsi="微软雅黑" w:eastAsia="微软雅黑" w:cs="黑体"/>
          <w:color w:val="000000"/>
          <w:sz w:val="32"/>
          <w:szCs w:val="32"/>
        </w:rPr>
        <w:t>三、财政拨款收入：指本级财政当年拨付的资金。</w:t>
      </w:r>
    </w:p>
    <w:p w14:paraId="5AA6E469">
      <w:pPr>
        <w:pStyle w:val="5"/>
        <w:widowControl/>
        <w:shd w:val="clear" w:color="auto" w:fill="FFFFFF"/>
        <w:spacing w:before="0" w:beforeAutospacing="0" w:after="0" w:afterAutospacing="0" w:line="33" w:lineRule="atLeast"/>
        <w:ind w:firstLine="480" w:firstLineChars="150"/>
        <w:jc w:val="both"/>
        <w:rPr>
          <w:rFonts w:ascii="微软雅黑" w:hAnsi="微软雅黑" w:eastAsia="微软雅黑" w:cs="黑体"/>
          <w:color w:val="000000"/>
          <w:sz w:val="32"/>
          <w:szCs w:val="32"/>
        </w:rPr>
      </w:pPr>
      <w:r>
        <w:rPr>
          <w:rFonts w:hint="eastAsia" w:ascii="微软雅黑" w:hAnsi="微软雅黑" w:eastAsia="微软雅黑" w:cs="黑体"/>
          <w:color w:val="000000"/>
          <w:sz w:val="32"/>
          <w:szCs w:val="32"/>
        </w:rPr>
        <w:t>四、其他收入：指除上述“财政拨款收入”、“上级补助收入”、“事业收入”、“经营收入”、“附属单位上缴收入”等以外的收入。</w:t>
      </w:r>
    </w:p>
    <w:p w14:paraId="6F762F1C">
      <w:pPr>
        <w:pStyle w:val="5"/>
        <w:widowControl/>
        <w:shd w:val="clear" w:color="auto" w:fill="FFFFFF"/>
        <w:spacing w:before="0" w:beforeAutospacing="0" w:after="0" w:afterAutospacing="0" w:line="33" w:lineRule="atLeast"/>
        <w:ind w:firstLine="480" w:firstLineChars="150"/>
        <w:jc w:val="both"/>
        <w:rPr>
          <w:rFonts w:ascii="微软雅黑" w:hAnsi="微软雅黑" w:eastAsia="微软雅黑" w:cs="黑体"/>
          <w:color w:val="000000"/>
          <w:sz w:val="32"/>
          <w:szCs w:val="32"/>
        </w:rPr>
      </w:pPr>
      <w:r>
        <w:rPr>
          <w:rFonts w:hint="eastAsia" w:ascii="微软雅黑" w:hAnsi="微软雅黑" w:eastAsia="微软雅黑" w:cs="黑体"/>
          <w:color w:val="000000"/>
          <w:sz w:val="32"/>
          <w:szCs w:val="32"/>
        </w:rPr>
        <w:t>五、上年结转和结余：指以前年度尚未完成、结转到本年按有关规定继续使用的资金。</w:t>
      </w:r>
    </w:p>
    <w:p w14:paraId="78298FB1">
      <w:pPr>
        <w:pStyle w:val="5"/>
        <w:widowControl/>
        <w:shd w:val="clear" w:color="auto" w:fill="FFFFFF"/>
        <w:spacing w:before="0" w:beforeAutospacing="0" w:after="0" w:afterAutospacing="0" w:line="33" w:lineRule="atLeast"/>
        <w:ind w:firstLine="480" w:firstLineChars="150"/>
        <w:jc w:val="both"/>
        <w:rPr>
          <w:rFonts w:ascii="微软雅黑" w:hAnsi="微软雅黑" w:eastAsia="微软雅黑" w:cs="黑体"/>
          <w:color w:val="000000"/>
          <w:sz w:val="32"/>
          <w:szCs w:val="32"/>
        </w:rPr>
      </w:pPr>
      <w:r>
        <w:rPr>
          <w:rFonts w:hint="eastAsia" w:ascii="微软雅黑" w:hAnsi="微软雅黑" w:eastAsia="微软雅黑" w:cs="黑体"/>
          <w:color w:val="000000"/>
          <w:sz w:val="32"/>
          <w:szCs w:val="32"/>
        </w:rPr>
        <w:t>六、年末结转和结余资金：指本年度或以前年度预算安排、因客观条件发生变化无法按原计划实施，需要延迟到以后年度按有关规定继续使用的资金。</w:t>
      </w:r>
    </w:p>
    <w:p w14:paraId="0504C320">
      <w:pPr>
        <w:pStyle w:val="5"/>
        <w:widowControl/>
        <w:shd w:val="clear" w:color="auto" w:fill="FFFFFF"/>
        <w:spacing w:before="0" w:beforeAutospacing="0" w:after="0" w:afterAutospacing="0" w:line="33" w:lineRule="atLeast"/>
        <w:ind w:firstLine="480" w:firstLineChars="150"/>
        <w:jc w:val="both"/>
        <w:rPr>
          <w:rFonts w:ascii="微软雅黑" w:hAnsi="微软雅黑" w:eastAsia="微软雅黑" w:cs="黑体"/>
          <w:color w:val="000000"/>
          <w:sz w:val="32"/>
          <w:szCs w:val="32"/>
        </w:rPr>
      </w:pPr>
      <w:r>
        <w:rPr>
          <w:rFonts w:hint="eastAsia" w:ascii="微软雅黑" w:hAnsi="微软雅黑" w:eastAsia="微软雅黑" w:cs="黑体"/>
          <w:color w:val="000000"/>
          <w:sz w:val="32"/>
          <w:szCs w:val="32"/>
        </w:rPr>
        <w:t>七、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等</w:t>
      </w:r>
    </w:p>
    <w:p w14:paraId="28B52EBC">
      <w:pPr>
        <w:pStyle w:val="5"/>
        <w:widowControl/>
        <w:shd w:val="clear" w:color="auto" w:fill="FFFFFF"/>
        <w:spacing w:before="0" w:beforeAutospacing="0" w:after="0" w:afterAutospacing="0" w:line="33" w:lineRule="atLeast"/>
        <w:ind w:firstLine="480" w:firstLineChars="150"/>
        <w:jc w:val="both"/>
        <w:rPr>
          <w:rFonts w:ascii="微软雅黑" w:hAnsi="微软雅黑" w:eastAsia="微软雅黑" w:cs="黑体"/>
          <w:color w:val="000000"/>
          <w:sz w:val="32"/>
          <w:szCs w:val="32"/>
        </w:rPr>
      </w:pPr>
      <w:r>
        <w:rPr>
          <w:rFonts w:hint="eastAsia" w:ascii="微软雅黑" w:hAnsi="微软雅黑" w:eastAsia="微软雅黑" w:cs="黑体"/>
          <w:color w:val="000000"/>
          <w:sz w:val="32"/>
          <w:szCs w:val="32"/>
        </w:rPr>
        <w:t>八、政府采购：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72212147">
      <w:pPr>
        <w:pStyle w:val="5"/>
        <w:widowControl/>
        <w:shd w:val="clear" w:color="auto" w:fill="FFFFFF"/>
        <w:spacing w:before="0" w:beforeAutospacing="0" w:after="0" w:afterAutospacing="0" w:line="33" w:lineRule="atLeast"/>
        <w:ind w:firstLine="480" w:firstLineChars="150"/>
        <w:jc w:val="both"/>
        <w:rPr>
          <w:rFonts w:ascii="微软雅黑" w:hAnsi="微软雅黑" w:eastAsia="微软雅黑" w:cs="黑体"/>
          <w:color w:val="000000"/>
          <w:sz w:val="32"/>
          <w:szCs w:val="32"/>
        </w:rPr>
      </w:pPr>
      <w:r>
        <w:rPr>
          <w:rFonts w:hint="eastAsia" w:ascii="微软雅黑" w:hAnsi="微软雅黑" w:eastAsia="微软雅黑" w:cs="黑体"/>
          <w:color w:val="000000"/>
          <w:sz w:val="32"/>
          <w:szCs w:val="32"/>
        </w:rPr>
        <w:t>九、机关事业单位基本养老保险缴费：反映机关事业单位缴纳的基本养老保险费。由单位代扣的工作人员基本养老保险缴费，不在此科目反映。职工基本医疗保险缴费：反映单位为职工缴纳的基本医疗保险费。</w:t>
      </w:r>
    </w:p>
    <w:p w14:paraId="0E82B953">
      <w:pPr>
        <w:pStyle w:val="5"/>
        <w:widowControl/>
        <w:shd w:val="clear" w:color="auto" w:fill="FFFFFF"/>
        <w:spacing w:before="0" w:beforeAutospacing="0" w:after="0" w:afterAutospacing="0" w:line="33" w:lineRule="atLeast"/>
        <w:ind w:firstLine="480" w:firstLineChars="150"/>
        <w:jc w:val="both"/>
        <w:rPr>
          <w:rFonts w:ascii="微软雅黑" w:hAnsi="微软雅黑" w:eastAsia="微软雅黑" w:cs="黑体"/>
          <w:color w:val="000000"/>
          <w:sz w:val="32"/>
          <w:szCs w:val="32"/>
        </w:rPr>
      </w:pPr>
      <w:r>
        <w:rPr>
          <w:rFonts w:hint="eastAsia" w:ascii="微软雅黑" w:hAnsi="微软雅黑" w:eastAsia="微软雅黑" w:cs="黑体"/>
          <w:color w:val="000000"/>
          <w:sz w:val="32"/>
          <w:szCs w:val="32"/>
        </w:rPr>
        <w:t>十、住房公积金：反映行政事业单位按人力资源和社会保障部、财政部规定的基本工资和津贴补贴以及规定比例为职工缴纳的住房公积金。</w:t>
      </w:r>
    </w:p>
    <w:p w14:paraId="1FC7D781">
      <w:pPr>
        <w:spacing w:line="360" w:lineRule="auto"/>
        <w:ind w:firstLine="1440" w:firstLineChars="200"/>
        <w:jc w:val="left"/>
        <w:rPr>
          <w:rFonts w:ascii="微软雅黑" w:hAnsi="微软雅黑" w:eastAsia="微软雅黑" w:cs="微软雅黑"/>
          <w:sz w:val="72"/>
          <w:szCs w:val="72"/>
        </w:rPr>
      </w:pPr>
      <w:r>
        <w:rPr>
          <w:rFonts w:hint="eastAsia" w:ascii="微软雅黑" w:hAnsi="微软雅黑" w:eastAsia="微软雅黑" w:cs="微软雅黑"/>
          <w:sz w:val="72"/>
          <w:szCs w:val="72"/>
        </w:rPr>
        <w:br w:type="page"/>
      </w:r>
    </w:p>
    <w:p w14:paraId="15E01D05">
      <w:pPr>
        <w:pStyle w:val="15"/>
        <w:jc w:val="center"/>
        <w:rPr>
          <w:rFonts w:ascii="微软雅黑" w:hAnsi="微软雅黑" w:eastAsia="微软雅黑" w:cs="微软雅黑"/>
          <w:sz w:val="72"/>
          <w:szCs w:val="72"/>
        </w:rPr>
      </w:pPr>
    </w:p>
    <w:p w14:paraId="4A88AB1D">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55BF979A">
      <w:pPr>
        <w:jc w:val="center"/>
        <w:rPr>
          <w:rFonts w:ascii="微软雅黑" w:hAnsi="微软雅黑" w:eastAsia="微软雅黑" w:cs="微软雅黑"/>
          <w:b/>
          <w:bCs/>
          <w:color w:val="000000"/>
          <w:kern w:val="0"/>
          <w:sz w:val="70"/>
          <w:szCs w:val="70"/>
        </w:rPr>
      </w:pPr>
    </w:p>
    <w:p w14:paraId="7CD77F8F">
      <w:pPr>
        <w:pStyle w:val="15"/>
        <w:jc w:val="center"/>
        <w:rPr>
          <w:rFonts w:ascii="微软雅黑" w:hAnsi="微软雅黑" w:eastAsia="微软雅黑" w:cs="微软雅黑"/>
          <w:b/>
          <w:bCs/>
          <w:sz w:val="72"/>
          <w:szCs w:val="72"/>
        </w:rPr>
      </w:pPr>
      <w:r>
        <w:rPr>
          <w:rFonts w:hint="eastAsia" w:ascii="微软雅黑" w:hAnsi="微软雅黑" w:eastAsia="微软雅黑" w:cs="微软雅黑"/>
          <w:b/>
          <w:bCs/>
          <w:sz w:val="70"/>
          <w:szCs w:val="70"/>
        </w:rPr>
        <w:t>附件</w:t>
      </w:r>
    </w:p>
    <w:p w14:paraId="595B0920">
      <w:pPr>
        <w:ind w:firstLine="640" w:firstLineChars="200"/>
        <w:jc w:val="left"/>
        <w:rPr>
          <w:rFonts w:ascii="微软雅黑" w:hAnsi="微软雅黑" w:eastAsia="微软雅黑" w:cs="微软雅黑"/>
          <w:b/>
          <w:bCs/>
          <w:color w:val="000000"/>
          <w:kern w:val="0"/>
          <w:sz w:val="32"/>
          <w:szCs w:val="32"/>
        </w:rPr>
      </w:pPr>
    </w:p>
    <w:p w14:paraId="77D1BE29">
      <w:pPr>
        <w:spacing w:line="360" w:lineRule="auto"/>
        <w:ind w:firstLine="640" w:firstLineChars="200"/>
        <w:jc w:val="left"/>
        <w:rPr>
          <w:rFonts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1、</w:t>
      </w:r>
      <w:r>
        <w:rPr>
          <w:rFonts w:ascii="微软雅黑" w:hAnsi="微软雅黑" w:eastAsia="微软雅黑" w:cs="微软雅黑"/>
          <w:b/>
          <w:color w:val="000000"/>
          <w:sz w:val="32"/>
        </w:rPr>
        <w:t>2023年部门决算公开表格</w:t>
      </w:r>
    </w:p>
    <w:p w14:paraId="3F5BDDC5">
      <w:pPr>
        <w:spacing w:line="360" w:lineRule="auto"/>
        <w:ind w:firstLine="640" w:firstLineChars="200"/>
        <w:jc w:val="left"/>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rPr>
        <w:t>2、2023年度部门整体支出绩效评价报告</w:t>
      </w:r>
    </w:p>
    <w:p w14:paraId="20A76FE1">
      <w:pPr>
        <w:spacing w:line="800" w:lineRule="exact"/>
        <w:jc w:val="center"/>
        <w:rPr>
          <w:rFonts w:hint="eastAsia" w:eastAsia="方正小标宋简体"/>
          <w:bCs/>
          <w:sz w:val="46"/>
          <w:szCs w:val="46"/>
        </w:rPr>
      </w:pPr>
    </w:p>
    <w:p w14:paraId="37653027">
      <w:pPr>
        <w:spacing w:line="800" w:lineRule="exact"/>
        <w:jc w:val="center"/>
        <w:rPr>
          <w:rFonts w:hint="eastAsia" w:eastAsia="方正小标宋简体"/>
          <w:bCs/>
          <w:sz w:val="46"/>
          <w:szCs w:val="46"/>
        </w:rPr>
      </w:pPr>
    </w:p>
    <w:p w14:paraId="7269DFC1">
      <w:pPr>
        <w:spacing w:line="800" w:lineRule="exact"/>
        <w:jc w:val="center"/>
        <w:rPr>
          <w:rFonts w:hint="eastAsia" w:eastAsia="方正小标宋简体"/>
          <w:bCs/>
          <w:sz w:val="46"/>
          <w:szCs w:val="46"/>
        </w:rPr>
      </w:pPr>
    </w:p>
    <w:p w14:paraId="281588E7">
      <w:pPr>
        <w:spacing w:line="800" w:lineRule="exact"/>
        <w:jc w:val="center"/>
        <w:rPr>
          <w:rFonts w:hint="eastAsia" w:eastAsia="方正小标宋简体"/>
          <w:bCs/>
          <w:sz w:val="46"/>
          <w:szCs w:val="46"/>
        </w:rPr>
      </w:pPr>
    </w:p>
    <w:p w14:paraId="19DFED2B">
      <w:pPr>
        <w:spacing w:line="800" w:lineRule="exact"/>
        <w:jc w:val="center"/>
        <w:rPr>
          <w:rFonts w:hint="eastAsia" w:eastAsia="方正小标宋简体"/>
          <w:bCs/>
          <w:sz w:val="46"/>
          <w:szCs w:val="46"/>
        </w:rPr>
      </w:pPr>
    </w:p>
    <w:p w14:paraId="73555F82">
      <w:pPr>
        <w:spacing w:line="800" w:lineRule="exact"/>
        <w:jc w:val="center"/>
        <w:rPr>
          <w:rFonts w:hint="eastAsia" w:eastAsia="方正小标宋简体"/>
          <w:bCs/>
          <w:sz w:val="46"/>
          <w:szCs w:val="46"/>
        </w:rPr>
      </w:pPr>
    </w:p>
    <w:p w14:paraId="2F40559A">
      <w:pPr>
        <w:spacing w:line="800" w:lineRule="exact"/>
        <w:jc w:val="center"/>
        <w:rPr>
          <w:rFonts w:hint="eastAsia" w:eastAsia="方正小标宋简体"/>
          <w:bCs/>
          <w:sz w:val="46"/>
          <w:szCs w:val="46"/>
        </w:rPr>
      </w:pPr>
    </w:p>
    <w:p w14:paraId="62F924CA">
      <w:pPr>
        <w:spacing w:line="800" w:lineRule="exact"/>
        <w:jc w:val="center"/>
        <w:rPr>
          <w:rFonts w:hint="eastAsia" w:eastAsia="方正小标宋简体"/>
          <w:bCs/>
          <w:sz w:val="46"/>
          <w:szCs w:val="46"/>
        </w:rPr>
      </w:pPr>
    </w:p>
    <w:p w14:paraId="1116844A">
      <w:pPr>
        <w:spacing w:line="800" w:lineRule="exact"/>
        <w:jc w:val="center"/>
        <w:rPr>
          <w:rFonts w:hint="eastAsia" w:eastAsia="方正小标宋简体"/>
          <w:bCs/>
          <w:sz w:val="46"/>
          <w:szCs w:val="46"/>
        </w:rPr>
      </w:pPr>
    </w:p>
    <w:p w14:paraId="12360EF9">
      <w:pPr>
        <w:spacing w:line="800" w:lineRule="exact"/>
        <w:jc w:val="center"/>
        <w:rPr>
          <w:rFonts w:hint="eastAsia" w:eastAsia="方正小标宋简体"/>
          <w:bCs/>
          <w:sz w:val="46"/>
          <w:szCs w:val="46"/>
        </w:rPr>
      </w:pPr>
    </w:p>
    <w:p w14:paraId="68E95C2E">
      <w:pPr>
        <w:spacing w:line="800" w:lineRule="exact"/>
        <w:jc w:val="left"/>
        <w:rPr>
          <w:rFonts w:hint="eastAsia" w:eastAsia="方正小标宋简体"/>
          <w:bCs/>
          <w:sz w:val="46"/>
          <w:szCs w:val="46"/>
          <w:lang w:eastAsia="zh-CN"/>
        </w:rPr>
      </w:pPr>
      <w:r>
        <w:rPr>
          <w:rFonts w:hint="eastAsia" w:eastAsia="方正小标宋简体"/>
          <w:bCs/>
          <w:sz w:val="46"/>
          <w:szCs w:val="46"/>
          <w:lang w:eastAsia="zh-CN"/>
        </w:rPr>
        <w:t>附：</w:t>
      </w:r>
      <w:bookmarkStart w:id="0" w:name="_GoBack"/>
      <w:bookmarkEnd w:id="0"/>
    </w:p>
    <w:p w14:paraId="32D003B2">
      <w:pPr>
        <w:spacing w:line="800" w:lineRule="exact"/>
        <w:jc w:val="center"/>
        <w:rPr>
          <w:rFonts w:hint="eastAsia" w:eastAsia="方正小标宋简体"/>
          <w:bCs/>
          <w:sz w:val="46"/>
          <w:szCs w:val="46"/>
        </w:rPr>
      </w:pPr>
      <w:r>
        <w:rPr>
          <w:rFonts w:hint="eastAsia" w:eastAsia="方正小标宋简体"/>
          <w:bCs/>
          <w:sz w:val="46"/>
          <w:szCs w:val="46"/>
        </w:rPr>
        <w:t>岳阳县建筑市场服务中心</w:t>
      </w:r>
    </w:p>
    <w:p w14:paraId="2174951E">
      <w:pPr>
        <w:spacing w:line="800" w:lineRule="exact"/>
        <w:jc w:val="center"/>
        <w:rPr>
          <w:rFonts w:hint="eastAsia" w:eastAsia="方正小标宋简体"/>
          <w:bCs/>
          <w:sz w:val="46"/>
          <w:szCs w:val="46"/>
        </w:rPr>
      </w:pPr>
      <w:r>
        <w:rPr>
          <w:rFonts w:hint="eastAsia" w:eastAsia="方正小标宋简体"/>
          <w:bCs/>
          <w:sz w:val="46"/>
          <w:szCs w:val="46"/>
        </w:rPr>
        <w:t>2023年度整体支出绩效自评报告</w:t>
      </w:r>
    </w:p>
    <w:p w14:paraId="257E458F">
      <w:pPr>
        <w:rPr>
          <w:rFonts w:hint="eastAsia" w:eastAsia="仿宋_GB2312"/>
          <w:b/>
          <w:sz w:val="32"/>
        </w:rPr>
      </w:pPr>
    </w:p>
    <w:p w14:paraId="3847DBF2">
      <w:pPr>
        <w:numPr>
          <w:ilvl w:val="0"/>
          <w:numId w:val="1"/>
        </w:numPr>
        <w:spacing w:line="560" w:lineRule="exact"/>
        <w:ind w:firstLine="560" w:firstLineChars="200"/>
        <w:rPr>
          <w:rFonts w:hint="eastAsia" w:ascii="黑体" w:eastAsia="黑体" w:cs="黑体"/>
          <w:bCs/>
          <w:sz w:val="28"/>
          <w:szCs w:val="28"/>
        </w:rPr>
      </w:pPr>
      <w:r>
        <w:rPr>
          <w:rFonts w:hint="eastAsia" w:ascii="黑体" w:eastAsia="黑体" w:cs="黑体"/>
          <w:bCs/>
          <w:sz w:val="28"/>
          <w:szCs w:val="28"/>
        </w:rPr>
        <w:t>部门（单位）基本情况</w:t>
      </w:r>
    </w:p>
    <w:p w14:paraId="39FBDB5C">
      <w:pPr>
        <w:spacing w:line="56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1、机构设置</w:t>
      </w:r>
    </w:p>
    <w:p w14:paraId="770B52C4">
      <w:pPr>
        <w:pStyle w:val="15"/>
        <w:ind w:firstLine="560" w:firstLineChars="200"/>
        <w:rPr>
          <w:rFonts w:hint="eastAsia" w:ascii="仿宋" w:hAnsi="仿宋" w:eastAsia="仿宋" w:cs="Times New Roman"/>
          <w:color w:val="auto"/>
          <w:kern w:val="2"/>
          <w:sz w:val="28"/>
          <w:szCs w:val="28"/>
        </w:rPr>
      </w:pPr>
      <w:r>
        <w:rPr>
          <w:rFonts w:hint="eastAsia" w:ascii="仿宋" w:hAnsi="仿宋" w:eastAsia="仿宋" w:cs="Times New Roman"/>
          <w:color w:val="auto"/>
          <w:kern w:val="2"/>
          <w:sz w:val="28"/>
          <w:szCs w:val="28"/>
        </w:rPr>
        <w:t>岳阳县建筑市场服务中心为副科级行政支持类事业单位，隶属县住建局二级机构。在编在岗职工29人，退休10人。内设有7个股室：办公室、人事股、财务股、企管股、造价站、安全监督站及建筑市场股。</w:t>
      </w:r>
    </w:p>
    <w:p w14:paraId="4C8B74A7">
      <w:pPr>
        <w:pStyle w:val="15"/>
        <w:ind w:firstLine="560" w:firstLineChars="200"/>
        <w:rPr>
          <w:rFonts w:ascii="仿宋" w:hAnsi="仿宋" w:eastAsia="仿宋" w:cs="宋体"/>
          <w:sz w:val="28"/>
          <w:szCs w:val="28"/>
        </w:rPr>
      </w:pPr>
      <w:r>
        <w:rPr>
          <w:rFonts w:hint="eastAsia" w:ascii="仿宋" w:hAnsi="仿宋" w:eastAsia="仿宋" w:cs="宋体"/>
          <w:sz w:val="28"/>
          <w:szCs w:val="28"/>
        </w:rPr>
        <w:t>2、主要职责</w:t>
      </w:r>
    </w:p>
    <w:p w14:paraId="5E8782F4">
      <w:pPr>
        <w:pStyle w:val="15"/>
        <w:ind w:firstLine="560" w:firstLineChars="200"/>
        <w:rPr>
          <w:rFonts w:hint="eastAsia" w:ascii="仿宋" w:hAnsi="仿宋" w:eastAsia="仿宋"/>
          <w:sz w:val="28"/>
          <w:szCs w:val="28"/>
        </w:rPr>
      </w:pPr>
      <w:r>
        <w:rPr>
          <w:rFonts w:hint="eastAsia" w:ascii="仿宋" w:hAnsi="仿宋" w:eastAsia="仿宋" w:cs="Times New Roman"/>
          <w:color w:val="auto"/>
          <w:kern w:val="2"/>
          <w:sz w:val="28"/>
          <w:szCs w:val="28"/>
        </w:rPr>
        <w:t>(1).</w:t>
      </w:r>
      <w:r>
        <w:rPr>
          <w:rFonts w:hint="eastAsia" w:ascii="仿宋" w:hAnsi="仿宋" w:eastAsia="仿宋"/>
          <w:sz w:val="28"/>
          <w:szCs w:val="28"/>
        </w:rPr>
        <w:t>负责全县建筑市场施工企业管理</w:t>
      </w:r>
    </w:p>
    <w:p w14:paraId="12DBC98E">
      <w:pPr>
        <w:pStyle w:val="15"/>
        <w:ind w:firstLine="560" w:firstLineChars="200"/>
        <w:rPr>
          <w:rFonts w:hint="eastAsia" w:ascii="仿宋" w:hAnsi="仿宋" w:eastAsia="仿宋"/>
          <w:sz w:val="28"/>
          <w:szCs w:val="28"/>
        </w:rPr>
      </w:pPr>
      <w:r>
        <w:rPr>
          <w:rFonts w:hint="eastAsia" w:ascii="仿宋" w:hAnsi="仿宋" w:eastAsia="仿宋"/>
          <w:sz w:val="28"/>
          <w:szCs w:val="28"/>
        </w:rPr>
        <w:t>(2).建筑工程报建</w:t>
      </w:r>
    </w:p>
    <w:p w14:paraId="1D8DB255">
      <w:pPr>
        <w:pStyle w:val="15"/>
        <w:ind w:firstLine="560" w:firstLineChars="200"/>
        <w:rPr>
          <w:rFonts w:hint="eastAsia" w:ascii="仿宋" w:hAnsi="仿宋" w:eastAsia="仿宋"/>
          <w:sz w:val="28"/>
          <w:szCs w:val="28"/>
        </w:rPr>
      </w:pPr>
      <w:r>
        <w:rPr>
          <w:rFonts w:hint="eastAsia" w:ascii="仿宋" w:hAnsi="仿宋" w:eastAsia="仿宋"/>
          <w:sz w:val="28"/>
          <w:szCs w:val="28"/>
        </w:rPr>
        <w:t>(3).建筑施工安全监督</w:t>
      </w:r>
    </w:p>
    <w:p w14:paraId="54E5836D">
      <w:pPr>
        <w:pStyle w:val="15"/>
        <w:ind w:firstLine="560" w:firstLineChars="200"/>
        <w:rPr>
          <w:rFonts w:ascii="仿宋" w:hAnsi="仿宋" w:eastAsia="仿宋"/>
          <w:sz w:val="28"/>
          <w:szCs w:val="28"/>
        </w:rPr>
      </w:pPr>
      <w:r>
        <w:rPr>
          <w:rFonts w:hint="eastAsia" w:ascii="仿宋" w:hAnsi="仿宋" w:eastAsia="仿宋"/>
          <w:sz w:val="28"/>
          <w:szCs w:val="28"/>
        </w:rPr>
        <w:t>(4).施工企业劳保基金行业管理</w:t>
      </w:r>
    </w:p>
    <w:p w14:paraId="137366CD">
      <w:pPr>
        <w:pStyle w:val="15"/>
        <w:ind w:firstLine="560" w:firstLineChars="200"/>
        <w:rPr>
          <w:rFonts w:hint="eastAsia"/>
          <w:bCs/>
          <w:sz w:val="28"/>
          <w:szCs w:val="28"/>
        </w:rPr>
      </w:pPr>
      <w:r>
        <w:rPr>
          <w:rFonts w:hint="eastAsia"/>
          <w:bCs/>
          <w:sz w:val="28"/>
          <w:szCs w:val="28"/>
        </w:rPr>
        <w:t>二、一般公共预算支出情况</w:t>
      </w:r>
    </w:p>
    <w:p w14:paraId="5947D4E1">
      <w:pPr>
        <w:spacing w:line="560" w:lineRule="exact"/>
        <w:ind w:firstLine="560" w:firstLineChars="200"/>
        <w:rPr>
          <w:rFonts w:hint="eastAsia" w:ascii="仿宋_GB2312" w:eastAsia="仿宋_GB2312" w:cs="仿宋_GB2312"/>
          <w:bCs/>
          <w:sz w:val="28"/>
          <w:szCs w:val="28"/>
        </w:rPr>
      </w:pPr>
      <w:r>
        <w:rPr>
          <w:rFonts w:hint="eastAsia" w:ascii="仿宋_GB2312" w:eastAsia="仿宋_GB2312" w:cs="仿宋_GB2312"/>
          <w:bCs/>
          <w:sz w:val="28"/>
          <w:szCs w:val="28"/>
        </w:rPr>
        <w:t>（一）基本支出情况</w:t>
      </w:r>
    </w:p>
    <w:p w14:paraId="5C5EA8C9">
      <w:pPr>
        <w:pStyle w:val="15"/>
        <w:ind w:firstLine="560" w:firstLineChars="200"/>
        <w:rPr>
          <w:rFonts w:ascii="仿宋_GB2312" w:hAnsi="仿宋_GB2312" w:eastAsia="仿宋_GB2312" w:cs="仿宋_GB2312"/>
          <w:bCs/>
          <w:sz w:val="28"/>
          <w:szCs w:val="28"/>
        </w:rPr>
      </w:pPr>
      <w:r>
        <w:rPr>
          <w:rFonts w:hint="eastAsia" w:ascii="仿宋" w:hAnsi="仿宋" w:eastAsia="仿宋" w:cs="Times New Roman"/>
          <w:color w:val="auto"/>
          <w:kern w:val="2"/>
          <w:sz w:val="28"/>
          <w:szCs w:val="28"/>
        </w:rPr>
        <w:t>2023年度基本支出419.14万元，其中：人员经费340.17万元，主要包括基本工资、津贴补贴、奖金、绩效工资、机关事业单位基本养老保险缴费、职业年金缴费、职工基本医疗保险缴费、其他社会保障缴费、住房公积金、其他工资福利支出；公用经费78.97万元，主要包括办公费、印刷费、咨询费、手续费、电费、邮电费、差旅费、维修费、租赁费、培训费、公务接待费、专用材料费、劳务费、工会经费、福利费、其他交通费用、其他商品和服务支出。</w:t>
      </w:r>
    </w:p>
    <w:p w14:paraId="1AB6C6F6">
      <w:pPr>
        <w:numPr>
          <w:ilvl w:val="0"/>
          <w:numId w:val="2"/>
        </w:numPr>
        <w:spacing w:line="560" w:lineRule="exact"/>
        <w:ind w:firstLine="560" w:firstLineChars="200"/>
        <w:rPr>
          <w:rFonts w:hint="eastAsia" w:ascii="仿宋_GB2312" w:eastAsia="仿宋_GB2312" w:cs="仿宋_GB2312"/>
          <w:bCs/>
          <w:sz w:val="28"/>
          <w:szCs w:val="28"/>
        </w:rPr>
      </w:pPr>
      <w:r>
        <w:rPr>
          <w:rFonts w:hint="eastAsia" w:ascii="仿宋_GB2312" w:eastAsia="仿宋_GB2312" w:cs="仿宋_GB2312"/>
          <w:bCs/>
          <w:sz w:val="28"/>
          <w:szCs w:val="28"/>
        </w:rPr>
        <w:t>项目支出情况</w:t>
      </w:r>
    </w:p>
    <w:p w14:paraId="5C6B8988">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2023年度我单位无项目支出。</w:t>
      </w:r>
    </w:p>
    <w:p w14:paraId="60DD41BD">
      <w:pPr>
        <w:spacing w:line="560" w:lineRule="exact"/>
        <w:ind w:firstLine="280" w:firstLineChars="100"/>
        <w:rPr>
          <w:rFonts w:hint="eastAsia" w:ascii="黑体" w:eastAsia="黑体" w:cs="黑体"/>
          <w:bCs/>
          <w:sz w:val="28"/>
          <w:szCs w:val="28"/>
        </w:rPr>
      </w:pPr>
      <w:r>
        <w:rPr>
          <w:rFonts w:hint="eastAsia" w:ascii="黑体" w:eastAsia="黑体" w:cs="黑体"/>
          <w:bCs/>
          <w:sz w:val="28"/>
          <w:szCs w:val="28"/>
        </w:rPr>
        <w:t>三、政府性基金预算支出情况</w:t>
      </w:r>
    </w:p>
    <w:p w14:paraId="48F4AAEA">
      <w:pPr>
        <w:spacing w:line="560" w:lineRule="exact"/>
        <w:ind w:firstLine="1120" w:firstLineChars="400"/>
        <w:rPr>
          <w:rFonts w:hint="eastAsia" w:ascii="仿宋_GB2312" w:eastAsia="仿宋_GB2312" w:cs="仿宋_GB2312"/>
          <w:bCs/>
          <w:sz w:val="28"/>
          <w:szCs w:val="28"/>
        </w:rPr>
      </w:pPr>
      <w:r>
        <w:rPr>
          <w:rFonts w:hint="eastAsia" w:ascii="仿宋_GB2312" w:eastAsia="仿宋_GB2312" w:cs="仿宋_GB2312"/>
          <w:bCs/>
          <w:sz w:val="28"/>
          <w:szCs w:val="28"/>
        </w:rPr>
        <w:t>无。</w:t>
      </w:r>
    </w:p>
    <w:p w14:paraId="002E08D5">
      <w:pPr>
        <w:spacing w:line="560" w:lineRule="exact"/>
        <w:ind w:firstLine="280" w:firstLineChars="100"/>
        <w:rPr>
          <w:rFonts w:hint="eastAsia" w:ascii="黑体" w:eastAsia="黑体" w:cs="黑体"/>
          <w:bCs/>
          <w:sz w:val="28"/>
          <w:szCs w:val="28"/>
        </w:rPr>
      </w:pPr>
      <w:r>
        <w:rPr>
          <w:rFonts w:hint="eastAsia" w:ascii="黑体" w:eastAsia="黑体" w:cs="黑体"/>
          <w:bCs/>
          <w:sz w:val="28"/>
          <w:szCs w:val="28"/>
        </w:rPr>
        <w:t>四、国有资本经营预算支出情况</w:t>
      </w:r>
    </w:p>
    <w:p w14:paraId="28C5424C">
      <w:pPr>
        <w:spacing w:line="560" w:lineRule="exact"/>
        <w:ind w:left="420" w:leftChars="200"/>
        <w:rPr>
          <w:rFonts w:ascii="仿宋_GB2312" w:eastAsia="仿宋_GB2312" w:cs="仿宋_GB2312"/>
          <w:bCs/>
          <w:sz w:val="28"/>
          <w:szCs w:val="28"/>
        </w:rPr>
      </w:pPr>
      <w:r>
        <w:rPr>
          <w:rFonts w:hint="eastAsia" w:ascii="仿宋_GB2312" w:eastAsia="仿宋_GB2312" w:cs="仿宋_GB2312"/>
          <w:bCs/>
          <w:sz w:val="28"/>
          <w:szCs w:val="28"/>
        </w:rPr>
        <w:t xml:space="preserve">    无。</w:t>
      </w:r>
    </w:p>
    <w:p w14:paraId="5825656D">
      <w:pPr>
        <w:spacing w:line="560" w:lineRule="exact"/>
        <w:ind w:firstLine="280" w:firstLineChars="100"/>
        <w:rPr>
          <w:rFonts w:hint="eastAsia" w:ascii="黑体" w:eastAsia="黑体" w:cs="黑体"/>
          <w:bCs/>
          <w:sz w:val="28"/>
          <w:szCs w:val="28"/>
        </w:rPr>
      </w:pPr>
      <w:r>
        <w:rPr>
          <w:rFonts w:hint="eastAsia" w:ascii="黑体" w:eastAsia="黑体" w:cs="黑体"/>
          <w:bCs/>
          <w:sz w:val="28"/>
          <w:szCs w:val="28"/>
        </w:rPr>
        <w:t xml:space="preserve">五、社会保险基金预算支出情况 </w:t>
      </w:r>
    </w:p>
    <w:p w14:paraId="206E2A95">
      <w:pPr>
        <w:spacing w:line="560" w:lineRule="exact"/>
        <w:ind w:left="420" w:leftChars="200"/>
        <w:rPr>
          <w:rFonts w:ascii="仿宋_GB2312" w:eastAsia="仿宋_GB2312" w:cs="仿宋_GB2312"/>
          <w:bCs/>
          <w:sz w:val="28"/>
          <w:szCs w:val="28"/>
        </w:rPr>
      </w:pPr>
      <w:r>
        <w:rPr>
          <w:rFonts w:hint="eastAsia" w:ascii="仿宋_GB2312" w:eastAsia="仿宋_GB2312" w:cs="仿宋_GB2312"/>
          <w:bCs/>
          <w:sz w:val="28"/>
          <w:szCs w:val="28"/>
        </w:rPr>
        <w:t xml:space="preserve">    无。</w:t>
      </w:r>
    </w:p>
    <w:p w14:paraId="3E6C9584">
      <w:pPr>
        <w:spacing w:line="560" w:lineRule="exact"/>
        <w:ind w:firstLine="280" w:firstLineChars="100"/>
        <w:rPr>
          <w:rFonts w:hint="eastAsia" w:ascii="黑体" w:eastAsia="黑体" w:cs="黑体"/>
          <w:bCs/>
          <w:sz w:val="28"/>
          <w:szCs w:val="28"/>
        </w:rPr>
      </w:pPr>
      <w:r>
        <w:rPr>
          <w:rFonts w:hint="eastAsia" w:ascii="黑体" w:eastAsia="黑体" w:cs="黑体"/>
          <w:bCs/>
          <w:sz w:val="28"/>
          <w:szCs w:val="28"/>
        </w:rPr>
        <w:t>六、部门（单位）整体支出绩效情况</w:t>
      </w:r>
    </w:p>
    <w:p w14:paraId="145BEC04">
      <w:pPr>
        <w:pStyle w:val="15"/>
        <w:ind w:firstLine="560" w:firstLineChars="200"/>
        <w:rPr>
          <w:rFonts w:ascii="仿宋" w:hAnsi="仿宋" w:eastAsia="仿宋" w:cs="仿宋_GB2312"/>
          <w:bCs/>
          <w:sz w:val="28"/>
          <w:szCs w:val="28"/>
        </w:rPr>
      </w:pPr>
      <w:r>
        <w:rPr>
          <w:rFonts w:hint="eastAsia" w:ascii="仿宋" w:hAnsi="仿宋" w:eastAsia="仿宋" w:cs="Times New Roman"/>
          <w:color w:val="auto"/>
          <w:kern w:val="2"/>
          <w:sz w:val="28"/>
          <w:szCs w:val="28"/>
        </w:rPr>
        <w:t>2023年度支出总计419.14万元，其中基本支出419.14万元，主要用于人员工资、福利、社会保障缴费及办公室公用支出等，项目支出0万元。</w:t>
      </w:r>
      <w:r>
        <w:rPr>
          <w:rFonts w:hint="eastAsia" w:ascii="仿宋" w:hAnsi="仿宋" w:eastAsia="仿宋" w:cs="仿宋_GB2312"/>
          <w:bCs/>
          <w:sz w:val="28"/>
          <w:szCs w:val="28"/>
        </w:rPr>
        <w:t>我们对整个资金支出情况和工作成果进行了认真分析，部门整体支出达到了预期工作成果，实现了预期工作目标，本单位工作经费安排严格按照年初预算来执行，有效防止了超预算；认真学习财经法规，严格执行财经纪律，防止了违法违纪行为的发生。严格按照厉行节约的要求，精打细算，规范机关事务管理工作，提高服务质量，降低运行成本，合理配置，提高保障能力。保障了干部待遇按政策发放落实。不断改进和提升财政内部控制，从注重财政内部资金使用效益的提升，形成规范、高效、透明的资金运用秩序，严格执行预决算公开，主动接受社会监督，进而为整体财政资金的提质增效赋能。</w:t>
      </w:r>
    </w:p>
    <w:p w14:paraId="02D4AF25">
      <w:pPr>
        <w:pStyle w:val="15"/>
        <w:ind w:firstLine="560" w:firstLineChars="200"/>
        <w:rPr>
          <w:rFonts w:ascii="仿宋_GB2312" w:hAnsi="仿宋_GB2312" w:eastAsia="仿宋_GB2312" w:cs="仿宋_GB2312"/>
          <w:bCs/>
          <w:sz w:val="28"/>
          <w:szCs w:val="28"/>
        </w:rPr>
      </w:pPr>
    </w:p>
    <w:p w14:paraId="205A0527">
      <w:pPr>
        <w:pStyle w:val="15"/>
        <w:ind w:firstLine="560" w:firstLineChars="200"/>
        <w:rPr>
          <w:rFonts w:hint="eastAsia" w:ascii="仿宋_GB2312" w:hAnsi="仿宋_GB2312" w:eastAsia="仿宋_GB2312" w:cs="仿宋_GB2312"/>
          <w:bCs/>
          <w:sz w:val="28"/>
          <w:szCs w:val="28"/>
        </w:rPr>
      </w:pPr>
    </w:p>
    <w:p w14:paraId="660A49B2">
      <w:pPr>
        <w:pStyle w:val="15"/>
        <w:ind w:firstLine="560" w:firstLineChars="200"/>
        <w:rPr>
          <w:rFonts w:hint="eastAsia"/>
          <w:bCs/>
          <w:sz w:val="28"/>
          <w:szCs w:val="28"/>
        </w:rPr>
      </w:pPr>
      <w:r>
        <w:rPr>
          <w:rFonts w:hint="eastAsia"/>
          <w:bCs/>
          <w:sz w:val="28"/>
          <w:szCs w:val="28"/>
        </w:rPr>
        <w:t>七、存在的主要问题及原因分析</w:t>
      </w:r>
    </w:p>
    <w:p w14:paraId="16978646">
      <w:pPr>
        <w:spacing w:line="560" w:lineRule="exact"/>
        <w:ind w:firstLine="560" w:firstLineChars="200"/>
        <w:rPr>
          <w:rFonts w:ascii="仿宋" w:hAnsi="仿宋" w:eastAsia="仿宋" w:cs="黑体"/>
          <w:bCs/>
          <w:sz w:val="28"/>
          <w:szCs w:val="28"/>
        </w:rPr>
      </w:pPr>
      <w:r>
        <w:rPr>
          <w:rFonts w:hint="eastAsia" w:ascii="仿宋" w:hAnsi="仿宋" w:eastAsia="仿宋" w:cs="仿宋_GB2312"/>
          <w:bCs/>
          <w:sz w:val="28"/>
          <w:szCs w:val="28"/>
        </w:rPr>
        <w:t>部分项目资料收集不够完善，归档不够规范；对项目的跟踪服务不够主动；经办人员的业务能力有待提高。</w:t>
      </w:r>
    </w:p>
    <w:p w14:paraId="45733280">
      <w:pPr>
        <w:numPr>
          <w:ilvl w:val="0"/>
          <w:numId w:val="3"/>
        </w:numPr>
        <w:spacing w:line="560" w:lineRule="exact"/>
        <w:ind w:firstLine="560" w:firstLineChars="200"/>
        <w:rPr>
          <w:rFonts w:hint="eastAsia" w:ascii="黑体" w:eastAsia="黑体" w:cs="黑体"/>
          <w:bCs/>
          <w:sz w:val="28"/>
          <w:szCs w:val="28"/>
        </w:rPr>
      </w:pPr>
      <w:r>
        <w:rPr>
          <w:rFonts w:hint="eastAsia" w:ascii="黑体" w:eastAsia="黑体" w:cs="黑体"/>
          <w:bCs/>
          <w:sz w:val="28"/>
          <w:szCs w:val="28"/>
        </w:rPr>
        <w:t>下一步改进措施</w:t>
      </w:r>
    </w:p>
    <w:p w14:paraId="1A5B0F17">
      <w:pPr>
        <w:spacing w:line="560" w:lineRule="exact"/>
        <w:ind w:firstLine="420" w:firstLineChars="150"/>
        <w:rPr>
          <w:rFonts w:hint="eastAsia" w:ascii="仿宋" w:hAnsi="仿宋" w:eastAsia="仿宋" w:cs="仿宋_GB2312"/>
          <w:bCs/>
          <w:sz w:val="28"/>
          <w:szCs w:val="28"/>
        </w:rPr>
      </w:pPr>
      <w:r>
        <w:rPr>
          <w:rFonts w:hint="eastAsia" w:ascii="仿宋" w:hAnsi="仿宋" w:eastAsia="仿宋" w:cs="仿宋_GB2312"/>
          <w:bCs/>
          <w:sz w:val="28"/>
          <w:szCs w:val="28"/>
        </w:rPr>
        <w:t>进一步加强与财政、发改等部门的沟通联系。积极参加行业专业知识的培训学习，努力提高业务能力、服务意识和服务水平。</w:t>
      </w:r>
    </w:p>
    <w:p w14:paraId="6F5F0EC6">
      <w:pPr>
        <w:spacing w:line="560" w:lineRule="exact"/>
        <w:ind w:firstLine="280" w:firstLineChars="100"/>
        <w:rPr>
          <w:rFonts w:hint="eastAsia" w:ascii="黑体" w:eastAsia="黑体" w:cs="黑体"/>
          <w:bCs/>
          <w:sz w:val="28"/>
          <w:szCs w:val="28"/>
        </w:rPr>
      </w:pPr>
      <w:r>
        <w:rPr>
          <w:rFonts w:hint="eastAsia" w:ascii="黑体" w:eastAsia="黑体" w:cs="黑体"/>
          <w:bCs/>
          <w:sz w:val="28"/>
          <w:szCs w:val="28"/>
        </w:rPr>
        <w:t>九、部门整体支出绩效自评结果拟应用和公开情况</w:t>
      </w:r>
    </w:p>
    <w:p w14:paraId="4A347E30">
      <w:pPr>
        <w:spacing w:line="560" w:lineRule="exact"/>
        <w:rPr>
          <w:rFonts w:ascii="仿宋" w:hAnsi="仿宋" w:eastAsia="仿宋" w:cs="仿宋_GB2312"/>
          <w:bCs/>
          <w:sz w:val="28"/>
          <w:szCs w:val="28"/>
        </w:rPr>
      </w:pPr>
      <w:r>
        <w:rPr>
          <w:rFonts w:hint="eastAsia" w:ascii="仿宋_GB2312" w:hAnsi="仿宋_GB2312" w:eastAsia="仿宋_GB2312" w:cs="仿宋_GB2312"/>
          <w:bCs/>
          <w:sz w:val="28"/>
          <w:szCs w:val="28"/>
        </w:rPr>
        <w:t xml:space="preserve">  </w:t>
      </w:r>
      <w:r>
        <w:rPr>
          <w:rFonts w:hint="eastAsia" w:ascii="仿宋" w:hAnsi="仿宋" w:eastAsia="仿宋" w:cs="仿宋_GB2312"/>
          <w:bCs/>
          <w:sz w:val="28"/>
          <w:szCs w:val="28"/>
        </w:rPr>
        <w:t xml:space="preserve">  我单位部分整体支出绩效自评报告已在政府门户网站公开。</w:t>
      </w:r>
    </w:p>
    <w:p w14:paraId="7EDAB9A1">
      <w:pPr>
        <w:spacing w:line="560" w:lineRule="exact"/>
        <w:ind w:firstLine="280" w:firstLineChars="100"/>
        <w:rPr>
          <w:rFonts w:hint="eastAsia" w:ascii="黑体" w:eastAsia="黑体" w:cs="黑体"/>
          <w:bCs/>
          <w:sz w:val="28"/>
          <w:szCs w:val="28"/>
        </w:rPr>
      </w:pPr>
      <w:r>
        <w:rPr>
          <w:rFonts w:hint="eastAsia" w:ascii="黑体" w:eastAsia="黑体" w:cs="黑体"/>
          <w:bCs/>
          <w:sz w:val="28"/>
          <w:szCs w:val="28"/>
        </w:rPr>
        <w:t>十、其他需要说明的情况</w:t>
      </w:r>
    </w:p>
    <w:p w14:paraId="45253FD8">
      <w:pPr>
        <w:spacing w:line="56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无</w:t>
      </w:r>
    </w:p>
    <w:p w14:paraId="7F1B70EE">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2024年5月8日</w:t>
      </w:r>
    </w:p>
    <w:p w14:paraId="22971BC3">
      <w:pPr>
        <w:adjustRightInd w:val="0"/>
        <w:snapToGrid w:val="0"/>
        <w:spacing w:line="200" w:lineRule="exact"/>
        <w:contextualSpacing/>
        <w:rPr>
          <w:rFonts w:hint="eastAsia" w:eastAsia="仿宋_GB2312"/>
          <w:sz w:val="32"/>
        </w:rPr>
      </w:pPr>
    </w:p>
    <w:p w14:paraId="7C358A39">
      <w:pPr>
        <w:spacing w:line="360" w:lineRule="auto"/>
        <w:ind w:firstLine="640" w:firstLineChars="200"/>
        <w:jc w:val="left"/>
        <w:rPr>
          <w:rFonts w:hint="eastAsia" w:ascii="微软雅黑" w:hAnsi="微软雅黑" w:eastAsia="微软雅黑" w:cs="微软雅黑"/>
          <w:b/>
          <w:bCs/>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58E5B"/>
    <w:multiLevelType w:val="singleLevel"/>
    <w:tmpl w:val="A8758E5B"/>
    <w:lvl w:ilvl="0" w:tentative="0">
      <w:start w:val="1"/>
      <w:numFmt w:val="chineseCounting"/>
      <w:suff w:val="nothing"/>
      <w:lvlText w:val="%1、"/>
      <w:lvlJc w:val="left"/>
      <w:rPr>
        <w:rFonts w:hint="eastAsia"/>
      </w:rPr>
    </w:lvl>
  </w:abstractNum>
  <w:abstractNum w:abstractNumId="1">
    <w:nsid w:val="21E2C0BF"/>
    <w:multiLevelType w:val="singleLevel"/>
    <w:tmpl w:val="21E2C0BF"/>
    <w:lvl w:ilvl="0" w:tentative="0">
      <w:start w:val="8"/>
      <w:numFmt w:val="chineseCounting"/>
      <w:suff w:val="nothing"/>
      <w:lvlText w:val="%1、"/>
      <w:lvlJc w:val="left"/>
      <w:rPr>
        <w:rFonts w:hint="eastAsia"/>
      </w:rPr>
    </w:lvl>
  </w:abstractNum>
  <w:abstractNum w:abstractNumId="2">
    <w:nsid w:val="7204E8C8"/>
    <w:multiLevelType w:val="singleLevel"/>
    <w:tmpl w:val="7204E8C8"/>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xNmFhMWZlZTYyM2MxMTRhZjA1ZDY5OTQ2ZjcxMWU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75A26"/>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16372"/>
    <w:rsid w:val="00226CB7"/>
    <w:rsid w:val="00264552"/>
    <w:rsid w:val="00264EF9"/>
    <w:rsid w:val="00265724"/>
    <w:rsid w:val="0027426B"/>
    <w:rsid w:val="002E0A30"/>
    <w:rsid w:val="003130C4"/>
    <w:rsid w:val="00316C4B"/>
    <w:rsid w:val="0032192B"/>
    <w:rsid w:val="003316AE"/>
    <w:rsid w:val="003479BD"/>
    <w:rsid w:val="0037197D"/>
    <w:rsid w:val="003768D5"/>
    <w:rsid w:val="003926B9"/>
    <w:rsid w:val="0039414A"/>
    <w:rsid w:val="003C47E6"/>
    <w:rsid w:val="003C4FC2"/>
    <w:rsid w:val="00416E61"/>
    <w:rsid w:val="0042790C"/>
    <w:rsid w:val="004506F9"/>
    <w:rsid w:val="004717A2"/>
    <w:rsid w:val="004732CD"/>
    <w:rsid w:val="00473DF3"/>
    <w:rsid w:val="00487911"/>
    <w:rsid w:val="00491741"/>
    <w:rsid w:val="004A5CDA"/>
    <w:rsid w:val="004B0CEE"/>
    <w:rsid w:val="004F1F69"/>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77BDF"/>
    <w:rsid w:val="00686673"/>
    <w:rsid w:val="00691E8C"/>
    <w:rsid w:val="00694638"/>
    <w:rsid w:val="006A22C4"/>
    <w:rsid w:val="006A351B"/>
    <w:rsid w:val="006B0422"/>
    <w:rsid w:val="006C1B53"/>
    <w:rsid w:val="006D7730"/>
    <w:rsid w:val="006E5284"/>
    <w:rsid w:val="006F3EB5"/>
    <w:rsid w:val="00702E34"/>
    <w:rsid w:val="00704395"/>
    <w:rsid w:val="00710FE7"/>
    <w:rsid w:val="00717621"/>
    <w:rsid w:val="00720FF1"/>
    <w:rsid w:val="00727A53"/>
    <w:rsid w:val="0077391F"/>
    <w:rsid w:val="00787B42"/>
    <w:rsid w:val="007C4539"/>
    <w:rsid w:val="007F3657"/>
    <w:rsid w:val="00812ED5"/>
    <w:rsid w:val="008277D9"/>
    <w:rsid w:val="0084478C"/>
    <w:rsid w:val="0086638C"/>
    <w:rsid w:val="0087398D"/>
    <w:rsid w:val="008A3E8D"/>
    <w:rsid w:val="008A40D4"/>
    <w:rsid w:val="009237C4"/>
    <w:rsid w:val="00944C48"/>
    <w:rsid w:val="00950252"/>
    <w:rsid w:val="00967F5D"/>
    <w:rsid w:val="009A0F95"/>
    <w:rsid w:val="009B3ADF"/>
    <w:rsid w:val="009C3B52"/>
    <w:rsid w:val="009E6817"/>
    <w:rsid w:val="009E6E9A"/>
    <w:rsid w:val="00A01D2B"/>
    <w:rsid w:val="00A133AD"/>
    <w:rsid w:val="00A42218"/>
    <w:rsid w:val="00A70249"/>
    <w:rsid w:val="00A70B02"/>
    <w:rsid w:val="00A71D9F"/>
    <w:rsid w:val="00A92E9F"/>
    <w:rsid w:val="00AB18FF"/>
    <w:rsid w:val="00AF2745"/>
    <w:rsid w:val="00B31087"/>
    <w:rsid w:val="00B33BEA"/>
    <w:rsid w:val="00B57C9F"/>
    <w:rsid w:val="00B63572"/>
    <w:rsid w:val="00B845B3"/>
    <w:rsid w:val="00B85D8B"/>
    <w:rsid w:val="00B92716"/>
    <w:rsid w:val="00BA3070"/>
    <w:rsid w:val="00BB4A40"/>
    <w:rsid w:val="00BD6C3E"/>
    <w:rsid w:val="00BE3674"/>
    <w:rsid w:val="00C10681"/>
    <w:rsid w:val="00C3049A"/>
    <w:rsid w:val="00C31B1E"/>
    <w:rsid w:val="00C77645"/>
    <w:rsid w:val="00CE04C3"/>
    <w:rsid w:val="00CE76A0"/>
    <w:rsid w:val="00D148C6"/>
    <w:rsid w:val="00D17A8A"/>
    <w:rsid w:val="00D34E8D"/>
    <w:rsid w:val="00D415BA"/>
    <w:rsid w:val="00D63780"/>
    <w:rsid w:val="00D644EE"/>
    <w:rsid w:val="00DD06FF"/>
    <w:rsid w:val="00DD5FE9"/>
    <w:rsid w:val="00E00C7A"/>
    <w:rsid w:val="00E37D6C"/>
    <w:rsid w:val="00E52014"/>
    <w:rsid w:val="00E55B68"/>
    <w:rsid w:val="00E561AE"/>
    <w:rsid w:val="00E67BE6"/>
    <w:rsid w:val="00E8683C"/>
    <w:rsid w:val="00EA2B72"/>
    <w:rsid w:val="00F74360"/>
    <w:rsid w:val="00FB462F"/>
    <w:rsid w:val="00FE16FA"/>
    <w:rsid w:val="00FE328A"/>
    <w:rsid w:val="00FE6269"/>
    <w:rsid w:val="00FF5CD6"/>
    <w:rsid w:val="02D97881"/>
    <w:rsid w:val="035E3969"/>
    <w:rsid w:val="05482261"/>
    <w:rsid w:val="05CE1427"/>
    <w:rsid w:val="064E62B9"/>
    <w:rsid w:val="06B660FB"/>
    <w:rsid w:val="074309F6"/>
    <w:rsid w:val="07966D78"/>
    <w:rsid w:val="07E04F3D"/>
    <w:rsid w:val="0864617E"/>
    <w:rsid w:val="096227F5"/>
    <w:rsid w:val="09AE5463"/>
    <w:rsid w:val="0AC57974"/>
    <w:rsid w:val="0F3F4679"/>
    <w:rsid w:val="0F9016DB"/>
    <w:rsid w:val="0FE268D2"/>
    <w:rsid w:val="10A73DA4"/>
    <w:rsid w:val="10E30B54"/>
    <w:rsid w:val="11A63AC3"/>
    <w:rsid w:val="12ED4198"/>
    <w:rsid w:val="13135140"/>
    <w:rsid w:val="134641EF"/>
    <w:rsid w:val="135339EB"/>
    <w:rsid w:val="142867C6"/>
    <w:rsid w:val="14586BDA"/>
    <w:rsid w:val="14E429E9"/>
    <w:rsid w:val="15986B0A"/>
    <w:rsid w:val="15A64981"/>
    <w:rsid w:val="16022814"/>
    <w:rsid w:val="17057F35"/>
    <w:rsid w:val="17D85E72"/>
    <w:rsid w:val="191A1185"/>
    <w:rsid w:val="191C4B10"/>
    <w:rsid w:val="1A4B623A"/>
    <w:rsid w:val="1A730918"/>
    <w:rsid w:val="1AC059F4"/>
    <w:rsid w:val="1B5F540E"/>
    <w:rsid w:val="1BB11F7A"/>
    <w:rsid w:val="1C3C391C"/>
    <w:rsid w:val="1FAD74E5"/>
    <w:rsid w:val="21680401"/>
    <w:rsid w:val="218401CB"/>
    <w:rsid w:val="25184E18"/>
    <w:rsid w:val="25CB4399"/>
    <w:rsid w:val="25CD53DA"/>
    <w:rsid w:val="27B766F6"/>
    <w:rsid w:val="28FE4325"/>
    <w:rsid w:val="29701875"/>
    <w:rsid w:val="2A262451"/>
    <w:rsid w:val="2AD52E64"/>
    <w:rsid w:val="2C736DD8"/>
    <w:rsid w:val="2C7548FE"/>
    <w:rsid w:val="2DC05802"/>
    <w:rsid w:val="2EAF4022"/>
    <w:rsid w:val="2F026361"/>
    <w:rsid w:val="2F5729E1"/>
    <w:rsid w:val="306F0E15"/>
    <w:rsid w:val="30782C0F"/>
    <w:rsid w:val="31B77767"/>
    <w:rsid w:val="321C2462"/>
    <w:rsid w:val="325A00D3"/>
    <w:rsid w:val="33E12879"/>
    <w:rsid w:val="34095384"/>
    <w:rsid w:val="34E24AFB"/>
    <w:rsid w:val="35A40002"/>
    <w:rsid w:val="35B333DA"/>
    <w:rsid w:val="35F42C0E"/>
    <w:rsid w:val="36E96615"/>
    <w:rsid w:val="3BC62A80"/>
    <w:rsid w:val="3C6F136A"/>
    <w:rsid w:val="3FD348C7"/>
    <w:rsid w:val="40C80669"/>
    <w:rsid w:val="41564BB2"/>
    <w:rsid w:val="41940D6D"/>
    <w:rsid w:val="41BF3CEC"/>
    <w:rsid w:val="42415557"/>
    <w:rsid w:val="42FC322C"/>
    <w:rsid w:val="43521BB8"/>
    <w:rsid w:val="43AB16D9"/>
    <w:rsid w:val="44627A06"/>
    <w:rsid w:val="44AC435F"/>
    <w:rsid w:val="46BF5DAF"/>
    <w:rsid w:val="487D493C"/>
    <w:rsid w:val="48F84107"/>
    <w:rsid w:val="493A4AAE"/>
    <w:rsid w:val="4A4D5C9C"/>
    <w:rsid w:val="4C06511B"/>
    <w:rsid w:val="4C76404F"/>
    <w:rsid w:val="4D542DAB"/>
    <w:rsid w:val="4EC70B92"/>
    <w:rsid w:val="512C2F2E"/>
    <w:rsid w:val="52E579D6"/>
    <w:rsid w:val="54BC0A6D"/>
    <w:rsid w:val="54E4729B"/>
    <w:rsid w:val="54FC4C28"/>
    <w:rsid w:val="55C63EE6"/>
    <w:rsid w:val="570F5142"/>
    <w:rsid w:val="57414D17"/>
    <w:rsid w:val="5777D4F5"/>
    <w:rsid w:val="57D94F90"/>
    <w:rsid w:val="58E974F4"/>
    <w:rsid w:val="59743537"/>
    <w:rsid w:val="59A23B94"/>
    <w:rsid w:val="5B2103A1"/>
    <w:rsid w:val="5B4F3FC2"/>
    <w:rsid w:val="5C361105"/>
    <w:rsid w:val="5D2E44D2"/>
    <w:rsid w:val="5DA84284"/>
    <w:rsid w:val="5DB1138B"/>
    <w:rsid w:val="5DEB376B"/>
    <w:rsid w:val="5E026FEC"/>
    <w:rsid w:val="5F9A5E4E"/>
    <w:rsid w:val="5FC6BB1E"/>
    <w:rsid w:val="5FF720F1"/>
    <w:rsid w:val="6338496B"/>
    <w:rsid w:val="63930AB7"/>
    <w:rsid w:val="63D749BC"/>
    <w:rsid w:val="643C1282"/>
    <w:rsid w:val="645753D4"/>
    <w:rsid w:val="65230A03"/>
    <w:rsid w:val="65570421"/>
    <w:rsid w:val="65B05FE0"/>
    <w:rsid w:val="660109D5"/>
    <w:rsid w:val="6720463D"/>
    <w:rsid w:val="6BD30F4C"/>
    <w:rsid w:val="6D15603E"/>
    <w:rsid w:val="6D1D2BA3"/>
    <w:rsid w:val="6D340BE9"/>
    <w:rsid w:val="6E34324B"/>
    <w:rsid w:val="6E4E0530"/>
    <w:rsid w:val="6E8B0888"/>
    <w:rsid w:val="6F255735"/>
    <w:rsid w:val="71B615C9"/>
    <w:rsid w:val="72853156"/>
    <w:rsid w:val="72D57472"/>
    <w:rsid w:val="73653335"/>
    <w:rsid w:val="737D59BA"/>
    <w:rsid w:val="73CD1EF7"/>
    <w:rsid w:val="73D15FE7"/>
    <w:rsid w:val="743957DE"/>
    <w:rsid w:val="75063912"/>
    <w:rsid w:val="772C33D8"/>
    <w:rsid w:val="776B5ABC"/>
    <w:rsid w:val="776D2CE2"/>
    <w:rsid w:val="77C37683"/>
    <w:rsid w:val="78A603D1"/>
    <w:rsid w:val="79745B0F"/>
    <w:rsid w:val="79FF515B"/>
    <w:rsid w:val="7B2F0539"/>
    <w:rsid w:val="7B551150"/>
    <w:rsid w:val="7C4D3A17"/>
    <w:rsid w:val="7E9F11B4"/>
    <w:rsid w:val="7F4D1128"/>
    <w:rsid w:val="7FC69637"/>
    <w:rsid w:val="7FFDB408"/>
    <w:rsid w:val="CBFF70E0"/>
    <w:rsid w:val="EEABED75"/>
    <w:rsid w:val="FB36E1A6"/>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spacing w:before="100" w:beforeAutospacing="1" w:after="100" w:afterAutospacing="1"/>
      <w:jc w:val="left"/>
    </w:pPr>
    <w:rPr>
      <w:kern w:val="0"/>
      <w:sz w:val="24"/>
    </w:rPr>
  </w:style>
  <w:style w:type="character" w:styleId="8">
    <w:name w:val="page number"/>
    <w:qFormat/>
    <w:uiPriority w:val="0"/>
  </w:style>
  <w:style w:type="character" w:customStyle="1" w:styleId="9">
    <w:name w:val="批注框文本 Char"/>
    <w:basedOn w:val="7"/>
    <w:link w:val="2"/>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font11"/>
    <w:basedOn w:val="7"/>
    <w:qFormat/>
    <w:uiPriority w:val="0"/>
    <w:rPr>
      <w:rFonts w:hint="eastAsia" w:ascii="宋体" w:hAnsi="宋体" w:eastAsia="宋体" w:cs="宋体"/>
      <w:color w:val="000000"/>
      <w:sz w:val="24"/>
      <w:szCs w:val="24"/>
      <w:u w:val="none"/>
    </w:rPr>
  </w:style>
  <w:style w:type="character" w:customStyle="1" w:styleId="13">
    <w:name w:val="font21"/>
    <w:basedOn w:val="7"/>
    <w:qFormat/>
    <w:uiPriority w:val="0"/>
    <w:rPr>
      <w:rFonts w:hint="eastAsia" w:ascii="宋体" w:hAnsi="宋体" w:eastAsia="宋体" w:cs="宋体"/>
      <w:color w:val="000000"/>
      <w:sz w:val="24"/>
      <w:szCs w:val="24"/>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5168</Words>
  <Characters>5717</Characters>
  <Lines>41</Lines>
  <Paragraphs>11</Paragraphs>
  <TotalTime>0</TotalTime>
  <ScaleCrop>false</ScaleCrop>
  <LinksUpToDate>false</LinksUpToDate>
  <CharactersWithSpaces>5723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2024-09-29T08:22:51Z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