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C651">
      <w:pPr>
        <w:pStyle w:val="15"/>
        <w:jc w:val="center"/>
        <w:rPr>
          <w:rFonts w:ascii="微软雅黑" w:hAnsi="微软雅黑" w:eastAsia="微软雅黑" w:cs="微软雅黑"/>
          <w:sz w:val="56"/>
          <w:szCs w:val="56"/>
        </w:rPr>
      </w:pPr>
    </w:p>
    <w:p w14:paraId="4F02A175">
      <w:pPr>
        <w:pStyle w:val="15"/>
        <w:jc w:val="center"/>
        <w:rPr>
          <w:rFonts w:ascii="微软雅黑" w:hAnsi="微软雅黑" w:eastAsia="微软雅黑" w:cs="微软雅黑"/>
          <w:sz w:val="56"/>
          <w:szCs w:val="56"/>
        </w:rPr>
      </w:pPr>
    </w:p>
    <w:p w14:paraId="38E63A59">
      <w:pPr>
        <w:pStyle w:val="15"/>
        <w:jc w:val="center"/>
        <w:rPr>
          <w:rFonts w:ascii="微软雅黑" w:hAnsi="微软雅黑" w:eastAsia="微软雅黑" w:cs="微软雅黑"/>
          <w:sz w:val="84"/>
          <w:szCs w:val="84"/>
        </w:rPr>
      </w:pPr>
    </w:p>
    <w:p w14:paraId="44AC5D67">
      <w:pPr>
        <w:pStyle w:val="15"/>
        <w:jc w:val="center"/>
        <w:rPr>
          <w:rFonts w:ascii="微软雅黑" w:hAnsi="微软雅黑" w:eastAsia="微软雅黑" w:cs="微软雅黑"/>
          <w:sz w:val="84"/>
          <w:szCs w:val="84"/>
        </w:rPr>
      </w:pPr>
    </w:p>
    <w:p w14:paraId="525E4240">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23EB02F2">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岳阳县住房保障服务中心</w:t>
      </w:r>
      <w:r>
        <w:rPr>
          <w:rFonts w:ascii="微软雅黑" w:hAnsi="微软雅黑" w:eastAsia="微软雅黑" w:cs="微软雅黑"/>
          <w:b/>
          <w:sz w:val="84"/>
        </w:rPr>
        <w:t>部门（单位）部门决算</w:t>
      </w:r>
    </w:p>
    <w:p w14:paraId="67F56268">
      <w:pPr>
        <w:pStyle w:val="15"/>
        <w:jc w:val="center"/>
        <w:rPr>
          <w:rFonts w:ascii="微软雅黑" w:hAnsi="微软雅黑" w:eastAsia="微软雅黑" w:cs="微软雅黑"/>
          <w:sz w:val="84"/>
          <w:szCs w:val="84"/>
        </w:rPr>
      </w:pPr>
    </w:p>
    <w:p w14:paraId="1309937D">
      <w:pPr>
        <w:pStyle w:val="15"/>
        <w:jc w:val="center"/>
        <w:rPr>
          <w:rFonts w:ascii="微软雅黑" w:hAnsi="微软雅黑" w:eastAsia="微软雅黑" w:cs="微软雅黑"/>
          <w:sz w:val="84"/>
          <w:szCs w:val="84"/>
        </w:rPr>
      </w:pPr>
    </w:p>
    <w:p w14:paraId="0BD0956A">
      <w:pPr>
        <w:pStyle w:val="15"/>
        <w:jc w:val="center"/>
        <w:rPr>
          <w:rFonts w:ascii="微软雅黑" w:hAnsi="微软雅黑" w:eastAsia="微软雅黑" w:cs="微软雅黑"/>
          <w:sz w:val="84"/>
          <w:szCs w:val="84"/>
        </w:rPr>
      </w:pPr>
    </w:p>
    <w:p w14:paraId="31EED461">
      <w:pPr>
        <w:pStyle w:val="15"/>
        <w:jc w:val="center"/>
        <w:rPr>
          <w:rFonts w:ascii="微软雅黑" w:hAnsi="微软雅黑" w:eastAsia="微软雅黑" w:cs="微软雅黑"/>
          <w:sz w:val="84"/>
          <w:szCs w:val="84"/>
        </w:rPr>
      </w:pPr>
    </w:p>
    <w:p w14:paraId="2E4085D6">
      <w:pPr>
        <w:rPr>
          <w:rFonts w:ascii="微软雅黑" w:hAnsi="微软雅黑" w:eastAsia="微软雅黑" w:cs="微软雅黑"/>
        </w:rPr>
      </w:pPr>
    </w:p>
    <w:p w14:paraId="5690E7CB">
      <w:pPr>
        <w:pStyle w:val="15"/>
        <w:spacing w:line="500" w:lineRule="exact"/>
        <w:jc w:val="center"/>
        <w:rPr>
          <w:rFonts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6A248DA4">
      <w:pPr>
        <w:pStyle w:val="15"/>
        <w:spacing w:line="500" w:lineRule="exact"/>
        <w:jc w:val="center"/>
        <w:rPr>
          <w:rFonts w:ascii="微软雅黑" w:hAnsi="微软雅黑" w:eastAsia="微软雅黑" w:cs="微软雅黑"/>
          <w:b/>
          <w:sz w:val="36"/>
          <w:szCs w:val="28"/>
        </w:rPr>
      </w:pPr>
    </w:p>
    <w:p w14:paraId="7E1F0EDB">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第一部分岳阳县住房保障服务中心部门（单位）概况</w:t>
      </w:r>
    </w:p>
    <w:p w14:paraId="47CA820B">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2C1AB3D3">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64B896EB">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第二部分部门决算表</w:t>
      </w:r>
    </w:p>
    <w:p w14:paraId="07DF6631">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2BC6D142">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177701AC">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08AF5E40">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6C27E082">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27BDAEEB">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36CE0705">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522A403F">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3FCDE3D">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763BB47E">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第三部分部门决算情况说明</w:t>
      </w:r>
    </w:p>
    <w:p w14:paraId="3D39C435">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5C473736">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7D145163">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21ED8DCE">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0E64767A">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6E0CF0F">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2A575066">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七、政府性基金预算收入支出决算情况</w:t>
      </w:r>
    </w:p>
    <w:p w14:paraId="01DEFF58">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八、国有资本经营预算财政拨款支出决算情况</w:t>
      </w:r>
    </w:p>
    <w:p w14:paraId="1A90AC95">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九、财政拨款三公经费支出决算情况说明</w:t>
      </w:r>
    </w:p>
    <w:p w14:paraId="680B0BF0">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59BBBF45">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49C92985">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3C8223D7">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2020CA5A">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十四、关于2023</w:t>
      </w:r>
      <w:r>
        <w:rPr>
          <w:rFonts w:ascii="微软雅黑" w:hAnsi="微软雅黑" w:eastAsia="微软雅黑" w:cs="微软雅黑"/>
          <w:sz w:val="28"/>
        </w:rPr>
        <w:t>年度</w:t>
      </w:r>
      <w:r>
        <w:rPr>
          <w:rFonts w:hint="eastAsia" w:ascii="微软雅黑" w:hAnsi="微软雅黑" w:eastAsia="微软雅黑" w:cs="微软雅黑"/>
          <w:sz w:val="28"/>
          <w:szCs w:val="28"/>
        </w:rPr>
        <w:t>绩效评价情况的说明</w:t>
      </w:r>
    </w:p>
    <w:p w14:paraId="3217ACE9">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第四部分名词解释</w:t>
      </w:r>
    </w:p>
    <w:p w14:paraId="73210DBA">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第五部分 附件</w:t>
      </w:r>
    </w:p>
    <w:p w14:paraId="51C707AD">
      <w:pPr>
        <w:pStyle w:val="15"/>
        <w:spacing w:line="500" w:lineRule="exact"/>
        <w:rPr>
          <w:rFonts w:ascii="微软雅黑" w:hAnsi="微软雅黑" w:eastAsia="微软雅黑" w:cs="微软雅黑"/>
          <w:bCs/>
          <w:sz w:val="28"/>
          <w:szCs w:val="28"/>
        </w:rPr>
      </w:pPr>
      <w:r>
        <w:rPr>
          <w:rFonts w:hint="eastAsia" w:ascii="微软雅黑" w:hAnsi="微软雅黑" w:eastAsia="微软雅黑" w:cs="微软雅黑"/>
          <w:bCs/>
          <w:sz w:val="28"/>
          <w:szCs w:val="28"/>
        </w:rPr>
        <w:br w:type="page"/>
      </w:r>
    </w:p>
    <w:p w14:paraId="7F12012D">
      <w:pPr>
        <w:jc w:val="center"/>
        <w:rPr>
          <w:rFonts w:ascii="微软雅黑" w:hAnsi="微软雅黑" w:eastAsia="微软雅黑" w:cs="微软雅黑"/>
          <w:sz w:val="72"/>
          <w:szCs w:val="72"/>
        </w:rPr>
      </w:pPr>
    </w:p>
    <w:p w14:paraId="6A29DE8E">
      <w:pPr>
        <w:jc w:val="center"/>
        <w:rPr>
          <w:rFonts w:ascii="微软雅黑" w:hAnsi="微软雅黑" w:eastAsia="微软雅黑" w:cs="微软雅黑"/>
          <w:sz w:val="72"/>
          <w:szCs w:val="72"/>
        </w:rPr>
      </w:pPr>
    </w:p>
    <w:p w14:paraId="78BEFC83">
      <w:pPr>
        <w:jc w:val="center"/>
        <w:rPr>
          <w:rFonts w:ascii="微软雅黑" w:hAnsi="微软雅黑" w:eastAsia="微软雅黑" w:cs="微软雅黑"/>
          <w:sz w:val="72"/>
          <w:szCs w:val="72"/>
        </w:rPr>
      </w:pPr>
    </w:p>
    <w:p w14:paraId="2B097653">
      <w:pPr>
        <w:jc w:val="center"/>
        <w:rPr>
          <w:rFonts w:ascii="微软雅黑" w:hAnsi="微软雅黑" w:eastAsia="微软雅黑" w:cs="微软雅黑"/>
          <w:sz w:val="72"/>
          <w:szCs w:val="72"/>
        </w:rPr>
      </w:pPr>
    </w:p>
    <w:p w14:paraId="407BFDB5">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48D978C7">
      <w:pPr>
        <w:pStyle w:val="15"/>
        <w:jc w:val="center"/>
        <w:rPr>
          <w:rFonts w:ascii="微软雅黑" w:hAnsi="微软雅黑" w:eastAsia="微软雅黑" w:cs="微软雅黑"/>
          <w:b/>
          <w:bCs/>
          <w:sz w:val="84"/>
          <w:szCs w:val="84"/>
        </w:rPr>
      </w:pPr>
    </w:p>
    <w:p w14:paraId="49B23A70">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岳阳县住房保障服务中心部门（单位）概况</w:t>
      </w:r>
    </w:p>
    <w:p w14:paraId="6F6FF47C">
      <w:pPr>
        <w:jc w:val="center"/>
        <w:rPr>
          <w:rFonts w:ascii="微软雅黑" w:hAnsi="微软雅黑" w:eastAsia="微软雅黑" w:cs="微软雅黑"/>
          <w:sz w:val="72"/>
          <w:szCs w:val="72"/>
        </w:rPr>
      </w:pPr>
    </w:p>
    <w:p w14:paraId="162E1F47">
      <w:pPr>
        <w:jc w:val="center"/>
        <w:rPr>
          <w:rFonts w:ascii="微软雅黑" w:hAnsi="微软雅黑" w:eastAsia="微软雅黑" w:cs="微软雅黑"/>
          <w:sz w:val="72"/>
          <w:szCs w:val="72"/>
        </w:rPr>
      </w:pPr>
    </w:p>
    <w:p w14:paraId="3CB3658C">
      <w:pPr>
        <w:jc w:val="center"/>
        <w:rPr>
          <w:rFonts w:ascii="微软雅黑" w:hAnsi="微软雅黑" w:eastAsia="微软雅黑" w:cs="微软雅黑"/>
          <w:sz w:val="72"/>
          <w:szCs w:val="72"/>
        </w:rPr>
      </w:pPr>
    </w:p>
    <w:p w14:paraId="09C5432F">
      <w:pPr>
        <w:pStyle w:val="16"/>
        <w:ind w:firstLine="0" w:firstLineChars="0"/>
        <w:jc w:val="left"/>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一、部门职责</w:t>
      </w:r>
    </w:p>
    <w:p w14:paraId="013A540D">
      <w:pPr>
        <w:pStyle w:val="15"/>
        <w:spacing w:line="360" w:lineRule="auto"/>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岳阳县住房保障服务中心是岳阳县住房和城乡建设局所属副科级公益一类事业单位。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负责全县保障性住房统计工作; 完成上级主管部门交办的其他工作任务。</w:t>
      </w:r>
    </w:p>
    <w:p w14:paraId="1D4100CE">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ADC4BDB">
      <w:pPr>
        <w:pStyle w:val="15"/>
        <w:spacing w:line="360" w:lineRule="auto"/>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一）内设机构设置。岳阳县住房保障服务中心单位内设机构包括：办公室、财务股、工程项目股、住房服务股四个股室。办公室负责机关日常运转、协助领导处理机关日常事务，负责机关文电、会务、信访、接待、维稳、安全、文稿等工作；财务股负责机关财务工作，负责保障性住房财务工作，负责有关财务统计上报工作；工程项目股负责起草和报批全县保障性住房分配方案，负责全县保障性住房维修、改造项目实施；住房服务股负责全县保障性住房租赁服务和保障性住房实物配租工作，负责全县保障性住房服务对象的登记和调查核实等工作，负责全县保障性住房统计工作。</w:t>
      </w:r>
    </w:p>
    <w:p w14:paraId="0B2CCF09">
      <w:pPr>
        <w:pStyle w:val="15"/>
        <w:spacing w:line="360" w:lineRule="auto"/>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（二）部门决算单位构成。岳阳县住房保障服务中心2023年部门决算汇总公开单位构成包括：岳阳县住房保障服务中心本级，本单位没有所属二级机构，因此本年度部门预算仅为本级部门决算。</w:t>
      </w:r>
    </w:p>
    <w:p w14:paraId="42B7C961">
      <w:pPr>
        <w:jc w:val="center"/>
        <w:rPr>
          <w:rFonts w:ascii="微软雅黑" w:hAnsi="微软雅黑" w:eastAsia="微软雅黑" w:cs="微软雅黑"/>
          <w:sz w:val="72"/>
          <w:szCs w:val="72"/>
        </w:rPr>
      </w:pPr>
    </w:p>
    <w:p w14:paraId="0E183B01">
      <w:pPr>
        <w:jc w:val="center"/>
        <w:rPr>
          <w:rFonts w:ascii="微软雅黑" w:hAnsi="微软雅黑" w:eastAsia="微软雅黑" w:cs="微软雅黑"/>
          <w:sz w:val="72"/>
          <w:szCs w:val="72"/>
        </w:rPr>
      </w:pPr>
    </w:p>
    <w:p w14:paraId="117782C5">
      <w:pPr>
        <w:jc w:val="center"/>
        <w:rPr>
          <w:rFonts w:ascii="微软雅黑" w:hAnsi="微软雅黑" w:eastAsia="微软雅黑" w:cs="微软雅黑"/>
          <w:sz w:val="72"/>
          <w:szCs w:val="72"/>
        </w:rPr>
      </w:pPr>
    </w:p>
    <w:p w14:paraId="398DD962">
      <w:pPr>
        <w:pStyle w:val="15"/>
        <w:jc w:val="center"/>
        <w:rPr>
          <w:rFonts w:ascii="微软雅黑" w:hAnsi="微软雅黑" w:eastAsia="微软雅黑" w:cs="微软雅黑"/>
          <w:sz w:val="84"/>
          <w:szCs w:val="84"/>
        </w:rPr>
      </w:pPr>
    </w:p>
    <w:p w14:paraId="1D3FB07D">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33FAB4A5">
      <w:pPr>
        <w:pStyle w:val="15"/>
        <w:jc w:val="center"/>
        <w:rPr>
          <w:rFonts w:ascii="微软雅黑" w:hAnsi="微软雅黑" w:eastAsia="微软雅黑" w:cs="微软雅黑"/>
          <w:b/>
          <w:bCs/>
          <w:sz w:val="72"/>
          <w:szCs w:val="72"/>
        </w:rPr>
      </w:pPr>
    </w:p>
    <w:p w14:paraId="1FAEA326">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699CD248">
      <w:pPr>
        <w:jc w:val="center"/>
        <w:rPr>
          <w:rFonts w:ascii="微软雅黑" w:hAnsi="微软雅黑" w:eastAsia="微软雅黑" w:cs="微软雅黑"/>
          <w:b/>
          <w:bCs/>
          <w:sz w:val="72"/>
          <w:szCs w:val="72"/>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rPr>
        <w:t>（见附件）</w:t>
      </w:r>
    </w:p>
    <w:p w14:paraId="2F1E8211">
      <w:pPr>
        <w:pStyle w:val="15"/>
        <w:jc w:val="center"/>
        <w:rPr>
          <w:rFonts w:ascii="微软雅黑" w:hAnsi="微软雅黑" w:eastAsia="微软雅黑" w:cs="微软雅黑"/>
          <w:sz w:val="72"/>
          <w:szCs w:val="72"/>
        </w:rPr>
      </w:pPr>
    </w:p>
    <w:p w14:paraId="4C99FA99">
      <w:pPr>
        <w:pStyle w:val="15"/>
        <w:jc w:val="center"/>
        <w:rPr>
          <w:rFonts w:ascii="微软雅黑" w:hAnsi="微软雅黑" w:eastAsia="微软雅黑" w:cs="微软雅黑"/>
          <w:sz w:val="72"/>
          <w:szCs w:val="72"/>
        </w:rPr>
      </w:pPr>
    </w:p>
    <w:p w14:paraId="0A38072F">
      <w:pPr>
        <w:pStyle w:val="15"/>
        <w:jc w:val="center"/>
        <w:rPr>
          <w:rFonts w:ascii="微软雅黑" w:hAnsi="微软雅黑" w:eastAsia="微软雅黑" w:cs="微软雅黑"/>
          <w:sz w:val="72"/>
          <w:szCs w:val="72"/>
        </w:rPr>
      </w:pPr>
    </w:p>
    <w:p w14:paraId="4B0CA646">
      <w:pPr>
        <w:pStyle w:val="15"/>
        <w:jc w:val="center"/>
        <w:rPr>
          <w:rFonts w:ascii="微软雅黑" w:hAnsi="微软雅黑" w:eastAsia="微软雅黑" w:cs="微软雅黑"/>
          <w:sz w:val="72"/>
          <w:szCs w:val="72"/>
        </w:rPr>
      </w:pPr>
    </w:p>
    <w:p w14:paraId="75916D7A">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5227C91">
      <w:pPr>
        <w:pStyle w:val="15"/>
        <w:jc w:val="center"/>
        <w:rPr>
          <w:rFonts w:ascii="微软雅黑" w:hAnsi="微软雅黑" w:eastAsia="微软雅黑" w:cs="微软雅黑"/>
          <w:b/>
          <w:bCs/>
          <w:sz w:val="70"/>
          <w:szCs w:val="70"/>
        </w:rPr>
      </w:pPr>
    </w:p>
    <w:p w14:paraId="3CA083B4">
      <w:pPr>
        <w:pStyle w:val="15"/>
        <w:jc w:val="center"/>
        <w:rPr>
          <w:rFonts w:ascii="微软雅黑" w:hAnsi="微软雅黑" w:eastAsia="微软雅黑" w:cs="微软雅黑"/>
          <w:sz w:val="70"/>
          <w:szCs w:val="70"/>
        </w:rPr>
      </w:pPr>
      <w:r>
        <w:rPr>
          <w:rFonts w:hint="eastAsia" w:ascii="微软雅黑" w:hAnsi="微软雅黑" w:eastAsia="微软雅黑" w:cs="微软雅黑"/>
          <w:b/>
          <w:bCs/>
          <w:sz w:val="70"/>
          <w:szCs w:val="70"/>
        </w:rPr>
        <w:t>2023年度部门决算情况说明</w:t>
      </w:r>
    </w:p>
    <w:p w14:paraId="58E9E4BC">
      <w:pPr>
        <w:pStyle w:val="15"/>
        <w:jc w:val="center"/>
        <w:rPr>
          <w:rFonts w:ascii="微软雅黑" w:hAnsi="微软雅黑" w:eastAsia="微软雅黑" w:cs="微软雅黑"/>
          <w:sz w:val="70"/>
          <w:szCs w:val="70"/>
        </w:rPr>
      </w:pPr>
    </w:p>
    <w:p w14:paraId="6EDE6D7E">
      <w:pPr>
        <w:pStyle w:val="15"/>
        <w:jc w:val="center"/>
        <w:rPr>
          <w:rFonts w:ascii="微软雅黑" w:hAnsi="微软雅黑" w:eastAsia="微软雅黑" w:cs="微软雅黑"/>
          <w:sz w:val="70"/>
          <w:szCs w:val="70"/>
        </w:rPr>
      </w:pPr>
    </w:p>
    <w:p w14:paraId="2A27FFCC">
      <w:pPr>
        <w:pStyle w:val="15"/>
        <w:jc w:val="center"/>
        <w:rPr>
          <w:rFonts w:ascii="微软雅黑" w:hAnsi="微软雅黑" w:eastAsia="微软雅黑" w:cs="微软雅黑"/>
          <w:sz w:val="70"/>
          <w:szCs w:val="70"/>
        </w:rPr>
      </w:pPr>
    </w:p>
    <w:p w14:paraId="7D484C4C">
      <w:pPr>
        <w:pStyle w:val="15"/>
        <w:jc w:val="center"/>
        <w:rPr>
          <w:rFonts w:ascii="微软雅黑" w:hAnsi="微软雅黑" w:eastAsia="微软雅黑" w:cs="微软雅黑"/>
          <w:sz w:val="70"/>
          <w:szCs w:val="70"/>
        </w:rPr>
      </w:pPr>
    </w:p>
    <w:p w14:paraId="5456742B">
      <w:pPr>
        <w:pStyle w:val="15"/>
        <w:jc w:val="center"/>
        <w:rPr>
          <w:rFonts w:ascii="微软雅黑" w:hAnsi="微软雅黑" w:eastAsia="微软雅黑" w:cs="微软雅黑"/>
          <w:sz w:val="70"/>
          <w:szCs w:val="70"/>
        </w:rPr>
      </w:pPr>
    </w:p>
    <w:p w14:paraId="112DA965">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一、收入支出决算总体情况说明</w:t>
      </w:r>
    </w:p>
    <w:p w14:paraId="19B55B0B">
      <w:pPr>
        <w:pStyle w:val="15"/>
        <w:spacing w:line="360" w:lineRule="auto"/>
        <w:ind w:firstLine="640" w:firstLineChars="200"/>
        <w:rPr>
          <w:rFonts w:hint="eastAsia" w:ascii="Times New Roman" w:hAnsi="Times New Roman" w:eastAsia="仿宋_GB2312"/>
          <w:sz w:val="32"/>
          <w:szCs w:val="32"/>
        </w:rPr>
      </w:pPr>
      <w:r>
        <w:rPr>
          <w:rFonts w:hint="eastAsia" w:ascii="微软雅黑" w:hAnsi="微软雅黑" w:eastAsia="微软雅黑" w:cs="微软雅黑"/>
          <w:sz w:val="32"/>
          <w:szCs w:val="32"/>
        </w:rPr>
        <w:t>2023年度收、支总计</w:t>
      </w:r>
      <w:r>
        <w:rPr>
          <w:rFonts w:ascii="微软雅黑" w:hAnsi="微软雅黑" w:eastAsia="微软雅黑" w:cs="微软雅黑"/>
          <w:sz w:val="32"/>
        </w:rPr>
        <w:t>5,713.61万元。与上年</w:t>
      </w:r>
      <w:r>
        <w:rPr>
          <w:rFonts w:hint="eastAsia" w:ascii="Times New Roman" w:hAnsi="Times New Roman" w:eastAsia="仿宋_GB2312"/>
          <w:sz w:val="32"/>
          <w:szCs w:val="32"/>
        </w:rPr>
        <w:t>5241.17</w:t>
      </w:r>
      <w:r>
        <w:rPr>
          <w:rFonts w:hint="eastAsia" w:ascii="微软雅黑" w:hAnsi="微软雅黑" w:eastAsia="微软雅黑" w:cs="微软雅黑"/>
          <w:sz w:val="32"/>
          <w:szCs w:val="32"/>
        </w:rPr>
        <w:t>相比，增长472.44</w:t>
      </w:r>
      <w:r>
        <w:rPr>
          <w:rFonts w:ascii="微软雅黑" w:hAnsi="微软雅黑" w:eastAsia="微软雅黑" w:cs="微软雅黑"/>
          <w:sz w:val="32"/>
        </w:rPr>
        <w:t>万元</w:t>
      </w:r>
      <w:r>
        <w:rPr>
          <w:rFonts w:hint="eastAsia" w:ascii="微软雅黑" w:hAnsi="微软雅黑" w:eastAsia="微软雅黑" w:cs="微软雅黑"/>
          <w:sz w:val="32"/>
          <w:szCs w:val="32"/>
        </w:rPr>
        <w:t>，增长9.01%，主要是因为本年度新增保障性租赁住房项目，且上年度部分项目属于跨年度工程。</w:t>
      </w:r>
    </w:p>
    <w:p w14:paraId="4A5C27F7">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二、收入决算情况说明</w:t>
      </w:r>
    </w:p>
    <w:p w14:paraId="6E361919">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rPr>
        <w:t>5,213.72万元，其中：财政拨款收入</w:t>
      </w:r>
      <w:r>
        <w:rPr>
          <w:rFonts w:ascii="微软雅黑" w:hAnsi="微软雅黑" w:eastAsia="微软雅黑" w:cs="微软雅黑"/>
          <w:sz w:val="32"/>
        </w:rPr>
        <w:t>5,126.43万元，占98.33</w:t>
      </w:r>
      <w:r>
        <w:rPr>
          <w:rFonts w:hint="eastAsia" w:ascii="微软雅黑" w:hAnsi="微软雅黑" w:eastAsia="微软雅黑" w:cs="微软雅黑"/>
          <w:sz w:val="32"/>
          <w:szCs w:val="32"/>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%；其他收入</w:t>
      </w:r>
      <w:r>
        <w:rPr>
          <w:rFonts w:ascii="微软雅黑" w:hAnsi="微软雅黑" w:eastAsia="微软雅黑" w:cs="微软雅黑"/>
          <w:sz w:val="32"/>
        </w:rPr>
        <w:t>87.29万元，占</w:t>
      </w:r>
      <w:r>
        <w:rPr>
          <w:rFonts w:hint="eastAsia" w:ascii="微软雅黑" w:hAnsi="微软雅黑" w:eastAsia="微软雅黑" w:cs="微软雅黑"/>
          <w:sz w:val="32"/>
          <w:szCs w:val="32"/>
        </w:rPr>
        <w:t>1.67%。</w:t>
      </w:r>
    </w:p>
    <w:p w14:paraId="0C55DB50">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三、支出决算情况说明</w:t>
      </w:r>
    </w:p>
    <w:p w14:paraId="3B02D490">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年度支出合计5,475.03万元，其中：基本支出1,811.20万元，占33.08%；项目支出3,663.83万元，占66.92%；上缴上级支出0.00万元，占0.00%；经营支出0.00万元，占0.00%；对附属单位补助支出0.00万元，占0.00%。</w:t>
      </w:r>
    </w:p>
    <w:p w14:paraId="32C53C28">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四、财政拨款收入支出决算总体情况说明</w:t>
      </w:r>
    </w:p>
    <w:p w14:paraId="00633755">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年度财政拨款收、支总计5,365.00万元，与上年相比，增长</w:t>
      </w:r>
      <w:r>
        <w:rPr>
          <w:rFonts w:hint="eastAsia" w:ascii="微软雅黑" w:hAnsi="微软雅黑" w:eastAsia="微软雅黑" w:cs="微软雅黑"/>
          <w:sz w:val="32"/>
        </w:rPr>
        <w:t>846.91</w:t>
      </w:r>
      <w:r>
        <w:rPr>
          <w:rFonts w:ascii="微软雅黑" w:hAnsi="微软雅黑" w:eastAsia="微软雅黑" w:cs="微软雅黑"/>
          <w:sz w:val="32"/>
        </w:rPr>
        <w:t>万元,增长</w:t>
      </w:r>
      <w:r>
        <w:rPr>
          <w:rFonts w:hint="eastAsia" w:ascii="微软雅黑" w:hAnsi="微软雅黑" w:eastAsia="微软雅黑" w:cs="微软雅黑"/>
          <w:sz w:val="32"/>
          <w:szCs w:val="32"/>
        </w:rPr>
        <w:t>18.74%，主要是因为本年度新增保障性租赁住房项目，且上年度部分项目属于跨年度工程。</w:t>
      </w:r>
    </w:p>
    <w:p w14:paraId="5C92A19E">
      <w:pPr>
        <w:pStyle w:val="15"/>
        <w:spacing w:line="600" w:lineRule="exact"/>
        <w:ind w:firstLine="640" w:firstLineChars="200"/>
        <w:rPr>
          <w:rFonts w:ascii="微软雅黑" w:hAnsi="微软雅黑" w:eastAsia="微软雅黑" w:cs="微软雅黑"/>
          <w:bCs/>
          <w:sz w:val="32"/>
          <w:szCs w:val="32"/>
        </w:rPr>
      </w:pPr>
      <w:r>
        <w:rPr>
          <w:rFonts w:hint="eastAsia" w:ascii="微软雅黑" w:hAnsi="微软雅黑" w:eastAsia="微软雅黑" w:cs="微软雅黑"/>
          <w:b/>
          <w:sz w:val="32"/>
          <w:szCs w:val="32"/>
        </w:rPr>
        <w:t>五、一般公共预算财政拨款支出决算情况说明</w:t>
      </w:r>
    </w:p>
    <w:p w14:paraId="4A9972F4">
      <w:pPr>
        <w:pStyle w:val="15"/>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（一）财政拨款支出决算总体情况</w:t>
      </w:r>
    </w:p>
    <w:p w14:paraId="026A2904">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年度财政拨款支出5,126.43万元，占本年支出合计的93.63</w:t>
      </w:r>
      <w:r>
        <w:rPr>
          <w:rFonts w:hint="eastAsia" w:ascii="微软雅黑" w:hAnsi="微软雅黑" w:eastAsia="微软雅黑" w:cs="微软雅黑"/>
          <w:sz w:val="32"/>
          <w:szCs w:val="32"/>
        </w:rPr>
        <w:t>%，与上年相比，财政拨款支出</w:t>
      </w:r>
      <w:r>
        <w:rPr>
          <w:rFonts w:ascii="微软雅黑" w:hAnsi="微软雅黑" w:eastAsia="微软雅黑" w:cs="微软雅黑"/>
          <w:sz w:val="32"/>
        </w:rPr>
        <w:t>增</w:t>
      </w:r>
      <w:r>
        <w:rPr>
          <w:rFonts w:hint="eastAsia" w:ascii="微软雅黑" w:hAnsi="微软雅黑" w:eastAsia="微软雅黑" w:cs="微软雅黑"/>
          <w:sz w:val="32"/>
          <w:szCs w:val="32"/>
        </w:rPr>
        <w:t>长608.34万元，增长13.46%，主要是因为本年度新增保障性租赁住房项目，且上年度部分项目属于跨年度工程。</w:t>
      </w:r>
    </w:p>
    <w:p w14:paraId="265F7E5D">
      <w:pPr>
        <w:pStyle w:val="15"/>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（二）财政拨款支出决算结构情况</w:t>
      </w:r>
    </w:p>
    <w:p w14:paraId="0864CE47">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2023年度财政拨款支出5,126.43万元，主要用于以下方面：</w:t>
      </w:r>
    </w:p>
    <w:p w14:paraId="795DEBBB">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社会保障和就业支出（类）11.39万元，占0.22%；卫生健康支出（类）6.36万元，占0.12%；城乡社区（类）支出302.44万元，占5.9%；住房保障（类）支出4806.24万元，占93.76%。</w:t>
      </w:r>
    </w:p>
    <w:p w14:paraId="468662A7">
      <w:pPr>
        <w:pStyle w:val="15"/>
        <w:numPr>
          <w:ilvl w:val="0"/>
          <w:numId w:val="1"/>
        </w:numPr>
        <w:spacing w:line="360" w:lineRule="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财政拨款支出决算具体情况</w:t>
      </w:r>
    </w:p>
    <w:p w14:paraId="4E12BF85">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年度财政拨款支出年初预算数为1,570.52万元，支出决算数为5,126</w:t>
      </w:r>
      <w:r>
        <w:rPr>
          <w:rFonts w:hint="eastAsia" w:ascii="微软雅黑" w:hAnsi="微软雅黑" w:eastAsia="微软雅黑" w:cs="微软雅黑"/>
          <w:sz w:val="32"/>
          <w:szCs w:val="32"/>
        </w:rPr>
        <w:t>.43万元，完成年初预算的326.42%，其中：</w:t>
      </w:r>
    </w:p>
    <w:p w14:paraId="2FC77128">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1、社会保障和就业支出（类）：年初数11.39万元，支出决算数为11.39万元，完成年初预算数的100%。其中：</w:t>
      </w:r>
    </w:p>
    <w:p w14:paraId="757CC346">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①社会保障和就业支出（类）行政事业单位养老支出（款）机关事业单位基本养老保险缴费支出（项）</w:t>
      </w:r>
    </w:p>
    <w:p w14:paraId="098E17F5">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年初预算为10.72万元，支出决算数为10.72万元，完成初预算的100%，决算数与年初预算数持平。此项资金主要用于人员养老、职业年金等基本的社会保险缴费。</w:t>
      </w:r>
    </w:p>
    <w:p w14:paraId="0BAB0803">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②社会保障和就业支出（类）其他社会保障和就业支出（款）其他社会保障和就业支出（项）</w:t>
      </w:r>
    </w:p>
    <w:p w14:paraId="3A2CB21A">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年初预算数为0.67万元，支出决算数为0.67万元，完成年初预算的100%，决算数与年初预算数持平，此项资金主要用于其他社会保险缴费。</w:t>
      </w:r>
    </w:p>
    <w:p w14:paraId="6359E4BE">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2、卫生健康支出（类）：年初数6.36万元，支出决算数为6.36万元，完成年初预算数的100%。</w:t>
      </w:r>
    </w:p>
    <w:p w14:paraId="63992BC1">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卫生健康支出（类）行政事业单位医疗（款）事业单位医疗（项）</w:t>
      </w:r>
    </w:p>
    <w:p w14:paraId="152E3BE9">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年初预算数为6.36万元，支出决算数为6.36万元，完成年初预算的100%，决算数与年初预算数持平,此项资金主要用于职工基本医疗保险缴费。</w:t>
      </w:r>
    </w:p>
    <w:p w14:paraId="66BA0251">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3、城乡社区支出（类）：年初数为623.92万元，支出决算数为302.44万元，完成年初预算的48.47%。</w:t>
      </w:r>
    </w:p>
    <w:p w14:paraId="29850F39">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①城乡社区支出（类）城乡社区管理事务（款）行政运行（项）</w:t>
      </w:r>
    </w:p>
    <w:p w14:paraId="74B72F40">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年初预算数为623.92万元，支出决算数为293.44万元，完成年初预算的47.03%，决算数小于预算数的主要原因是压缩各类非必要项目建设支出。</w:t>
      </w:r>
    </w:p>
    <w:p w14:paraId="5BB6F55D">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②城乡社区支出（类）城乡社区管理事务（款）执业资格注册、资质审查（项）</w:t>
      </w:r>
    </w:p>
    <w:p w14:paraId="542EC9B3">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年初预算为0万元，支出决算数9万元。因年初无预算数，所以无百分比情况，主要原因是财政根据项目需要追加部分经费拨款，此类经费主要用于保障房正常维护。</w:t>
      </w:r>
    </w:p>
    <w:p w14:paraId="6CA6DB90">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4、住房保障支出（类）：年初预算数为8.04万元，支出决算数为4806.24万元，完成年初预算的59779.10%。</w:t>
      </w:r>
    </w:p>
    <w:p w14:paraId="253CF87C">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①住房保障支出（类）保障性安居工程支出(款)廉租住房(项)</w:t>
      </w:r>
    </w:p>
    <w:p w14:paraId="601FC38E">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年初预算为0万元，支出决算数为41.31万元，完成年初预算的100%。因年初无预算数，所以无百分比情况，主要原因是财政根据项目需要追加部分经费拨款，此项资金主要用于廉租住房项目。</w:t>
      </w:r>
    </w:p>
    <w:p w14:paraId="07803DC8">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②住房保障支出（类）保障性安居工程支出(款)棚户区改造(项)</w:t>
      </w:r>
    </w:p>
    <w:p w14:paraId="6EBE9EAC">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年初预算数为0.00万元，支出决算数为776万元。因年初无预算数，所以无百分比情况，主要原因是财政根据项目需要追加部分经费拨款，此类经费主要用于项目支出城市棚户区改造。</w:t>
      </w:r>
    </w:p>
    <w:p w14:paraId="39CAB5E9">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③住房保障支出（类）保障性安居工程支出(款)公共租赁住房(项)</w:t>
      </w:r>
    </w:p>
    <w:p w14:paraId="0E30AD41">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年初预算数为0.00万元，支出决算数为773.1万元。因年初无预算数，所以无百分比情况。主要原因是财政根据项目需要追加部分经费拨款，此类经费主要用于项目支出公共租赁住房项目建设。</w:t>
      </w:r>
    </w:p>
    <w:p w14:paraId="28F7EE1C">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④住房保障支出（类）保障性安居工程支出(款)保障性住房租金补贴(项)</w:t>
      </w:r>
    </w:p>
    <w:p w14:paraId="6517258B">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0.00万元，支出决算数为428.85万元。因年初无预算数，所以无百分比情况，主要原因是财政根据项目需要追加部分经费拨款，此类经费主要用于项目支出向符合条件的在市场租赁住房的城镇低收入住房保障家庭发放租赁补贴。</w:t>
      </w:r>
    </w:p>
    <w:p w14:paraId="357FF937">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⑤住房保障支出（类）保障性安居工程支出(款) 保障性租赁住房(项)</w:t>
      </w:r>
    </w:p>
    <w:p w14:paraId="1DA031C4">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0.00万元，支出决算数为2563万元。因年初无预算数，所以无百分比情况，主要原因是财政根据项目需要追加部分经费拨款，此类经费主要用于项目支出向符合条件的在市场租赁住房的城镇低收入住房保障家庭发放租赁补贴。</w:t>
      </w:r>
    </w:p>
    <w:p w14:paraId="0F679A78">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⑥住房保障支出（类）保障性安居工程支出(款)其他保障性安居工程支出(项)</w:t>
      </w:r>
    </w:p>
    <w:p w14:paraId="4FF76FCD">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年初预算数为0.00万元，支出决算数为255.94万元。因年初无预算数，所以无百分比情况，主要原因是财政根据项目需要追加部分经费拨款，此类经费主要用于项目支出其他保障性安居工程支出。</w:t>
      </w:r>
    </w:p>
    <w:p w14:paraId="3545A525">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⑦住房保障支出（类）住房改革支出(款)住房公积金(项)</w:t>
      </w:r>
    </w:p>
    <w:p w14:paraId="3AC81D9D">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年初预算为8.04万元，支出决算数为8.04元，完成年初预算的100%。决算数与年初预算数持平的主要原因是严格执行年初预算，此项资金主要用于职工住房公积金缴纳。</w:t>
      </w:r>
    </w:p>
    <w:p w14:paraId="618714A4">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六、一般公共预算财政拨款基本支出决算情况说明</w:t>
      </w:r>
    </w:p>
    <w:p w14:paraId="262C1E53">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年度财政拨款基本支出1462.59万元，其中：</w:t>
      </w:r>
    </w:p>
    <w:p w14:paraId="7327641A">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人员经费234.41万元，占基本支出的16.03%,主要包括基本工资、津贴补贴、奖金、绩效工资、机关事业单位基本养老保险缴费、职业年金缴费、职工基本医疗保险缴费、公务员医疗补助缴费、其他社会保障缴费、住房公积金、医疗费、其他工资福利支出、退休费、生活补助、其他对个人和家庭的补助等支出。</w:t>
      </w:r>
    </w:p>
    <w:p w14:paraId="024D5F88">
      <w:pPr>
        <w:pStyle w:val="15"/>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用经费1,228.18万元，占基本支出的83.97%，主要包括办公费、印刷费、咨询费、电费、邮电费、物业管理费、差旅费、维修（护）费、租赁费、会议费、培训费、公务接待费、专用材料费、劳务费、委托业务费、工会经费、福利费、其他交通费用、其他商品和服务支出、办公设备购置等支出。</w:t>
      </w:r>
    </w:p>
    <w:p w14:paraId="0BF9F664">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七、政府性基金预算收入支出决算情况</w:t>
      </w:r>
    </w:p>
    <w:p w14:paraId="198ECDEA">
      <w:pPr>
        <w:pStyle w:val="15"/>
        <w:spacing w:line="600" w:lineRule="exact"/>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2023年度本单位无政府性基金预算支出。</w:t>
      </w:r>
    </w:p>
    <w:p w14:paraId="71EB389F">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八、国有资本经营预算财政拨款支出决算情况</w:t>
      </w:r>
    </w:p>
    <w:p w14:paraId="18D70E02">
      <w:pPr>
        <w:pStyle w:val="15"/>
        <w:spacing w:line="600" w:lineRule="exact"/>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2022年度国有资本经营预算财政拨款支出。</w:t>
      </w:r>
    </w:p>
    <w:p w14:paraId="4CAE6871">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九、财政拨款三公经费支出决算情况说明</w:t>
      </w:r>
    </w:p>
    <w:p w14:paraId="29B92B6E">
      <w:pPr>
        <w:pStyle w:val="15"/>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（一）“三公”经费财政拨款支出决算总体情况说明</w:t>
      </w:r>
    </w:p>
    <w:p w14:paraId="09406B31">
      <w:pPr>
        <w:pStyle w:val="15"/>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0.50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0.50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%，其中：</w:t>
      </w:r>
    </w:p>
    <w:p w14:paraId="1445E761">
      <w:pPr>
        <w:pStyle w:val="15"/>
        <w:spacing w:line="600" w:lineRule="exact"/>
        <w:ind w:firstLine="800" w:firstLineChars="250"/>
        <w:rPr>
          <w:rFonts w:ascii="Times New Roman" w:hAnsi="Times New Roman" w:eastAsia="仿宋_GB2312"/>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万元，完成预算的0.00%，决算数等于预算数，主要原因是本年与上年均未安排因公出国（境）费支出。</w:t>
      </w:r>
    </w:p>
    <w:p w14:paraId="28767ADF">
      <w:pPr>
        <w:pStyle w:val="15"/>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0.50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0.50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rPr>
        <w:t>100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rPr>
        <w:t>与年初</w:t>
      </w:r>
      <w:r>
        <w:rPr>
          <w:rFonts w:hint="eastAsia" w:ascii="微软雅黑" w:hAnsi="微软雅黑" w:eastAsia="微软雅黑" w:cs="微软雅黑"/>
          <w:sz w:val="32"/>
          <w:szCs w:val="32"/>
        </w:rPr>
        <w:t>预算数持平。与上年相比</w:t>
      </w:r>
      <w:r>
        <w:rPr>
          <w:rFonts w:hint="eastAsia" w:ascii="微软雅黑" w:hAnsi="微软雅黑" w:eastAsia="微软雅黑" w:cs="微软雅黑"/>
          <w:sz w:val="32"/>
        </w:rPr>
        <w:t>减少</w:t>
      </w:r>
      <w:r>
        <w:rPr>
          <w:rFonts w:ascii="微软雅黑" w:hAnsi="微软雅黑" w:eastAsia="微软雅黑" w:cs="微软雅黑"/>
          <w:sz w:val="32"/>
        </w:rPr>
        <w:t>0.5</w:t>
      </w:r>
      <w:r>
        <w:rPr>
          <w:rFonts w:hint="eastAsia" w:ascii="微软雅黑" w:hAnsi="微软雅黑" w:eastAsia="微软雅黑" w:cs="微软雅黑"/>
          <w:sz w:val="32"/>
        </w:rPr>
        <w:t>3</w:t>
      </w:r>
      <w:r>
        <w:rPr>
          <w:rFonts w:hint="eastAsia" w:ascii="微软雅黑" w:hAnsi="微软雅黑" w:eastAsia="微软雅黑" w:cs="微软雅黑"/>
          <w:sz w:val="32"/>
          <w:szCs w:val="32"/>
        </w:rPr>
        <w:t>万元，</w:t>
      </w:r>
      <w:r>
        <w:rPr>
          <w:rFonts w:hint="eastAsia" w:ascii="微软雅黑" w:hAnsi="微软雅黑" w:eastAsia="微软雅黑" w:cs="微软雅黑"/>
          <w:color w:val="auto"/>
          <w:sz w:val="32"/>
          <w:szCs w:val="32"/>
        </w:rPr>
        <w:t>减少51.46</w:t>
      </w:r>
      <w:r>
        <w:rPr>
          <w:rFonts w:hint="eastAsia" w:ascii="微软雅黑" w:hAnsi="微软雅黑" w:eastAsia="微软雅黑" w:cs="微软雅黑"/>
          <w:sz w:val="32"/>
          <w:szCs w:val="32"/>
        </w:rPr>
        <w:t>%,</w:t>
      </w:r>
      <w:r>
        <w:rPr>
          <w:rFonts w:hint="eastAsia" w:ascii="微软雅黑" w:hAnsi="微软雅黑" w:eastAsia="微软雅黑" w:cs="微软雅黑"/>
          <w:color w:val="3216DC"/>
          <w:sz w:val="32"/>
          <w:szCs w:val="32"/>
          <w:u w:val="single"/>
        </w:rPr>
        <w:t xml:space="preserve"> </w:t>
      </w:r>
      <w:r>
        <w:rPr>
          <w:rFonts w:hint="eastAsia" w:ascii="微软雅黑" w:hAnsi="微软雅黑" w:eastAsia="微软雅黑" w:cs="微软雅黑"/>
          <w:sz w:val="32"/>
          <w:szCs w:val="32"/>
        </w:rPr>
        <w:t>减少的主要原因是严格控制三公经费，减少不必要的陪同人员，节俭开支。</w:t>
      </w:r>
    </w:p>
    <w:p w14:paraId="4CAE4AB4">
      <w:pPr>
        <w:pStyle w:val="15"/>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公务用车购置费支出预算为0.00万元，支出决算为0.00万元，完成预算的0%，决算数与年初预算数持平的主要原因是本年与上年均未安排公务用车购置费用。</w:t>
      </w:r>
    </w:p>
    <w:p w14:paraId="5C2ED561">
      <w:pPr>
        <w:pStyle w:val="15"/>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公务用车运行维护费支出预算为0.00万元，支出决算为0.00万元，完成预算的0%，决算数与年初预算数持平的主要原因是本年与上年均未安排公务用车运行维护费支出。</w:t>
      </w:r>
    </w:p>
    <w:p w14:paraId="51DBAF2D">
      <w:pPr>
        <w:pStyle w:val="15"/>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（二）“三公”经费财政拨款支出决算具体情况说明</w:t>
      </w:r>
    </w:p>
    <w:p w14:paraId="202F397F">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2023年度“三公”经费财政拨款支出决算中，公务接待费支出决算</w:t>
      </w:r>
      <w:r>
        <w:rPr>
          <w:rFonts w:ascii="微软雅黑" w:hAnsi="微软雅黑" w:eastAsia="微软雅黑" w:cs="微软雅黑"/>
          <w:sz w:val="32"/>
        </w:rPr>
        <w:t>0.50</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42D27185">
      <w:pPr>
        <w:pStyle w:val="15"/>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1、因公出国（境）费支出决算为0.00万元，全年安排因公出国（境）团组0个，累计0人次。</w:t>
      </w:r>
    </w:p>
    <w:p w14:paraId="2E02EA82">
      <w:pPr>
        <w:pStyle w:val="15"/>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2、公务接待费支出决算为0.50万元，全年共接待来访团组8个、来宾100人次，主要是国内公务接待支出，即与有关单位交流工作情况及接受相关部门检查指导工作发生的接待支出。</w:t>
      </w:r>
    </w:p>
    <w:p w14:paraId="7462D220">
      <w:pPr>
        <w:pStyle w:val="15"/>
        <w:spacing w:line="360" w:lineRule="auto"/>
        <w:ind w:firstLine="640" w:firstLineChars="200"/>
        <w:rPr>
          <w:rFonts w:ascii="微软雅黑" w:hAnsi="微软雅黑" w:eastAsia="微软雅黑" w:cs="微软雅黑"/>
          <w:b/>
          <w:bCs/>
          <w:i/>
          <w:kern w:val="0"/>
          <w:sz w:val="32"/>
          <w:szCs w:val="32"/>
        </w:rPr>
      </w:pPr>
      <w:r>
        <w:rPr>
          <w:rFonts w:hint="eastAsia" w:ascii="微软雅黑" w:hAnsi="微软雅黑" w:eastAsia="微软雅黑" w:cs="微软雅黑"/>
          <w:sz w:val="32"/>
          <w:szCs w:val="32"/>
        </w:rPr>
        <w:t>3、公务用车购置费及运行维护费支出决算为0.00万元，其中：公务用车购置费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岳阳县住房保障服务中心更新公务用车</w:t>
      </w:r>
      <w:r>
        <w:rPr>
          <w:rFonts w:hint="eastAsia" w:ascii="微软雅黑" w:hAnsi="微软雅黑" w:eastAsia="微软雅黑" w:cs="微软雅黑"/>
          <w:sz w:val="32"/>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万元，截至2023年12月31日，我单位开支财政拨款的公务用车保有量为0辆。</w:t>
      </w:r>
    </w:p>
    <w:p w14:paraId="2C29FBBD">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十、关于机关运行经费支出说明</w:t>
      </w:r>
    </w:p>
    <w:p w14:paraId="68B047AC">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本部门2023年度机关运行经费支出</w:t>
      </w:r>
      <w:r>
        <w:rPr>
          <w:rFonts w:ascii="微软雅黑" w:hAnsi="微软雅黑" w:eastAsia="微软雅黑" w:cs="微软雅黑"/>
          <w:sz w:val="32"/>
        </w:rPr>
        <w:t>1,228.18万元</w:t>
      </w:r>
      <w:r>
        <w:rPr>
          <w:rFonts w:hint="eastAsia" w:ascii="微软雅黑" w:hAnsi="微软雅黑" w:eastAsia="微软雅黑" w:cs="微软雅黑"/>
          <w:sz w:val="32"/>
          <w:szCs w:val="32"/>
        </w:rPr>
        <w:t>，较上年决算数</w:t>
      </w:r>
      <w:r>
        <w:rPr>
          <w:rFonts w:ascii="微软雅黑" w:hAnsi="微软雅黑" w:eastAsia="微软雅黑" w:cs="微软雅黑"/>
          <w:sz w:val="32"/>
        </w:rPr>
        <w:t>增长</w:t>
      </w:r>
      <w:r>
        <w:rPr>
          <w:rFonts w:hint="eastAsia" w:ascii="微软雅黑" w:hAnsi="微软雅黑" w:eastAsia="微软雅黑" w:cs="微软雅黑"/>
          <w:sz w:val="32"/>
        </w:rPr>
        <w:t>875.23</w:t>
      </w:r>
      <w:r>
        <w:rPr>
          <w:rFonts w:ascii="微软雅黑" w:hAnsi="微软雅黑" w:eastAsia="微软雅黑" w:cs="微软雅黑"/>
          <w:sz w:val="32"/>
        </w:rPr>
        <w:t xml:space="preserve"> 万元，增长</w:t>
      </w:r>
      <w:r>
        <w:rPr>
          <w:rFonts w:hint="eastAsia" w:ascii="微软雅黑" w:hAnsi="微软雅黑" w:eastAsia="微软雅黑" w:cs="微软雅黑"/>
          <w:sz w:val="32"/>
        </w:rPr>
        <w:t>247.98</w:t>
      </w:r>
      <w:r>
        <w:rPr>
          <w:rFonts w:hint="eastAsia" w:ascii="微软雅黑" w:hAnsi="微软雅黑" w:eastAsia="微软雅黑" w:cs="微软雅黑"/>
          <w:sz w:val="32"/>
          <w:szCs w:val="32"/>
        </w:rPr>
        <w:t xml:space="preserve"> %。增长的主要原因是：部分廉租房及公租房随着使用年限增加，部份管道老化等原因增加了维护费用。</w:t>
      </w:r>
    </w:p>
    <w:p w14:paraId="29456898">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十一、一般性支出情况说明</w:t>
      </w:r>
    </w:p>
    <w:p w14:paraId="62B4FBE2">
      <w:pPr>
        <w:pStyle w:val="15"/>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2023年本部门开支会议费</w:t>
      </w:r>
      <w:r>
        <w:rPr>
          <w:rFonts w:ascii="微软雅黑" w:hAnsi="微软雅黑" w:eastAsia="微软雅黑" w:cs="微软雅黑"/>
          <w:sz w:val="32"/>
        </w:rPr>
        <w:t>0.18</w:t>
      </w:r>
      <w:r>
        <w:rPr>
          <w:rFonts w:hint="eastAsia" w:ascii="微软雅黑" w:hAnsi="微软雅黑" w:eastAsia="微软雅黑" w:cs="微软雅黑"/>
          <w:sz w:val="32"/>
          <w:szCs w:val="32"/>
        </w:rPr>
        <w:t>万元，用于召开保障房改造及迎检等相关会议，人数30人，内容为新建保障房以及保障房迎检；开支培训费</w:t>
      </w:r>
      <w:r>
        <w:rPr>
          <w:rFonts w:ascii="微软雅黑" w:hAnsi="微软雅黑" w:eastAsia="微软雅黑" w:cs="微软雅黑"/>
          <w:sz w:val="32"/>
        </w:rPr>
        <w:t>0.43万元，</w:t>
      </w:r>
      <w:r>
        <w:rPr>
          <w:rFonts w:hint="eastAsia" w:ascii="微软雅黑" w:hAnsi="微软雅黑" w:eastAsia="微软雅黑" w:cs="微软雅黑"/>
          <w:sz w:val="32"/>
          <w:szCs w:val="32"/>
        </w:rPr>
        <w:t>用于开展专业技术人员继续教育培训、棚户区改造以及新系统上线培训等，人数15人，主要用于开展内容为专业技术人员继续教育培训和棚户区改造新系统上线培训；未举办节庆、晚会、论坛、赛事活动，开支0.00万元。</w:t>
      </w:r>
    </w:p>
    <w:p w14:paraId="0FAD373E">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十二、关于政府采购支出说明</w:t>
      </w:r>
    </w:p>
    <w:p w14:paraId="507719AB">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本部门2023年度政府采购支出总额3462.54万元，其中：政府采购货物支出7.19万元、政府采购工程支出3444.96万元、政府采购服务支出10.39万元。授予中小企业合同金额3462.54万元，占政府采购支出总额的100%，其中：授予小微企业合同金额3462.54万元，占授予中小企业合同金额的100%。货物采购授予中小企业合同金额占货物支出金额的100%，工程采购授予中小企业合同金额占工程支出金额的100%，服务采购授予中小企业合同金额占服务支出金额的100%。</w:t>
      </w:r>
    </w:p>
    <w:p w14:paraId="0FE3D9BF">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十三、关于国有资产占用情况说明</w:t>
      </w:r>
    </w:p>
    <w:p w14:paraId="231183AD">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1157D99E">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十四、关于2023年度绩效评价情况的说明</w:t>
      </w:r>
    </w:p>
    <w:p w14:paraId="6FE74F2B">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235C6B9A">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2</w:t>
      </w:r>
      <w:r>
        <w:rPr>
          <w:rFonts w:ascii="微软雅黑" w:hAnsi="微软雅黑" w:eastAsia="微软雅黑" w:cs="微软雅黑"/>
          <w:color w:val="000000"/>
          <w:sz w:val="32"/>
        </w:rPr>
        <w:t>个，共</w:t>
      </w:r>
      <w:r>
        <w:rPr>
          <w:rFonts w:ascii="微软雅黑" w:hAnsi="微软雅黑" w:eastAsia="微软雅黑" w:cs="微软雅黑"/>
          <w:color w:val="000000" w:themeColor="text1"/>
          <w:sz w:val="32"/>
          <w14:textFill>
            <w14:solidFill>
              <w14:schemeClr w14:val="tx1"/>
            </w14:solidFill>
          </w14:textFill>
        </w:rPr>
        <w:t>涉及资金</w:t>
      </w:r>
      <w:r>
        <w:rPr>
          <w:rFonts w:hint="eastAsia" w:ascii="微软雅黑" w:hAnsi="微软雅黑" w:eastAsia="微软雅黑" w:cs="微软雅黑"/>
          <w:color w:val="000000" w:themeColor="text1"/>
          <w:sz w:val="32"/>
          <w:lang w:val="en-US" w:eastAsia="zh-CN"/>
          <w14:textFill>
            <w14:solidFill>
              <w14:schemeClr w14:val="tx1"/>
            </w14:solidFill>
          </w14:textFill>
        </w:rPr>
        <w:t>3663.83</w:t>
      </w:r>
      <w:r>
        <w:rPr>
          <w:rFonts w:ascii="微软雅黑" w:hAnsi="微软雅黑" w:eastAsia="微软雅黑" w:cs="微软雅黑"/>
          <w:color w:val="000000" w:themeColor="text1"/>
          <w:sz w:val="32"/>
          <w14:textFill>
            <w14:solidFill>
              <w14:schemeClr w14:val="tx1"/>
            </w14:solidFill>
          </w14:textFill>
        </w:rPr>
        <w:t xml:space="preserve"> 万元，占一般公共预算项目支出总额的</w:t>
      </w:r>
      <w:r>
        <w:rPr>
          <w:rFonts w:hint="eastAsia" w:ascii="微软雅黑" w:hAnsi="微软雅黑" w:eastAsia="微软雅黑" w:cs="微软雅黑"/>
          <w:color w:val="000000" w:themeColor="text1"/>
          <w:sz w:val="32"/>
          <w:lang w:val="en-US" w:eastAsia="zh-CN"/>
          <w14:textFill>
            <w14:solidFill>
              <w14:schemeClr w14:val="tx1"/>
            </w14:solidFill>
          </w14:textFill>
        </w:rPr>
        <w:t>100</w:t>
      </w:r>
      <w:r>
        <w:rPr>
          <w:rFonts w:ascii="微软雅黑" w:hAnsi="微软雅黑" w:eastAsia="微软雅黑" w:cs="微软雅黑"/>
          <w:color w:val="000000" w:themeColor="text1"/>
          <w:sz w:val="32"/>
          <w14:textFill>
            <w14:solidFill>
              <w14:schemeClr w14:val="tx1"/>
            </w14:solidFill>
          </w14:textFill>
        </w:rPr>
        <w:t>%。组织对</w:t>
      </w:r>
      <w:r>
        <w:rPr>
          <w:rFonts w:ascii="微软雅黑" w:hAnsi="微软雅黑" w:eastAsia="微软雅黑" w:cs="微软雅黑"/>
          <w:color w:val="000000"/>
          <w:sz w:val="32"/>
        </w:rPr>
        <w:t>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3C1FBECA">
      <w:pPr>
        <w:autoSpaceDE w:val="0"/>
        <w:autoSpaceDN w:val="0"/>
        <w:adjustRightInd w:val="0"/>
        <w:spacing w:line="360" w:lineRule="auto"/>
        <w:ind w:firstLine="640" w:firstLineChars="200"/>
        <w:jc w:val="left"/>
        <w:rPr>
          <w:rFonts w:hint="eastAsia" w:ascii="微软雅黑" w:hAnsi="微软雅黑" w:eastAsia="微软雅黑" w:cs="微软雅黑"/>
          <w:color w:val="000000" w:themeColor="text1"/>
          <w:sz w:val="32"/>
          <w:lang w:val="en-US" w:eastAsia="zh-CN"/>
          <w14:textFill>
            <w14:solidFill>
              <w14:schemeClr w14:val="tx1"/>
            </w14:solidFill>
          </w14:textFill>
        </w:rPr>
      </w:pPr>
      <w:r>
        <w:rPr>
          <w:rFonts w:hint="eastAsia" w:ascii="微软雅黑" w:hAnsi="微软雅黑" w:eastAsia="微软雅黑" w:cs="微软雅黑"/>
          <w:color w:val="000000" w:themeColor="text1"/>
          <w:sz w:val="32"/>
          <w:lang w:val="en-US" w:eastAsia="zh-CN"/>
          <w14:textFill>
            <w14:solidFill>
              <w14:schemeClr w14:val="tx1"/>
            </w14:solidFill>
          </w14:textFill>
        </w:rPr>
        <w:t>组织对城镇保障性安居工程城市棚户区改造项目等1个项目开展了部门评价，涉及一般公共预算支出776万元，政府性基金预算支出0万元，国有资本经营预算支出0万元。从评价情况来看，本单位做好了指标支出工作，加强资金监管，确保专款专用，切实提高资金使用效益。</w:t>
      </w:r>
    </w:p>
    <w:p w14:paraId="217A4FE0">
      <w:pPr>
        <w:autoSpaceDE w:val="0"/>
        <w:autoSpaceDN w:val="0"/>
        <w:adjustRightInd w:val="0"/>
        <w:spacing w:line="360" w:lineRule="auto"/>
        <w:ind w:firstLine="640" w:firstLineChars="200"/>
        <w:jc w:val="left"/>
        <w:rPr>
          <w:rFonts w:hint="eastAsia" w:ascii="微软雅黑" w:hAnsi="微软雅黑" w:eastAsia="微软雅黑" w:cs="微软雅黑"/>
          <w:i w:val="0"/>
          <w:iCs w:val="0"/>
          <w:caps w:val="0"/>
          <w:color w:val="000000"/>
          <w:spacing w:val="0"/>
          <w:sz w:val="32"/>
          <w:szCs w:val="32"/>
          <w:shd w:val="clear" w:fill="FFFFFF"/>
          <w:lang w:val="en-US" w:eastAsia="zh-CN"/>
        </w:rPr>
      </w:pPr>
      <w:r>
        <w:rPr>
          <w:rFonts w:hint="eastAsia" w:ascii="微软雅黑" w:hAnsi="微软雅黑" w:eastAsia="微软雅黑" w:cs="微软雅黑"/>
          <w:color w:val="000000"/>
          <w:kern w:val="0"/>
          <w:sz w:val="32"/>
          <w:szCs w:val="32"/>
        </w:rPr>
        <w:t>组织对</w:t>
      </w:r>
      <w:r>
        <w:rPr>
          <w:rFonts w:hint="eastAsia" w:ascii="微软雅黑" w:hAnsi="微软雅黑" w:eastAsia="微软雅黑" w:cs="微软雅黑"/>
          <w:color w:val="000000"/>
          <w:kern w:val="0"/>
          <w:sz w:val="32"/>
          <w:szCs w:val="32"/>
          <w:lang w:eastAsia="zh-CN"/>
        </w:rPr>
        <w:t>本</w:t>
      </w:r>
      <w:r>
        <w:rPr>
          <w:rFonts w:hint="eastAsia" w:ascii="微软雅黑" w:hAnsi="微软雅黑" w:eastAsia="微软雅黑" w:cs="微软雅黑"/>
          <w:color w:val="000000"/>
          <w:kern w:val="0"/>
          <w:sz w:val="32"/>
          <w:szCs w:val="32"/>
        </w:rPr>
        <w:t>单位开展整体支出绩效评价，涉及一般公共预算支出</w:t>
      </w:r>
      <w:r>
        <w:rPr>
          <w:rFonts w:hint="eastAsia" w:ascii="微软雅黑" w:hAnsi="微软雅黑" w:eastAsia="微软雅黑" w:cs="微软雅黑"/>
          <w:color w:val="000000"/>
          <w:kern w:val="0"/>
          <w:sz w:val="32"/>
          <w:szCs w:val="32"/>
          <w:lang w:val="en-US" w:eastAsia="zh-CN"/>
        </w:rPr>
        <w:t>5126.43</w:t>
      </w:r>
      <w:r>
        <w:rPr>
          <w:rFonts w:hint="eastAsia" w:ascii="微软雅黑" w:hAnsi="微软雅黑" w:eastAsia="微软雅黑" w:cs="微软雅黑"/>
          <w:color w:val="000000"/>
          <w:kern w:val="0"/>
          <w:sz w:val="32"/>
          <w:szCs w:val="32"/>
        </w:rPr>
        <w:t>万元，政府性基金预算支出</w:t>
      </w:r>
      <w:r>
        <w:rPr>
          <w:rFonts w:hint="eastAsia" w:ascii="微软雅黑" w:hAnsi="微软雅黑" w:eastAsia="微软雅黑" w:cs="微软雅黑"/>
          <w:color w:val="000000"/>
          <w:kern w:val="0"/>
          <w:sz w:val="32"/>
          <w:szCs w:val="32"/>
          <w:lang w:val="en-US" w:eastAsia="zh-CN"/>
        </w:rPr>
        <w:t>0</w:t>
      </w:r>
      <w:r>
        <w:rPr>
          <w:rFonts w:hint="eastAsia" w:ascii="微软雅黑" w:hAnsi="微软雅黑" w:eastAsia="微软雅黑" w:cs="微软雅黑"/>
          <w:color w:val="000000"/>
          <w:kern w:val="0"/>
          <w:sz w:val="32"/>
          <w:szCs w:val="32"/>
        </w:rPr>
        <w:t>万元。从评价情况来看</w:t>
      </w:r>
      <w:r>
        <w:rPr>
          <w:rFonts w:ascii="微软雅黑" w:hAnsi="微软雅黑" w:eastAsia="微软雅黑" w:cs="微软雅黑"/>
          <w:i w:val="0"/>
          <w:iCs w:val="0"/>
          <w:caps w:val="0"/>
          <w:color w:val="000000"/>
          <w:spacing w:val="0"/>
          <w:sz w:val="32"/>
          <w:szCs w:val="32"/>
          <w:shd w:val="clear" w:fill="FFFFFF"/>
          <w:lang w:val="en-US"/>
        </w:rPr>
        <w:t>，</w:t>
      </w:r>
      <w:r>
        <w:rPr>
          <w:rFonts w:hint="eastAsia" w:ascii="微软雅黑" w:hAnsi="微软雅黑" w:eastAsia="微软雅黑" w:cs="微软雅黑"/>
          <w:i w:val="0"/>
          <w:iCs w:val="0"/>
          <w:caps w:val="0"/>
          <w:color w:val="000000"/>
          <w:spacing w:val="0"/>
          <w:sz w:val="32"/>
          <w:szCs w:val="32"/>
          <w:shd w:val="clear" w:fill="FFFFFF"/>
          <w:lang w:val="en-US"/>
        </w:rPr>
        <w:t>全年资金管理规范，符合相关法律法规规定，无资金截留、挪用等违规违纪行为</w:t>
      </w:r>
      <w:r>
        <w:rPr>
          <w:rFonts w:hint="eastAsia" w:ascii="微软雅黑" w:hAnsi="微软雅黑" w:eastAsia="微软雅黑" w:cs="微软雅黑"/>
          <w:i w:val="0"/>
          <w:iCs w:val="0"/>
          <w:caps w:val="0"/>
          <w:color w:val="000000"/>
          <w:spacing w:val="0"/>
          <w:sz w:val="32"/>
          <w:szCs w:val="32"/>
          <w:shd w:val="clear" w:fill="FFFFFF"/>
          <w:lang w:val="en-US" w:eastAsia="zh-CN"/>
        </w:rPr>
        <w:t>，同时，改善居民生活条件和环境。</w:t>
      </w:r>
    </w:p>
    <w:p w14:paraId="0AE323CB">
      <w:pPr>
        <w:autoSpaceDE w:val="0"/>
        <w:autoSpaceDN w:val="0"/>
        <w:adjustRightInd w:val="0"/>
        <w:spacing w:line="360" w:lineRule="auto"/>
        <w:ind w:firstLine="640" w:firstLineChars="200"/>
        <w:jc w:val="left"/>
        <w:rPr>
          <w:rFonts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4C9B07B9">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城镇保障性安居工程城市棚户区改造项目绩效自评综述：根据年初设定的绩效目标，项目绩效自评得分为</w:t>
      </w:r>
      <w:r>
        <w:rPr>
          <w:rFonts w:hint="eastAsia" w:ascii="微软雅黑" w:hAnsi="微软雅黑" w:eastAsia="微软雅黑" w:cs="微软雅黑"/>
          <w:color w:val="000000"/>
          <w:kern w:val="0"/>
          <w:sz w:val="32"/>
          <w:szCs w:val="32"/>
          <w:lang w:val="en-US" w:eastAsia="zh-CN"/>
        </w:rPr>
        <w:t>98</w:t>
      </w:r>
      <w:r>
        <w:rPr>
          <w:rFonts w:hint="eastAsia" w:ascii="微软雅黑" w:hAnsi="微软雅黑" w:eastAsia="微软雅黑" w:cs="微软雅黑"/>
          <w:color w:val="000000"/>
          <w:kern w:val="0"/>
          <w:sz w:val="32"/>
          <w:szCs w:val="32"/>
        </w:rPr>
        <w:t>分。项目全年预算数为</w:t>
      </w:r>
      <w:r>
        <w:rPr>
          <w:rFonts w:hint="eastAsia" w:ascii="微软雅黑" w:hAnsi="微软雅黑" w:eastAsia="微软雅黑" w:cs="微软雅黑"/>
          <w:color w:val="000000"/>
          <w:kern w:val="0"/>
          <w:sz w:val="32"/>
          <w:szCs w:val="32"/>
          <w:lang w:val="en-US" w:eastAsia="zh-CN"/>
        </w:rPr>
        <w:t>776</w:t>
      </w:r>
      <w:r>
        <w:rPr>
          <w:rFonts w:hint="eastAsia" w:ascii="微软雅黑" w:hAnsi="微软雅黑" w:eastAsia="微软雅黑" w:cs="微软雅黑"/>
          <w:color w:val="000000"/>
          <w:kern w:val="0"/>
          <w:sz w:val="32"/>
          <w:szCs w:val="32"/>
        </w:rPr>
        <w:t>万元，执行数为</w:t>
      </w:r>
      <w:r>
        <w:rPr>
          <w:rFonts w:hint="eastAsia" w:ascii="微软雅黑" w:hAnsi="微软雅黑" w:eastAsia="微软雅黑" w:cs="微软雅黑"/>
          <w:color w:val="000000"/>
          <w:kern w:val="0"/>
          <w:sz w:val="32"/>
          <w:szCs w:val="32"/>
          <w:lang w:val="en-US" w:eastAsia="zh-CN"/>
        </w:rPr>
        <w:t>776</w:t>
      </w:r>
      <w:r>
        <w:rPr>
          <w:rFonts w:hint="eastAsia" w:ascii="微软雅黑" w:hAnsi="微软雅黑" w:eastAsia="微软雅黑" w:cs="微软雅黑"/>
          <w:color w:val="000000"/>
          <w:kern w:val="0"/>
          <w:sz w:val="32"/>
          <w:szCs w:val="32"/>
        </w:rPr>
        <w:t>万元，完成预算的</w:t>
      </w:r>
      <w:r>
        <w:rPr>
          <w:rFonts w:hint="eastAsia" w:ascii="微软雅黑" w:hAnsi="微软雅黑" w:eastAsia="微软雅黑" w:cs="微软雅黑"/>
          <w:color w:val="000000"/>
          <w:kern w:val="0"/>
          <w:sz w:val="32"/>
          <w:szCs w:val="32"/>
          <w:lang w:val="en-US" w:eastAsia="zh-CN"/>
        </w:rPr>
        <w:t>100</w:t>
      </w:r>
      <w:r>
        <w:rPr>
          <w:rFonts w:hint="eastAsia" w:ascii="微软雅黑" w:hAnsi="微软雅黑" w:eastAsia="微软雅黑" w:cs="微软雅黑"/>
          <w:color w:val="000000"/>
          <w:kern w:val="0"/>
          <w:sz w:val="32"/>
          <w:szCs w:val="32"/>
        </w:rPr>
        <w:t>%。项目绩效目标完成情况：一是</w:t>
      </w:r>
      <w:r>
        <w:rPr>
          <w:rFonts w:hint="eastAsia" w:ascii="微软雅黑" w:hAnsi="微软雅黑" w:eastAsia="微软雅黑" w:cs="微软雅黑"/>
          <w:color w:val="000000"/>
          <w:kern w:val="0"/>
          <w:sz w:val="32"/>
          <w:szCs w:val="32"/>
          <w:lang w:eastAsia="zh-CN"/>
        </w:rPr>
        <w:t>改造户数</w:t>
      </w:r>
      <w:r>
        <w:rPr>
          <w:rFonts w:hint="eastAsia" w:ascii="微软雅黑" w:hAnsi="微软雅黑" w:eastAsia="微软雅黑" w:cs="微软雅黑"/>
          <w:color w:val="000000"/>
          <w:kern w:val="0"/>
          <w:sz w:val="32"/>
          <w:szCs w:val="32"/>
          <w:lang w:val="en-US" w:eastAsia="zh-CN"/>
        </w:rPr>
        <w:t>697户，</w:t>
      </w:r>
      <w:r>
        <w:rPr>
          <w:rFonts w:hint="eastAsia" w:ascii="微软雅黑" w:hAnsi="微软雅黑" w:eastAsia="微软雅黑" w:cs="微软雅黑"/>
          <w:color w:val="000000"/>
          <w:kern w:val="0"/>
          <w:sz w:val="32"/>
          <w:szCs w:val="32"/>
        </w:rPr>
        <w:t>上报改造数697户，实际完成697户；二是</w:t>
      </w:r>
      <w:r>
        <w:rPr>
          <w:rFonts w:hint="eastAsia" w:ascii="微软雅黑" w:hAnsi="微软雅黑" w:eastAsia="微软雅黑" w:cs="微软雅黑"/>
          <w:color w:val="000000"/>
          <w:kern w:val="0"/>
          <w:sz w:val="32"/>
          <w:szCs w:val="32"/>
          <w:lang w:eastAsia="zh-CN"/>
        </w:rPr>
        <w:t>货币安置</w:t>
      </w:r>
      <w:r>
        <w:rPr>
          <w:rFonts w:hint="eastAsia" w:ascii="微软雅黑" w:hAnsi="微软雅黑" w:eastAsia="微软雅黑" w:cs="微软雅黑"/>
          <w:color w:val="000000"/>
          <w:kern w:val="0"/>
          <w:sz w:val="32"/>
          <w:szCs w:val="32"/>
          <w:lang w:val="en-US" w:eastAsia="zh-CN"/>
        </w:rPr>
        <w:t>514户、改扩翻183户，保质保量完成</w:t>
      </w:r>
      <w:r>
        <w:rPr>
          <w:rFonts w:hint="eastAsia" w:ascii="微软雅黑" w:hAnsi="微软雅黑" w:eastAsia="微软雅黑" w:cs="微软雅黑"/>
          <w:color w:val="000000"/>
          <w:kern w:val="0"/>
          <w:sz w:val="32"/>
          <w:szCs w:val="32"/>
        </w:rPr>
        <w:t>。</w:t>
      </w:r>
    </w:p>
    <w:p w14:paraId="71110757">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发现的主要问题及原因：一是</w:t>
      </w:r>
      <w:r>
        <w:rPr>
          <w:rFonts w:hint="eastAsia" w:ascii="微软雅黑" w:hAnsi="微软雅黑" w:eastAsia="微软雅黑" w:cs="微软雅黑"/>
          <w:color w:val="000000"/>
          <w:kern w:val="0"/>
          <w:sz w:val="32"/>
          <w:szCs w:val="32"/>
          <w:lang w:eastAsia="zh-CN"/>
        </w:rPr>
        <w:t>项目进展过程中，涉及户数多，收集和登记入册资料繁琐，工作量大，人员少，导致进度较慢</w:t>
      </w:r>
      <w:r>
        <w:rPr>
          <w:rFonts w:hint="eastAsia" w:ascii="微软雅黑" w:hAnsi="微软雅黑" w:eastAsia="微软雅黑" w:cs="微软雅黑"/>
          <w:color w:val="000000"/>
          <w:kern w:val="0"/>
          <w:sz w:val="32"/>
          <w:szCs w:val="32"/>
        </w:rPr>
        <w:t>。</w:t>
      </w:r>
    </w:p>
    <w:p w14:paraId="14F8352A">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下一步改进措施：一是</w:t>
      </w:r>
      <w:r>
        <w:rPr>
          <w:rFonts w:hint="eastAsia" w:ascii="微软雅黑" w:hAnsi="微软雅黑" w:eastAsia="微软雅黑" w:cs="微软雅黑"/>
          <w:color w:val="000000"/>
          <w:kern w:val="0"/>
          <w:sz w:val="32"/>
          <w:szCs w:val="32"/>
          <w:lang w:eastAsia="zh-CN"/>
        </w:rPr>
        <w:t>增加人员，协调各部门人员，互帮互助，加强团队协作</w:t>
      </w:r>
      <w:r>
        <w:rPr>
          <w:rFonts w:hint="eastAsia" w:ascii="微软雅黑" w:hAnsi="微软雅黑" w:eastAsia="微软雅黑" w:cs="微软雅黑"/>
          <w:color w:val="000000"/>
          <w:kern w:val="0"/>
          <w:sz w:val="32"/>
          <w:szCs w:val="32"/>
        </w:rPr>
        <w:t>；二是</w:t>
      </w:r>
      <w:r>
        <w:rPr>
          <w:rFonts w:hint="eastAsia" w:ascii="微软雅黑" w:hAnsi="微软雅黑" w:eastAsia="微软雅黑" w:cs="微软雅黑"/>
          <w:color w:val="000000"/>
          <w:kern w:val="0"/>
          <w:sz w:val="32"/>
          <w:szCs w:val="32"/>
          <w:lang w:eastAsia="zh-CN"/>
        </w:rPr>
        <w:t>加强人员培训力度，强化人员的专业素养，提高个人工作效率</w:t>
      </w:r>
      <w:r>
        <w:rPr>
          <w:rFonts w:hint="eastAsia" w:ascii="微软雅黑" w:hAnsi="微软雅黑" w:eastAsia="微软雅黑" w:cs="微软雅黑"/>
          <w:color w:val="000000"/>
          <w:kern w:val="0"/>
          <w:sz w:val="32"/>
          <w:szCs w:val="32"/>
        </w:rPr>
        <w:t>。</w:t>
      </w:r>
    </w:p>
    <w:p w14:paraId="5C7D1BA7">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FC1B082">
      <w:pPr>
        <w:autoSpaceDE w:val="0"/>
        <w:autoSpaceDN w:val="0"/>
        <w:adjustRightInd w:val="0"/>
        <w:spacing w:line="360" w:lineRule="auto"/>
        <w:ind w:firstLine="640" w:firstLineChars="200"/>
        <w:jc w:val="left"/>
        <w:rPr>
          <w:rFonts w:hint="default" w:ascii="微软雅黑" w:hAnsi="微软雅黑" w:eastAsia="微软雅黑" w:cs="微软雅黑"/>
          <w:color w:val="000000"/>
          <w:kern w:val="0"/>
          <w:sz w:val="32"/>
          <w:szCs w:val="32"/>
          <w:lang w:val="en-US" w:eastAsia="zh-CN"/>
        </w:rPr>
      </w:pPr>
      <w:r>
        <w:rPr>
          <w:rFonts w:hint="eastAsia" w:ascii="微软雅黑" w:hAnsi="微软雅黑" w:eastAsia="微软雅黑" w:cs="微软雅黑"/>
          <w:color w:val="000000"/>
          <w:kern w:val="0"/>
          <w:sz w:val="32"/>
          <w:szCs w:val="32"/>
          <w:lang w:val="en-US" w:eastAsia="zh-CN"/>
        </w:rPr>
        <w:t xml:space="preserve">  “城镇保障性安居工程城市棚户区改造项目”</w:t>
      </w:r>
      <w:r>
        <w:rPr>
          <w:rFonts w:hint="eastAsia" w:ascii="微软雅黑" w:hAnsi="微软雅黑" w:eastAsia="微软雅黑" w:cs="微软雅黑"/>
          <w:color w:val="000000"/>
          <w:kern w:val="0"/>
          <w:sz w:val="32"/>
          <w:szCs w:val="32"/>
          <w:lang w:val="en-US"/>
        </w:rPr>
        <w:t>绩效自评得分为</w:t>
      </w:r>
      <w:r>
        <w:rPr>
          <w:rFonts w:hint="eastAsia" w:ascii="微软雅黑" w:hAnsi="微软雅黑" w:eastAsia="微软雅黑" w:cs="微软雅黑"/>
          <w:color w:val="000000"/>
          <w:kern w:val="0"/>
          <w:sz w:val="32"/>
          <w:szCs w:val="32"/>
          <w:lang w:val="en-US" w:eastAsia="zh-CN"/>
        </w:rPr>
        <w:t>98</w:t>
      </w:r>
      <w:r>
        <w:rPr>
          <w:rFonts w:hint="eastAsia" w:ascii="微软雅黑" w:hAnsi="微软雅黑" w:eastAsia="微软雅黑" w:cs="微软雅黑"/>
          <w:color w:val="000000"/>
          <w:kern w:val="0"/>
          <w:sz w:val="32"/>
          <w:szCs w:val="32"/>
          <w:lang w:val="en-US"/>
        </w:rPr>
        <w:t>分</w:t>
      </w:r>
      <w:r>
        <w:rPr>
          <w:rFonts w:hint="eastAsia" w:ascii="微软雅黑" w:hAnsi="微软雅黑" w:eastAsia="微软雅黑" w:cs="微软雅黑"/>
          <w:color w:val="000000"/>
          <w:kern w:val="0"/>
          <w:sz w:val="32"/>
          <w:szCs w:val="32"/>
          <w:lang w:val="en-US" w:eastAsia="zh-CN"/>
        </w:rPr>
        <w:t>，</w:t>
      </w:r>
      <w:r>
        <w:rPr>
          <w:rFonts w:hint="eastAsia" w:ascii="微软雅黑" w:hAnsi="微软雅黑" w:eastAsia="微软雅黑" w:cs="微软雅黑"/>
          <w:color w:val="000000"/>
          <w:kern w:val="0"/>
          <w:sz w:val="32"/>
          <w:szCs w:val="32"/>
          <w:lang w:val="en-US"/>
        </w:rPr>
        <w:t>评价等级为“优”</w:t>
      </w:r>
      <w:r>
        <w:rPr>
          <w:rFonts w:hint="eastAsia" w:ascii="微软雅黑" w:hAnsi="微软雅黑" w:eastAsia="微软雅黑" w:cs="微软雅黑"/>
          <w:color w:val="000000"/>
          <w:kern w:val="0"/>
          <w:sz w:val="32"/>
          <w:szCs w:val="32"/>
        </w:rPr>
        <w:t>。</w:t>
      </w:r>
      <w:bookmarkStart w:id="0" w:name="_GoBack"/>
      <w:bookmarkEnd w:id="0"/>
    </w:p>
    <w:p w14:paraId="6D217996">
      <w:pPr>
        <w:pStyle w:val="2"/>
        <w:rPr>
          <w:rFonts w:hint="eastAsia" w:ascii="微软雅黑" w:hAnsi="微软雅黑" w:eastAsia="微软雅黑" w:cs="微软雅黑"/>
          <w:color w:val="000000"/>
          <w:kern w:val="0"/>
          <w:sz w:val="32"/>
          <w:szCs w:val="32"/>
          <w:lang w:val="en-US"/>
        </w:rPr>
      </w:pPr>
    </w:p>
    <w:p w14:paraId="54D46549">
      <w:pPr>
        <w:pStyle w:val="2"/>
        <w:rPr>
          <w:rFonts w:hint="eastAsia" w:ascii="微软雅黑" w:hAnsi="微软雅黑" w:eastAsia="微软雅黑" w:cs="微软雅黑"/>
          <w:color w:val="000000"/>
          <w:kern w:val="0"/>
          <w:sz w:val="32"/>
          <w:szCs w:val="32"/>
          <w:lang w:val="en-US"/>
        </w:rPr>
      </w:pPr>
    </w:p>
    <w:p w14:paraId="7E545404">
      <w:pPr>
        <w:pStyle w:val="2"/>
        <w:rPr>
          <w:rFonts w:hint="eastAsia" w:ascii="微软雅黑" w:hAnsi="微软雅黑" w:eastAsia="微软雅黑" w:cs="微软雅黑"/>
          <w:color w:val="000000"/>
          <w:kern w:val="0"/>
          <w:sz w:val="32"/>
          <w:szCs w:val="32"/>
          <w:lang w:val="en-US"/>
        </w:rPr>
      </w:pPr>
    </w:p>
    <w:p w14:paraId="41A1B6FA">
      <w:pPr>
        <w:pStyle w:val="2"/>
        <w:rPr>
          <w:rFonts w:hint="eastAsia" w:ascii="微软雅黑" w:hAnsi="微软雅黑" w:eastAsia="微软雅黑" w:cs="微软雅黑"/>
          <w:color w:val="000000"/>
          <w:kern w:val="0"/>
          <w:sz w:val="32"/>
          <w:szCs w:val="32"/>
          <w:lang w:val="en-US"/>
        </w:rPr>
      </w:pPr>
    </w:p>
    <w:p w14:paraId="32CA03A5">
      <w:pPr>
        <w:pStyle w:val="2"/>
        <w:rPr>
          <w:rFonts w:hint="eastAsia" w:ascii="微软雅黑" w:hAnsi="微软雅黑" w:eastAsia="微软雅黑" w:cs="微软雅黑"/>
          <w:color w:val="000000"/>
          <w:kern w:val="0"/>
          <w:sz w:val="32"/>
          <w:szCs w:val="32"/>
          <w:lang w:val="en-US"/>
        </w:rPr>
      </w:pPr>
    </w:p>
    <w:p w14:paraId="6B8FE281">
      <w:pPr>
        <w:pStyle w:val="2"/>
        <w:rPr>
          <w:rFonts w:hint="eastAsia" w:ascii="微软雅黑" w:hAnsi="微软雅黑" w:eastAsia="微软雅黑" w:cs="微软雅黑"/>
          <w:color w:val="000000"/>
          <w:kern w:val="0"/>
          <w:sz w:val="32"/>
          <w:szCs w:val="32"/>
          <w:lang w:val="en-US"/>
        </w:rPr>
      </w:pPr>
    </w:p>
    <w:p w14:paraId="2C8AC24C">
      <w:pPr>
        <w:pStyle w:val="2"/>
        <w:rPr>
          <w:rFonts w:hint="eastAsia" w:ascii="微软雅黑" w:hAnsi="微软雅黑" w:eastAsia="微软雅黑" w:cs="微软雅黑"/>
          <w:color w:val="000000"/>
          <w:kern w:val="0"/>
          <w:sz w:val="32"/>
          <w:szCs w:val="32"/>
          <w:lang w:val="en-US"/>
        </w:rPr>
      </w:pPr>
    </w:p>
    <w:p w14:paraId="63901CE7">
      <w:pPr>
        <w:pStyle w:val="2"/>
        <w:rPr>
          <w:rFonts w:hint="eastAsia" w:ascii="微软雅黑" w:hAnsi="微软雅黑" w:eastAsia="微软雅黑" w:cs="微软雅黑"/>
          <w:color w:val="000000"/>
          <w:kern w:val="0"/>
          <w:sz w:val="32"/>
          <w:szCs w:val="32"/>
          <w:lang w:val="en-US"/>
        </w:rPr>
      </w:pPr>
    </w:p>
    <w:p w14:paraId="26008915">
      <w:pPr>
        <w:pStyle w:val="2"/>
        <w:rPr>
          <w:rFonts w:hint="eastAsia" w:ascii="微软雅黑" w:hAnsi="微软雅黑" w:eastAsia="微软雅黑" w:cs="微软雅黑"/>
          <w:color w:val="000000"/>
          <w:kern w:val="0"/>
          <w:sz w:val="32"/>
          <w:szCs w:val="32"/>
          <w:lang w:val="en-US"/>
        </w:rPr>
      </w:pPr>
    </w:p>
    <w:p w14:paraId="57788DCB">
      <w:pPr>
        <w:pStyle w:val="15"/>
        <w:spacing w:line="360" w:lineRule="auto"/>
        <w:ind w:firstLine="640" w:firstLineChars="200"/>
        <w:rPr>
          <w:rFonts w:ascii="微软雅黑" w:hAnsi="微软雅黑" w:eastAsia="微软雅黑" w:cs="微软雅黑"/>
          <w:i/>
          <w:iCs/>
          <w:color w:val="FF0000"/>
          <w:sz w:val="32"/>
          <w:szCs w:val="32"/>
        </w:rPr>
      </w:pPr>
    </w:p>
    <w:p w14:paraId="43573215">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06E48259">
      <w:pPr>
        <w:jc w:val="center"/>
        <w:rPr>
          <w:rFonts w:ascii="微软雅黑" w:hAnsi="微软雅黑" w:eastAsia="微软雅黑" w:cs="微软雅黑"/>
          <w:b/>
          <w:bCs/>
          <w:color w:val="000000"/>
          <w:kern w:val="0"/>
          <w:sz w:val="70"/>
          <w:szCs w:val="70"/>
        </w:rPr>
      </w:pPr>
    </w:p>
    <w:p w14:paraId="34FDDBD0">
      <w:pPr>
        <w:jc w:val="center"/>
        <w:rPr>
          <w:rFonts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09A04C0B">
      <w:pPr>
        <w:widowControl/>
        <w:jc w:val="left"/>
        <w:rPr>
          <w:rFonts w:ascii="微软雅黑" w:hAnsi="微软雅黑" w:eastAsia="微软雅黑" w:cs="微软雅黑"/>
          <w:color w:val="000000"/>
          <w:kern w:val="0"/>
          <w:sz w:val="32"/>
          <w:szCs w:val="32"/>
        </w:rPr>
      </w:pPr>
    </w:p>
    <w:p w14:paraId="480383C1">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158C72D">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DC9C5C7">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三、财政拨款收入：指本级财政当年拨付的资金。</w:t>
      </w:r>
    </w:p>
    <w:p w14:paraId="2E01B882">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四、其他收入：指除上述“财政拨款收入”、“上级补助收入”、“事业收入”、“经营收入”、“附属单位上缴收入”等以外的收入。</w:t>
      </w:r>
    </w:p>
    <w:p w14:paraId="0F1F12F1">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五、上年结转和结余：指以前年度尚未完成、结转到本年按有关规定继续使用的资金。</w:t>
      </w:r>
    </w:p>
    <w:p w14:paraId="06FB60A3">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六、年末结转和结余资金：指本年度或以前年度预算安排、因客观条件发生变化无法按原计划实施，需要延迟到以后年度按有关规定继续使用的资金。</w:t>
      </w:r>
    </w:p>
    <w:p w14:paraId="5556765D">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14:paraId="296F5456">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八、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838C043">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九、机关事业单位基本养老保险缴费：反映机关事业单位缴纳的基本养老保险费。由单位代扣的工作人员基本养老保险缴费，不在此科目反映。职工基本医疗保险缴费：反映单位为职工缴纳的基本医疗保险费。</w:t>
      </w:r>
    </w:p>
    <w:p w14:paraId="595EDEE9">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十、住房公积金：反映行政事业单位按人力资源和社会保障部、财政部规定的基本工资和津贴补贴以及规定比例为职工缴纳的住房公积金。</w:t>
      </w:r>
    </w:p>
    <w:p w14:paraId="2D75258F">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lang w:eastAsia="zh-CN"/>
        </w:rPr>
      </w:pPr>
    </w:p>
    <w:p w14:paraId="3ED293E6">
      <w:pPr>
        <w:pStyle w:val="15"/>
        <w:jc w:val="center"/>
        <w:rPr>
          <w:sz w:val="72"/>
          <w:szCs w:val="72"/>
        </w:rPr>
      </w:pPr>
    </w:p>
    <w:p w14:paraId="332B4B9F">
      <w:pPr>
        <w:spacing w:line="360" w:lineRule="auto"/>
        <w:ind w:firstLine="1440" w:firstLineChars="200"/>
        <w:jc w:val="left"/>
        <w:rPr>
          <w:rFonts w:ascii="微软雅黑" w:hAnsi="微软雅黑" w:eastAsia="微软雅黑" w:cs="微软雅黑"/>
          <w:sz w:val="72"/>
          <w:szCs w:val="72"/>
        </w:rPr>
      </w:pPr>
      <w:r>
        <w:rPr>
          <w:rFonts w:hint="eastAsia" w:ascii="微软雅黑" w:hAnsi="微软雅黑" w:eastAsia="微软雅黑" w:cs="微软雅黑"/>
          <w:sz w:val="72"/>
          <w:szCs w:val="72"/>
        </w:rPr>
        <w:br w:type="page"/>
      </w:r>
    </w:p>
    <w:p w14:paraId="2E12DFDA">
      <w:pPr>
        <w:pStyle w:val="15"/>
        <w:jc w:val="center"/>
        <w:rPr>
          <w:rFonts w:ascii="微软雅黑" w:hAnsi="微软雅黑" w:eastAsia="微软雅黑" w:cs="微软雅黑"/>
          <w:sz w:val="72"/>
          <w:szCs w:val="72"/>
        </w:rPr>
      </w:pPr>
    </w:p>
    <w:p w14:paraId="7E3F6760">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12525C16">
      <w:pPr>
        <w:jc w:val="center"/>
        <w:rPr>
          <w:rFonts w:ascii="微软雅黑" w:hAnsi="微软雅黑" w:eastAsia="微软雅黑" w:cs="微软雅黑"/>
          <w:b/>
          <w:bCs/>
          <w:color w:val="000000"/>
          <w:kern w:val="0"/>
          <w:sz w:val="70"/>
          <w:szCs w:val="70"/>
        </w:rPr>
      </w:pPr>
    </w:p>
    <w:p w14:paraId="2C97D0A4">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0"/>
          <w:szCs w:val="70"/>
        </w:rPr>
        <w:t>附件</w:t>
      </w:r>
    </w:p>
    <w:p w14:paraId="6B025246">
      <w:pPr>
        <w:ind w:firstLine="640" w:firstLineChars="200"/>
        <w:jc w:val="left"/>
        <w:rPr>
          <w:rFonts w:ascii="微软雅黑" w:hAnsi="微软雅黑" w:eastAsia="微软雅黑" w:cs="微软雅黑"/>
          <w:b/>
          <w:bCs/>
          <w:color w:val="000000"/>
          <w:kern w:val="0"/>
          <w:sz w:val="32"/>
          <w:szCs w:val="32"/>
        </w:rPr>
      </w:pPr>
    </w:p>
    <w:p w14:paraId="253CCBD0">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1、</w:t>
      </w:r>
      <w:r>
        <w:rPr>
          <w:rFonts w:ascii="微软雅黑" w:hAnsi="微软雅黑" w:eastAsia="微软雅黑" w:cs="微软雅黑"/>
          <w:b/>
          <w:color w:val="000000"/>
          <w:sz w:val="32"/>
        </w:rPr>
        <w:t>2023年部门决算公开表格</w:t>
      </w:r>
    </w:p>
    <w:p w14:paraId="239EC5A8">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2、2023年度部门整体支出绩效评价报告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D3015"/>
    <w:multiLevelType w:val="multilevel"/>
    <w:tmpl w:val="361D3015"/>
    <w:lvl w:ilvl="0" w:tentative="0">
      <w:start w:val="3"/>
      <w:numFmt w:val="japaneseCounting"/>
      <w:lvlText w:val="（%1）"/>
      <w:lvlJc w:val="left"/>
      <w:pPr>
        <w:ind w:left="1720" w:hanging="108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MDFlMTYxOWZlNjk4YmViYzFlZjU5NWYwNjZjOT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959E2"/>
    <w:rsid w:val="000A3F69"/>
    <w:rsid w:val="000B65DF"/>
    <w:rsid w:val="000F36E3"/>
    <w:rsid w:val="00103957"/>
    <w:rsid w:val="00152C6D"/>
    <w:rsid w:val="00162D39"/>
    <w:rsid w:val="001678BD"/>
    <w:rsid w:val="00177F35"/>
    <w:rsid w:val="00182373"/>
    <w:rsid w:val="0019319B"/>
    <w:rsid w:val="001A1F12"/>
    <w:rsid w:val="001A67DB"/>
    <w:rsid w:val="001B5545"/>
    <w:rsid w:val="001B6D25"/>
    <w:rsid w:val="001C3C29"/>
    <w:rsid w:val="001D51E5"/>
    <w:rsid w:val="001E080D"/>
    <w:rsid w:val="001E53D0"/>
    <w:rsid w:val="001F0C3B"/>
    <w:rsid w:val="00202C82"/>
    <w:rsid w:val="00214427"/>
    <w:rsid w:val="00226CB7"/>
    <w:rsid w:val="00264552"/>
    <w:rsid w:val="00264EF9"/>
    <w:rsid w:val="00265724"/>
    <w:rsid w:val="0027426B"/>
    <w:rsid w:val="002856DB"/>
    <w:rsid w:val="002E0A30"/>
    <w:rsid w:val="003130C4"/>
    <w:rsid w:val="00316C4B"/>
    <w:rsid w:val="0032192B"/>
    <w:rsid w:val="003479BD"/>
    <w:rsid w:val="0037197D"/>
    <w:rsid w:val="003768D5"/>
    <w:rsid w:val="003926B9"/>
    <w:rsid w:val="003C47E6"/>
    <w:rsid w:val="003C4FC2"/>
    <w:rsid w:val="003C7B6A"/>
    <w:rsid w:val="00416E61"/>
    <w:rsid w:val="00421499"/>
    <w:rsid w:val="0042790C"/>
    <w:rsid w:val="004506F9"/>
    <w:rsid w:val="00455DC9"/>
    <w:rsid w:val="004717A2"/>
    <w:rsid w:val="00473DF3"/>
    <w:rsid w:val="00487911"/>
    <w:rsid w:val="00491741"/>
    <w:rsid w:val="004B0CEE"/>
    <w:rsid w:val="00500E5F"/>
    <w:rsid w:val="00505079"/>
    <w:rsid w:val="005122EF"/>
    <w:rsid w:val="0051441A"/>
    <w:rsid w:val="00517C33"/>
    <w:rsid w:val="00517D5F"/>
    <w:rsid w:val="00523644"/>
    <w:rsid w:val="0054069E"/>
    <w:rsid w:val="00544866"/>
    <w:rsid w:val="0054759A"/>
    <w:rsid w:val="005767CC"/>
    <w:rsid w:val="00581807"/>
    <w:rsid w:val="00590D9F"/>
    <w:rsid w:val="00595D26"/>
    <w:rsid w:val="005A74E6"/>
    <w:rsid w:val="005A7778"/>
    <w:rsid w:val="005B404E"/>
    <w:rsid w:val="005D4D55"/>
    <w:rsid w:val="005E2CFB"/>
    <w:rsid w:val="005F2103"/>
    <w:rsid w:val="005F3D1C"/>
    <w:rsid w:val="0062378F"/>
    <w:rsid w:val="00640EF6"/>
    <w:rsid w:val="00641842"/>
    <w:rsid w:val="00651EEC"/>
    <w:rsid w:val="00686673"/>
    <w:rsid w:val="00686836"/>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43CD4"/>
    <w:rsid w:val="00787B42"/>
    <w:rsid w:val="007A3AF5"/>
    <w:rsid w:val="007C4539"/>
    <w:rsid w:val="007D297A"/>
    <w:rsid w:val="007F3657"/>
    <w:rsid w:val="00812ED5"/>
    <w:rsid w:val="008277D9"/>
    <w:rsid w:val="0084478C"/>
    <w:rsid w:val="0086638C"/>
    <w:rsid w:val="0088792F"/>
    <w:rsid w:val="008A3E8D"/>
    <w:rsid w:val="008A6BE3"/>
    <w:rsid w:val="008D4F67"/>
    <w:rsid w:val="008F1A82"/>
    <w:rsid w:val="009237C4"/>
    <w:rsid w:val="00944C48"/>
    <w:rsid w:val="00950252"/>
    <w:rsid w:val="00967F5D"/>
    <w:rsid w:val="009A0F95"/>
    <w:rsid w:val="009B3ADF"/>
    <w:rsid w:val="009C3B52"/>
    <w:rsid w:val="009C4935"/>
    <w:rsid w:val="009E6817"/>
    <w:rsid w:val="009E6E9A"/>
    <w:rsid w:val="009F5D6D"/>
    <w:rsid w:val="00A01D2B"/>
    <w:rsid w:val="00A21E63"/>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14533"/>
    <w:rsid w:val="00C15BE7"/>
    <w:rsid w:val="00C3049A"/>
    <w:rsid w:val="00C310E9"/>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B58BE"/>
    <w:rsid w:val="00F74360"/>
    <w:rsid w:val="00FB462F"/>
    <w:rsid w:val="00FD5F57"/>
    <w:rsid w:val="00FE16FA"/>
    <w:rsid w:val="00FE328A"/>
    <w:rsid w:val="00FE6269"/>
    <w:rsid w:val="00FF5CD6"/>
    <w:rsid w:val="024D0075"/>
    <w:rsid w:val="02B16219"/>
    <w:rsid w:val="04B74C29"/>
    <w:rsid w:val="05482261"/>
    <w:rsid w:val="074309F6"/>
    <w:rsid w:val="07966D78"/>
    <w:rsid w:val="07E04F3D"/>
    <w:rsid w:val="096227F5"/>
    <w:rsid w:val="0AC57974"/>
    <w:rsid w:val="0B365CE9"/>
    <w:rsid w:val="0B6F5DB2"/>
    <w:rsid w:val="0BF24799"/>
    <w:rsid w:val="0F9016DB"/>
    <w:rsid w:val="0FE268D2"/>
    <w:rsid w:val="104257A8"/>
    <w:rsid w:val="10A73DA4"/>
    <w:rsid w:val="11A63AC3"/>
    <w:rsid w:val="13135140"/>
    <w:rsid w:val="134641EF"/>
    <w:rsid w:val="136B7D14"/>
    <w:rsid w:val="15986B0A"/>
    <w:rsid w:val="15A64981"/>
    <w:rsid w:val="163E138B"/>
    <w:rsid w:val="17D85E72"/>
    <w:rsid w:val="191A1185"/>
    <w:rsid w:val="1A4B623A"/>
    <w:rsid w:val="1AC92B69"/>
    <w:rsid w:val="21680401"/>
    <w:rsid w:val="26B2663E"/>
    <w:rsid w:val="27B766F6"/>
    <w:rsid w:val="29701875"/>
    <w:rsid w:val="29E654E5"/>
    <w:rsid w:val="2E9B020F"/>
    <w:rsid w:val="2F026361"/>
    <w:rsid w:val="2F5729E1"/>
    <w:rsid w:val="306F0E15"/>
    <w:rsid w:val="31B77767"/>
    <w:rsid w:val="31BD2FCF"/>
    <w:rsid w:val="338D4C23"/>
    <w:rsid w:val="33E12879"/>
    <w:rsid w:val="34095384"/>
    <w:rsid w:val="34D70C0A"/>
    <w:rsid w:val="34E24AFB"/>
    <w:rsid w:val="3600655A"/>
    <w:rsid w:val="36E96615"/>
    <w:rsid w:val="3BC62A80"/>
    <w:rsid w:val="3DCF53D9"/>
    <w:rsid w:val="3F917849"/>
    <w:rsid w:val="3FD348C7"/>
    <w:rsid w:val="406D05E8"/>
    <w:rsid w:val="40C80669"/>
    <w:rsid w:val="41940D6D"/>
    <w:rsid w:val="41DD6D76"/>
    <w:rsid w:val="42135A6C"/>
    <w:rsid w:val="42415557"/>
    <w:rsid w:val="42FC322C"/>
    <w:rsid w:val="438E4CBA"/>
    <w:rsid w:val="43C71A8C"/>
    <w:rsid w:val="44AC435F"/>
    <w:rsid w:val="487D493C"/>
    <w:rsid w:val="48A94304"/>
    <w:rsid w:val="493A4AAE"/>
    <w:rsid w:val="4B445EC7"/>
    <w:rsid w:val="4B644064"/>
    <w:rsid w:val="4C76404F"/>
    <w:rsid w:val="4CC0176E"/>
    <w:rsid w:val="4D542DAB"/>
    <w:rsid w:val="4EC70B92"/>
    <w:rsid w:val="512C2F2E"/>
    <w:rsid w:val="52E579D6"/>
    <w:rsid w:val="55C63EE6"/>
    <w:rsid w:val="570F5142"/>
    <w:rsid w:val="5777D4F5"/>
    <w:rsid w:val="57D94F90"/>
    <w:rsid w:val="59743537"/>
    <w:rsid w:val="59E04213"/>
    <w:rsid w:val="5B4F3FC2"/>
    <w:rsid w:val="5D2E44D2"/>
    <w:rsid w:val="5DA84284"/>
    <w:rsid w:val="5DB1138B"/>
    <w:rsid w:val="5E026FEC"/>
    <w:rsid w:val="5FC6BB1E"/>
    <w:rsid w:val="5FF720F1"/>
    <w:rsid w:val="62E44829"/>
    <w:rsid w:val="63930AB7"/>
    <w:rsid w:val="643C1282"/>
    <w:rsid w:val="645753D4"/>
    <w:rsid w:val="65B05FE0"/>
    <w:rsid w:val="660109D5"/>
    <w:rsid w:val="6720463D"/>
    <w:rsid w:val="67B5019C"/>
    <w:rsid w:val="6A7638A0"/>
    <w:rsid w:val="6BD30F4C"/>
    <w:rsid w:val="6D15603E"/>
    <w:rsid w:val="6D1D2BA3"/>
    <w:rsid w:val="6D340BE9"/>
    <w:rsid w:val="6E4E0530"/>
    <w:rsid w:val="704D319C"/>
    <w:rsid w:val="71145A61"/>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0" w:leftChars="0" w:firstLine="960"/>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kern w:val="0"/>
      <w:sz w:val="24"/>
    </w:rPr>
  </w:style>
  <w:style w:type="character" w:customStyle="1" w:styleId="9">
    <w:name w:val="批注框文本 Char"/>
    <w:basedOn w:val="8"/>
    <w:link w:val="3"/>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font1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6592</Words>
  <Characters>7288</Characters>
  <Lines>53</Lines>
  <Paragraphs>14</Paragraphs>
  <TotalTime>0</TotalTime>
  <ScaleCrop>false</ScaleCrop>
  <LinksUpToDate>false</LinksUpToDate>
  <CharactersWithSpaces>7299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逆光</cp:lastModifiedBy>
  <cp:lastPrinted>2023-08-15T09:28:00Z</cp:lastPrinted>
  <dcterms:modified xsi:type="dcterms:W3CDTF">2024-10-09T07:09:19Z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E3A4B24B18B5472294BC0771C9C152AF_13</vt:lpwstr>
  </property>
</Properties>
</file>