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752AA">
      <w:pPr>
        <w:pStyle w:val="13"/>
        <w:jc w:val="center"/>
        <w:rPr>
          <w:rFonts w:hint="eastAsia" w:ascii="微软雅黑" w:hAnsi="微软雅黑" w:eastAsia="微软雅黑" w:cs="微软雅黑"/>
          <w:sz w:val="56"/>
          <w:szCs w:val="56"/>
        </w:rPr>
      </w:pPr>
    </w:p>
    <w:p w14:paraId="726BD951">
      <w:pPr>
        <w:pStyle w:val="13"/>
        <w:jc w:val="center"/>
        <w:rPr>
          <w:rFonts w:hint="eastAsia" w:ascii="微软雅黑" w:hAnsi="微软雅黑" w:eastAsia="微软雅黑" w:cs="微软雅黑"/>
          <w:sz w:val="56"/>
          <w:szCs w:val="56"/>
        </w:rPr>
      </w:pPr>
    </w:p>
    <w:p w14:paraId="02548297">
      <w:pPr>
        <w:pStyle w:val="13"/>
        <w:jc w:val="center"/>
        <w:rPr>
          <w:rFonts w:hint="eastAsia" w:ascii="微软雅黑" w:hAnsi="微软雅黑" w:eastAsia="微软雅黑" w:cs="微软雅黑"/>
          <w:sz w:val="84"/>
          <w:szCs w:val="84"/>
        </w:rPr>
      </w:pPr>
    </w:p>
    <w:p w14:paraId="3EA84DA2">
      <w:pPr>
        <w:pStyle w:val="13"/>
        <w:jc w:val="center"/>
        <w:rPr>
          <w:rFonts w:hint="eastAsia" w:ascii="微软雅黑" w:hAnsi="微软雅黑" w:eastAsia="微软雅黑" w:cs="微软雅黑"/>
          <w:sz w:val="84"/>
          <w:szCs w:val="84"/>
        </w:rPr>
      </w:pPr>
    </w:p>
    <w:p w14:paraId="4A130A9F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84"/>
          <w:szCs w:val="84"/>
        </w:rPr>
      </w:pPr>
      <w:r>
        <w:rPr>
          <w:rFonts w:hint="eastAsia" w:ascii="微软雅黑" w:hAnsi="微软雅黑" w:eastAsia="微软雅黑" w:cs="微软雅黑"/>
          <w:b/>
          <w:bCs/>
          <w:sz w:val="84"/>
          <w:szCs w:val="84"/>
        </w:rPr>
        <w:t>2023</w:t>
      </w:r>
      <w:r>
        <w:rPr>
          <w:rFonts w:ascii="微软雅黑" w:hAnsi="微软雅黑" w:eastAsia="微软雅黑" w:cs="微软雅黑"/>
          <w:b/>
          <w:sz w:val="84"/>
        </w:rPr>
        <w:t>年度</w:t>
      </w:r>
    </w:p>
    <w:p w14:paraId="179E8A7E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84"/>
          <w:szCs w:val="84"/>
        </w:rPr>
      </w:pPr>
      <w:r>
        <w:rPr>
          <w:rFonts w:hint="eastAsia" w:ascii="微软雅黑" w:hAnsi="微软雅黑" w:eastAsia="微软雅黑" w:cs="微软雅黑"/>
          <w:b/>
          <w:bCs/>
          <w:sz w:val="84"/>
          <w:szCs w:val="84"/>
        </w:rPr>
        <w:t>岳阳县社会救助服务中心</w:t>
      </w:r>
      <w:r>
        <w:rPr>
          <w:rFonts w:ascii="微软雅黑" w:hAnsi="微软雅黑" w:eastAsia="微软雅黑" w:cs="微软雅黑"/>
          <w:b/>
          <w:sz w:val="84"/>
        </w:rPr>
        <w:t>部门（单位）部门决算</w:t>
      </w:r>
    </w:p>
    <w:p w14:paraId="2C864984">
      <w:pPr>
        <w:pStyle w:val="13"/>
        <w:jc w:val="center"/>
        <w:rPr>
          <w:rFonts w:hint="eastAsia" w:ascii="微软雅黑" w:hAnsi="微软雅黑" w:eastAsia="微软雅黑" w:cs="微软雅黑"/>
          <w:sz w:val="84"/>
          <w:szCs w:val="84"/>
        </w:rPr>
      </w:pPr>
    </w:p>
    <w:p w14:paraId="6755E535">
      <w:pPr>
        <w:pStyle w:val="13"/>
        <w:jc w:val="center"/>
        <w:rPr>
          <w:rFonts w:hint="eastAsia" w:ascii="微软雅黑" w:hAnsi="微软雅黑" w:eastAsia="微软雅黑" w:cs="微软雅黑"/>
          <w:sz w:val="84"/>
          <w:szCs w:val="84"/>
        </w:rPr>
      </w:pPr>
    </w:p>
    <w:p w14:paraId="247F0E21">
      <w:pPr>
        <w:pStyle w:val="13"/>
        <w:jc w:val="center"/>
        <w:rPr>
          <w:rFonts w:hint="eastAsia" w:ascii="微软雅黑" w:hAnsi="微软雅黑" w:eastAsia="微软雅黑" w:cs="微软雅黑"/>
          <w:sz w:val="84"/>
          <w:szCs w:val="84"/>
        </w:rPr>
      </w:pPr>
    </w:p>
    <w:p w14:paraId="5324EEEF">
      <w:pPr>
        <w:pStyle w:val="13"/>
        <w:jc w:val="center"/>
        <w:rPr>
          <w:rFonts w:hint="eastAsia" w:ascii="微软雅黑" w:hAnsi="微软雅黑" w:eastAsia="微软雅黑" w:cs="微软雅黑"/>
          <w:sz w:val="84"/>
          <w:szCs w:val="84"/>
        </w:rPr>
      </w:pPr>
    </w:p>
    <w:p w14:paraId="039B1C57">
      <w:pPr>
        <w:bidi w:val="0"/>
        <w:rPr>
          <w:rFonts w:hint="eastAsia" w:ascii="微软雅黑" w:hAnsi="微软雅黑" w:eastAsia="微软雅黑" w:cs="微软雅黑"/>
        </w:rPr>
      </w:pPr>
    </w:p>
    <w:p w14:paraId="07844EFF">
      <w:pPr>
        <w:pStyle w:val="13"/>
        <w:spacing w:line="500" w:lineRule="exact"/>
        <w:jc w:val="center"/>
        <w:rPr>
          <w:rFonts w:hint="eastAsia" w:ascii="微软雅黑" w:hAnsi="微软雅黑" w:eastAsia="微软雅黑" w:cs="微软雅黑"/>
          <w:b/>
          <w:sz w:val="36"/>
          <w:szCs w:val="28"/>
        </w:rPr>
      </w:pPr>
      <w:r>
        <w:rPr>
          <w:rFonts w:hint="eastAsia" w:ascii="微软雅黑" w:hAnsi="微软雅黑" w:eastAsia="微软雅黑" w:cs="微软雅黑"/>
          <w:b/>
          <w:sz w:val="36"/>
          <w:szCs w:val="28"/>
        </w:rPr>
        <w:t>目录</w:t>
      </w:r>
    </w:p>
    <w:p w14:paraId="720FD128">
      <w:pPr>
        <w:pStyle w:val="13"/>
        <w:spacing w:line="500" w:lineRule="exact"/>
        <w:jc w:val="center"/>
        <w:rPr>
          <w:rFonts w:hint="eastAsia" w:ascii="微软雅黑" w:hAnsi="微软雅黑" w:eastAsia="微软雅黑" w:cs="微软雅黑"/>
          <w:b/>
          <w:sz w:val="36"/>
          <w:szCs w:val="28"/>
        </w:rPr>
      </w:pPr>
    </w:p>
    <w:p w14:paraId="03655956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b/>
          <w:bCs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 w:val="0"/>
          <w:sz w:val="28"/>
          <w:szCs w:val="28"/>
        </w:rPr>
        <w:t>第一部分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</w:rPr>
        <w:t>岳阳县社会救助服务中心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  <w:lang w:eastAsia="zh-CN"/>
        </w:rPr>
        <w:t>部门（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</w:rPr>
        <w:t>单位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  <w:lang w:eastAsia="zh-CN"/>
        </w:rPr>
        <w:t>）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</w:rPr>
        <w:t>概况</w:t>
      </w:r>
    </w:p>
    <w:p w14:paraId="602BE7BB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一、部门职责</w:t>
      </w:r>
    </w:p>
    <w:p w14:paraId="543D4CD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二、机构设置及决算单位构成</w:t>
      </w:r>
    </w:p>
    <w:p w14:paraId="481091E2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b/>
          <w:bCs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 w:val="0"/>
          <w:sz w:val="28"/>
          <w:szCs w:val="28"/>
        </w:rPr>
        <w:t>第二部分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</w:rPr>
        <w:t>部门决算表</w:t>
      </w:r>
    </w:p>
    <w:p w14:paraId="7F74F49C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一、收入支出决算总表</w:t>
      </w:r>
    </w:p>
    <w:p w14:paraId="51B04506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二、收入决算表</w:t>
      </w:r>
    </w:p>
    <w:p w14:paraId="4727ED3B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三、支出决算表</w:t>
      </w:r>
    </w:p>
    <w:p w14:paraId="15BAF87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四、财政拨款收入支出决算总表</w:t>
      </w:r>
    </w:p>
    <w:p w14:paraId="6E8E301E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五、一般公共预算财政拨款支出决算表</w:t>
      </w:r>
    </w:p>
    <w:p w14:paraId="3750645B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六、一般公共预算财政拨款基本支出决算明细表</w:t>
      </w:r>
    </w:p>
    <w:p w14:paraId="5361685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七、政府性基金预算财政拨款收入支出决算表</w:t>
      </w:r>
    </w:p>
    <w:p w14:paraId="02B35766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八、国有资本经营预算财政拨款支出决算表</w:t>
      </w:r>
    </w:p>
    <w:p w14:paraId="2F671E23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九、财政拨款“三公”经费支出决算表</w:t>
      </w:r>
    </w:p>
    <w:p w14:paraId="475D299A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b/>
          <w:bCs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 w:val="0"/>
          <w:sz w:val="28"/>
          <w:szCs w:val="28"/>
        </w:rPr>
        <w:t>第三部分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</w:rPr>
        <w:t>部门决算情况说明</w:t>
      </w:r>
    </w:p>
    <w:p w14:paraId="3DCEF67A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一、收入支出决算总体情况说明</w:t>
      </w:r>
    </w:p>
    <w:p w14:paraId="4392262E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二、收入决算情况说明</w:t>
      </w:r>
    </w:p>
    <w:p w14:paraId="45FCEA75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三、支出决算情况说明</w:t>
      </w:r>
    </w:p>
    <w:p w14:paraId="52505F5A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四、财政拨款收入支出决算总体情况说明</w:t>
      </w:r>
    </w:p>
    <w:p w14:paraId="3257CBAA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五、一般公共预算财政拨款支出决算情况说明</w:t>
      </w:r>
    </w:p>
    <w:p w14:paraId="72722366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六、一般公共预算财政拨款基本支出决算情况说明</w:t>
      </w:r>
    </w:p>
    <w:p w14:paraId="5A2D232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七</w:t>
      </w:r>
      <w:r>
        <w:rPr>
          <w:rFonts w:hint="eastAsia" w:ascii="微软雅黑" w:hAnsi="微软雅黑" w:eastAsia="微软雅黑" w:cs="微软雅黑"/>
          <w:sz w:val="28"/>
          <w:szCs w:val="28"/>
        </w:rPr>
        <w:t>、政府性基金预算收入支出决算情况</w:t>
      </w:r>
    </w:p>
    <w:p w14:paraId="3FB4104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八</w:t>
      </w:r>
      <w:r>
        <w:rPr>
          <w:rFonts w:hint="eastAsia" w:ascii="微软雅黑" w:hAnsi="微软雅黑" w:eastAsia="微软雅黑" w:cs="微软雅黑"/>
          <w:sz w:val="28"/>
          <w:szCs w:val="28"/>
        </w:rPr>
        <w:t>、国有资本经营预算财政拨款支出决算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情况</w:t>
      </w:r>
    </w:p>
    <w:p w14:paraId="0F23B8D3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九</w:t>
      </w:r>
      <w:r>
        <w:rPr>
          <w:rFonts w:hint="eastAsia" w:ascii="微软雅黑" w:hAnsi="微软雅黑" w:eastAsia="微软雅黑" w:cs="微软雅黑"/>
          <w:sz w:val="28"/>
          <w:szCs w:val="28"/>
        </w:rPr>
        <w:t>、财政拨款三公经费支出决算情况说明</w:t>
      </w:r>
    </w:p>
    <w:p w14:paraId="30F2B472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十、关于机关运行经费支出说明</w:t>
      </w:r>
    </w:p>
    <w:p w14:paraId="52A57A2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十一、一般性支出情况说明</w:t>
      </w:r>
    </w:p>
    <w:p w14:paraId="2206E922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十二、关于政府采购支出说明</w:t>
      </w:r>
    </w:p>
    <w:p w14:paraId="73BA56A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十三、关于国有资产占用情况说明</w:t>
      </w:r>
    </w:p>
    <w:p w14:paraId="1DF8678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十四、</w:t>
      </w:r>
      <w:r>
        <w:rPr>
          <w:rFonts w:hint="eastAsia" w:ascii="微软雅黑" w:hAnsi="微软雅黑" w:eastAsia="微软雅黑" w:cs="微软雅黑"/>
          <w:sz w:val="28"/>
          <w:szCs w:val="28"/>
        </w:rPr>
        <w:t>关于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2023</w:t>
      </w:r>
      <w:r>
        <w:rPr>
          <w:rFonts w:ascii="微软雅黑" w:hAnsi="微软雅黑" w:eastAsia="微软雅黑" w:cs="微软雅黑"/>
          <w:sz w:val="28"/>
        </w:rPr>
        <w:t>年度</w:t>
      </w:r>
      <w:r>
        <w:rPr>
          <w:rFonts w:hint="eastAsia" w:ascii="微软雅黑" w:hAnsi="微软雅黑" w:eastAsia="微软雅黑" w:cs="微软雅黑"/>
          <w:sz w:val="28"/>
          <w:szCs w:val="28"/>
        </w:rPr>
        <w:t>绩效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评价</w:t>
      </w:r>
      <w:r>
        <w:rPr>
          <w:rFonts w:hint="eastAsia" w:ascii="微软雅黑" w:hAnsi="微软雅黑" w:eastAsia="微软雅黑" w:cs="微软雅黑"/>
          <w:sz w:val="28"/>
          <w:szCs w:val="28"/>
        </w:rPr>
        <w:t>情况的说明</w:t>
      </w:r>
    </w:p>
    <w:p w14:paraId="6C6F3C59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b/>
          <w:bCs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 w:val="0"/>
          <w:sz w:val="28"/>
          <w:szCs w:val="28"/>
        </w:rPr>
        <w:t>第四部分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</w:rPr>
        <w:t>名词解释</w:t>
      </w:r>
    </w:p>
    <w:p w14:paraId="4CD11D3C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b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 w:val="0"/>
          <w:sz w:val="28"/>
          <w:szCs w:val="28"/>
          <w:lang w:val="en-US" w:eastAsia="zh-CN"/>
        </w:rPr>
        <w:t>第五部分 附件</w:t>
      </w:r>
    </w:p>
    <w:p w14:paraId="36EECF74">
      <w:pPr>
        <w:pStyle w:val="13"/>
        <w:spacing w:line="500" w:lineRule="exact"/>
        <w:rPr>
          <w:rFonts w:hint="eastAsia" w:ascii="微软雅黑" w:hAnsi="微软雅黑" w:eastAsia="微软雅黑" w:cs="微软雅黑"/>
          <w:b w:val="0"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8"/>
          <w:szCs w:val="28"/>
          <w:lang w:val="en-US" w:eastAsia="zh-CN"/>
        </w:rPr>
        <w:br w:type="page"/>
      </w:r>
    </w:p>
    <w:p w14:paraId="00A4631D">
      <w:pPr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6214D790">
      <w:pPr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39908344">
      <w:pPr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13E5E327">
      <w:pPr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399FD1A7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84"/>
          <w:szCs w:val="84"/>
        </w:rPr>
      </w:pPr>
      <w:r>
        <w:rPr>
          <w:rFonts w:hint="eastAsia" w:ascii="微软雅黑" w:hAnsi="微软雅黑" w:eastAsia="微软雅黑" w:cs="微软雅黑"/>
          <w:b/>
          <w:bCs/>
          <w:sz w:val="84"/>
          <w:szCs w:val="84"/>
        </w:rPr>
        <w:t xml:space="preserve">第一部分 </w:t>
      </w:r>
    </w:p>
    <w:p w14:paraId="1DE0149B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84"/>
          <w:szCs w:val="84"/>
        </w:rPr>
      </w:pPr>
    </w:p>
    <w:p w14:paraId="7ED1E696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84"/>
          <w:szCs w:val="84"/>
        </w:rPr>
      </w:pPr>
      <w:r>
        <w:rPr>
          <w:rFonts w:hint="eastAsia" w:ascii="微软雅黑" w:hAnsi="微软雅黑" w:eastAsia="微软雅黑" w:cs="微软雅黑"/>
          <w:b/>
          <w:bCs/>
          <w:sz w:val="84"/>
          <w:szCs w:val="84"/>
        </w:rPr>
        <w:t>岳阳县社会救助服务中心</w:t>
      </w:r>
      <w:r>
        <w:rPr>
          <w:rFonts w:hint="eastAsia" w:ascii="微软雅黑" w:hAnsi="微软雅黑" w:eastAsia="微软雅黑" w:cs="微软雅黑"/>
          <w:b/>
          <w:bCs/>
          <w:sz w:val="84"/>
          <w:szCs w:val="84"/>
          <w:lang w:eastAsia="zh-CN"/>
        </w:rPr>
        <w:t>部门（</w:t>
      </w:r>
      <w:r>
        <w:rPr>
          <w:rFonts w:hint="eastAsia" w:ascii="微软雅黑" w:hAnsi="微软雅黑" w:eastAsia="微软雅黑" w:cs="微软雅黑"/>
          <w:b/>
          <w:bCs/>
          <w:sz w:val="84"/>
          <w:szCs w:val="84"/>
        </w:rPr>
        <w:t>单位</w:t>
      </w:r>
      <w:r>
        <w:rPr>
          <w:rFonts w:hint="eastAsia" w:ascii="微软雅黑" w:hAnsi="微软雅黑" w:eastAsia="微软雅黑" w:cs="微软雅黑"/>
          <w:b/>
          <w:bCs/>
          <w:sz w:val="84"/>
          <w:szCs w:val="84"/>
          <w:lang w:eastAsia="zh-CN"/>
        </w:rPr>
        <w:t>）</w:t>
      </w:r>
      <w:r>
        <w:rPr>
          <w:rFonts w:hint="eastAsia" w:ascii="微软雅黑" w:hAnsi="微软雅黑" w:eastAsia="微软雅黑" w:cs="微软雅黑"/>
          <w:b/>
          <w:bCs/>
          <w:sz w:val="84"/>
          <w:szCs w:val="84"/>
        </w:rPr>
        <w:t>概况</w:t>
      </w:r>
    </w:p>
    <w:p w14:paraId="5B7E0168">
      <w:pPr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62C287C2">
      <w:pPr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7025D845">
      <w:pPr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197DACA0">
      <w:pPr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625712ED">
      <w:pPr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07D9BFDD">
      <w:pPr>
        <w:pStyle w:val="14"/>
        <w:numPr>
          <w:ilvl w:val="0"/>
          <w:numId w:val="0"/>
        </w:numPr>
        <w:ind w:leftChars="0"/>
        <w:jc w:val="left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部门职责</w:t>
      </w:r>
    </w:p>
    <w:p w14:paraId="454BBC53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lang w:val="en-US" w:eastAsia="zh-CN" w:bidi="ar-SA"/>
        </w:rPr>
        <w:t>（一）负责贯彻执行有关最低生活保障的政策法规。</w:t>
      </w:r>
    </w:p>
    <w:p w14:paraId="492326E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lang w:val="en-US" w:eastAsia="zh-CN" w:bidi="ar-SA"/>
        </w:rPr>
        <w:t>（二）为城乡居民提供最低生活保障。</w:t>
      </w:r>
    </w:p>
    <w:p w14:paraId="2A352CEB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lang w:val="en-US" w:eastAsia="zh-CN" w:bidi="ar-SA"/>
        </w:rPr>
        <w:t>（三）为农村特困对象提供社会救助和临时救助。</w:t>
      </w:r>
    </w:p>
    <w:p w14:paraId="086EEE4B">
      <w:pPr>
        <w:widowControl/>
        <w:spacing w:line="600" w:lineRule="exact"/>
        <w:rPr>
          <w:rFonts w:hint="eastAsia" w:ascii="微软雅黑" w:hAnsi="微软雅黑" w:eastAsia="微软雅黑" w:cs="微软雅黑"/>
          <w:b/>
          <w:bCs w:val="0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kern w:val="0"/>
          <w:sz w:val="32"/>
          <w:szCs w:val="32"/>
        </w:rPr>
        <w:t>二、机构设置及决算单位构成</w:t>
      </w:r>
    </w:p>
    <w:p w14:paraId="7D3663F4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微软雅黑" w:hAnsi="微软雅黑" w:eastAsia="微软雅黑" w:cs="微软雅黑"/>
          <w:bCs/>
          <w:kern w:val="0"/>
          <w:sz w:val="32"/>
          <w:szCs w:val="32"/>
        </w:rPr>
        <w:t>（一）内设机构设置。</w:t>
      </w: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lang w:val="en-US" w:eastAsia="zh-CN" w:bidi="ar-SA"/>
        </w:rPr>
        <w:t>本单位系民政局属二级机构，内设 7个股室，分别是：办公室、综合信息股、城市低保股、农村低保股、特困供养股、信息比对股，工会。年末实有在职人数12人。</w:t>
      </w:r>
    </w:p>
    <w:p w14:paraId="2B505DCA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lang w:val="en-US" w:eastAsia="zh-CN" w:bidi="ar-SA"/>
        </w:rPr>
        <w:t>（二）决算单位构成。本单位没有所属下级机构，因此本年度部门决算仅为本级部门决算。</w:t>
      </w:r>
    </w:p>
    <w:p w14:paraId="7E8B265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lang w:val="en-US" w:eastAsia="zh-CN" w:bidi="ar-SA"/>
        </w:rPr>
        <w:sectPr>
          <w:pgSz w:w="11906" w:h="16838"/>
          <w:pgMar w:top="720" w:right="720" w:bottom="720" w:left="720" w:header="851" w:footer="992" w:gutter="0"/>
          <w:cols w:space="720" w:num="1"/>
          <w:docGrid w:type="linesAndChars" w:linePitch="312" w:charSpace="0"/>
        </w:sectPr>
      </w:pPr>
    </w:p>
    <w:p w14:paraId="0992B2BF">
      <w:pPr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137876BD">
      <w:pPr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7F634373">
      <w:pPr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0814A017">
      <w:pPr>
        <w:pStyle w:val="13"/>
        <w:jc w:val="center"/>
        <w:rPr>
          <w:rFonts w:hint="eastAsia" w:ascii="微软雅黑" w:hAnsi="微软雅黑" w:eastAsia="微软雅黑" w:cs="微软雅黑"/>
          <w:sz w:val="84"/>
          <w:szCs w:val="84"/>
        </w:rPr>
      </w:pPr>
    </w:p>
    <w:p w14:paraId="60D4A43C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72"/>
          <w:szCs w:val="72"/>
        </w:rPr>
      </w:pPr>
      <w:r>
        <w:rPr>
          <w:rFonts w:hint="eastAsia" w:ascii="微软雅黑" w:hAnsi="微软雅黑" w:eastAsia="微软雅黑" w:cs="微软雅黑"/>
          <w:b/>
          <w:bCs/>
          <w:sz w:val="72"/>
          <w:szCs w:val="72"/>
        </w:rPr>
        <w:t>第二部分</w:t>
      </w:r>
    </w:p>
    <w:p w14:paraId="7D111E21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72"/>
          <w:szCs w:val="72"/>
        </w:rPr>
      </w:pPr>
    </w:p>
    <w:p w14:paraId="5BEE7F69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72"/>
          <w:szCs w:val="72"/>
        </w:rPr>
      </w:pPr>
      <w:r>
        <w:rPr>
          <w:rFonts w:hint="eastAsia" w:ascii="微软雅黑" w:hAnsi="微软雅黑" w:eastAsia="微软雅黑" w:cs="微软雅黑"/>
          <w:b/>
          <w:bCs/>
          <w:sz w:val="72"/>
          <w:szCs w:val="72"/>
        </w:rPr>
        <w:t>部门决算表</w:t>
      </w:r>
    </w:p>
    <w:p w14:paraId="4E7A2B04">
      <w:pPr>
        <w:jc w:val="center"/>
        <w:rPr>
          <w:rFonts w:hint="eastAsia" w:ascii="微软雅黑" w:hAnsi="微软雅黑" w:eastAsia="微软雅黑" w:cs="微软雅黑"/>
          <w:b/>
          <w:bCs/>
          <w:sz w:val="72"/>
          <w:szCs w:val="72"/>
          <w:lang w:eastAsia="zh-CN"/>
        </w:rPr>
        <w:sectPr>
          <w:pgSz w:w="11906" w:h="16838"/>
          <w:pgMar w:top="720" w:right="720" w:bottom="720" w:left="720" w:header="851" w:footer="992" w:gutter="0"/>
          <w:cols w:space="720" w:num="1"/>
          <w:docGrid w:type="linesAndChars" w:linePitch="312" w:charSpace="0"/>
        </w:sectPr>
      </w:pPr>
      <w:r>
        <w:rPr>
          <w:rFonts w:hint="eastAsia" w:ascii="微软雅黑" w:hAnsi="微软雅黑" w:eastAsia="微软雅黑" w:cs="微软雅黑"/>
          <w:b/>
          <w:bCs/>
          <w:sz w:val="72"/>
          <w:szCs w:val="72"/>
          <w:lang w:eastAsia="zh-CN"/>
        </w:rPr>
        <w:t>（见附件）</w:t>
      </w:r>
    </w:p>
    <w:p w14:paraId="25AF2980">
      <w:pPr>
        <w:pStyle w:val="13"/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669A632B">
      <w:pPr>
        <w:pStyle w:val="13"/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7DC022DA">
      <w:pPr>
        <w:pStyle w:val="13"/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1446431C">
      <w:pPr>
        <w:pStyle w:val="13"/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76D43EFB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72"/>
          <w:szCs w:val="72"/>
        </w:rPr>
      </w:pPr>
      <w:r>
        <w:rPr>
          <w:rFonts w:hint="eastAsia" w:ascii="微软雅黑" w:hAnsi="微软雅黑" w:eastAsia="微软雅黑" w:cs="微软雅黑"/>
          <w:b/>
          <w:bCs/>
          <w:sz w:val="72"/>
          <w:szCs w:val="72"/>
        </w:rPr>
        <w:t>第三部分</w:t>
      </w:r>
    </w:p>
    <w:p w14:paraId="3BF90A60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70"/>
          <w:szCs w:val="70"/>
        </w:rPr>
      </w:pPr>
    </w:p>
    <w:p w14:paraId="107C74A6">
      <w:pPr>
        <w:pStyle w:val="13"/>
        <w:jc w:val="center"/>
        <w:rPr>
          <w:rFonts w:hint="eastAsia" w:ascii="微软雅黑" w:hAnsi="微软雅黑" w:eastAsia="微软雅黑" w:cs="微软雅黑"/>
          <w:sz w:val="70"/>
          <w:szCs w:val="70"/>
        </w:rPr>
      </w:pPr>
      <w:r>
        <w:rPr>
          <w:rFonts w:hint="eastAsia" w:ascii="微软雅黑" w:hAnsi="微软雅黑" w:eastAsia="微软雅黑" w:cs="微软雅黑"/>
          <w:b/>
          <w:bCs/>
          <w:sz w:val="70"/>
          <w:szCs w:val="70"/>
          <w:lang w:eastAsia="zh-CN"/>
        </w:rPr>
        <w:t>2023</w:t>
      </w:r>
      <w:r>
        <w:rPr>
          <w:rFonts w:hint="eastAsia" w:ascii="微软雅黑" w:hAnsi="微软雅黑" w:eastAsia="微软雅黑" w:cs="微软雅黑"/>
          <w:b/>
          <w:bCs/>
          <w:sz w:val="70"/>
          <w:szCs w:val="70"/>
        </w:rPr>
        <w:t>年度部门决算情况说明</w:t>
      </w:r>
    </w:p>
    <w:p w14:paraId="707038F6">
      <w:pPr>
        <w:pStyle w:val="13"/>
        <w:jc w:val="center"/>
        <w:rPr>
          <w:rFonts w:hint="eastAsia" w:ascii="微软雅黑" w:hAnsi="微软雅黑" w:eastAsia="微软雅黑" w:cs="微软雅黑"/>
          <w:sz w:val="70"/>
          <w:szCs w:val="70"/>
        </w:rPr>
      </w:pPr>
    </w:p>
    <w:p w14:paraId="076BB084">
      <w:pPr>
        <w:pStyle w:val="13"/>
        <w:jc w:val="center"/>
        <w:rPr>
          <w:rFonts w:hint="eastAsia" w:ascii="微软雅黑" w:hAnsi="微软雅黑" w:eastAsia="微软雅黑" w:cs="微软雅黑"/>
          <w:sz w:val="70"/>
          <w:szCs w:val="70"/>
        </w:rPr>
      </w:pPr>
    </w:p>
    <w:p w14:paraId="1F6C6BD1">
      <w:pPr>
        <w:pStyle w:val="13"/>
        <w:jc w:val="center"/>
        <w:rPr>
          <w:rFonts w:hint="eastAsia" w:ascii="微软雅黑" w:hAnsi="微软雅黑" w:eastAsia="微软雅黑" w:cs="微软雅黑"/>
          <w:sz w:val="70"/>
          <w:szCs w:val="70"/>
        </w:rPr>
      </w:pPr>
    </w:p>
    <w:p w14:paraId="4E084058">
      <w:pPr>
        <w:pStyle w:val="13"/>
        <w:jc w:val="center"/>
        <w:rPr>
          <w:rFonts w:hint="eastAsia" w:ascii="微软雅黑" w:hAnsi="微软雅黑" w:eastAsia="微软雅黑" w:cs="微软雅黑"/>
          <w:sz w:val="70"/>
          <w:szCs w:val="70"/>
        </w:rPr>
      </w:pPr>
    </w:p>
    <w:p w14:paraId="7EB48DD8">
      <w:pPr>
        <w:pStyle w:val="13"/>
        <w:jc w:val="center"/>
        <w:rPr>
          <w:rFonts w:hint="eastAsia" w:ascii="微软雅黑" w:hAnsi="微软雅黑" w:eastAsia="微软雅黑" w:cs="微软雅黑"/>
          <w:sz w:val="70"/>
          <w:szCs w:val="70"/>
        </w:rPr>
      </w:pPr>
    </w:p>
    <w:p w14:paraId="08351442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一、收入支出决算总体情况说明</w:t>
      </w:r>
    </w:p>
    <w:p w14:paraId="37B4FACE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i/>
          <w:iCs/>
          <w:color w:val="FF000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2023</w:t>
      </w:r>
      <w:r>
        <w:rPr>
          <w:rFonts w:hint="eastAsia" w:ascii="微软雅黑" w:hAnsi="微软雅黑" w:eastAsia="微软雅黑" w:cs="微软雅黑"/>
          <w:sz w:val="32"/>
          <w:szCs w:val="32"/>
        </w:rPr>
        <w:t>年度收、支总计</w:t>
      </w:r>
      <w:r>
        <w:rPr>
          <w:rFonts w:ascii="微软雅黑" w:hAnsi="微软雅黑" w:eastAsia="微软雅黑" w:cs="微软雅黑"/>
          <w:sz w:val="32"/>
        </w:rPr>
        <w:t>196.34万元。与上年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相</w:t>
      </w:r>
      <w:r>
        <w:rPr>
          <w:rFonts w:hint="eastAsia" w:ascii="微软雅黑" w:hAnsi="微软雅黑" w:eastAsia="微软雅黑" w:cs="微软雅黑"/>
          <w:sz w:val="32"/>
          <w:szCs w:val="32"/>
        </w:rPr>
        <w:t>比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，</w:t>
      </w:r>
      <w:r>
        <w:rPr>
          <w:rFonts w:hint="eastAsia" w:ascii="微软雅黑" w:hAnsi="微软雅黑" w:eastAsia="微软雅黑" w:cs="微软雅黑"/>
          <w:sz w:val="32"/>
          <w:szCs w:val="32"/>
        </w:rPr>
        <w:t>减少13.52</w:t>
      </w:r>
      <w:r>
        <w:rPr>
          <w:rFonts w:ascii="微软雅黑" w:hAnsi="微软雅黑" w:eastAsia="微软雅黑" w:cs="微软雅黑"/>
          <w:sz w:val="32"/>
        </w:rPr>
        <w:t>万元，减少6.44%，主要是因为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人员退休所致。</w:t>
      </w:r>
    </w:p>
    <w:p w14:paraId="305F0796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二、收入决算情况说明</w:t>
      </w:r>
    </w:p>
    <w:p w14:paraId="35AE9E2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2023</w:t>
      </w:r>
      <w:r>
        <w:rPr>
          <w:rFonts w:ascii="微软雅黑" w:hAnsi="微软雅黑" w:eastAsia="微软雅黑" w:cs="微软雅黑"/>
          <w:sz w:val="32"/>
        </w:rPr>
        <w:t>年度收入合计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196.34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万元，其中：财政拨款收入</w:t>
      </w:r>
      <w:r>
        <w:rPr>
          <w:rFonts w:ascii="微软雅黑" w:hAnsi="微软雅黑" w:eastAsia="微软雅黑" w:cs="微软雅黑"/>
          <w:sz w:val="32"/>
        </w:rPr>
        <w:t>138.82万元，占70.70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%；上级补助收入</w:t>
      </w:r>
      <w:r>
        <w:rPr>
          <w:rFonts w:ascii="微软雅黑" w:hAnsi="微软雅黑" w:eastAsia="微软雅黑" w:cs="微软雅黑"/>
          <w:sz w:val="32"/>
        </w:rPr>
        <w:t>0.00万元，占0.00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%；事业收入</w:t>
      </w:r>
      <w:r>
        <w:rPr>
          <w:rFonts w:ascii="微软雅黑" w:hAnsi="微软雅黑" w:eastAsia="微软雅黑" w:cs="微软雅黑"/>
          <w:sz w:val="32"/>
        </w:rPr>
        <w:t>0.00万元，占0.00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%；经营收入</w:t>
      </w:r>
      <w:r>
        <w:rPr>
          <w:rFonts w:ascii="微软雅黑" w:hAnsi="微软雅黑" w:eastAsia="微软雅黑" w:cs="微软雅黑"/>
          <w:sz w:val="32"/>
        </w:rPr>
        <w:t>0.00万元，占0.00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%；附属单位上缴收入</w:t>
      </w:r>
      <w:r>
        <w:rPr>
          <w:rFonts w:ascii="微软雅黑" w:hAnsi="微软雅黑" w:eastAsia="微软雅黑" w:cs="微软雅黑"/>
          <w:sz w:val="32"/>
        </w:rPr>
        <w:t>0.00万元，占0.00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%；其他收入</w:t>
      </w:r>
      <w:r>
        <w:rPr>
          <w:rFonts w:ascii="微软雅黑" w:hAnsi="微软雅黑" w:eastAsia="微软雅黑" w:cs="微软雅黑"/>
          <w:sz w:val="32"/>
        </w:rPr>
        <w:t>57.52万元，占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29.30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%。</w:t>
      </w:r>
    </w:p>
    <w:p w14:paraId="75E56B8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三、支出决算情况说明</w:t>
      </w:r>
    </w:p>
    <w:p w14:paraId="2F226D3C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2023</w:t>
      </w:r>
      <w:r>
        <w:rPr>
          <w:rFonts w:ascii="微软雅黑" w:hAnsi="微软雅黑" w:eastAsia="微软雅黑" w:cs="微软雅黑"/>
          <w:sz w:val="32"/>
        </w:rPr>
        <w:t>年度支出合计190.02万元，其中：基本支出170.65万元，占89.81%；项目支出19.38万元，占10.20%；上缴上级支出0.00万元，占0.00%；经营支出0.00万元，占0.00%；对附属单位补助支出0.00万元，占0.00%。</w:t>
      </w:r>
    </w:p>
    <w:p w14:paraId="2AB5FCD6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四、财政拨款收入支出决算总体情况说明</w:t>
      </w:r>
    </w:p>
    <w:p w14:paraId="09C023E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 xml:space="preserve">    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2023</w:t>
      </w:r>
      <w:r>
        <w:rPr>
          <w:rFonts w:ascii="微软雅黑" w:hAnsi="微软雅黑" w:eastAsia="微软雅黑" w:cs="微软雅黑"/>
          <w:sz w:val="32"/>
        </w:rPr>
        <w:t>年度财政拨款收、支总计138.82万元，与上年相比，减少18.87万元,减少11.97%，主要是因为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人员退休所致。</w:t>
      </w:r>
    </w:p>
    <w:p w14:paraId="7E577515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 w:val="0"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五、一般公共预算财政拨款支出决算情况说明</w:t>
      </w:r>
    </w:p>
    <w:p w14:paraId="188B6493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（一）财政拨款支出决算总体情况</w:t>
      </w:r>
    </w:p>
    <w:p w14:paraId="7524F6D3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2023</w:t>
      </w:r>
      <w:r>
        <w:rPr>
          <w:rFonts w:ascii="微软雅黑" w:hAnsi="微软雅黑" w:eastAsia="微软雅黑" w:cs="微软雅黑"/>
          <w:sz w:val="32"/>
        </w:rPr>
        <w:t>年度财政拨款支出138.82万元，占本年支出合计的73.06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%，与上年相比，财政拨款支出</w:t>
      </w:r>
      <w:r>
        <w:rPr>
          <w:rFonts w:ascii="微软雅黑" w:hAnsi="微软雅黑" w:eastAsia="微软雅黑" w:cs="微软雅黑"/>
          <w:sz w:val="32"/>
        </w:rPr>
        <w:t>减少18.87万元，减少11.97%，主要是因为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人员退休所致。</w:t>
      </w:r>
    </w:p>
    <w:p w14:paraId="74FDDD3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（二）财政拨款支出决算结构情况</w:t>
      </w:r>
    </w:p>
    <w:p w14:paraId="0177827E">
      <w:pPr>
        <w:pStyle w:val="13"/>
        <w:ind w:firstLine="640" w:firstLineChars="200"/>
        <w:rPr>
          <w:rFonts w:hint="eastAsia" w:ascii="微软雅黑" w:hAnsi="微软雅黑" w:eastAsia="微软雅黑" w:cs="微软雅黑"/>
          <w:sz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2023</w:t>
      </w:r>
      <w:r>
        <w:rPr>
          <w:rFonts w:ascii="微软雅黑" w:hAnsi="微软雅黑" w:eastAsia="微软雅黑" w:cs="微软雅黑"/>
          <w:sz w:val="32"/>
        </w:rPr>
        <w:t>年度财政拨款支出138.82万元，主要用于以下方面：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社会保障和就业（类）</w:t>
      </w:r>
      <w:r>
        <w:rPr>
          <w:rFonts w:hint="eastAsia" w:ascii="微软雅黑" w:hAnsi="微软雅黑" w:eastAsia="微软雅黑" w:cs="微软雅黑"/>
          <w:sz w:val="32"/>
        </w:rPr>
        <w:t>支出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124.86</w:t>
      </w:r>
      <w:r>
        <w:rPr>
          <w:rFonts w:hint="eastAsia" w:ascii="微软雅黑" w:hAnsi="微软雅黑" w:eastAsia="微软雅黑" w:cs="微软雅黑"/>
          <w:sz w:val="32"/>
        </w:rPr>
        <w:t>万元，占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89.94</w:t>
      </w:r>
      <w:r>
        <w:rPr>
          <w:rFonts w:hint="eastAsia" w:ascii="微软雅黑" w:hAnsi="微软雅黑" w:eastAsia="微软雅黑" w:cs="微软雅黑"/>
          <w:sz w:val="32"/>
        </w:rPr>
        <w:t>%；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卫生健康</w:t>
      </w:r>
      <w:r>
        <w:rPr>
          <w:rFonts w:hint="eastAsia" w:ascii="微软雅黑" w:hAnsi="微软雅黑" w:eastAsia="微软雅黑" w:cs="微软雅黑"/>
          <w:sz w:val="32"/>
        </w:rPr>
        <w:t>（类）支出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6.17</w:t>
      </w:r>
      <w:r>
        <w:rPr>
          <w:rFonts w:hint="eastAsia" w:ascii="微软雅黑" w:hAnsi="微软雅黑" w:eastAsia="微软雅黑" w:cs="微软雅黑"/>
          <w:sz w:val="32"/>
        </w:rPr>
        <w:t>万元，占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4.44</w:t>
      </w:r>
      <w:r>
        <w:rPr>
          <w:rFonts w:hint="eastAsia" w:ascii="微软雅黑" w:hAnsi="微软雅黑" w:eastAsia="微软雅黑" w:cs="微软雅黑"/>
          <w:sz w:val="32"/>
        </w:rPr>
        <w:t>%;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住房保障</w:t>
      </w:r>
      <w:r>
        <w:rPr>
          <w:rFonts w:hint="eastAsia" w:ascii="微软雅黑" w:hAnsi="微软雅黑" w:eastAsia="微软雅黑" w:cs="微软雅黑"/>
          <w:sz w:val="32"/>
        </w:rPr>
        <w:t>（类）支出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7.79</w:t>
      </w:r>
      <w:r>
        <w:rPr>
          <w:rFonts w:hint="eastAsia" w:ascii="微软雅黑" w:hAnsi="微软雅黑" w:eastAsia="微软雅黑" w:cs="微软雅黑"/>
          <w:sz w:val="32"/>
        </w:rPr>
        <w:t>万元，占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5.62</w:t>
      </w:r>
      <w:r>
        <w:rPr>
          <w:rFonts w:hint="eastAsia" w:ascii="微软雅黑" w:hAnsi="微软雅黑" w:eastAsia="微软雅黑" w:cs="微软雅黑"/>
          <w:sz w:val="32"/>
        </w:rPr>
        <w:t>%</w:t>
      </w:r>
      <w:r>
        <w:rPr>
          <w:rFonts w:hint="eastAsia" w:ascii="微软雅黑" w:hAnsi="微软雅黑" w:eastAsia="微软雅黑" w:cs="微软雅黑"/>
          <w:sz w:val="32"/>
          <w:lang w:eastAsia="zh-CN"/>
        </w:rPr>
        <w:t>。</w:t>
      </w:r>
    </w:p>
    <w:p w14:paraId="03B0D22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i/>
          <w:iCs/>
          <w:color w:val="FF0000"/>
          <w:sz w:val="32"/>
          <w:szCs w:val="32"/>
          <w:lang w:eastAsia="zh-CN"/>
        </w:rPr>
      </w:pPr>
    </w:p>
    <w:p w14:paraId="3F7E22B4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（三）财政拨款支出决算具体情况</w:t>
      </w:r>
    </w:p>
    <w:p w14:paraId="3BD653F3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2023</w:t>
      </w:r>
      <w:r>
        <w:rPr>
          <w:rFonts w:ascii="微软雅黑" w:hAnsi="微软雅黑" w:eastAsia="微软雅黑" w:cs="微软雅黑"/>
          <w:sz w:val="32"/>
        </w:rPr>
        <w:t>年度财政拨款支出年初预算数为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132.98</w:t>
      </w:r>
      <w:r>
        <w:rPr>
          <w:rFonts w:ascii="微软雅黑" w:hAnsi="微软雅黑" w:eastAsia="微软雅黑" w:cs="微软雅黑"/>
          <w:sz w:val="32"/>
        </w:rPr>
        <w:t>万元，支出决算数为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138.82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万元，完成年初预算的</w:t>
      </w:r>
      <w:r>
        <w:rPr>
          <w:rFonts w:ascii="微软雅黑" w:hAnsi="微软雅黑" w:eastAsia="微软雅黑" w:cs="微软雅黑"/>
          <w:sz w:val="32"/>
        </w:rPr>
        <w:t>1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04.39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%，其中：</w:t>
      </w:r>
    </w:p>
    <w:p w14:paraId="5B716EE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ascii="微软雅黑" w:hAnsi="微软雅黑" w:eastAsia="微软雅黑" w:cs="微软雅黑"/>
          <w:sz w:val="32"/>
        </w:rPr>
      </w:pPr>
      <w:r>
        <w:rPr>
          <w:rFonts w:hint="eastAsia" w:ascii="微软雅黑" w:hAnsi="微软雅黑" w:eastAsia="微软雅黑" w:cs="微软雅黑"/>
          <w:sz w:val="32"/>
        </w:rPr>
        <w:t>1、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社会保障和就业支出</w:t>
      </w:r>
      <w:r>
        <w:rPr>
          <w:rFonts w:hint="eastAsia" w:ascii="微软雅黑" w:hAnsi="微软雅黑" w:eastAsia="微软雅黑" w:cs="微软雅黑"/>
          <w:sz w:val="32"/>
        </w:rPr>
        <w:t>（类）民政管理事务（款）其他民政管理事务支出（项）。</w:t>
      </w:r>
    </w:p>
    <w:p w14:paraId="223F7CD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ascii="微软雅黑" w:hAnsi="微软雅黑" w:eastAsia="微软雅黑" w:cs="微软雅黑"/>
          <w:sz w:val="32"/>
        </w:rPr>
      </w:pPr>
      <w:r>
        <w:rPr>
          <w:rFonts w:hint="eastAsia" w:ascii="微软雅黑" w:hAnsi="微软雅黑" w:eastAsia="微软雅黑" w:cs="微软雅黑"/>
          <w:sz w:val="32"/>
        </w:rPr>
        <w:t>年初预算为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6.89</w:t>
      </w:r>
      <w:r>
        <w:rPr>
          <w:rFonts w:hint="eastAsia" w:ascii="微软雅黑" w:hAnsi="微软雅黑" w:eastAsia="微软雅黑" w:cs="微软雅黑"/>
          <w:sz w:val="32"/>
        </w:rPr>
        <w:t>万元，支出决算为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6.89</w:t>
      </w:r>
      <w:r>
        <w:rPr>
          <w:rFonts w:hint="eastAsia" w:ascii="微软雅黑" w:hAnsi="微软雅黑" w:eastAsia="微软雅黑" w:cs="微软雅黑"/>
          <w:sz w:val="32"/>
        </w:rPr>
        <w:t>万元，完成年初预算的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100</w:t>
      </w:r>
      <w:r>
        <w:rPr>
          <w:rFonts w:hint="eastAsia" w:ascii="微软雅黑" w:hAnsi="微软雅黑" w:eastAsia="微软雅黑" w:cs="微软雅黑"/>
          <w:sz w:val="32"/>
        </w:rPr>
        <w:t>%，决算数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与</w:t>
      </w:r>
      <w:r>
        <w:rPr>
          <w:rFonts w:hint="eastAsia" w:ascii="微软雅黑" w:hAnsi="微软雅黑" w:eastAsia="微软雅黑" w:cs="微软雅黑"/>
          <w:sz w:val="32"/>
        </w:rPr>
        <w:t>年初预算数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持平。</w:t>
      </w:r>
    </w:p>
    <w:p w14:paraId="1A86ECEA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ascii="微软雅黑" w:hAnsi="微软雅黑" w:eastAsia="微软雅黑" w:cs="微软雅黑"/>
          <w:sz w:val="32"/>
        </w:rPr>
      </w:pPr>
      <w:r>
        <w:rPr>
          <w:rFonts w:hint="eastAsia" w:ascii="微软雅黑" w:hAnsi="微软雅黑" w:eastAsia="微软雅黑" w:cs="微软雅黑"/>
          <w:sz w:val="32"/>
        </w:rPr>
        <w:t>2、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社会保障和就业支出</w:t>
      </w:r>
      <w:r>
        <w:rPr>
          <w:rFonts w:hint="eastAsia" w:ascii="微软雅黑" w:hAnsi="微软雅黑" w:eastAsia="微软雅黑" w:cs="微软雅黑"/>
          <w:sz w:val="32"/>
        </w:rPr>
        <w:t>（类）行政事业单位养老支出（款） 机关事业单位基本养老保险缴费支出（项）。</w:t>
      </w:r>
    </w:p>
    <w:p w14:paraId="7075694E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ascii="微软雅黑" w:hAnsi="微软雅黑" w:eastAsia="微软雅黑" w:cs="微软雅黑"/>
          <w:sz w:val="32"/>
        </w:rPr>
      </w:pPr>
      <w:r>
        <w:rPr>
          <w:rFonts w:hint="eastAsia" w:ascii="微软雅黑" w:hAnsi="微软雅黑" w:eastAsia="微软雅黑" w:cs="微软雅黑"/>
          <w:sz w:val="32"/>
        </w:rPr>
        <w:t>年初预算为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10.39</w:t>
      </w:r>
      <w:r>
        <w:rPr>
          <w:rFonts w:hint="eastAsia" w:ascii="微软雅黑" w:hAnsi="微软雅黑" w:eastAsia="微软雅黑" w:cs="微软雅黑"/>
          <w:sz w:val="32"/>
        </w:rPr>
        <w:t>万元，支出决算为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10.39</w:t>
      </w:r>
      <w:r>
        <w:rPr>
          <w:rFonts w:hint="eastAsia" w:ascii="微软雅黑" w:hAnsi="微软雅黑" w:eastAsia="微软雅黑" w:cs="微软雅黑"/>
          <w:sz w:val="32"/>
        </w:rPr>
        <w:t>万元，完成年初预算的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100</w:t>
      </w:r>
      <w:r>
        <w:rPr>
          <w:rFonts w:hint="eastAsia" w:ascii="微软雅黑" w:hAnsi="微软雅黑" w:eastAsia="微软雅黑" w:cs="微软雅黑"/>
          <w:sz w:val="32"/>
        </w:rPr>
        <w:t>%，决算数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与</w:t>
      </w:r>
      <w:r>
        <w:rPr>
          <w:rFonts w:hint="eastAsia" w:ascii="微软雅黑" w:hAnsi="微软雅黑" w:eastAsia="微软雅黑" w:cs="微软雅黑"/>
          <w:sz w:val="32"/>
        </w:rPr>
        <w:t>年初预算数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持平。</w:t>
      </w:r>
    </w:p>
    <w:p w14:paraId="49FEC005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ascii="微软雅黑" w:hAnsi="微软雅黑" w:eastAsia="微软雅黑" w:cs="微软雅黑"/>
          <w:sz w:val="32"/>
        </w:rPr>
      </w:pPr>
      <w:r>
        <w:rPr>
          <w:rFonts w:hint="eastAsia" w:ascii="微软雅黑" w:hAnsi="微软雅黑" w:eastAsia="微软雅黑" w:cs="微软雅黑"/>
          <w:sz w:val="32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32"/>
        </w:rPr>
        <w:t>、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社会保障和就业支出</w:t>
      </w:r>
      <w:r>
        <w:rPr>
          <w:rFonts w:hint="eastAsia" w:ascii="微软雅黑" w:hAnsi="微软雅黑" w:eastAsia="微软雅黑" w:cs="微软雅黑"/>
          <w:sz w:val="32"/>
        </w:rPr>
        <w:t>（类）民政管理事务（款） 行政运行（项）。</w:t>
      </w:r>
    </w:p>
    <w:p w14:paraId="0F98A2F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sz w:val="32"/>
        </w:rPr>
      </w:pPr>
      <w:r>
        <w:rPr>
          <w:rFonts w:hint="eastAsia" w:ascii="微软雅黑" w:hAnsi="微软雅黑" w:eastAsia="微软雅黑" w:cs="微软雅黑"/>
          <w:sz w:val="32"/>
        </w:rPr>
        <w:t>年初预算为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101.17</w:t>
      </w:r>
      <w:r>
        <w:rPr>
          <w:rFonts w:hint="eastAsia" w:ascii="微软雅黑" w:hAnsi="微软雅黑" w:eastAsia="微软雅黑" w:cs="微软雅黑"/>
          <w:sz w:val="32"/>
        </w:rPr>
        <w:t>万元，支出决算为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107.01</w:t>
      </w:r>
      <w:r>
        <w:rPr>
          <w:rFonts w:hint="eastAsia" w:ascii="微软雅黑" w:hAnsi="微软雅黑" w:eastAsia="微软雅黑" w:cs="微软雅黑"/>
          <w:sz w:val="32"/>
        </w:rPr>
        <w:t>万元，完成年初预算的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105.77</w:t>
      </w:r>
      <w:r>
        <w:rPr>
          <w:rFonts w:hint="eastAsia" w:ascii="微软雅黑" w:hAnsi="微软雅黑" w:eastAsia="微软雅黑" w:cs="微软雅黑"/>
          <w:sz w:val="32"/>
        </w:rPr>
        <w:t>%，决算数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大于</w:t>
      </w:r>
      <w:r>
        <w:rPr>
          <w:rFonts w:hint="eastAsia" w:ascii="微软雅黑" w:hAnsi="微软雅黑" w:eastAsia="微软雅黑" w:cs="微软雅黑"/>
          <w:sz w:val="32"/>
        </w:rPr>
        <w:t>年初预算数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的原因是今年工作业务量较上年大幅增加。</w:t>
      </w:r>
    </w:p>
    <w:p w14:paraId="3D160A6C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ascii="微软雅黑" w:hAnsi="微软雅黑" w:eastAsia="微软雅黑" w:cs="微软雅黑"/>
          <w:sz w:val="32"/>
        </w:rPr>
      </w:pPr>
      <w:r>
        <w:rPr>
          <w:rFonts w:hint="eastAsia" w:ascii="微软雅黑" w:hAnsi="微软雅黑" w:eastAsia="微软雅黑" w:cs="微软雅黑"/>
          <w:sz w:val="32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32"/>
        </w:rPr>
        <w:t>、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社会保障和就业支出</w:t>
      </w:r>
      <w:r>
        <w:rPr>
          <w:rFonts w:hint="eastAsia" w:ascii="微软雅黑" w:hAnsi="微软雅黑" w:eastAsia="微软雅黑" w:cs="微软雅黑"/>
          <w:sz w:val="32"/>
        </w:rPr>
        <w:t>（类）其他社会保障和就业支出（款）其他社会保障和就业支出（项）。</w:t>
      </w:r>
    </w:p>
    <w:p w14:paraId="10A38D0C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sz w:val="32"/>
        </w:rPr>
      </w:pPr>
      <w:r>
        <w:rPr>
          <w:rFonts w:hint="eastAsia" w:ascii="微软雅黑" w:hAnsi="微软雅黑" w:eastAsia="微软雅黑" w:cs="微软雅黑"/>
          <w:sz w:val="32"/>
        </w:rPr>
        <w:t>年初预算为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0.56</w:t>
      </w:r>
      <w:r>
        <w:rPr>
          <w:rFonts w:hint="eastAsia" w:ascii="微软雅黑" w:hAnsi="微软雅黑" w:eastAsia="微软雅黑" w:cs="微软雅黑"/>
          <w:sz w:val="32"/>
        </w:rPr>
        <w:t>万元，支出决算为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0.56</w:t>
      </w:r>
      <w:r>
        <w:rPr>
          <w:rFonts w:hint="eastAsia" w:ascii="微软雅黑" w:hAnsi="微软雅黑" w:eastAsia="微软雅黑" w:cs="微软雅黑"/>
          <w:sz w:val="32"/>
        </w:rPr>
        <w:t>万元，完成年初预算的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100</w:t>
      </w:r>
      <w:r>
        <w:rPr>
          <w:rFonts w:hint="eastAsia" w:ascii="微软雅黑" w:hAnsi="微软雅黑" w:eastAsia="微软雅黑" w:cs="微软雅黑"/>
          <w:sz w:val="32"/>
        </w:rPr>
        <w:t>%，决算数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与</w:t>
      </w:r>
      <w:r>
        <w:rPr>
          <w:rFonts w:hint="eastAsia" w:ascii="微软雅黑" w:hAnsi="微软雅黑" w:eastAsia="微软雅黑" w:cs="微软雅黑"/>
          <w:sz w:val="32"/>
        </w:rPr>
        <w:t>年初预算数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持平。</w:t>
      </w:r>
    </w:p>
    <w:p w14:paraId="5110AF19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ascii="微软雅黑" w:hAnsi="微软雅黑" w:eastAsia="微软雅黑" w:cs="微软雅黑"/>
          <w:sz w:val="32"/>
        </w:rPr>
      </w:pPr>
      <w:r>
        <w:rPr>
          <w:rFonts w:hint="eastAsia" w:ascii="微软雅黑" w:hAnsi="微软雅黑" w:eastAsia="微软雅黑" w:cs="微软雅黑"/>
          <w:sz w:val="32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 w:val="32"/>
        </w:rPr>
        <w:t>、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卫生健康支出</w:t>
      </w:r>
      <w:r>
        <w:rPr>
          <w:rFonts w:hint="eastAsia" w:ascii="微软雅黑" w:hAnsi="微软雅黑" w:eastAsia="微软雅黑" w:cs="微软雅黑"/>
          <w:sz w:val="32"/>
        </w:rPr>
        <w:t>（类）行政事业单位医疗（款）行政单位医疗（项）。</w:t>
      </w:r>
    </w:p>
    <w:p w14:paraId="28B7098C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sz w:val="32"/>
        </w:rPr>
      </w:pPr>
      <w:r>
        <w:rPr>
          <w:rFonts w:hint="eastAsia" w:ascii="微软雅黑" w:hAnsi="微软雅黑" w:eastAsia="微软雅黑" w:cs="微软雅黑"/>
          <w:sz w:val="32"/>
        </w:rPr>
        <w:t>年初预算为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6.17</w:t>
      </w:r>
      <w:r>
        <w:rPr>
          <w:rFonts w:hint="eastAsia" w:ascii="微软雅黑" w:hAnsi="微软雅黑" w:eastAsia="微软雅黑" w:cs="微软雅黑"/>
          <w:sz w:val="32"/>
        </w:rPr>
        <w:t>万元，支出决算为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6.17</w:t>
      </w:r>
      <w:r>
        <w:rPr>
          <w:rFonts w:hint="eastAsia" w:ascii="微软雅黑" w:hAnsi="微软雅黑" w:eastAsia="微软雅黑" w:cs="微软雅黑"/>
          <w:sz w:val="32"/>
        </w:rPr>
        <w:t>万元，完成年初预算的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100</w:t>
      </w:r>
      <w:r>
        <w:rPr>
          <w:rFonts w:hint="eastAsia" w:ascii="微软雅黑" w:hAnsi="微软雅黑" w:eastAsia="微软雅黑" w:cs="微软雅黑"/>
          <w:sz w:val="32"/>
        </w:rPr>
        <w:t>%，决算数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与</w:t>
      </w:r>
      <w:r>
        <w:rPr>
          <w:rFonts w:hint="eastAsia" w:ascii="微软雅黑" w:hAnsi="微软雅黑" w:eastAsia="微软雅黑" w:cs="微软雅黑"/>
          <w:sz w:val="32"/>
        </w:rPr>
        <w:t>年初预算数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持平。</w:t>
      </w:r>
    </w:p>
    <w:p w14:paraId="5B34A69F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ascii="微软雅黑" w:hAnsi="微软雅黑" w:eastAsia="微软雅黑" w:cs="微软雅黑"/>
          <w:sz w:val="32"/>
        </w:rPr>
      </w:pPr>
      <w:r>
        <w:rPr>
          <w:rFonts w:hint="eastAsia" w:ascii="微软雅黑" w:hAnsi="微软雅黑" w:eastAsia="微软雅黑" w:cs="微软雅黑"/>
          <w:sz w:val="32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sz w:val="32"/>
        </w:rPr>
        <w:t>、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住房保障支出</w:t>
      </w:r>
      <w:r>
        <w:rPr>
          <w:rFonts w:hint="eastAsia" w:ascii="微软雅黑" w:hAnsi="微软雅黑" w:eastAsia="微软雅黑" w:cs="微软雅黑"/>
          <w:sz w:val="32"/>
        </w:rPr>
        <w:t>（类）住房改革支出（款）住房公积金（项）。</w:t>
      </w:r>
    </w:p>
    <w:p w14:paraId="698B5CE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sz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</w:rPr>
        <w:t>年初预算为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7.79</w:t>
      </w:r>
      <w:r>
        <w:rPr>
          <w:rFonts w:hint="eastAsia" w:ascii="微软雅黑" w:hAnsi="微软雅黑" w:eastAsia="微软雅黑" w:cs="微软雅黑"/>
          <w:sz w:val="32"/>
        </w:rPr>
        <w:t>万元，支出决算为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7.79</w:t>
      </w:r>
      <w:r>
        <w:rPr>
          <w:rFonts w:hint="eastAsia" w:ascii="微软雅黑" w:hAnsi="微软雅黑" w:eastAsia="微软雅黑" w:cs="微软雅黑"/>
          <w:sz w:val="32"/>
        </w:rPr>
        <w:t>万元，完成年初预算的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100</w:t>
      </w:r>
      <w:r>
        <w:rPr>
          <w:rFonts w:hint="eastAsia" w:ascii="微软雅黑" w:hAnsi="微软雅黑" w:eastAsia="微软雅黑" w:cs="微软雅黑"/>
          <w:sz w:val="32"/>
        </w:rPr>
        <w:t>%，决算数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与</w:t>
      </w:r>
      <w:r>
        <w:rPr>
          <w:rFonts w:hint="eastAsia" w:ascii="微软雅黑" w:hAnsi="微软雅黑" w:eastAsia="微软雅黑" w:cs="微软雅黑"/>
          <w:sz w:val="32"/>
        </w:rPr>
        <w:t>年初预算数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持平。</w:t>
      </w:r>
    </w:p>
    <w:p w14:paraId="3FBE79BB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六、一般公共预算财政拨款基本支出决算情况说明</w:t>
      </w:r>
    </w:p>
    <w:p w14:paraId="2E8D46AB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2023</w:t>
      </w:r>
      <w:r>
        <w:rPr>
          <w:rFonts w:ascii="微软雅黑" w:hAnsi="微软雅黑" w:eastAsia="微软雅黑" w:cs="微软雅黑"/>
          <w:sz w:val="32"/>
        </w:rPr>
        <w:t>年度财政拨款基本支出131.94万元，其中：</w:t>
      </w:r>
    </w:p>
    <w:p w14:paraId="3A44A7F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人员经费</w:t>
      </w:r>
      <w:r>
        <w:rPr>
          <w:rFonts w:ascii="微软雅黑" w:hAnsi="微软雅黑" w:eastAsia="微软雅黑" w:cs="微软雅黑"/>
          <w:sz w:val="32"/>
        </w:rPr>
        <w:t>113.34万元，占基本支出的85.90%,主要包括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基本工资、津贴补贴、奖金、其他社会保障缴费、绩效工资、机关事业单位基本养老保险缴费、职业年金缴费、其他工资福利支出、医疗费、奖励金、住房公积金、其他对个人和家庭的补助支出</w:t>
      </w:r>
      <w:r>
        <w:rPr>
          <w:rFonts w:hint="eastAsia" w:ascii="微软雅黑" w:hAnsi="微软雅黑" w:eastAsia="微软雅黑" w:cs="微软雅黑"/>
          <w:sz w:val="32"/>
          <w:lang w:eastAsia="zh-CN"/>
        </w:rPr>
        <w:t>。</w:t>
      </w:r>
    </w:p>
    <w:p w14:paraId="38778199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i/>
          <w:iCs/>
          <w:color w:val="FF000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公用经费</w:t>
      </w:r>
      <w:r>
        <w:rPr>
          <w:rFonts w:ascii="微软雅黑" w:hAnsi="微软雅黑" w:eastAsia="微软雅黑" w:cs="微软雅黑"/>
          <w:sz w:val="32"/>
        </w:rPr>
        <w:t>18.60万元，占基本支出的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14.10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%，主要包括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办公费、印刷费、水费、电费、邮电费、物业管理费、差旅费、维修（护）费、租赁费、培训费、劳务费、工会经费、其他交通费用、其他商品和服务支出。</w:t>
      </w:r>
    </w:p>
    <w:p w14:paraId="67C2F14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  <w:lang w:eastAsia="zh-CN"/>
        </w:rPr>
        <w:t>七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、政府性基金预算收入支出决算情况</w:t>
      </w:r>
    </w:p>
    <w:p w14:paraId="14971989">
      <w:pPr>
        <w:pStyle w:val="13"/>
        <w:ind w:firstLine="640" w:firstLineChars="200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2023</w:t>
      </w:r>
      <w:r>
        <w:rPr>
          <w:rFonts w:ascii="微软雅黑" w:hAnsi="微软雅黑" w:eastAsia="微软雅黑" w:cs="微软雅黑"/>
          <w:sz w:val="32"/>
        </w:rPr>
        <w:t>年度</w:t>
      </w:r>
      <w:r>
        <w:rPr>
          <w:rFonts w:hint="eastAsia" w:ascii="微软雅黑" w:hAnsi="微软雅黑" w:eastAsia="微软雅黑" w:cs="微软雅黑"/>
          <w:sz w:val="32"/>
        </w:rPr>
        <w:t>本单位无政府性基金收支</w:t>
      </w:r>
      <w:r>
        <w:rPr>
          <w:rFonts w:hint="eastAsia" w:ascii="微软雅黑" w:hAnsi="微软雅黑" w:eastAsia="微软雅黑" w:cs="微软雅黑"/>
          <w:sz w:val="32"/>
          <w:lang w:eastAsia="zh-CN"/>
        </w:rPr>
        <w:t>。</w:t>
      </w:r>
    </w:p>
    <w:p w14:paraId="528D34BD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  <w:lang w:eastAsia="zh-CN"/>
        </w:rPr>
        <w:t>八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、国有资本经营预算财政拨款支出决算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  <w:lang w:eastAsia="zh-CN"/>
        </w:rPr>
        <w:t>情况</w:t>
      </w:r>
    </w:p>
    <w:p w14:paraId="5B1D5483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2023</w:t>
      </w:r>
      <w:r>
        <w:rPr>
          <w:rFonts w:ascii="微软雅黑" w:hAnsi="微软雅黑" w:eastAsia="微软雅黑" w:cs="微软雅黑"/>
          <w:sz w:val="32"/>
        </w:rPr>
        <w:t>年度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本单位无国有资本经营</w:t>
      </w:r>
      <w:r>
        <w:rPr>
          <w:rFonts w:hint="eastAsia" w:ascii="微软雅黑" w:hAnsi="微软雅黑" w:eastAsia="微软雅黑" w:cs="微软雅黑"/>
          <w:sz w:val="32"/>
          <w:lang w:eastAsia="zh-CN"/>
        </w:rPr>
        <w:t>预算财政拨款支出。</w:t>
      </w:r>
    </w:p>
    <w:p w14:paraId="2C084444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  <w:highlight w:val="none"/>
          <w:lang w:eastAsia="zh-CN"/>
        </w:rPr>
        <w:t>九、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财政拨款三公经费支出决算情况说明</w:t>
      </w:r>
    </w:p>
    <w:p w14:paraId="1565541B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（一）“三公”经费财政拨款支出决算总体情况说明</w:t>
      </w:r>
    </w:p>
    <w:p w14:paraId="1BD52C3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800" w:firstLineChars="25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“三公”经费财政拨款支出预算为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万元，支出决算为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万元，完成预算的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%，其中：</w:t>
      </w:r>
    </w:p>
    <w:p w14:paraId="3BFB27AD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800" w:firstLineChars="25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因公出国（境）费支出预算为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万元，支出决算为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万元，完成预算的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%，决算数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与</w:t>
      </w:r>
      <w:r>
        <w:rPr>
          <w:rFonts w:hint="eastAsia" w:ascii="微软雅黑" w:hAnsi="微软雅黑" w:eastAsia="微软雅黑" w:cs="微软雅黑"/>
          <w:sz w:val="32"/>
          <w:szCs w:val="32"/>
        </w:rPr>
        <w:t>预算数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及上年数持平。</w:t>
      </w:r>
    </w:p>
    <w:p w14:paraId="4E143AB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800" w:firstLineChars="25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公务接待费支出预算为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万元，支出决算为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万元，完成预算的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%，决算数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与</w:t>
      </w:r>
      <w:r>
        <w:rPr>
          <w:rFonts w:hint="eastAsia" w:ascii="微软雅黑" w:hAnsi="微软雅黑" w:eastAsia="微软雅黑" w:cs="微软雅黑"/>
          <w:sz w:val="32"/>
          <w:szCs w:val="32"/>
        </w:rPr>
        <w:t>预算数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及上年数持平。</w:t>
      </w:r>
    </w:p>
    <w:p w14:paraId="38BC6EA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公务用车购置费支出预算为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万元，支出决算为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万元，完成预算的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%，决算数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与</w:t>
      </w:r>
      <w:r>
        <w:rPr>
          <w:rFonts w:hint="eastAsia" w:ascii="微软雅黑" w:hAnsi="微软雅黑" w:eastAsia="微软雅黑" w:cs="微软雅黑"/>
          <w:sz w:val="32"/>
          <w:szCs w:val="32"/>
        </w:rPr>
        <w:t>预算数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及上年数持平</w:t>
      </w:r>
      <w:r>
        <w:rPr>
          <w:rFonts w:hint="eastAsia" w:ascii="微软雅黑" w:hAnsi="微软雅黑" w:eastAsia="微软雅黑" w:cs="微软雅黑"/>
          <w:sz w:val="32"/>
          <w:szCs w:val="32"/>
        </w:rPr>
        <w:t>。</w:t>
      </w:r>
    </w:p>
    <w:p w14:paraId="2294A3E3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公务用车运行维护费支出预算为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万元，支出决算为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万元，完成预算的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%，决算数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与</w:t>
      </w:r>
      <w:r>
        <w:rPr>
          <w:rFonts w:hint="eastAsia" w:ascii="微软雅黑" w:hAnsi="微软雅黑" w:eastAsia="微软雅黑" w:cs="微软雅黑"/>
          <w:sz w:val="32"/>
          <w:szCs w:val="32"/>
        </w:rPr>
        <w:t>预算数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及上年数持平</w:t>
      </w:r>
      <w:r>
        <w:rPr>
          <w:rFonts w:hint="eastAsia" w:ascii="微软雅黑" w:hAnsi="微软雅黑" w:eastAsia="微软雅黑" w:cs="微软雅黑"/>
          <w:sz w:val="32"/>
          <w:szCs w:val="32"/>
        </w:rPr>
        <w:t>。</w:t>
      </w:r>
    </w:p>
    <w:p w14:paraId="707CF3CD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（二）“三公”经费财政拨款支出决算具体情况说明</w:t>
      </w:r>
    </w:p>
    <w:p w14:paraId="1B26057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2023</w:t>
      </w:r>
      <w:r>
        <w:rPr>
          <w:rFonts w:hint="eastAsia" w:ascii="微软雅黑" w:hAnsi="微软雅黑" w:eastAsia="微软雅黑" w:cs="微软雅黑"/>
          <w:sz w:val="32"/>
          <w:szCs w:val="32"/>
        </w:rPr>
        <w:t>年度“三公”经费财政拨款支出决算中，公务接待费支出决算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万元，占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0</w:t>
      </w:r>
      <w:r>
        <w:rPr>
          <w:rFonts w:ascii="微软雅黑" w:hAnsi="微软雅黑" w:eastAsia="微软雅黑" w:cs="微软雅黑"/>
          <w:sz w:val="32"/>
        </w:rPr>
        <w:t>.00</w:t>
      </w:r>
      <w:r>
        <w:rPr>
          <w:rFonts w:hint="eastAsia" w:ascii="微软雅黑" w:hAnsi="微软雅黑" w:eastAsia="微软雅黑" w:cs="微软雅黑"/>
          <w:sz w:val="32"/>
          <w:szCs w:val="32"/>
        </w:rPr>
        <w:t>%,因公出国（境）费支出决算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万元，占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%,公务用车购置费及运行维护费支出决算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万元，占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%。其中：</w:t>
      </w:r>
    </w:p>
    <w:p w14:paraId="156E105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800" w:firstLineChars="250"/>
        <w:textAlignment w:val="auto"/>
        <w:rPr>
          <w:rFonts w:hint="eastAsia" w:ascii="微软雅黑" w:hAnsi="微软雅黑" w:eastAsia="微软雅黑" w:cs="微软雅黑"/>
          <w:b/>
          <w:bCs/>
          <w:i/>
          <w:color w:val="auto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1、</w:t>
      </w:r>
      <w:r>
        <w:rPr>
          <w:rFonts w:hint="eastAsia" w:ascii="微软雅黑" w:hAnsi="微软雅黑" w:eastAsia="微软雅黑" w:cs="微软雅黑"/>
          <w:sz w:val="32"/>
          <w:szCs w:val="32"/>
        </w:rPr>
        <w:t>因公出国（境）费支出决算为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万元，全年安排因公出国（境）团组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个，累计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人次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。</w:t>
      </w:r>
    </w:p>
    <w:p w14:paraId="132C4C8D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800" w:firstLineChars="25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2、公务接待费支出决算为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万元，全年共接待来访团组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个、来宾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人次。</w:t>
      </w:r>
    </w:p>
    <w:p w14:paraId="219767F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800" w:firstLineChars="250"/>
        <w:textAlignment w:val="auto"/>
        <w:rPr>
          <w:rFonts w:hint="eastAsia" w:ascii="微软雅黑" w:hAnsi="微软雅黑" w:eastAsia="微软雅黑" w:cs="微软雅黑"/>
          <w:b/>
          <w:bCs/>
          <w:i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3、公务用车购置费及运行维护费支出决算为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万元，其中：公务用车购置费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</w:t>
      </w:r>
      <w:r>
        <w:rPr>
          <w:rFonts w:ascii="微软雅黑" w:hAnsi="微软雅黑" w:eastAsia="微软雅黑" w:cs="微软雅黑"/>
          <w:sz w:val="32"/>
        </w:rPr>
        <w:t>岳阳县社会福利院更新公务用车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0</w:t>
      </w:r>
      <w:r>
        <w:rPr>
          <w:rFonts w:ascii="微软雅黑" w:hAnsi="微软雅黑" w:eastAsia="微软雅黑" w:cs="微软雅黑"/>
          <w:sz w:val="32"/>
        </w:rPr>
        <w:t>辆</w:t>
      </w:r>
      <w:r>
        <w:rPr>
          <w:rFonts w:hint="eastAsia" w:ascii="微软雅黑" w:hAnsi="微软雅黑" w:eastAsia="微软雅黑" w:cs="微软雅黑"/>
          <w:color w:val="000000"/>
          <w:sz w:val="32"/>
          <w:szCs w:val="32"/>
        </w:rPr>
        <w:t>。</w:t>
      </w:r>
      <w:r>
        <w:rPr>
          <w:rFonts w:hint="eastAsia" w:ascii="微软雅黑" w:hAnsi="微软雅黑" w:eastAsia="微软雅黑" w:cs="微软雅黑"/>
          <w:sz w:val="32"/>
          <w:szCs w:val="32"/>
        </w:rPr>
        <w:t>公务用车运行维护费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万元，截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至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2023</w:t>
      </w:r>
      <w:r>
        <w:rPr>
          <w:rFonts w:hint="eastAsia" w:ascii="微软雅黑" w:hAnsi="微软雅黑" w:eastAsia="微软雅黑" w:cs="微软雅黑"/>
          <w:sz w:val="32"/>
          <w:szCs w:val="32"/>
        </w:rPr>
        <w:t>年12月31日，我单位开支财政拨款的公务用车保有量为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辆。</w:t>
      </w:r>
    </w:p>
    <w:p w14:paraId="3F1F4EFD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eastAsia" w:ascii="微软雅黑" w:hAnsi="微软雅黑" w:eastAsia="微软雅黑" w:cs="微软雅黑"/>
          <w:i/>
          <w:iCs w:val="0"/>
          <w:color w:val="FF0000"/>
          <w:sz w:val="32"/>
          <w:szCs w:val="32"/>
          <w:lang w:eastAsia="zh-CN"/>
        </w:rPr>
      </w:pPr>
    </w:p>
    <w:p w14:paraId="214B77A6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  <w:lang w:eastAsia="zh-CN"/>
        </w:rPr>
        <w:t>十、</w:t>
      </w:r>
      <w:r>
        <w:rPr>
          <w:rFonts w:hint="eastAsia" w:ascii="微软雅黑" w:hAnsi="微软雅黑" w:eastAsia="微软雅黑" w:cs="微软雅黑"/>
          <w:b/>
          <w:sz w:val="32"/>
          <w:szCs w:val="32"/>
        </w:rPr>
        <w:t>关于机关运行经费支出说明</w:t>
      </w:r>
    </w:p>
    <w:p w14:paraId="632AAD69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本级和所属单位均为事业单位，按照机关运行经费的口径，本年度机关运行经费为0。</w:t>
      </w:r>
    </w:p>
    <w:p w14:paraId="46239B7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十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  <w:lang w:eastAsia="zh-CN"/>
        </w:rPr>
        <w:t>一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、一般性支出情况说明</w:t>
      </w:r>
    </w:p>
    <w:p w14:paraId="25063A58">
      <w:pPr>
        <w:pStyle w:val="13"/>
        <w:ind w:firstLine="640" w:firstLineChars="200"/>
        <w:rPr>
          <w:rFonts w:hint="eastAsia" w:ascii="微软雅黑" w:hAnsi="微软雅黑" w:eastAsia="微软雅黑" w:cs="微软雅黑"/>
          <w:sz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2023</w:t>
      </w:r>
      <w:r>
        <w:rPr>
          <w:rFonts w:hint="eastAsia" w:ascii="微软雅黑" w:hAnsi="微软雅黑" w:eastAsia="微软雅黑" w:cs="微软雅黑"/>
          <w:sz w:val="32"/>
          <w:szCs w:val="32"/>
        </w:rPr>
        <w:t>年本部门开支会议费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万元；开支培训费</w:t>
      </w:r>
      <w:r>
        <w:rPr>
          <w:rFonts w:ascii="微软雅黑" w:hAnsi="微软雅黑" w:eastAsia="微软雅黑" w:cs="微软雅黑"/>
          <w:sz w:val="32"/>
        </w:rPr>
        <w:t>0.25万元，用于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湖南省事业单位工作人员网上培训</w:t>
      </w:r>
      <w:r>
        <w:rPr>
          <w:rFonts w:hint="eastAsia" w:ascii="微软雅黑" w:hAnsi="微软雅黑" w:eastAsia="微软雅黑" w:cs="微软雅黑"/>
          <w:sz w:val="32"/>
        </w:rPr>
        <w:t>；举办节庆、晚会、论坛、赛事活动，开支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</w:rPr>
        <w:t>万元。</w:t>
      </w:r>
    </w:p>
    <w:p w14:paraId="6E08F71C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十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  <w:lang w:eastAsia="zh-CN"/>
        </w:rPr>
        <w:t>二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、关于政府采购支出说明</w:t>
      </w:r>
    </w:p>
    <w:p w14:paraId="443EC90E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本部门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2023</w:t>
      </w:r>
      <w:r>
        <w:rPr>
          <w:rFonts w:hint="eastAsia" w:ascii="微软雅黑" w:hAnsi="微软雅黑" w:eastAsia="微软雅黑" w:cs="微软雅黑"/>
          <w:sz w:val="32"/>
          <w:szCs w:val="32"/>
        </w:rPr>
        <w:t>年度政府采购支出总额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16.19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万元，其中：政府采购货物支出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12.19</w:t>
      </w:r>
      <w:r>
        <w:rPr>
          <w:rFonts w:hint="eastAsia" w:ascii="微软雅黑" w:hAnsi="微软雅黑" w:eastAsia="微软雅黑" w:cs="微软雅黑"/>
          <w:sz w:val="32"/>
          <w:szCs w:val="32"/>
        </w:rPr>
        <w:t>万元、政府采购工程支出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万元、政府采购服务支出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32"/>
          <w:szCs w:val="32"/>
        </w:rPr>
        <w:t>万元。授予中小企业合同金额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16.19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万元，占政府采购支出总额的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100</w:t>
      </w:r>
      <w:r>
        <w:rPr>
          <w:rFonts w:hint="eastAsia" w:ascii="微软雅黑" w:hAnsi="微软雅黑" w:eastAsia="微软雅黑" w:cs="微软雅黑"/>
          <w:sz w:val="32"/>
          <w:szCs w:val="32"/>
        </w:rPr>
        <w:t>%，其中：授予小微企业合同金额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16.19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万元，占授予中小企业合同金额的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100</w:t>
      </w:r>
      <w:r>
        <w:rPr>
          <w:rFonts w:hint="eastAsia" w:ascii="微软雅黑" w:hAnsi="微软雅黑" w:eastAsia="微软雅黑" w:cs="微软雅黑"/>
          <w:sz w:val="32"/>
          <w:szCs w:val="32"/>
        </w:rPr>
        <w:t>%。货物采购授予中小企业合同金额占货物支出金额的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75.29</w:t>
      </w:r>
      <w:r>
        <w:rPr>
          <w:rFonts w:hint="eastAsia" w:ascii="微软雅黑" w:hAnsi="微软雅黑" w:eastAsia="微软雅黑" w:cs="微软雅黑"/>
          <w:sz w:val="32"/>
          <w:szCs w:val="32"/>
        </w:rPr>
        <w:t>%，工程采购授予中小企业合同金额占工程支出金额的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%，服务采购授予中小企业合同金额占服务支出金额的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24.71</w:t>
      </w:r>
      <w:r>
        <w:rPr>
          <w:rFonts w:hint="eastAsia" w:ascii="微软雅黑" w:hAnsi="微软雅黑" w:eastAsia="微软雅黑" w:cs="微软雅黑"/>
          <w:sz w:val="32"/>
          <w:szCs w:val="32"/>
        </w:rPr>
        <w:t>%。</w:t>
      </w:r>
    </w:p>
    <w:p w14:paraId="297CEC2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十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  <w:lang w:eastAsia="zh-CN"/>
        </w:rPr>
        <w:t>三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、关于国有资产占用情况说明</w:t>
      </w:r>
    </w:p>
    <w:p w14:paraId="404EDF41">
      <w:pPr>
        <w:pStyle w:val="13"/>
        <w:ind w:firstLine="640" w:firstLineChars="200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截至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2023</w:t>
      </w:r>
      <w:r>
        <w:rPr>
          <w:rFonts w:hint="eastAsia" w:ascii="微软雅黑" w:hAnsi="微软雅黑" w:eastAsia="微软雅黑" w:cs="微软雅黑"/>
          <w:sz w:val="32"/>
          <w:szCs w:val="32"/>
        </w:rPr>
        <w:t>年12月31日，本单位共有车辆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辆，其中，主要领导干部用车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辆，机要通信用车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辆、应急保障用车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辆、执法执勤用车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辆、特种专业技术用车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辆、其他用车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辆，；单位价值50万元以上通用设备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台（套）；单位价值100万元以上专用设备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台（套）。</w:t>
      </w:r>
    </w:p>
    <w:p w14:paraId="62F87C6E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十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  <w:lang w:eastAsia="zh-CN"/>
        </w:rPr>
        <w:t>四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、关于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  <w:lang w:eastAsia="zh-CN"/>
        </w:rPr>
        <w:t>2023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年度绩效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  <w:lang w:val="en-US" w:eastAsia="zh-CN"/>
        </w:rPr>
        <w:t>评价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情况的说明</w:t>
      </w:r>
    </w:p>
    <w:p w14:paraId="15877EB9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根据《中共中央 国务院关于全面实施预算绩效管理的意见》（中发〔2018〕34号）、《中共湖南省委办公厅 湖南省人民政府办公厅关于全面实施预算绩效管理的实施意见（湘办发〔2019〕10号）文件精神，结合《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岳</w:t>
      </w:r>
      <w:r>
        <w:rPr>
          <w:rFonts w:hint="eastAsia" w:ascii="微软雅黑" w:hAnsi="微软雅黑" w:eastAsia="微软雅黑" w:cs="微软雅黑"/>
          <w:sz w:val="32"/>
          <w:szCs w:val="32"/>
        </w:rPr>
        <w:t>阳市财政局关于开展202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32"/>
          <w:szCs w:val="32"/>
        </w:rPr>
        <w:t>年度部门绩效自评工作的通知》要求，为进一步规范财政资金管理，强化绩效和责任意识，切实提高财政资金使用效益，我单位对202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32"/>
          <w:szCs w:val="32"/>
        </w:rPr>
        <w:t>年度部门整体支出支出进行了绩效自评。</w:t>
      </w:r>
    </w:p>
    <w:p w14:paraId="7C733449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部门整体支出绩效自评得分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96</w:t>
      </w:r>
      <w:r>
        <w:rPr>
          <w:rFonts w:hint="eastAsia" w:ascii="微软雅黑" w:hAnsi="微软雅黑" w:eastAsia="微软雅黑" w:cs="微软雅黑"/>
          <w:sz w:val="32"/>
          <w:szCs w:val="32"/>
        </w:rPr>
        <w:t>，评价等级为“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优秀</w:t>
      </w:r>
      <w:r>
        <w:rPr>
          <w:rFonts w:hint="eastAsia" w:ascii="微软雅黑" w:hAnsi="微软雅黑" w:eastAsia="微软雅黑" w:cs="微软雅黑"/>
          <w:sz w:val="32"/>
          <w:szCs w:val="32"/>
        </w:rPr>
        <w:t>”；</w:t>
      </w:r>
    </w:p>
    <w:p w14:paraId="71B699A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已按市财政局统一要求在我单位门户网站公开。</w:t>
      </w:r>
    </w:p>
    <w:p w14:paraId="7238C29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</w:p>
    <w:p w14:paraId="236350F5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报告见附件。</w:t>
      </w:r>
    </w:p>
    <w:p w14:paraId="7EEA2B2C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br w:type="page"/>
      </w:r>
    </w:p>
    <w:p w14:paraId="037914D3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i/>
          <w:iCs/>
          <w:color w:val="FF0000"/>
          <w:sz w:val="32"/>
          <w:szCs w:val="32"/>
          <w:lang w:eastAsia="zh-CN"/>
        </w:rPr>
      </w:pPr>
    </w:p>
    <w:p w14:paraId="1AA3DF93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72"/>
          <w:szCs w:val="72"/>
        </w:rPr>
      </w:pPr>
      <w:r>
        <w:rPr>
          <w:rFonts w:hint="eastAsia" w:ascii="微软雅黑" w:hAnsi="微软雅黑" w:eastAsia="微软雅黑" w:cs="微软雅黑"/>
          <w:b/>
          <w:bCs/>
          <w:sz w:val="72"/>
          <w:szCs w:val="72"/>
        </w:rPr>
        <w:t>第四部分</w:t>
      </w:r>
    </w:p>
    <w:p w14:paraId="1E8FE802">
      <w:pPr>
        <w:jc w:val="center"/>
        <w:rPr>
          <w:rFonts w:hint="eastAsia" w:ascii="微软雅黑" w:hAnsi="微软雅黑" w:eastAsia="微软雅黑" w:cs="微软雅黑"/>
          <w:b/>
          <w:bCs/>
          <w:color w:val="000000"/>
          <w:kern w:val="0"/>
          <w:sz w:val="70"/>
          <w:szCs w:val="70"/>
        </w:rPr>
      </w:pPr>
    </w:p>
    <w:p w14:paraId="70A3934F">
      <w:pPr>
        <w:jc w:val="center"/>
        <w:rPr>
          <w:rFonts w:hint="eastAsia" w:ascii="微软雅黑" w:hAnsi="微软雅黑" w:eastAsia="微软雅黑" w:cs="微软雅黑"/>
          <w:b/>
          <w:bCs/>
          <w:color w:val="000000"/>
          <w:kern w:val="0"/>
          <w:sz w:val="70"/>
          <w:szCs w:val="70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70"/>
          <w:szCs w:val="70"/>
        </w:rPr>
        <w:t>名词解释</w:t>
      </w:r>
    </w:p>
    <w:p w14:paraId="0B1C65BE">
      <w:pPr>
        <w:widowControl/>
        <w:jc w:val="left"/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</w:pPr>
    </w:p>
    <w:p w14:paraId="27624E8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  <w:t>一、“三公”经费：指用财政拨款安排的因公出国（境）费、公务用车购置及运行费和公务接待费。其中，因公出国（境）费反映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 w14:paraId="5498777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  <w:t>二、机关运行经费</w:t>
      </w: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  <w:t>是指各部门的公用经费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 w14:paraId="18B87E50">
      <w:pPr>
        <w:rPr>
          <w:rFonts w:hint="eastAsia" w:ascii="微软雅黑" w:hAnsi="微软雅黑" w:eastAsia="微软雅黑" w:cs="微软雅黑"/>
          <w:sz w:val="72"/>
          <w:szCs w:val="72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sz w:val="72"/>
          <w:szCs w:val="72"/>
        </w:rPr>
        <w:br w:type="page"/>
      </w:r>
    </w:p>
    <w:p w14:paraId="70011CB7">
      <w:pPr>
        <w:pStyle w:val="13"/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1007A139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72"/>
          <w:szCs w:val="72"/>
        </w:rPr>
      </w:pPr>
      <w:r>
        <w:rPr>
          <w:rFonts w:hint="eastAsia" w:ascii="微软雅黑" w:hAnsi="微软雅黑" w:eastAsia="微软雅黑" w:cs="微软雅黑"/>
          <w:b/>
          <w:bCs/>
          <w:sz w:val="72"/>
          <w:szCs w:val="72"/>
        </w:rPr>
        <w:t>第五部分</w:t>
      </w:r>
    </w:p>
    <w:p w14:paraId="03706E71">
      <w:pPr>
        <w:jc w:val="center"/>
        <w:rPr>
          <w:rFonts w:hint="eastAsia" w:ascii="微软雅黑" w:hAnsi="微软雅黑" w:eastAsia="微软雅黑" w:cs="微软雅黑"/>
          <w:b/>
          <w:bCs/>
          <w:color w:val="000000"/>
          <w:kern w:val="0"/>
          <w:sz w:val="70"/>
          <w:szCs w:val="70"/>
        </w:rPr>
      </w:pPr>
    </w:p>
    <w:p w14:paraId="71E8009C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72"/>
          <w:szCs w:val="72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70"/>
          <w:szCs w:val="70"/>
        </w:rPr>
        <w:t>附件</w:t>
      </w:r>
    </w:p>
    <w:p w14:paraId="1B471155">
      <w:pPr>
        <w:ind w:firstLine="640" w:firstLineChars="200"/>
        <w:jc w:val="left"/>
        <w:rPr>
          <w:rFonts w:hint="eastAsia" w:ascii="微软雅黑" w:hAnsi="微软雅黑" w:eastAsia="微软雅黑" w:cs="微软雅黑"/>
          <w:b/>
          <w:bCs/>
          <w:color w:val="000000"/>
          <w:kern w:val="0"/>
          <w:sz w:val="32"/>
          <w:szCs w:val="32"/>
          <w:lang w:val="en-US" w:eastAsia="zh-CN"/>
        </w:rPr>
      </w:pPr>
    </w:p>
    <w:p w14:paraId="51D50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2"/>
          <w:szCs w:val="32"/>
          <w:lang w:val="en-US" w:eastAsia="zh-CN"/>
        </w:rPr>
        <w:t>1、</w:t>
      </w:r>
      <w:r>
        <w:rPr>
          <w:rFonts w:ascii="微软雅黑" w:hAnsi="微软雅黑" w:eastAsia="微软雅黑" w:cs="微软雅黑"/>
          <w:b/>
          <w:color w:val="000000"/>
          <w:sz w:val="32"/>
        </w:rPr>
        <w:t>2023年部门决算公开表格</w:t>
      </w:r>
    </w:p>
    <w:p w14:paraId="0C3C3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2"/>
          <w:szCs w:val="32"/>
          <w:lang w:val="en-US" w:eastAsia="zh-CN"/>
        </w:rPr>
        <w:t>2、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2"/>
          <w:szCs w:val="32"/>
          <w:lang w:eastAsia="zh-CN"/>
        </w:rPr>
        <w:t>2023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2"/>
          <w:szCs w:val="32"/>
        </w:rPr>
        <w:t>年度部门整体支出绩效评价报告</w:t>
      </w:r>
    </w:p>
    <w:sectPr>
      <w:pgSz w:w="11906" w:h="16838"/>
      <w:pgMar w:top="720" w:right="720" w:bottom="720" w:left="72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zMGRhZDQwYTRkNTYzMTkyY2U4NjQ1YzFlODg3N2QifQ=="/>
    <w:docVar w:name="KSO_WPS_MARK_KEY" w:val="aeeac8e3-f466-426f-889f-364d7213eb81"/>
  </w:docVars>
  <w:rsids>
    <w:rsidRoot w:val="004506F9"/>
    <w:rsid w:val="0002229B"/>
    <w:rsid w:val="000273BD"/>
    <w:rsid w:val="00040CBC"/>
    <w:rsid w:val="000415B7"/>
    <w:rsid w:val="00041E3F"/>
    <w:rsid w:val="00055DAA"/>
    <w:rsid w:val="00061F7B"/>
    <w:rsid w:val="000658A3"/>
    <w:rsid w:val="00074155"/>
    <w:rsid w:val="000A3F69"/>
    <w:rsid w:val="00103957"/>
    <w:rsid w:val="00152C6D"/>
    <w:rsid w:val="00162D39"/>
    <w:rsid w:val="001678BD"/>
    <w:rsid w:val="00182373"/>
    <w:rsid w:val="001A67DB"/>
    <w:rsid w:val="001C3C29"/>
    <w:rsid w:val="001D51E5"/>
    <w:rsid w:val="001E080D"/>
    <w:rsid w:val="001E53D0"/>
    <w:rsid w:val="001F0C3B"/>
    <w:rsid w:val="00202C82"/>
    <w:rsid w:val="00214427"/>
    <w:rsid w:val="00226CB7"/>
    <w:rsid w:val="00264552"/>
    <w:rsid w:val="00264EF9"/>
    <w:rsid w:val="00265724"/>
    <w:rsid w:val="0027426B"/>
    <w:rsid w:val="002E0A30"/>
    <w:rsid w:val="003130C4"/>
    <w:rsid w:val="00316C4B"/>
    <w:rsid w:val="0032192B"/>
    <w:rsid w:val="003479BD"/>
    <w:rsid w:val="0037197D"/>
    <w:rsid w:val="003768D5"/>
    <w:rsid w:val="003926B9"/>
    <w:rsid w:val="003C47E6"/>
    <w:rsid w:val="003C4FC2"/>
    <w:rsid w:val="00416E61"/>
    <w:rsid w:val="0042790C"/>
    <w:rsid w:val="004506F9"/>
    <w:rsid w:val="004717A2"/>
    <w:rsid w:val="00473DF3"/>
    <w:rsid w:val="00487911"/>
    <w:rsid w:val="00491741"/>
    <w:rsid w:val="004B0CEE"/>
    <w:rsid w:val="00500E5F"/>
    <w:rsid w:val="005122EF"/>
    <w:rsid w:val="0051441A"/>
    <w:rsid w:val="00517C33"/>
    <w:rsid w:val="00517D5F"/>
    <w:rsid w:val="00523644"/>
    <w:rsid w:val="0054069E"/>
    <w:rsid w:val="00544866"/>
    <w:rsid w:val="005767CC"/>
    <w:rsid w:val="00590D9F"/>
    <w:rsid w:val="00595D26"/>
    <w:rsid w:val="005A74E6"/>
    <w:rsid w:val="005B404E"/>
    <w:rsid w:val="005D4D55"/>
    <w:rsid w:val="005E2CFB"/>
    <w:rsid w:val="005F2103"/>
    <w:rsid w:val="005F3D1C"/>
    <w:rsid w:val="0062378F"/>
    <w:rsid w:val="00641842"/>
    <w:rsid w:val="00651EEC"/>
    <w:rsid w:val="00686673"/>
    <w:rsid w:val="00691E8C"/>
    <w:rsid w:val="006A22C4"/>
    <w:rsid w:val="006A351B"/>
    <w:rsid w:val="006B0422"/>
    <w:rsid w:val="006C1B53"/>
    <w:rsid w:val="006D7730"/>
    <w:rsid w:val="006E5284"/>
    <w:rsid w:val="006F3EB5"/>
    <w:rsid w:val="00702E34"/>
    <w:rsid w:val="00704395"/>
    <w:rsid w:val="00710FE7"/>
    <w:rsid w:val="00717621"/>
    <w:rsid w:val="00720FF1"/>
    <w:rsid w:val="00727A53"/>
    <w:rsid w:val="00787B42"/>
    <w:rsid w:val="007C4539"/>
    <w:rsid w:val="007F3657"/>
    <w:rsid w:val="00812ED5"/>
    <w:rsid w:val="008277D9"/>
    <w:rsid w:val="0084478C"/>
    <w:rsid w:val="0086638C"/>
    <w:rsid w:val="008A3E8D"/>
    <w:rsid w:val="009237C4"/>
    <w:rsid w:val="00944C48"/>
    <w:rsid w:val="00950252"/>
    <w:rsid w:val="00967F5D"/>
    <w:rsid w:val="009A0F95"/>
    <w:rsid w:val="009B3ADF"/>
    <w:rsid w:val="009C3B52"/>
    <w:rsid w:val="009E6817"/>
    <w:rsid w:val="009E6E9A"/>
    <w:rsid w:val="00A01D2B"/>
    <w:rsid w:val="00A42218"/>
    <w:rsid w:val="00A70249"/>
    <w:rsid w:val="00A70B02"/>
    <w:rsid w:val="00A71D9F"/>
    <w:rsid w:val="00A92E9F"/>
    <w:rsid w:val="00AB18FF"/>
    <w:rsid w:val="00B33BEA"/>
    <w:rsid w:val="00B57C9F"/>
    <w:rsid w:val="00B63572"/>
    <w:rsid w:val="00B845B3"/>
    <w:rsid w:val="00B85D8B"/>
    <w:rsid w:val="00BB4A40"/>
    <w:rsid w:val="00BD6C3E"/>
    <w:rsid w:val="00BE3674"/>
    <w:rsid w:val="00C10681"/>
    <w:rsid w:val="00C3049A"/>
    <w:rsid w:val="00C31B1E"/>
    <w:rsid w:val="00C77645"/>
    <w:rsid w:val="00CE04C3"/>
    <w:rsid w:val="00CE76A0"/>
    <w:rsid w:val="00D148C6"/>
    <w:rsid w:val="00D17A8A"/>
    <w:rsid w:val="00D415BA"/>
    <w:rsid w:val="00D63780"/>
    <w:rsid w:val="00D644EE"/>
    <w:rsid w:val="00DD06FF"/>
    <w:rsid w:val="00DD5FE9"/>
    <w:rsid w:val="00E00C7A"/>
    <w:rsid w:val="00E37D6C"/>
    <w:rsid w:val="00E55B68"/>
    <w:rsid w:val="00E561AE"/>
    <w:rsid w:val="00E67BE6"/>
    <w:rsid w:val="00E8683C"/>
    <w:rsid w:val="00EA2B72"/>
    <w:rsid w:val="00F74360"/>
    <w:rsid w:val="00FB462F"/>
    <w:rsid w:val="00FE16FA"/>
    <w:rsid w:val="00FE328A"/>
    <w:rsid w:val="00FE6269"/>
    <w:rsid w:val="00FF5CD6"/>
    <w:rsid w:val="05482261"/>
    <w:rsid w:val="074309F6"/>
    <w:rsid w:val="07966D78"/>
    <w:rsid w:val="07E04F3D"/>
    <w:rsid w:val="096227F5"/>
    <w:rsid w:val="0AC57974"/>
    <w:rsid w:val="0F9016DB"/>
    <w:rsid w:val="0FE268D2"/>
    <w:rsid w:val="10A73DA4"/>
    <w:rsid w:val="11A63AC3"/>
    <w:rsid w:val="13135140"/>
    <w:rsid w:val="134641EF"/>
    <w:rsid w:val="15986B0A"/>
    <w:rsid w:val="15A64981"/>
    <w:rsid w:val="17D85E72"/>
    <w:rsid w:val="191A1185"/>
    <w:rsid w:val="1A4B623A"/>
    <w:rsid w:val="1D5E3BFB"/>
    <w:rsid w:val="21680401"/>
    <w:rsid w:val="27B766F6"/>
    <w:rsid w:val="29701875"/>
    <w:rsid w:val="2F026361"/>
    <w:rsid w:val="2F5729E1"/>
    <w:rsid w:val="306F0E15"/>
    <w:rsid w:val="31B77767"/>
    <w:rsid w:val="33E12879"/>
    <w:rsid w:val="34095384"/>
    <w:rsid w:val="34E24AFB"/>
    <w:rsid w:val="36DF6415"/>
    <w:rsid w:val="36E96615"/>
    <w:rsid w:val="39E800A0"/>
    <w:rsid w:val="3A637E7C"/>
    <w:rsid w:val="3BC62A80"/>
    <w:rsid w:val="3FD348C7"/>
    <w:rsid w:val="40C80669"/>
    <w:rsid w:val="41940D6D"/>
    <w:rsid w:val="42415557"/>
    <w:rsid w:val="42FC322C"/>
    <w:rsid w:val="441D291B"/>
    <w:rsid w:val="44AC435F"/>
    <w:rsid w:val="47647FA6"/>
    <w:rsid w:val="487D493C"/>
    <w:rsid w:val="493A4AAE"/>
    <w:rsid w:val="4A13120E"/>
    <w:rsid w:val="4C76404F"/>
    <w:rsid w:val="4CD50A01"/>
    <w:rsid w:val="4D542DAB"/>
    <w:rsid w:val="4D907392"/>
    <w:rsid w:val="4EC70B92"/>
    <w:rsid w:val="512C2F2E"/>
    <w:rsid w:val="52E579D6"/>
    <w:rsid w:val="54CE3227"/>
    <w:rsid w:val="55C63EE6"/>
    <w:rsid w:val="570F5142"/>
    <w:rsid w:val="5777D4F5"/>
    <w:rsid w:val="57D94F90"/>
    <w:rsid w:val="58CC7636"/>
    <w:rsid w:val="59743537"/>
    <w:rsid w:val="5B4F3FC2"/>
    <w:rsid w:val="5B802970"/>
    <w:rsid w:val="5D2E44D2"/>
    <w:rsid w:val="5DA84284"/>
    <w:rsid w:val="5DB1138B"/>
    <w:rsid w:val="5E026FEC"/>
    <w:rsid w:val="5FC6BB1E"/>
    <w:rsid w:val="5FF720F1"/>
    <w:rsid w:val="63930AB7"/>
    <w:rsid w:val="643C1282"/>
    <w:rsid w:val="645753D4"/>
    <w:rsid w:val="65B05FE0"/>
    <w:rsid w:val="660109D5"/>
    <w:rsid w:val="661E3335"/>
    <w:rsid w:val="6720463D"/>
    <w:rsid w:val="6B151F5A"/>
    <w:rsid w:val="6B9A39BD"/>
    <w:rsid w:val="6BD30F4C"/>
    <w:rsid w:val="6D15603E"/>
    <w:rsid w:val="6D1D2BA3"/>
    <w:rsid w:val="6D340BE9"/>
    <w:rsid w:val="6E4E0530"/>
    <w:rsid w:val="71B615C9"/>
    <w:rsid w:val="72853156"/>
    <w:rsid w:val="72D57472"/>
    <w:rsid w:val="73653335"/>
    <w:rsid w:val="737D59BA"/>
    <w:rsid w:val="73D15FE7"/>
    <w:rsid w:val="73F92234"/>
    <w:rsid w:val="743957DE"/>
    <w:rsid w:val="75063912"/>
    <w:rsid w:val="772C33D8"/>
    <w:rsid w:val="776B5ABC"/>
    <w:rsid w:val="776D2CE2"/>
    <w:rsid w:val="77C37683"/>
    <w:rsid w:val="79FF515B"/>
    <w:rsid w:val="7BA2043C"/>
    <w:rsid w:val="7C4D3A17"/>
    <w:rsid w:val="7E9F11B4"/>
    <w:rsid w:val="7FB66DFD"/>
    <w:rsid w:val="7FC69637"/>
    <w:rsid w:val="7FFDB408"/>
    <w:rsid w:val="CBFF70E0"/>
    <w:rsid w:val="EEABED75"/>
    <w:rsid w:val="FB36E1A6"/>
    <w:rsid w:val="FFFF1C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0"/>
      <w:sz w:val="24"/>
      <w:szCs w:val="24"/>
      <w:lang w:val="en-US" w:eastAsia="zh-CN" w:bidi="ar-SA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首行缩进"/>
    <w:basedOn w:val="1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 w:firstLine="480" w:firstLineChars="20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5101</Words>
  <Characters>5688</Characters>
  <Lines>63</Lines>
  <Paragraphs>18</Paragraphs>
  <TotalTime>0</TotalTime>
  <ScaleCrop>false</ScaleCrop>
  <LinksUpToDate>false</LinksUpToDate>
  <CharactersWithSpaces>5735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2020-07-04T18:32:00Z</dcterms:created>
  <dc:creator>李航 null</dc:creator>
  <cp:lastModifiedBy>成刚</cp:lastModifiedBy>
  <cp:lastPrinted>2023-08-15T09:28:00Z</cp:lastPrinted>
  <dcterms:modified xsi:type="dcterms:W3CDTF">2024-09-26T08:51:49Z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661ABA64067A42B98A18CBAF8FC9F9FC_13</vt:lpwstr>
  </property>
</Properties>
</file>