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pPr>
              <w:ind w:firstLine="630" w:firstLineChars="300"/>
              <w:rPr>
                <w:rFonts w:ascii="仿宋_GB2312" w:eastAsia="仿宋_GB2312"/>
              </w:rPr>
            </w:pPr>
            <w:r>
              <w:rPr>
                <w:rFonts w:hint="eastAsia" w:ascii="仿宋_GB2312" w:hAnsi="宋体" w:eastAsia="仿宋_GB2312" w:cs="宋体"/>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ind w:firstLine="420"/>
              <w:jc w:val="center"/>
              <w:rPr>
                <w:rFonts w:ascii="仿宋_GB2312" w:eastAsia="仿宋_GB2312"/>
              </w:rPr>
            </w:pP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25</w:t>
            </w:r>
            <w:bookmarkStart w:id="0" w:name="_GoBack"/>
            <w:bookmarkEnd w:id="0"/>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28</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三公经费</w:t>
            </w:r>
          </w:p>
        </w:tc>
        <w:tc>
          <w:tcPr>
            <w:tcW w:w="2116" w:type="dxa"/>
            <w:gridSpan w:val="2"/>
            <w:vAlign w:val="center"/>
          </w:tcPr>
          <w:p>
            <w:pPr>
              <w:keepNext w:val="0"/>
              <w:keepLines w:val="0"/>
              <w:widowControl/>
              <w:suppressLineNumbers w:val="0"/>
              <w:jc w:val="center"/>
              <w:textAlignment w:val="center"/>
              <w:rPr>
                <w:rFonts w:hint="default" w:ascii="等线" w:hAnsi="等线" w:eastAsia="等线" w:cs="等线"/>
                <w:i w:val="0"/>
                <w:iCs w:val="0"/>
                <w:snapToGrid w:val="0"/>
                <w:color w:val="000000"/>
                <w:sz w:val="22"/>
                <w:szCs w:val="22"/>
                <w:u w:val="none"/>
                <w:lang w:val="en-US" w:eastAsia="zh-CN" w:bidi="ar-SA"/>
              </w:rPr>
            </w:pPr>
            <w:r>
              <w:rPr>
                <w:rFonts w:hint="eastAsia" w:ascii="仿宋_GB2312" w:eastAsia="仿宋_GB2312"/>
                <w:lang w:val="en-US" w:eastAsia="zh-CN"/>
              </w:rPr>
              <w:t>0.588</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0.648</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0.588</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0.648</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项目支出：</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公用经费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其中：办公经费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0.8278</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1.215</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0.5612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0.9002</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2.625</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0.7776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0.3544</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0.48</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0.4536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1.1</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ind w:firstLine="420"/>
              <w:jc w:val="center"/>
              <w:rPr>
                <w:rFonts w:ascii="仿宋_GB2312" w:eastAsia="仿宋_GB2312"/>
                <w:lang w:eastAsia="zh-CN"/>
              </w:rPr>
            </w:pPr>
          </w:p>
          <w:p>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pPr>
              <w:ind w:firstLine="420"/>
              <w:rPr>
                <w:rFonts w:ascii="仿宋_GB2312" w:eastAsia="仿宋_GB2312"/>
              </w:rPr>
            </w:pPr>
            <w:r>
              <w:rPr>
                <w:rFonts w:hint="eastAsia" w:ascii="仿宋_GB2312" w:hAnsi="宋体" w:eastAsia="仿宋_GB2312" w:cs="宋体"/>
              </w:rPr>
              <w:t>预算投资</w:t>
            </w:r>
          </w:p>
          <w:p>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pPr>
              <w:ind w:firstLine="420"/>
              <w:rPr>
                <w:rFonts w:ascii="仿宋_GB2312" w:hAnsi="宋体" w:eastAsia="仿宋_GB2312" w:cs="宋体"/>
                <w:lang w:eastAsia="zh-CN"/>
              </w:rPr>
            </w:pPr>
            <w:r>
              <w:rPr>
                <w:rFonts w:hint="eastAsia" w:ascii="仿宋_GB2312" w:hAnsi="宋体" w:eastAsia="仿宋_GB2312" w:cs="宋体"/>
              </w:rPr>
              <w:t>资概控</w:t>
            </w:r>
          </w:p>
          <w:p>
            <w:pPr>
              <w:ind w:firstLine="420"/>
              <w:rPr>
                <w:rFonts w:ascii="仿宋_GB2312" w:eastAsia="仿宋_GB2312"/>
              </w:rPr>
            </w:pPr>
            <w:r>
              <w:rPr>
                <w:rFonts w:hint="eastAsia" w:ascii="仿宋_GB2312" w:hAnsi="宋体" w:eastAsia="仿宋_GB2312" w:cs="宋体"/>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pPr>
              <w:pStyle w:val="10"/>
              <w:ind w:firstLine="420"/>
              <w:jc w:val="center"/>
            </w:pPr>
          </w:p>
        </w:tc>
        <w:tc>
          <w:tcPr>
            <w:tcW w:w="1158" w:type="dxa"/>
          </w:tcPr>
          <w:p>
            <w:pPr>
              <w:pStyle w:val="10"/>
              <w:ind w:firstLine="420"/>
              <w:jc w:val="center"/>
            </w:pPr>
          </w:p>
        </w:tc>
        <w:tc>
          <w:tcPr>
            <w:tcW w:w="958" w:type="dxa"/>
          </w:tcPr>
          <w:p>
            <w:pPr>
              <w:pStyle w:val="10"/>
              <w:ind w:firstLine="420"/>
              <w:jc w:val="center"/>
            </w:pPr>
          </w:p>
        </w:tc>
        <w:tc>
          <w:tcPr>
            <w:tcW w:w="960" w:type="dxa"/>
          </w:tcPr>
          <w:p>
            <w:pPr>
              <w:pStyle w:val="10"/>
              <w:ind w:firstLine="420"/>
              <w:jc w:val="center"/>
            </w:pPr>
          </w:p>
        </w:tc>
        <w:tc>
          <w:tcPr>
            <w:tcW w:w="1079" w:type="dxa"/>
          </w:tcPr>
          <w:p>
            <w:pPr>
              <w:pStyle w:val="10"/>
              <w:ind w:firstLine="420"/>
              <w:jc w:val="center"/>
            </w:pPr>
          </w:p>
        </w:tc>
        <w:tc>
          <w:tcPr>
            <w:tcW w:w="1039" w:type="dxa"/>
          </w:tcPr>
          <w:p>
            <w:pPr>
              <w:pStyle w:val="10"/>
              <w:ind w:firstLine="420"/>
              <w:jc w:val="center"/>
            </w:pPr>
          </w:p>
        </w:tc>
        <w:tc>
          <w:tcPr>
            <w:tcW w:w="944" w:type="dxa"/>
          </w:tcPr>
          <w:p>
            <w:pPr>
              <w:pStyle w:val="10"/>
              <w:ind w:firstLine="42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pPr>
              <w:pStyle w:val="10"/>
              <w:ind w:firstLine="420"/>
              <w:jc w:val="center"/>
            </w:pPr>
          </w:p>
        </w:tc>
      </w:tr>
    </w:tbl>
    <w:p>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pPr>
        <w:pStyle w:val="3"/>
        <w:spacing w:before="65" w:line="228" w:lineRule="auto"/>
        <w:ind w:firstLine="102" w:firstLineChars="49"/>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王凯</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2024/6/24</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15074028675</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w:t>
      </w:r>
    </w:p>
    <w:p>
      <w:pPr>
        <w:spacing w:before="117" w:line="219" w:lineRule="auto"/>
        <w:rPr>
          <w:rFonts w:ascii="仿宋_GB2312" w:hAnsi="宋体" w:eastAsia="仿宋_GB2312" w:cs="宋体"/>
          <w:bCs/>
          <w:spacing w:val="8"/>
          <w:sz w:val="30"/>
          <w:szCs w:val="30"/>
          <w:lang w:eastAsia="zh-CN"/>
        </w:rPr>
      </w:pPr>
    </w:p>
    <w:p>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pPr>
        <w:spacing w:line="237" w:lineRule="exact"/>
        <w:ind w:firstLine="420"/>
        <w:rPr>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74" w:type="dxa"/>
            <w:vAlign w:val="center"/>
          </w:tcPr>
          <w:p>
            <w:pPr>
              <w:rPr>
                <w:rFonts w:ascii="仿宋_GB2312" w:hAnsi="宋体" w:eastAsia="仿宋_GB2312" w:cs="宋体"/>
                <w:lang w:eastAsia="zh-CN"/>
              </w:rPr>
            </w:pPr>
            <w:r>
              <w:rPr>
                <w:rFonts w:hint="eastAsia" w:ascii="仿宋_GB2312" w:hAnsi="宋体" w:eastAsia="仿宋_GB2312" w:cs="宋体"/>
              </w:rPr>
              <w:t>预算部门</w:t>
            </w:r>
          </w:p>
          <w:p>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pPr>
              <w:ind w:firstLine="420"/>
              <w:jc w:val="center"/>
              <w:rPr>
                <w:rFonts w:hint="eastAsia" w:ascii="仿宋_GB2312" w:eastAsia="仿宋_GB2312"/>
                <w:lang w:eastAsia="zh-CN"/>
              </w:rPr>
            </w:pPr>
            <w:r>
              <w:rPr>
                <w:rFonts w:hint="eastAsia" w:ascii="仿宋_GB2312" w:eastAsia="仿宋_GB2312"/>
                <w:lang w:eastAsia="zh-CN"/>
              </w:rPr>
              <w:t>岳阳县大坳水库服务所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r>
              <w:rPr>
                <w:rFonts w:hint="eastAsia" w:ascii="仿宋_GB2312" w:hAnsi="宋体" w:eastAsia="仿宋_GB2312" w:cs="宋体"/>
              </w:rPr>
              <w:t>年初预算数</w:t>
            </w:r>
          </w:p>
        </w:tc>
        <w:tc>
          <w:tcPr>
            <w:tcW w:w="1298" w:type="dxa"/>
            <w:vAlign w:val="center"/>
          </w:tcPr>
          <w:p>
            <w:pPr>
              <w:ind w:firstLine="420"/>
              <w:jc w:val="center"/>
              <w:rPr>
                <w:rFonts w:ascii="仿宋_GB2312" w:eastAsia="仿宋_GB2312"/>
              </w:rPr>
            </w:pPr>
            <w:r>
              <w:rPr>
                <w:rFonts w:hint="eastAsia" w:ascii="仿宋_GB2312" w:hAnsi="宋体" w:eastAsia="仿宋_GB2312" w:cs="宋体"/>
              </w:rPr>
              <w:t>全年预算数</w:t>
            </w:r>
          </w:p>
        </w:tc>
        <w:tc>
          <w:tcPr>
            <w:tcW w:w="1269" w:type="dxa"/>
            <w:vAlign w:val="center"/>
          </w:tcPr>
          <w:p>
            <w:pPr>
              <w:ind w:firstLine="420"/>
              <w:jc w:val="center"/>
              <w:rPr>
                <w:rFonts w:ascii="仿宋_GB2312" w:eastAsia="仿宋_GB2312"/>
              </w:rPr>
            </w:pPr>
            <w:r>
              <w:rPr>
                <w:rFonts w:hint="eastAsia" w:ascii="仿宋_GB2312" w:hAnsi="宋体" w:eastAsia="仿宋_GB2312" w:cs="宋体"/>
              </w:rPr>
              <w:t>全年执行数</w:t>
            </w:r>
          </w:p>
        </w:tc>
        <w:tc>
          <w:tcPr>
            <w:tcW w:w="699" w:type="dxa"/>
            <w:vAlign w:val="center"/>
          </w:tcPr>
          <w:p>
            <w:pPr>
              <w:ind w:firstLine="420"/>
              <w:jc w:val="center"/>
              <w:rPr>
                <w:rFonts w:ascii="仿宋_GB2312" w:eastAsia="仿宋_GB2312"/>
              </w:rPr>
            </w:pPr>
            <w:r>
              <w:rPr>
                <w:rFonts w:hint="eastAsia" w:ascii="仿宋_GB2312" w:hAnsi="宋体" w:eastAsia="仿宋_GB2312" w:cs="宋体"/>
              </w:rPr>
              <w:t>分值</w:t>
            </w:r>
          </w:p>
        </w:tc>
        <w:tc>
          <w:tcPr>
            <w:tcW w:w="869" w:type="dxa"/>
            <w:vAlign w:val="center"/>
          </w:tcPr>
          <w:p>
            <w:pPr>
              <w:ind w:firstLine="420"/>
              <w:jc w:val="center"/>
              <w:rPr>
                <w:rFonts w:ascii="仿宋_GB2312" w:eastAsia="仿宋_GB2312"/>
              </w:rPr>
            </w:pPr>
            <w:r>
              <w:rPr>
                <w:rFonts w:hint="eastAsia" w:ascii="仿宋_GB2312" w:hAnsi="宋体" w:eastAsia="仿宋_GB2312" w:cs="宋体"/>
              </w:rPr>
              <w:t>执行率</w:t>
            </w:r>
          </w:p>
        </w:tc>
        <w:tc>
          <w:tcPr>
            <w:tcW w:w="1423" w:type="dxa"/>
            <w:vAlign w:val="center"/>
          </w:tcPr>
          <w:p>
            <w:pPr>
              <w:ind w:firstLine="420"/>
              <w:jc w:val="center"/>
              <w:rPr>
                <w:rFonts w:ascii="仿宋_GB2312" w:eastAsia="仿宋_GB2312"/>
              </w:rPr>
            </w:pPr>
            <w:r>
              <w:rPr>
                <w:rFonts w:hint="eastAsia" w:ascii="仿宋_GB2312" w:hAnsi="宋体" w:eastAsia="仿宋_GB2312" w:cs="宋体"/>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2098" w:type="dxa"/>
            <w:gridSpan w:val="2"/>
            <w:vAlign w:val="center"/>
          </w:tcPr>
          <w:p>
            <w:pPr>
              <w:ind w:firstLine="420"/>
              <w:jc w:val="center"/>
              <w:rPr>
                <w:rFonts w:ascii="仿宋_GB2312" w:eastAsia="仿宋_GB2312"/>
              </w:rPr>
            </w:pPr>
            <w:r>
              <w:rPr>
                <w:rFonts w:hint="eastAsia" w:ascii="仿宋_GB2312" w:hAnsi="宋体" w:eastAsia="仿宋_GB2312" w:cs="宋体"/>
              </w:rPr>
              <w:t>年度资金总额</w:t>
            </w:r>
          </w:p>
        </w:tc>
        <w:tc>
          <w:tcPr>
            <w:tcW w:w="124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370.98</w:t>
            </w:r>
          </w:p>
        </w:tc>
        <w:tc>
          <w:tcPr>
            <w:tcW w:w="1298"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505.89</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475.2</w:t>
            </w:r>
          </w:p>
        </w:tc>
        <w:tc>
          <w:tcPr>
            <w:tcW w:w="699" w:type="dxa"/>
            <w:vAlign w:val="center"/>
          </w:tcPr>
          <w:p>
            <w:pPr>
              <w:ind w:firstLine="420"/>
              <w:jc w:val="center"/>
              <w:rPr>
                <w:rFonts w:ascii="仿宋_GB2312" w:eastAsia="仿宋_GB2312"/>
              </w:rPr>
            </w:pPr>
            <w:r>
              <w:rPr>
                <w:rFonts w:hint="eastAsia" w:ascii="仿宋_GB2312" w:eastAsia="仿宋_GB2312"/>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93.93%</w:t>
            </w:r>
          </w:p>
        </w:tc>
        <w:tc>
          <w:tcPr>
            <w:tcW w:w="1423"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按收入性质分：</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hAnsi="宋体" w:eastAsia="仿宋_GB2312" w:cs="宋体"/>
                <w:lang w:val="en-US" w:eastAsia="zh-CN"/>
              </w:rPr>
              <w:t>225.76</w:t>
            </w:r>
          </w:p>
        </w:tc>
        <w:tc>
          <w:tcPr>
            <w:tcW w:w="4260"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431.72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43.38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ind w:firstLine="420"/>
              <w:jc w:val="center"/>
              <w:rPr>
                <w:rFonts w:ascii="仿宋_GB2312" w:eastAsia="仿宋_GB2312"/>
                <w:lang w:eastAsia="zh-CN"/>
              </w:rPr>
            </w:pPr>
          </w:p>
        </w:tc>
        <w:tc>
          <w:tcPr>
            <w:tcW w:w="4645"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其他资金：</w:t>
            </w:r>
            <w:r>
              <w:rPr>
                <w:rFonts w:hint="eastAsia" w:ascii="仿宋_GB2312" w:hAnsi="宋体" w:eastAsia="仿宋_GB2312" w:cs="宋体"/>
                <w:lang w:val="en-US" w:eastAsia="zh-CN"/>
              </w:rPr>
              <w:t>280.13</w:t>
            </w:r>
          </w:p>
        </w:tc>
        <w:tc>
          <w:tcPr>
            <w:tcW w:w="4260" w:type="dxa"/>
            <w:gridSpan w:val="4"/>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ind w:firstLine="420"/>
              <w:jc w:val="center"/>
              <w:rPr>
                <w:rFonts w:ascii="仿宋_GB2312" w:eastAsia="仿宋_GB2312"/>
              </w:rPr>
            </w:pPr>
          </w:p>
        </w:tc>
        <w:tc>
          <w:tcPr>
            <w:tcW w:w="4645" w:type="dxa"/>
            <w:gridSpan w:val="4"/>
            <w:vAlign w:val="center"/>
          </w:tcPr>
          <w:p>
            <w:pPr>
              <w:ind w:firstLine="420" w:firstLineChars="200"/>
              <w:jc w:val="both"/>
              <w:rPr>
                <w:rFonts w:hint="eastAsia" w:ascii="仿宋_GB2312" w:eastAsia="仿宋_GB2312"/>
                <w:lang w:eastAsia="zh-CN"/>
              </w:rPr>
            </w:pPr>
            <w:r>
              <w:rPr>
                <w:rFonts w:hint="eastAsia" w:ascii="仿宋_GB2312" w:hAnsi="宋体" w:eastAsia="仿宋_GB2312" w:cs="宋体"/>
                <w:lang w:eastAsia="zh-CN"/>
              </w:rPr>
              <w:t>保证水库灌溉、防汛抗旱、发电等各项工作顺利进行</w:t>
            </w:r>
          </w:p>
        </w:tc>
        <w:tc>
          <w:tcPr>
            <w:tcW w:w="4260" w:type="dxa"/>
            <w:gridSpan w:val="4"/>
            <w:vAlign w:val="center"/>
          </w:tcPr>
          <w:p>
            <w:pPr>
              <w:ind w:firstLine="420" w:firstLineChars="200"/>
              <w:jc w:val="both"/>
              <w:rPr>
                <w:rFonts w:ascii="仿宋_GB2312" w:eastAsia="仿宋_GB2312"/>
              </w:rPr>
            </w:pPr>
            <w:r>
              <w:rPr>
                <w:rFonts w:hint="eastAsia" w:ascii="仿宋_GB2312" w:eastAsia="仿宋_GB2312"/>
              </w:rPr>
              <w:t>水库高效完成了防汛抗旱的职责，全年农田灌溉3万亩，发电180万度电。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pPr>
              <w:ind w:firstLine="420"/>
              <w:jc w:val="center"/>
              <w:rPr>
                <w:rFonts w:ascii="仿宋_GB2312" w:eastAsia="仿宋_GB2312"/>
              </w:rPr>
            </w:pPr>
          </w:p>
          <w:p>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pPr>
              <w:rPr>
                <w:rFonts w:ascii="仿宋_GB2312" w:eastAsia="仿宋_GB2312"/>
              </w:rPr>
            </w:pPr>
            <w:r>
              <w:rPr>
                <w:rFonts w:hint="eastAsia" w:ascii="仿宋_GB2312" w:hAnsi="宋体" w:eastAsia="仿宋_GB2312" w:cs="宋体"/>
              </w:rPr>
              <w:t>一级指标</w:t>
            </w:r>
          </w:p>
        </w:tc>
        <w:tc>
          <w:tcPr>
            <w:tcW w:w="1029" w:type="dxa"/>
            <w:vAlign w:val="center"/>
          </w:tcPr>
          <w:p>
            <w:pPr>
              <w:ind w:firstLine="420"/>
              <w:rPr>
                <w:rFonts w:ascii="仿宋_GB2312" w:eastAsia="仿宋_GB2312"/>
              </w:rPr>
            </w:pPr>
            <w:r>
              <w:rPr>
                <w:rFonts w:hint="eastAsia" w:ascii="仿宋_GB2312" w:hAnsi="宋体" w:eastAsia="仿宋_GB2312" w:cs="宋体"/>
              </w:rPr>
              <w:t>二级指标</w:t>
            </w:r>
          </w:p>
        </w:tc>
        <w:tc>
          <w:tcPr>
            <w:tcW w:w="1249" w:type="dxa"/>
            <w:vAlign w:val="center"/>
          </w:tcPr>
          <w:p>
            <w:pPr>
              <w:ind w:firstLine="420"/>
              <w:rPr>
                <w:rFonts w:ascii="仿宋_GB2312" w:eastAsia="仿宋_GB2312"/>
              </w:rPr>
            </w:pPr>
            <w:r>
              <w:rPr>
                <w:rFonts w:hint="eastAsia" w:ascii="仿宋_GB2312" w:hAnsi="宋体" w:eastAsia="仿宋_GB2312" w:cs="宋体"/>
              </w:rPr>
              <w:t>三级指标</w:t>
            </w:r>
          </w:p>
        </w:tc>
        <w:tc>
          <w:tcPr>
            <w:tcW w:w="1298" w:type="dxa"/>
            <w:vAlign w:val="center"/>
          </w:tcPr>
          <w:p>
            <w:pPr>
              <w:ind w:firstLine="420"/>
              <w:rPr>
                <w:rFonts w:ascii="仿宋_GB2312" w:eastAsia="仿宋_GB2312"/>
              </w:rPr>
            </w:pPr>
            <w:r>
              <w:rPr>
                <w:rFonts w:hint="eastAsia" w:ascii="仿宋_GB2312" w:hAnsi="宋体" w:eastAsia="仿宋_GB2312" w:cs="宋体"/>
              </w:rPr>
              <w:t>年度指标值</w:t>
            </w:r>
          </w:p>
        </w:tc>
        <w:tc>
          <w:tcPr>
            <w:tcW w:w="1269" w:type="dxa"/>
            <w:vAlign w:val="center"/>
          </w:tcPr>
          <w:p>
            <w:pPr>
              <w:ind w:firstLine="420"/>
              <w:rPr>
                <w:rFonts w:ascii="仿宋_GB2312" w:eastAsia="仿宋_GB2312"/>
              </w:rPr>
            </w:pPr>
            <w:r>
              <w:rPr>
                <w:rFonts w:hint="eastAsia" w:ascii="仿宋_GB2312" w:hAnsi="宋体" w:eastAsia="仿宋_GB2312" w:cs="宋体"/>
              </w:rPr>
              <w:t>实际完成值</w:t>
            </w:r>
          </w:p>
        </w:tc>
        <w:tc>
          <w:tcPr>
            <w:tcW w:w="699" w:type="dxa"/>
            <w:vAlign w:val="center"/>
          </w:tcPr>
          <w:p>
            <w:pPr>
              <w:ind w:firstLine="420"/>
              <w:rPr>
                <w:rFonts w:ascii="仿宋_GB2312" w:eastAsia="仿宋_GB2312"/>
              </w:rPr>
            </w:pPr>
            <w:r>
              <w:rPr>
                <w:rFonts w:hint="eastAsia" w:ascii="仿宋_GB2312" w:hAnsi="宋体" w:eastAsia="仿宋_GB2312" w:cs="宋体"/>
              </w:rPr>
              <w:t>分值</w:t>
            </w:r>
          </w:p>
        </w:tc>
        <w:tc>
          <w:tcPr>
            <w:tcW w:w="869" w:type="dxa"/>
            <w:vAlign w:val="center"/>
          </w:tcPr>
          <w:p>
            <w:pPr>
              <w:ind w:firstLine="420"/>
              <w:rPr>
                <w:rFonts w:ascii="仿宋_GB2312" w:eastAsia="仿宋_GB2312"/>
              </w:rPr>
            </w:pPr>
            <w:r>
              <w:rPr>
                <w:rFonts w:hint="eastAsia" w:ascii="仿宋_GB2312" w:hAnsi="宋体" w:eastAsia="仿宋_GB2312" w:cs="宋体"/>
              </w:rPr>
              <w:t>得分</w:t>
            </w:r>
          </w:p>
        </w:tc>
        <w:tc>
          <w:tcPr>
            <w:tcW w:w="1423" w:type="dxa"/>
            <w:vAlign w:val="center"/>
          </w:tcPr>
          <w:p>
            <w:pPr>
              <w:ind w:firstLine="420"/>
              <w:rPr>
                <w:rFonts w:ascii="仿宋_GB2312" w:eastAsia="仿宋_GB2312"/>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lang w:eastAsia="zh-CN"/>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产出指标</w:t>
            </w:r>
          </w:p>
          <w:p>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数量指标</w:t>
            </w:r>
          </w:p>
        </w:tc>
        <w:tc>
          <w:tcPr>
            <w:tcW w:w="1249" w:type="dxa"/>
            <w:vAlign w:val="center"/>
          </w:tcPr>
          <w:p>
            <w:pPr>
              <w:keepNext w:val="0"/>
              <w:keepLines w:val="0"/>
              <w:widowControl/>
              <w:suppressLineNumbers w:val="0"/>
              <w:jc w:val="center"/>
              <w:textAlignment w:val="center"/>
              <w:rPr>
                <w:rFonts w:ascii="等线" w:hAnsi="等线" w:eastAsia="等线" w:cs="等线"/>
                <w:i w:val="0"/>
                <w:iCs w:val="0"/>
                <w:snapToGrid w:val="0"/>
                <w:color w:val="000000"/>
                <w:sz w:val="22"/>
                <w:szCs w:val="22"/>
                <w:u w:val="none"/>
                <w:lang w:val="en-US" w:eastAsia="en-US" w:bidi="ar-SA"/>
              </w:rPr>
            </w:pPr>
            <w:r>
              <w:rPr>
                <w:rFonts w:hint="default" w:ascii="仿宋_GB2312" w:hAnsi="宋体" w:eastAsia="仿宋_GB2312" w:cs="宋体"/>
                <w:lang w:val="en-US" w:eastAsia="zh-CN"/>
              </w:rPr>
              <w:t>新增、恢复灌溉面积</w:t>
            </w:r>
          </w:p>
        </w:tc>
        <w:tc>
          <w:tcPr>
            <w:tcW w:w="1298" w:type="dxa"/>
            <w:vAlign w:val="center"/>
          </w:tcPr>
          <w:p>
            <w:pPr>
              <w:keepNext w:val="0"/>
              <w:keepLines w:val="0"/>
              <w:widowControl/>
              <w:suppressLineNumbers w:val="0"/>
              <w:jc w:val="center"/>
              <w:textAlignment w:val="center"/>
              <w:rPr>
                <w:rFonts w:ascii="等线" w:hAnsi="等线" w:eastAsia="等线" w:cs="等线"/>
                <w:i w:val="0"/>
                <w:iCs w:val="0"/>
                <w:snapToGrid w:val="0"/>
                <w:color w:val="000000"/>
                <w:sz w:val="22"/>
                <w:szCs w:val="22"/>
                <w:u w:val="none"/>
                <w:lang w:val="en-US" w:eastAsia="en-US" w:bidi="ar-SA"/>
              </w:rPr>
            </w:pPr>
            <w:r>
              <w:rPr>
                <w:rFonts w:hint="default" w:ascii="仿宋_GB2312" w:hAnsi="宋体" w:eastAsia="仿宋_GB2312" w:cs="宋体"/>
                <w:lang w:val="en-US" w:eastAsia="zh-CN"/>
              </w:rPr>
              <w:t>》60平方米</w:t>
            </w:r>
          </w:p>
        </w:tc>
        <w:tc>
          <w:tcPr>
            <w:tcW w:w="1269" w:type="dxa"/>
            <w:vAlign w:val="center"/>
          </w:tcPr>
          <w:p>
            <w:pPr>
              <w:keepNext w:val="0"/>
              <w:keepLines w:val="0"/>
              <w:widowControl/>
              <w:suppressLineNumbers w:val="0"/>
              <w:jc w:val="center"/>
              <w:textAlignment w:val="center"/>
              <w:rPr>
                <w:rFonts w:ascii="等线" w:hAnsi="等线" w:eastAsia="等线" w:cs="等线"/>
                <w:i w:val="0"/>
                <w:iCs w:val="0"/>
                <w:snapToGrid w:val="0"/>
                <w:color w:val="000000"/>
                <w:sz w:val="22"/>
                <w:szCs w:val="22"/>
                <w:u w:val="none"/>
                <w:lang w:val="en-US" w:eastAsia="en-US" w:bidi="ar-SA"/>
              </w:rPr>
            </w:pPr>
            <w:r>
              <w:rPr>
                <w:rFonts w:hint="default" w:ascii="仿宋_GB2312" w:hAnsi="宋体" w:eastAsia="仿宋_GB2312" w:cs="宋体"/>
                <w:lang w:val="en-US" w:eastAsia="zh-CN"/>
              </w:rPr>
              <w:t>60平方米</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质量指标</w:t>
            </w:r>
          </w:p>
        </w:tc>
        <w:tc>
          <w:tcPr>
            <w:tcW w:w="1249" w:type="dxa"/>
            <w:vAlign w:val="center"/>
          </w:tcPr>
          <w:p>
            <w:pPr>
              <w:keepNext w:val="0"/>
              <w:keepLines w:val="0"/>
              <w:widowControl/>
              <w:suppressLineNumbers w:val="0"/>
              <w:jc w:val="center"/>
              <w:textAlignment w:val="center"/>
              <w:rPr>
                <w:rFonts w:ascii="思源黑体" w:hAnsi="思源黑体" w:eastAsia="思源黑体" w:cs="思源黑体"/>
                <w:i w:val="0"/>
                <w:iCs w:val="0"/>
                <w:snapToGrid w:val="0"/>
                <w:color w:val="000000"/>
                <w:sz w:val="24"/>
                <w:szCs w:val="24"/>
                <w:u w:val="none"/>
                <w:lang w:val="en-US" w:eastAsia="en-US" w:bidi="ar-SA"/>
              </w:rPr>
            </w:pPr>
            <w:r>
              <w:rPr>
                <w:rFonts w:hint="default" w:ascii="仿宋_GB2312" w:hAnsi="宋体" w:eastAsia="仿宋_GB2312" w:cs="宋体"/>
                <w:lang w:val="en-US" w:eastAsia="zh-CN"/>
              </w:rPr>
              <w:t>清淤工程验收合格率</w:t>
            </w:r>
          </w:p>
        </w:tc>
        <w:tc>
          <w:tcPr>
            <w:tcW w:w="1298" w:type="dxa"/>
            <w:vAlign w:val="center"/>
          </w:tcPr>
          <w:p>
            <w:pPr>
              <w:keepNext w:val="0"/>
              <w:keepLines w:val="0"/>
              <w:widowControl/>
              <w:suppressLineNumbers w:val="0"/>
              <w:jc w:val="center"/>
              <w:textAlignment w:val="center"/>
              <w:rPr>
                <w:rFonts w:ascii="思源黑体" w:hAnsi="思源黑体" w:eastAsia="思源黑体" w:cs="思源黑体"/>
                <w:i w:val="0"/>
                <w:iCs w:val="0"/>
                <w:snapToGrid w:val="0"/>
                <w:color w:val="000000"/>
                <w:sz w:val="24"/>
                <w:szCs w:val="24"/>
                <w:u w:val="none"/>
                <w:lang w:val="en-US" w:eastAsia="en-US" w:bidi="ar-SA"/>
              </w:rPr>
            </w:pPr>
            <w:r>
              <w:rPr>
                <w:rFonts w:hint="default" w:ascii="仿宋_GB2312" w:hAnsi="宋体" w:eastAsia="仿宋_GB2312" w:cs="宋体"/>
                <w:lang w:val="en-US" w:eastAsia="zh-CN"/>
              </w:rPr>
              <w:t>》100%</w:t>
            </w:r>
          </w:p>
        </w:tc>
        <w:tc>
          <w:tcPr>
            <w:tcW w:w="1269" w:type="dxa"/>
            <w:vAlign w:val="center"/>
          </w:tcPr>
          <w:p>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100%</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keepNext w:val="0"/>
              <w:keepLines w:val="0"/>
              <w:widowControl/>
              <w:suppressLineNumbers w:val="0"/>
              <w:jc w:val="center"/>
              <w:textAlignment w:val="center"/>
              <w:rPr>
                <w:rFonts w:hint="default" w:ascii="仿宋_GB2312" w:hAnsi="宋体" w:eastAsia="仿宋_GB2312" w:cs="宋体"/>
                <w:lang w:val="en-US" w:eastAsia="zh-CN"/>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时效指标</w:t>
            </w:r>
          </w:p>
        </w:tc>
        <w:tc>
          <w:tcPr>
            <w:tcW w:w="1249" w:type="dxa"/>
            <w:vAlign w:val="center"/>
          </w:tcPr>
          <w:p>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工程按时完成率</w:t>
            </w:r>
          </w:p>
        </w:tc>
        <w:tc>
          <w:tcPr>
            <w:tcW w:w="1298" w:type="dxa"/>
            <w:vAlign w:val="center"/>
          </w:tcPr>
          <w:p>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》100%</w:t>
            </w:r>
          </w:p>
        </w:tc>
        <w:tc>
          <w:tcPr>
            <w:tcW w:w="1269" w:type="dxa"/>
            <w:vAlign w:val="center"/>
          </w:tcPr>
          <w:p>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100%</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成本指标</w:t>
            </w:r>
          </w:p>
        </w:tc>
        <w:tc>
          <w:tcPr>
            <w:tcW w:w="1249" w:type="dxa"/>
            <w:vAlign w:val="center"/>
          </w:tcPr>
          <w:p>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预算控制数</w:t>
            </w:r>
          </w:p>
        </w:tc>
        <w:tc>
          <w:tcPr>
            <w:tcW w:w="1298" w:type="dxa"/>
            <w:vAlign w:val="center"/>
          </w:tcPr>
          <w:p>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《5万元</w:t>
            </w:r>
          </w:p>
        </w:tc>
        <w:tc>
          <w:tcPr>
            <w:tcW w:w="1269" w:type="dxa"/>
            <w:vAlign w:val="center"/>
          </w:tcPr>
          <w:p>
            <w:pPr>
              <w:keepNext w:val="0"/>
              <w:keepLines w:val="0"/>
              <w:widowControl/>
              <w:suppressLineNumbers w:val="0"/>
              <w:jc w:val="center"/>
              <w:textAlignment w:val="center"/>
              <w:rPr>
                <w:rFonts w:hint="eastAsia" w:ascii="仿宋_GB2312" w:hAnsi="宋体" w:eastAsia="仿宋_GB2312" w:cs="宋体"/>
                <w:lang w:val="en-US" w:eastAsia="zh-CN"/>
              </w:rPr>
            </w:pPr>
            <w:r>
              <w:rPr>
                <w:rFonts w:hint="eastAsia" w:ascii="仿宋_GB2312" w:hAnsi="宋体" w:eastAsia="仿宋_GB2312" w:cs="宋体"/>
                <w:lang w:val="en-US" w:eastAsia="zh-CN"/>
              </w:rPr>
              <w:t>3万元</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经济效益指标</w:t>
            </w: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社会效益指标</w:t>
            </w:r>
          </w:p>
        </w:tc>
        <w:tc>
          <w:tcPr>
            <w:tcW w:w="1249"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设施完好率</w:t>
            </w:r>
          </w:p>
        </w:tc>
        <w:tc>
          <w:tcPr>
            <w:tcW w:w="1298"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》100%</w:t>
            </w:r>
          </w:p>
        </w:tc>
        <w:tc>
          <w:tcPr>
            <w:tcW w:w="1269"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100%</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rPr>
                <w:rFonts w:hint="eastAsia" w:ascii="仿宋_GB2312" w:hAnsi="宋体" w:eastAsia="仿宋_GB2312" w:cs="宋体"/>
              </w:rPr>
            </w:pPr>
          </w:p>
        </w:tc>
        <w:tc>
          <w:tcPr>
            <w:tcW w:w="1298" w:type="dxa"/>
            <w:vAlign w:val="center"/>
          </w:tcPr>
          <w:p>
            <w:pPr>
              <w:rPr>
                <w:rFonts w:hint="eastAsia" w:ascii="仿宋_GB2312" w:hAnsi="宋体" w:eastAsia="仿宋_GB2312" w:cs="宋体"/>
              </w:rPr>
            </w:pPr>
          </w:p>
        </w:tc>
        <w:tc>
          <w:tcPr>
            <w:tcW w:w="1269" w:type="dxa"/>
            <w:vAlign w:val="center"/>
          </w:tcPr>
          <w:p>
            <w:pPr>
              <w:rPr>
                <w:rFonts w:hint="eastAsia" w:ascii="仿宋_GB2312" w:hAnsi="宋体" w:eastAsia="仿宋_GB2312" w:cs="宋体"/>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tcBorders>
              <w:bottom w:val="nil"/>
            </w:tcBorders>
            <w:vAlign w:val="center"/>
          </w:tcPr>
          <w:p>
            <w:pPr>
              <w:rPr>
                <w:rFonts w:ascii="仿宋_GB2312" w:eastAsia="仿宋_GB2312"/>
              </w:rPr>
            </w:pPr>
            <w:r>
              <w:rPr>
                <w:rFonts w:hint="eastAsia" w:ascii="仿宋_GB2312" w:hAnsi="宋体" w:eastAsia="仿宋_GB2312" w:cs="宋体"/>
              </w:rPr>
              <w:t>生态效益指标</w:t>
            </w:r>
          </w:p>
        </w:tc>
        <w:tc>
          <w:tcPr>
            <w:tcW w:w="1249" w:type="dxa"/>
            <w:vAlign w:val="center"/>
          </w:tcPr>
          <w:p>
            <w:pPr>
              <w:rPr>
                <w:rFonts w:hint="eastAsia" w:ascii="仿宋_GB2312" w:hAnsi="宋体" w:eastAsia="仿宋_GB2312" w:cs="宋体"/>
              </w:rPr>
            </w:pPr>
          </w:p>
        </w:tc>
        <w:tc>
          <w:tcPr>
            <w:tcW w:w="1298" w:type="dxa"/>
            <w:vAlign w:val="center"/>
          </w:tcPr>
          <w:p>
            <w:pPr>
              <w:rPr>
                <w:rFonts w:hint="eastAsia" w:ascii="仿宋_GB2312" w:hAnsi="宋体" w:eastAsia="仿宋_GB2312" w:cs="宋体"/>
              </w:rPr>
            </w:pPr>
          </w:p>
        </w:tc>
        <w:tc>
          <w:tcPr>
            <w:tcW w:w="1269" w:type="dxa"/>
            <w:vAlign w:val="center"/>
          </w:tcPr>
          <w:p>
            <w:pPr>
              <w:rPr>
                <w:rFonts w:hint="eastAsia" w:ascii="仿宋_GB2312" w:hAnsi="宋体" w:eastAsia="仿宋_GB2312" w:cs="宋体"/>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可持续影响指标</w:t>
            </w:r>
          </w:p>
        </w:tc>
        <w:tc>
          <w:tcPr>
            <w:tcW w:w="1249"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增加给水能力</w:t>
            </w:r>
          </w:p>
        </w:tc>
        <w:tc>
          <w:tcPr>
            <w:tcW w:w="1298"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》4万吨</w:t>
            </w:r>
          </w:p>
        </w:tc>
        <w:tc>
          <w:tcPr>
            <w:tcW w:w="1269"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5万吨</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满意度指标</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服务对象满意度指标</w:t>
            </w:r>
          </w:p>
        </w:tc>
        <w:tc>
          <w:tcPr>
            <w:tcW w:w="1249"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群度众满意</w:t>
            </w:r>
          </w:p>
        </w:tc>
        <w:tc>
          <w:tcPr>
            <w:tcW w:w="1298"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≥90%</w:t>
            </w:r>
          </w:p>
        </w:tc>
        <w:tc>
          <w:tcPr>
            <w:tcW w:w="1269" w:type="dxa"/>
            <w:vAlign w:val="center"/>
          </w:tcPr>
          <w:p>
            <w:pPr>
              <w:rPr>
                <w:rFonts w:hint="eastAsia" w:ascii="仿宋_GB2312" w:hAnsi="宋体" w:eastAsia="仿宋_GB2312" w:cs="宋体"/>
                <w:lang w:val="en-US" w:eastAsia="en-US"/>
              </w:rPr>
            </w:pPr>
            <w:r>
              <w:rPr>
                <w:rFonts w:hint="default" w:ascii="仿宋_GB2312" w:hAnsi="宋体" w:eastAsia="仿宋_GB2312" w:cs="宋体"/>
                <w:lang w:val="en-US" w:eastAsia="zh-CN"/>
              </w:rPr>
              <w:t>98%</w:t>
            </w:r>
          </w:p>
        </w:tc>
        <w:tc>
          <w:tcPr>
            <w:tcW w:w="699" w:type="dxa"/>
            <w:vAlign w:val="center"/>
          </w:tcPr>
          <w:p>
            <w:pP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bottom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r>
              <w:rPr>
                <w:rFonts w:hint="eastAsia" w:ascii="仿宋_GB2312" w:eastAsia="仿宋_GB2312"/>
              </w:rPr>
              <w:t>…·</w:t>
            </w: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pPr>
              <w:rPr>
                <w:rFonts w:ascii="仿宋_GB2312" w:eastAsia="仿宋_GB2312"/>
              </w:rPr>
            </w:pPr>
            <w:r>
              <w:rPr>
                <w:rFonts w:hint="eastAsia" w:ascii="仿宋_GB2312" w:eastAsia="仿宋_GB2312"/>
              </w:rPr>
              <w:t>100</w:t>
            </w: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99.39</w:t>
            </w:r>
          </w:p>
        </w:tc>
      </w:tr>
    </w:tbl>
    <w:p>
      <w:pPr>
        <w:pStyle w:val="3"/>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王凯</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2024/6/24</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15074028675</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pPr>
        <w:pStyle w:val="3"/>
        <w:spacing w:before="293" w:line="236" w:lineRule="auto"/>
        <w:ind w:firstLine="552"/>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pPr>
              <w:ind w:firstLine="420"/>
              <w:jc w:val="center"/>
              <w:rPr>
                <w:rFonts w:ascii="仿宋_GB2312" w:hAnsi="宋体" w:eastAsia="仿宋_GB2312" w:cs="宋体"/>
                <w:lang w:eastAsia="zh-CN"/>
              </w:rPr>
            </w:pPr>
          </w:p>
        </w:tc>
        <w:tc>
          <w:tcPr>
            <w:tcW w:w="1099" w:type="dxa"/>
            <w:vAlign w:val="center"/>
          </w:tcPr>
          <w:p>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pPr>
              <w:ind w:firstLine="420"/>
              <w:jc w:val="center"/>
              <w:rPr>
                <w:rFonts w:ascii="仿宋_GB2312" w:hAnsi="宋体" w:eastAsia="仿宋_GB2312" w:cs="宋体"/>
                <w:lang w:eastAsia="zh-CN"/>
              </w:rPr>
            </w:pPr>
          </w:p>
        </w:tc>
        <w:tc>
          <w:tcPr>
            <w:tcW w:w="1020"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rPr>
            </w:pPr>
          </w:p>
        </w:tc>
        <w:tc>
          <w:tcPr>
            <w:tcW w:w="4396" w:type="dxa"/>
            <w:gridSpan w:val="4"/>
            <w:vAlign w:val="center"/>
          </w:tcPr>
          <w:p>
            <w:pPr>
              <w:ind w:firstLine="420"/>
              <w:jc w:val="center"/>
              <w:rPr>
                <w:rFonts w:ascii="仿宋_GB2312" w:hAnsi="宋体" w:eastAsia="仿宋_GB2312" w:cs="宋体"/>
              </w:rPr>
            </w:pPr>
          </w:p>
        </w:tc>
        <w:tc>
          <w:tcPr>
            <w:tcW w:w="4140" w:type="dxa"/>
            <w:gridSpan w:val="4"/>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ind w:firstLine="420"/>
              <w:jc w:val="center"/>
              <w:rPr>
                <w:rFonts w:ascii="仿宋_GB2312" w:hAnsi="宋体" w:eastAsia="仿宋_GB2312" w:cs="宋体"/>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rPr>
                <w:rFonts w:ascii="仿宋_GB2312" w:hAnsi="宋体" w:eastAsia="仿宋_GB2312" w:cs="宋体"/>
              </w:rPr>
            </w:pPr>
            <w:r>
              <w:rPr>
                <w:rFonts w:hint="eastAsia" w:ascii="仿宋_GB2312" w:hAnsi="宋体" w:eastAsia="仿宋_GB2312" w:cs="宋体"/>
              </w:rPr>
              <w:t>分值</w:t>
            </w:r>
          </w:p>
        </w:tc>
        <w:tc>
          <w:tcPr>
            <w:tcW w:w="849" w:type="dxa"/>
            <w:vAlign w:val="center"/>
          </w:tcPr>
          <w:p>
            <w:pPr>
              <w:rPr>
                <w:rFonts w:ascii="仿宋_GB2312" w:hAnsi="宋体" w:eastAsia="仿宋_GB2312" w:cs="宋体"/>
              </w:rPr>
            </w:pPr>
            <w:r>
              <w:rPr>
                <w:rFonts w:hint="eastAsia" w:ascii="仿宋_GB2312" w:hAnsi="宋体" w:eastAsia="仿宋_GB2312" w:cs="宋体"/>
              </w:rPr>
              <w:t>得分</w:t>
            </w:r>
          </w:p>
        </w:tc>
        <w:tc>
          <w:tcPr>
            <w:tcW w:w="1383" w:type="dxa"/>
            <w:vAlign w:val="center"/>
          </w:tcPr>
          <w:p>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lang w:eastAsia="zh-CN"/>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产出指标</w:t>
            </w:r>
          </w:p>
          <w:p>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效益指标</w:t>
            </w:r>
          </w:p>
          <w:p>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bottom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ind w:firstLine="420"/>
        <w:rPr>
          <w:rFonts w:ascii="宋体" w:hAnsi="宋体" w:eastAsia="宋体" w:cs="宋体"/>
          <w:lang w:eastAsia="zh-CN"/>
        </w:rPr>
      </w:pPr>
    </w:p>
    <w:p>
      <w:pPr>
        <w:rPr>
          <w:rFonts w:ascii="仿宋_GB2312" w:hAnsi="宋体" w:eastAsia="仿宋_GB2312" w:cs="宋体"/>
          <w:lang w:eastAsia="zh-CN"/>
        </w:rPr>
        <w:sectPr>
          <w:footerReference r:id="rId5" w:type="default"/>
          <w:pgSz w:w="11907" w:h="16839"/>
          <w:pgMar w:top="567" w:right="1474" w:bottom="1984" w:left="1588" w:header="0" w:footer="1587" w:gutter="0"/>
          <w:pgNumType w:fmt="numberInDash"/>
          <w:cols w:space="0" w:num="1"/>
          <w:rtlGutter w:val="0"/>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年度大坳水库服务所整体支出</w:t>
      </w:r>
    </w:p>
    <w:p>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p>
    <w:p>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b/>
          <w:bCs/>
          <w:spacing w:val="-13"/>
          <w:sz w:val="32"/>
          <w:szCs w:val="32"/>
          <w:lang w:eastAsia="zh-CN"/>
        </w:rPr>
        <w:t>日</w:t>
      </w:r>
    </w:p>
    <w:p>
      <w:pPr>
        <w:pStyle w:val="3"/>
        <w:spacing w:before="211" w:line="224" w:lineRule="auto"/>
        <w:ind w:firstLine="638"/>
        <w:jc w:val="center"/>
        <w:rPr>
          <w:b/>
          <w:bCs/>
          <w:spacing w:val="18"/>
          <w:sz w:val="30"/>
          <w:szCs w:val="30"/>
          <w:lang w:eastAsia="zh-CN"/>
        </w:rPr>
      </w:pPr>
    </w:p>
    <w:p>
      <w:pPr>
        <w:pStyle w:val="3"/>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pPr>
            <w:pStyle w:val="5"/>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4 -</w:t>
          </w:r>
          <w:r>
            <w:rPr>
              <w:rFonts w:hint="eastAsia" w:asciiTheme="minorEastAsia" w:hAnsiTheme="minorEastAsia" w:eastAsiaTheme="minorEastAsia"/>
              <w:sz w:val="28"/>
              <w:szCs w:val="28"/>
            </w:rPr>
            <w:fldChar w:fldCharType="end"/>
          </w:r>
        </w:p>
      </w:sdtContent>
    </w:sdt>
    <w:p>
      <w:pPr>
        <w:pStyle w:val="3"/>
        <w:spacing w:before="211" w:line="224" w:lineRule="auto"/>
        <w:ind w:firstLine="638"/>
        <w:jc w:val="both"/>
        <w:rPr>
          <w:b/>
          <w:bCs/>
          <w:spacing w:val="18"/>
          <w:sz w:val="30"/>
          <w:szCs w:val="30"/>
          <w:lang w:eastAsia="zh-CN"/>
        </w:rPr>
      </w:pPr>
    </w:p>
    <w:p>
      <w:pPr>
        <w:pStyle w:val="3"/>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1、负责库区、大坝枢纽、干渠渠道及服务所权属范围内的事务性工作；负责水库水事调度，维护水大坝、渠道及电站安全运行等事务工作；参与防汛抗旱事务性工作，确保水库保护范围内人民生命财产安全。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2、承担所属灌区范围内农田灌溉。</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3、合理优化利用水库水资源进行水力发电。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4、充分利用现有水面发展天然水产养殖，净化水质。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pPr>
        <w:pStyle w:val="3"/>
        <w:numPr>
          <w:ilvl w:val="0"/>
          <w:numId w:val="0"/>
        </w:numPr>
        <w:spacing w:before="211" w:line="224" w:lineRule="auto"/>
        <w:jc w:val="both"/>
        <w:rPr>
          <w:rFonts w:hint="eastAsia" w:ascii="方正黑体_GBK" w:eastAsia="方正黑体_GBK"/>
          <w:sz w:val="32"/>
          <w:szCs w:val="32"/>
          <w:lang w:eastAsia="zh-CN"/>
        </w:rPr>
      </w:pPr>
      <w:r>
        <w:rPr>
          <w:rFonts w:hint="eastAsia" w:ascii="仿宋" w:hAnsi="仿宋" w:eastAsia="仿宋" w:cs="仿宋"/>
          <w:kern w:val="0"/>
          <w:sz w:val="32"/>
          <w:szCs w:val="32"/>
          <w:lang w:val="en-US" w:eastAsia="zh-CN"/>
        </w:rPr>
        <w:t>我所共有干部职工28人，其中实有在职干部职工28人，离退人员2</w:t>
      </w:r>
      <w:r>
        <w:rPr>
          <w:rFonts w:hint="eastAsia" w:cs="仿宋"/>
          <w:kern w:val="0"/>
          <w:sz w:val="32"/>
          <w:szCs w:val="32"/>
          <w:lang w:val="en-US" w:eastAsia="zh-CN"/>
        </w:rPr>
        <w:t>1</w:t>
      </w:r>
      <w:r>
        <w:rPr>
          <w:rFonts w:hint="eastAsia" w:ascii="仿宋" w:hAnsi="仿宋" w:eastAsia="仿宋" w:cs="仿宋"/>
          <w:kern w:val="0"/>
          <w:sz w:val="32"/>
          <w:szCs w:val="32"/>
          <w:lang w:val="en-US" w:eastAsia="zh-CN"/>
        </w:rPr>
        <w:t>人；实有事业编制人员25人，自筹人员共3人</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pPr>
        <w:pStyle w:val="13"/>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225.76</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lang w:eastAsia="zh-CN"/>
        </w:rPr>
        <w:t>人员经费</w:t>
      </w:r>
      <w:r>
        <w:rPr>
          <w:rFonts w:hint="eastAsia" w:eastAsia="仿宋_GB2312"/>
          <w:sz w:val="32"/>
          <w:szCs w:val="32"/>
          <w:lang w:val="en-US" w:eastAsia="zh-CN"/>
        </w:rPr>
        <w:t>201.82万元，公用经费12.96万元。</w:t>
      </w:r>
      <w:r>
        <w:rPr>
          <w:rFonts w:hint="eastAsia" w:eastAsia="仿宋_GB2312" w:cs="仿宋_GB2312"/>
          <w:kern w:val="0"/>
          <w:sz w:val="32"/>
          <w:szCs w:val="32"/>
          <w:lang w:eastAsia="zh-CN"/>
        </w:rPr>
        <w:t>我单位严格按规定使用财政拨付资金，主要用于工资福利支出、对个人家庭补助及其他商品和服务支出。</w:t>
      </w:r>
    </w:p>
    <w:p>
      <w:pPr>
        <w:pStyle w:val="13"/>
        <w:numPr>
          <w:ilvl w:val="0"/>
          <w:numId w:val="2"/>
        </w:numPr>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pPr>
        <w:pStyle w:val="13"/>
        <w:numPr>
          <w:ilvl w:val="0"/>
          <w:numId w:val="0"/>
        </w:numPr>
        <w:spacing w:line="600" w:lineRule="exact"/>
        <w:ind w:firstLine="640" w:firstLineChars="200"/>
        <w:jc w:val="both"/>
        <w:rPr>
          <w:rFonts w:hint="default" w:ascii="Times New Roman" w:hAnsi="Times New Roman" w:eastAsia="仿宋_GB2312"/>
          <w:sz w:val="32"/>
          <w:szCs w:val="32"/>
          <w:lang w:val="en-US" w:eastAsia="zh-CN"/>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w:t>
      </w:r>
      <w:r>
        <w:rPr>
          <w:rFonts w:hint="eastAsia" w:eastAsia="仿宋_GB2312" w:cs="仿宋_GB2312"/>
          <w:kern w:val="0"/>
          <w:sz w:val="32"/>
          <w:szCs w:val="32"/>
        </w:rPr>
        <w:t>项目支出为</w:t>
      </w:r>
      <w:r>
        <w:rPr>
          <w:rFonts w:hint="eastAsia" w:eastAsia="仿宋_GB2312" w:cs="仿宋_GB2312"/>
          <w:kern w:val="0"/>
          <w:sz w:val="32"/>
          <w:szCs w:val="32"/>
          <w:lang w:val="en-US" w:eastAsia="zh-CN"/>
        </w:rPr>
        <w:t>10.98</w:t>
      </w:r>
      <w:r>
        <w:rPr>
          <w:rFonts w:hint="eastAsia" w:eastAsia="仿宋_GB2312" w:cs="仿宋_GB2312"/>
          <w:kern w:val="0"/>
          <w:sz w:val="32"/>
          <w:szCs w:val="32"/>
        </w:rPr>
        <w:t>万元，</w:t>
      </w:r>
      <w:r>
        <w:rPr>
          <w:rFonts w:hint="eastAsia" w:eastAsia="仿宋_GB2312" w:cs="仿宋_GB2312"/>
          <w:kern w:val="0"/>
          <w:sz w:val="32"/>
          <w:szCs w:val="32"/>
          <w:lang w:eastAsia="zh-CN"/>
        </w:rPr>
        <w:t>主要用于岳阳县大坳水库除险加固项目支出。项目资金落实及时，专款专用，严格使用范围。</w:t>
      </w:r>
    </w:p>
    <w:p>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政府性基金预算支出情况</w:t>
      </w:r>
    </w:p>
    <w:p>
      <w:pPr>
        <w:pStyle w:val="2"/>
        <w:numPr>
          <w:ilvl w:val="0"/>
          <w:numId w:val="0"/>
        </w:numPr>
        <w:ind w:left="640" w:leftChars="0"/>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pPr>
        <w:pStyle w:val="2"/>
        <w:numPr>
          <w:ilvl w:val="0"/>
          <w:numId w:val="0"/>
        </w:numPr>
        <w:ind w:left="640" w:leftChars="0"/>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pPr>
        <w:pStyle w:val="2"/>
        <w:numPr>
          <w:ilvl w:val="0"/>
          <w:numId w:val="0"/>
        </w:numPr>
        <w:ind w:left="640" w:leftChars="0"/>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pPr>
        <w:spacing w:line="600" w:lineRule="exact"/>
        <w:ind w:firstLine="640" w:firstLineChars="200"/>
        <w:jc w:val="both"/>
        <w:rPr>
          <w:rFonts w:eastAsia="仿宋_GB2312"/>
          <w:sz w:val="32"/>
          <w:szCs w:val="32"/>
          <w:lang w:eastAsia="zh-CN"/>
        </w:rPr>
      </w:pPr>
      <w:r>
        <w:rPr>
          <w:rFonts w:hint="eastAsia" w:eastAsia="仿宋_GB2312"/>
          <w:sz w:val="32"/>
          <w:szCs w:val="32"/>
          <w:lang w:val="en-US" w:eastAsia="zh-CN"/>
        </w:rPr>
        <w:t>财政拨付资金对我单位人员待遇的提高、水利民生项目的顺利开展等方面有着重要意义，我单位也本着按制度、规定办事的原则，不滥用资金，把资金落实到实处。</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pPr>
        <w:spacing w:line="600" w:lineRule="exact"/>
        <w:ind w:firstLine="640" w:firstLineChars="200"/>
        <w:jc w:val="both"/>
        <w:rPr>
          <w:rFonts w:hint="eastAsia" w:eastAsia="仿宋_GB2312"/>
          <w:sz w:val="32"/>
          <w:szCs w:val="32"/>
          <w:lang w:eastAsia="zh-CN"/>
        </w:rPr>
      </w:pPr>
      <w:r>
        <w:rPr>
          <w:rFonts w:hint="eastAsia" w:eastAsia="仿宋_GB2312"/>
          <w:sz w:val="32"/>
          <w:szCs w:val="32"/>
          <w:lang w:eastAsia="zh-CN"/>
        </w:rPr>
        <w:t>有时单位申报项目资金时未及时和财务衔接，资金到位时不能及时开展工作，迅速把资金落实到位。</w:t>
      </w:r>
    </w:p>
    <w:p>
      <w:pPr>
        <w:pStyle w:val="2"/>
        <w:rPr>
          <w:rFonts w:hint="default"/>
          <w:lang w:val="en-US" w:eastAsia="zh-CN"/>
        </w:rPr>
      </w:pPr>
      <w:r>
        <w:rPr>
          <w:rFonts w:hint="eastAsia" w:eastAsia="仿宋_GB2312"/>
          <w:sz w:val="32"/>
          <w:szCs w:val="32"/>
          <w:lang w:val="en-US" w:eastAsia="zh-CN"/>
        </w:rPr>
        <w:t xml:space="preserve">        单位对固定资产管理的认识不到位及资产管理纳入绩效考核制度落实不够完善。</w:t>
      </w:r>
    </w:p>
    <w:p>
      <w:pPr>
        <w:numPr>
          <w:ilvl w:val="0"/>
          <w:numId w:val="3"/>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pPr>
        <w:pStyle w:val="2"/>
        <w:numPr>
          <w:ilvl w:val="0"/>
          <w:numId w:val="0"/>
        </w:numPr>
        <w:rPr>
          <w:rFonts w:hint="default" w:ascii="Arial" w:hAnsi="Arial" w:eastAsia="仿宋_GB2312" w:cs="Arial"/>
          <w:snapToGrid w:val="0"/>
          <w:color w:val="000000"/>
          <w:sz w:val="32"/>
          <w:szCs w:val="32"/>
          <w:lang w:val="en-US" w:eastAsia="zh-CN" w:bidi="ar-SA"/>
        </w:rPr>
      </w:pPr>
      <w:r>
        <w:rPr>
          <w:rFonts w:hint="eastAsia"/>
          <w:lang w:val="en-US" w:eastAsia="zh-CN"/>
        </w:rPr>
        <w:t xml:space="preserve">        </w:t>
      </w:r>
      <w:r>
        <w:rPr>
          <w:rFonts w:hint="eastAsia" w:ascii="Arial" w:hAnsi="Arial" w:eastAsia="仿宋_GB2312" w:cs="Arial"/>
          <w:snapToGrid w:val="0"/>
          <w:color w:val="000000"/>
          <w:sz w:val="32"/>
          <w:szCs w:val="32"/>
          <w:lang w:val="en-US" w:eastAsia="zh-CN" w:bidi="ar-SA"/>
        </w:rPr>
        <w:t>我单位积极与财政和水利局对接，切实落实每一笔项目资金。在资产方面要完善资产管理制度。构建完整的资产管理的制度体系，是做好资产管理工作的重点。我们要从配套制度的制定入手，加强制度创新，逐步建立和完善资产管理制度体系，以保障国有资产安全完整。</w:t>
      </w:r>
    </w:p>
    <w:p>
      <w:pPr>
        <w:numPr>
          <w:ilvl w:val="0"/>
          <w:numId w:val="3"/>
        </w:numPr>
        <w:spacing w:line="60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pPr>
        <w:pStyle w:val="2"/>
        <w:numPr>
          <w:ilvl w:val="0"/>
          <w:numId w:val="0"/>
        </w:numPr>
        <w:rPr>
          <w:rFonts w:hint="default"/>
          <w:lang w:val="en-US" w:eastAsia="zh-CN"/>
        </w:rPr>
      </w:pPr>
      <w:r>
        <w:rPr>
          <w:rFonts w:hint="eastAsia"/>
          <w:lang w:val="en-US" w:eastAsia="zh-CN"/>
        </w:rPr>
        <w:t xml:space="preserve">       </w:t>
      </w:r>
      <w:r>
        <w:rPr>
          <w:rFonts w:hint="eastAsia" w:ascii="Arial" w:hAnsi="Arial" w:eastAsia="仿宋_GB2312" w:cs="Arial"/>
          <w:snapToGrid w:val="0"/>
          <w:color w:val="000000"/>
          <w:sz w:val="32"/>
          <w:szCs w:val="32"/>
          <w:lang w:val="en-US" w:eastAsia="zh-CN" w:bidi="ar-SA"/>
        </w:rPr>
        <w:t xml:space="preserve"> 无</w:t>
      </w:r>
    </w:p>
    <w:p>
      <w:pPr>
        <w:numPr>
          <w:ilvl w:val="0"/>
          <w:numId w:val="3"/>
        </w:numPr>
        <w:spacing w:line="600" w:lineRule="exact"/>
        <w:ind w:left="0" w:leftChars="0" w:firstLine="640" w:firstLineChars="200"/>
        <w:jc w:val="both"/>
        <w:rPr>
          <w:rFonts w:hint="eastAsia" w:eastAsia="黑体"/>
          <w:sz w:val="32"/>
          <w:szCs w:val="32"/>
          <w:lang w:eastAsia="zh-CN"/>
        </w:rPr>
      </w:pPr>
      <w:r>
        <w:rPr>
          <w:rFonts w:hint="eastAsia" w:eastAsia="黑体"/>
          <w:sz w:val="32"/>
          <w:szCs w:val="32"/>
          <w:lang w:eastAsia="zh-CN"/>
        </w:rPr>
        <w:t>其他需要说明的情况</w:t>
      </w:r>
    </w:p>
    <w:p>
      <w:pPr>
        <w:pStyle w:val="2"/>
        <w:numPr>
          <w:ilvl w:val="0"/>
          <w:numId w:val="0"/>
        </w:numPr>
        <w:rPr>
          <w:rFonts w:eastAsia="仿宋_GB2312"/>
          <w:sz w:val="32"/>
          <w:szCs w:val="32"/>
          <w:lang w:eastAsia="zh-CN"/>
        </w:rPr>
      </w:pPr>
      <w:r>
        <w:rPr>
          <w:rFonts w:hint="eastAsia"/>
          <w:lang w:val="en-US" w:eastAsia="zh-CN"/>
        </w:rPr>
        <w:t xml:space="preserve">      </w:t>
      </w:r>
      <w:r>
        <w:rPr>
          <w:rFonts w:hint="eastAsia" w:ascii="Arial" w:hAnsi="Arial" w:eastAsia="仿宋_GB2312" w:cs="Arial"/>
          <w:snapToGrid w:val="0"/>
          <w:color w:val="000000"/>
          <w:sz w:val="32"/>
          <w:szCs w:val="32"/>
          <w:lang w:val="en-US" w:eastAsia="zh-CN" w:bidi="ar-SA"/>
        </w:rPr>
        <w:t xml:space="preserve"> 无</w:t>
      </w:r>
    </w:p>
    <w:p>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pPr>
        <w:spacing w:line="600" w:lineRule="exact"/>
        <w:jc w:val="both"/>
        <w:rPr>
          <w:rFonts w:eastAsia="仿宋_GB2312"/>
          <w:sz w:val="32"/>
          <w:szCs w:val="32"/>
          <w:lang w:eastAsia="zh-CN"/>
        </w:rPr>
      </w:pPr>
    </w:p>
    <w:p>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pPr>
        <w:spacing w:line="220" w:lineRule="exact"/>
        <w:ind w:firstLine="420"/>
        <w:rPr>
          <w:lang w:eastAsia="zh-CN"/>
        </w:rPr>
      </w:pPr>
    </w:p>
    <w:tbl>
      <w:tblPr>
        <w:tblStyle w:val="9"/>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pPr>
              <w:ind w:firstLine="420"/>
              <w:rPr>
                <w:rFonts w:ascii="仿宋_GB2312" w:eastAsia="仿宋_GB2312"/>
              </w:rPr>
            </w:pPr>
            <w:r>
              <w:rPr>
                <w:rFonts w:hint="eastAsia" w:ascii="仿宋_GB2312" w:hAnsi="宋体" w:eastAsia="仿宋_GB2312" w:cs="宋体"/>
              </w:rPr>
              <w:t>一级</w:t>
            </w:r>
          </w:p>
          <w:p>
            <w:pPr>
              <w:ind w:firstLine="420"/>
              <w:rPr>
                <w:rFonts w:ascii="仿宋_GB2312" w:eastAsia="仿宋_GB2312"/>
              </w:rPr>
            </w:pPr>
            <w:r>
              <w:rPr>
                <w:rFonts w:hint="eastAsia" w:ascii="仿宋_GB2312" w:hAnsi="宋体" w:eastAsia="仿宋_GB2312" w:cs="宋体"/>
              </w:rPr>
              <w:t>指标</w:t>
            </w:r>
          </w:p>
        </w:tc>
        <w:tc>
          <w:tcPr>
            <w:tcW w:w="1157" w:type="dxa"/>
            <w:vAlign w:val="center"/>
          </w:tcPr>
          <w:p>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pPr>
              <w:ind w:firstLine="420"/>
              <w:jc w:val="center"/>
              <w:rPr>
                <w:rFonts w:ascii="仿宋_GB2312" w:eastAsia="仿宋_GB2312"/>
              </w:rPr>
            </w:pPr>
            <w:r>
              <w:rPr>
                <w:rFonts w:hint="eastAsia" w:ascii="仿宋_GB2312" w:hAnsi="宋体" w:eastAsia="仿宋_GB2312" w:cs="宋体"/>
              </w:rPr>
              <w:t>所需佐证材料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布置</w:t>
            </w:r>
          </w:p>
          <w:p>
            <w:pPr>
              <w:rPr>
                <w:rFonts w:ascii="仿宋_GB2312" w:eastAsia="仿宋_GB2312"/>
              </w:rPr>
            </w:pPr>
            <w:r>
              <w:rPr>
                <w:rFonts w:hint="eastAsia" w:ascii="仿宋_GB2312" w:hAnsi="宋体" w:eastAsia="仿宋_GB2312" w:cs="宋体"/>
              </w:rPr>
              <w:t>工作</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pPr>
              <w:ind w:firstLine="420"/>
              <w:jc w:val="center"/>
              <w:rPr>
                <w:rFonts w:ascii="仿宋_GB2312" w:eastAsia="仿宋_GB2312"/>
                <w:lang w:eastAsia="zh-CN"/>
              </w:rPr>
            </w:pPr>
          </w:p>
          <w:p>
            <w:pPr>
              <w:rPr>
                <w:rFonts w:ascii="仿宋_GB2312" w:eastAsia="仿宋_GB2312"/>
              </w:rPr>
            </w:pPr>
            <w:r>
              <w:rPr>
                <w:rFonts w:hint="eastAsia" w:ascii="仿宋_GB2312" w:hAnsi="宋体" w:eastAsia="仿宋_GB2312" w:cs="宋体"/>
              </w:rPr>
              <w:t>实施</w:t>
            </w:r>
          </w:p>
          <w:p>
            <w:pPr>
              <w:rPr>
                <w:rFonts w:ascii="仿宋_GB2312" w:eastAsia="仿宋_GB2312"/>
              </w:rPr>
            </w:pPr>
            <w:r>
              <w:rPr>
                <w:rFonts w:hint="eastAsia" w:ascii="仿宋_GB2312" w:hAnsi="宋体" w:eastAsia="仿宋_GB2312" w:cs="宋体"/>
              </w:rPr>
              <w:t>评价</w:t>
            </w:r>
          </w:p>
          <w:p>
            <w:pPr>
              <w:ind w:firstLine="420"/>
              <w:jc w:val="center"/>
              <w:rPr>
                <w:rFonts w:ascii="仿宋_GB2312" w:eastAsia="仿宋_GB2312"/>
              </w:rPr>
            </w:pPr>
          </w:p>
          <w:p>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单位自查</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提交报告</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pPr>
              <w:ind w:firstLine="420"/>
              <w:rPr>
                <w:rFonts w:ascii="仿宋_GB2312" w:eastAsia="仿宋_GB2312"/>
                <w:lang w:eastAsia="zh-CN"/>
              </w:rPr>
            </w:pPr>
          </w:p>
          <w:p>
            <w:pPr>
              <w:rPr>
                <w:rFonts w:ascii="仿宋_GB2312" w:eastAsia="仿宋_GB2312"/>
              </w:rPr>
            </w:pPr>
            <w:r>
              <w:rPr>
                <w:rFonts w:hint="eastAsia" w:ascii="仿宋_GB2312" w:hAnsi="宋体" w:eastAsia="仿宋_GB2312" w:cs="宋体"/>
              </w:rPr>
              <w:t>自评</w:t>
            </w:r>
          </w:p>
          <w:p>
            <w:pPr>
              <w:rPr>
                <w:rFonts w:ascii="仿宋_GB2312" w:eastAsia="仿宋_GB2312"/>
              </w:rPr>
            </w:pPr>
            <w:r>
              <w:rPr>
                <w:rFonts w:hint="eastAsia" w:ascii="仿宋_GB2312" w:hAnsi="宋体" w:eastAsia="仿宋_GB2312" w:cs="宋体"/>
              </w:rPr>
              <w:t>报告</w:t>
            </w:r>
          </w:p>
          <w:p>
            <w:pPr>
              <w:ind w:firstLine="420"/>
              <w:rPr>
                <w:rFonts w:ascii="仿宋_GB2312" w:eastAsia="仿宋_GB2312"/>
                <w:lang w:eastAsia="zh-CN"/>
              </w:rPr>
            </w:pPr>
          </w:p>
          <w:p>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pPr>
              <w:jc w:val="center"/>
              <w:rPr>
                <w:rFonts w:ascii="仿宋_GB2312" w:hAnsi="宋体" w:eastAsia="仿宋_GB2312" w:cs="宋体"/>
                <w:lang w:eastAsia="zh-CN"/>
              </w:rPr>
            </w:pPr>
            <w:r>
              <w:rPr>
                <w:rFonts w:hint="eastAsia" w:ascii="仿宋_GB2312" w:hAnsi="宋体" w:eastAsia="仿宋_GB2312" w:cs="宋体"/>
              </w:rPr>
              <w:t>完整性</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建议情况</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pPr>
              <w:rPr>
                <w:rFonts w:ascii="仿宋_GB2312" w:eastAsia="仿宋_GB2312"/>
              </w:rPr>
            </w:pPr>
            <w:r>
              <w:rPr>
                <w:rFonts w:hint="eastAsia" w:ascii="仿宋_GB2312" w:hAnsi="宋体" w:eastAsia="仿宋_GB2312" w:cs="宋体"/>
              </w:rPr>
              <w:t>合计</w:t>
            </w:r>
          </w:p>
        </w:tc>
        <w:tc>
          <w:tcPr>
            <w:tcW w:w="1157" w:type="dxa"/>
            <w:vAlign w:val="center"/>
          </w:tcPr>
          <w:p>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pPr>
              <w:ind w:firstLine="420"/>
              <w:jc w:val="center"/>
              <w:rPr>
                <w:rFonts w:ascii="仿宋_GB2312" w:eastAsia="仿宋_GB2312"/>
              </w:rPr>
            </w:pPr>
          </w:p>
        </w:tc>
      </w:tr>
    </w:tbl>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spacing w:line="600" w:lineRule="exact"/>
        <w:rPr>
          <w:rFonts w:ascii="仿宋" w:hAnsi="仿宋" w:eastAsia="仿宋" w:cs="Times New Roman"/>
          <w:sz w:val="32"/>
          <w:szCs w:val="32"/>
        </w:rPr>
      </w:pPr>
    </w:p>
    <w:p>
      <w:pPr>
        <w:spacing w:line="600" w:lineRule="exact"/>
        <w:ind w:firstLine="160" w:firstLineChars="50"/>
        <w:rPr>
          <w:rFonts w:ascii="仿宋_GB2312" w:hAnsi="仿宋_GB2312" w:eastAsia="仿宋_GB2312" w:cs="仿宋_GB2312"/>
          <w:sz w:val="32"/>
          <w:szCs w:val="32"/>
          <w:lang w:eastAsia="zh-CN"/>
        </w:rPr>
      </w:pPr>
      <w:r>
        <w:rPr>
          <w:rFonts w:ascii="仿宋_GB2312" w:hAnsi="仿宋" w:eastAsia="仿宋_GB2312" w:cs="Times New Roman"/>
          <w:sz w:val="32"/>
          <w:szCs w:val="32"/>
        </w:rPr>
        <w:pict>
          <v:line id="_x0000_s2058" o:spid="_x0000_s2058" o:spt="20" style="position:absolute;left:0pt;flip:y;margin-left:5.25pt;margin-top:3.5pt;height:1.3pt;width:432pt;z-index:251659264;mso-width-relative:page;mso-height-relative:page;" coordsize="21600,21600">
            <v:path arrowok="t"/>
            <v:fill focussize="0,0"/>
            <v:stroke/>
            <v:imagedata o:title=""/>
            <o:lock v:ext="edit"/>
          </v:line>
        </w:pict>
      </w:r>
      <w:r>
        <w:rPr>
          <w:rFonts w:ascii="仿宋_GB2312" w:hAnsi="仿宋" w:eastAsia="仿宋_GB2312" w:cs="Times New Roman"/>
          <w:sz w:val="32"/>
          <w:szCs w:val="32"/>
        </w:rPr>
        <w:pict>
          <v:line id="_x0000_s2059" o:spid="_x0000_s2059" o:spt="20" style="position:absolute;left:0pt;flip:y;margin-left:5.25pt;margin-top:26.9pt;height:2.5pt;width:432pt;z-index:251660288;mso-width-relative:page;mso-height-relative:page;" coordsize="21600,21600">
            <v:path arrowok="t"/>
            <v:fill focussize="0,0"/>
            <v:stroke/>
            <v:imagedata o:title=""/>
            <o:lock v:ext="edit"/>
          </v:line>
        </w:pict>
      </w:r>
      <w:r>
        <w:rPr>
          <w:rFonts w:hint="eastAsia" w:ascii="仿宋_GB2312" w:hAnsi="仿宋" w:eastAsia="仿宋_GB2312" w:cs="Times New Roman"/>
          <w:sz w:val="32"/>
          <w:szCs w:val="32"/>
          <w:lang w:eastAsia="zh-CN"/>
        </w:rPr>
        <w:t>岳阳县财政局办公室                2024年4月2日印发</w:t>
      </w:r>
    </w:p>
    <w:sectPr>
      <w:footerReference r:id="rId6"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思源黑体">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pPr>
          <w:pStyle w:val="5"/>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pPr>
      <w:ind w:firstLine="420"/>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9BB27"/>
    <w:multiLevelType w:val="singleLevel"/>
    <w:tmpl w:val="D1D9BB27"/>
    <w:lvl w:ilvl="0" w:tentative="0">
      <w:start w:val="2"/>
      <w:numFmt w:val="chineseCounting"/>
      <w:suff w:val="nothing"/>
      <w:lvlText w:val="（%1）"/>
      <w:lvlJc w:val="left"/>
      <w:rPr>
        <w:rFonts w:hint="eastAsia"/>
      </w:rPr>
    </w:lvl>
  </w:abstractNum>
  <w:abstractNum w:abstractNumId="1">
    <w:nsid w:val="F1B92D30"/>
    <w:multiLevelType w:val="singleLevel"/>
    <w:tmpl w:val="F1B92D30"/>
    <w:lvl w:ilvl="0" w:tentative="0">
      <w:start w:val="8"/>
      <w:numFmt w:val="chineseCounting"/>
      <w:suff w:val="nothing"/>
      <w:lvlText w:val="%1、"/>
      <w:lvlJc w:val="left"/>
      <w:rPr>
        <w:rFonts w:hint="eastAsia"/>
      </w:rPr>
    </w:lvl>
  </w:abstractNum>
  <w:abstractNum w:abstractNumId="2">
    <w:nsid w:val="0B812F7D"/>
    <w:multiLevelType w:val="singleLevel"/>
    <w:tmpl w:val="0B812F7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zVkYWZlODk2MDcyOWI3NDdjMjU1YWU3ODlhMWYwMGM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62956B3"/>
    <w:rsid w:val="07AC683C"/>
    <w:rsid w:val="07AE7989"/>
    <w:rsid w:val="0882554E"/>
    <w:rsid w:val="09917E89"/>
    <w:rsid w:val="0A1D3460"/>
    <w:rsid w:val="0AD02409"/>
    <w:rsid w:val="0D6A5910"/>
    <w:rsid w:val="0DAD4E1B"/>
    <w:rsid w:val="0E8D075B"/>
    <w:rsid w:val="10066A65"/>
    <w:rsid w:val="104D2390"/>
    <w:rsid w:val="1198193E"/>
    <w:rsid w:val="12F901BB"/>
    <w:rsid w:val="15412B90"/>
    <w:rsid w:val="157B7247"/>
    <w:rsid w:val="171E35E1"/>
    <w:rsid w:val="189A5894"/>
    <w:rsid w:val="19456BC6"/>
    <w:rsid w:val="1AF514C4"/>
    <w:rsid w:val="1BC872C4"/>
    <w:rsid w:val="1C866DB8"/>
    <w:rsid w:val="1D352737"/>
    <w:rsid w:val="1E661C05"/>
    <w:rsid w:val="1F153328"/>
    <w:rsid w:val="1F2A6363"/>
    <w:rsid w:val="20713A86"/>
    <w:rsid w:val="20C31E08"/>
    <w:rsid w:val="2190415E"/>
    <w:rsid w:val="23D62B00"/>
    <w:rsid w:val="25493054"/>
    <w:rsid w:val="27EC2CAD"/>
    <w:rsid w:val="281D65AA"/>
    <w:rsid w:val="285B228C"/>
    <w:rsid w:val="2BA427C8"/>
    <w:rsid w:val="2BCA2BAA"/>
    <w:rsid w:val="2C3829EF"/>
    <w:rsid w:val="2DFA7491"/>
    <w:rsid w:val="2E082A3D"/>
    <w:rsid w:val="303E2FDA"/>
    <w:rsid w:val="33EC7B9C"/>
    <w:rsid w:val="35134303"/>
    <w:rsid w:val="36EF4A75"/>
    <w:rsid w:val="37375A74"/>
    <w:rsid w:val="37E1553E"/>
    <w:rsid w:val="37F952C0"/>
    <w:rsid w:val="385A6222"/>
    <w:rsid w:val="38F31085"/>
    <w:rsid w:val="39B85DFB"/>
    <w:rsid w:val="3A7F7495"/>
    <w:rsid w:val="3AB91E81"/>
    <w:rsid w:val="3AE076BC"/>
    <w:rsid w:val="3D037D04"/>
    <w:rsid w:val="3DD455A6"/>
    <w:rsid w:val="3FD50795"/>
    <w:rsid w:val="40E97813"/>
    <w:rsid w:val="4347756E"/>
    <w:rsid w:val="43646931"/>
    <w:rsid w:val="479B74B7"/>
    <w:rsid w:val="47F0411D"/>
    <w:rsid w:val="48C434ED"/>
    <w:rsid w:val="494D3F91"/>
    <w:rsid w:val="4992281B"/>
    <w:rsid w:val="4A670136"/>
    <w:rsid w:val="4BC919E8"/>
    <w:rsid w:val="4E970C2B"/>
    <w:rsid w:val="50795403"/>
    <w:rsid w:val="511426C0"/>
    <w:rsid w:val="51516E38"/>
    <w:rsid w:val="57495CFA"/>
    <w:rsid w:val="58006EC2"/>
    <w:rsid w:val="585D7279"/>
    <w:rsid w:val="5D245401"/>
    <w:rsid w:val="5DAF5613"/>
    <w:rsid w:val="5DB42C29"/>
    <w:rsid w:val="5F5720F9"/>
    <w:rsid w:val="5FAB594D"/>
    <w:rsid w:val="61681796"/>
    <w:rsid w:val="62FB6C04"/>
    <w:rsid w:val="652F79C6"/>
    <w:rsid w:val="65AF0D1D"/>
    <w:rsid w:val="668D2269"/>
    <w:rsid w:val="67404FA6"/>
    <w:rsid w:val="68B8009F"/>
    <w:rsid w:val="6A745C1A"/>
    <w:rsid w:val="6C593EAF"/>
    <w:rsid w:val="6D6D4BA2"/>
    <w:rsid w:val="6D7E6628"/>
    <w:rsid w:val="70AF75DD"/>
    <w:rsid w:val="7201013F"/>
    <w:rsid w:val="720F5C1E"/>
    <w:rsid w:val="72417A2B"/>
    <w:rsid w:val="72D12FDA"/>
    <w:rsid w:val="72F75AA7"/>
    <w:rsid w:val="74CA6436"/>
    <w:rsid w:val="75FC7E24"/>
    <w:rsid w:val="765775DC"/>
    <w:rsid w:val="76A72ED3"/>
    <w:rsid w:val="76DF08BF"/>
    <w:rsid w:val="77D45F4A"/>
    <w:rsid w:val="79B7167F"/>
    <w:rsid w:val="7A772BBC"/>
    <w:rsid w:val="7AC072CB"/>
    <w:rsid w:val="7DEB7B49"/>
    <w:rsid w:val="7E2A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autoRedefine/>
    <w:semiHidden/>
    <w:qFormat/>
    <w:uiPriority w:val="0"/>
    <w:pPr>
      <w:spacing w:before="20" w:line="222" w:lineRule="auto"/>
    </w:pPr>
    <w:rPr>
      <w:rFonts w:ascii="仿宋" w:hAnsi="仿宋" w:eastAsia="仿宋" w:cs="仿宋"/>
      <w:sz w:val="35"/>
      <w:szCs w:val="35"/>
    </w:rPr>
  </w:style>
  <w:style w:type="paragraph" w:styleId="4">
    <w:name w:val="Balloon Text"/>
    <w:basedOn w:val="1"/>
    <w:link w:val="12"/>
    <w:autoRedefine/>
    <w:qFormat/>
    <w:uiPriority w:val="0"/>
    <w:rPr>
      <w:sz w:val="18"/>
      <w:szCs w:val="18"/>
    </w:rPr>
  </w:style>
  <w:style w:type="paragraph" w:styleId="5">
    <w:name w:val="footer"/>
    <w:basedOn w:val="1"/>
    <w:link w:val="11"/>
    <w:autoRedefine/>
    <w:qFormat/>
    <w:uiPriority w:val="99"/>
    <w:pPr>
      <w:tabs>
        <w:tab w:val="center" w:pos="4153"/>
        <w:tab w:val="right" w:pos="8306"/>
      </w:tabs>
      <w:spacing w:line="560" w:lineRule="exac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style>
  <w:style w:type="character" w:customStyle="1" w:styleId="11">
    <w:name w:val="页脚 Char"/>
    <w:basedOn w:val="8"/>
    <w:link w:val="5"/>
    <w:autoRedefine/>
    <w:qFormat/>
    <w:uiPriority w:val="99"/>
    <w:rPr>
      <w:rFonts w:eastAsia="Arial"/>
      <w:snapToGrid w:val="0"/>
      <w:color w:val="000000"/>
      <w:sz w:val="18"/>
      <w:szCs w:val="18"/>
      <w:lang w:eastAsia="en-US"/>
    </w:rPr>
  </w:style>
  <w:style w:type="character" w:customStyle="1" w:styleId="12">
    <w:name w:val="批注框文本 Char"/>
    <w:basedOn w:val="8"/>
    <w:link w:val="4"/>
    <w:autoRedefine/>
    <w:qFormat/>
    <w:uiPriority w:val="0"/>
    <w:rPr>
      <w:rFonts w:eastAsia="Arial"/>
      <w:snapToGrid w:val="0"/>
      <w:color w:val="000000"/>
      <w:sz w:val="18"/>
      <w:szCs w:val="18"/>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3005</Words>
  <Characters>3331</Characters>
  <Lines>42</Lines>
  <Paragraphs>11</Paragraphs>
  <TotalTime>27</TotalTime>
  <ScaleCrop>false</ScaleCrop>
  <LinksUpToDate>false</LinksUpToDate>
  <CharactersWithSpaces>3442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Administrator</cp:lastModifiedBy>
  <cp:lastPrinted>2024-04-02T01:43:00Z</cp:lastPrinted>
  <dcterms:modified xsi:type="dcterms:W3CDTF">2024-06-25T04:24:51Z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2052-12.1.0.16929</vt:lpwstr>
  </property>
  <property fmtid="{D5CDD505-2E9C-101B-9397-08002B2CF9AE}" pid="6" name="ICV">
    <vt:lpwstr>7863570836064237B5B0EE3419BAB8E8_13</vt:lpwstr>
  </property>
</Properties>
</file>