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F26F">
      <w:pPr>
        <w:rPr>
          <w:rFonts w:hint="eastAsia" w:ascii="Times New Roman" w:hAnsi="Times New Roman" w:eastAsia="仿宋_GB2312" w:cs="Times New Roman"/>
          <w:color w:val="auto"/>
          <w:sz w:val="36"/>
          <w:szCs w:val="36"/>
          <w:highlight w:val="none"/>
          <w:u w:val="none" w:color="auto"/>
          <w:lang w:eastAsia="zh-CN"/>
        </w:rPr>
      </w:pPr>
      <w:r>
        <w:rPr>
          <w:rFonts w:hint="eastAsia" w:ascii="仿宋_GB2312" w:hAnsi="仿宋_GB2312" w:eastAsia="仿宋_GB2312" w:cs="仿宋_GB2312"/>
          <w:color w:val="auto"/>
          <w:sz w:val="36"/>
          <w:szCs w:val="36"/>
          <w:highlight w:val="none"/>
          <w:u w:val="none" w:color="auto"/>
          <w:lang w:eastAsia="zh-CN"/>
        </w:rPr>
        <w:drawing>
          <wp:inline distT="0" distB="0" distL="114300" distR="114300">
            <wp:extent cx="1403985" cy="782955"/>
            <wp:effectExtent l="0" t="0" r="13335" b="9525"/>
            <wp:docPr id="26" name="图片 2" descr="a6682e7abc17325faaccc73f1409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a6682e7abc17325faaccc73f1409f07"/>
                    <pic:cNvPicPr>
                      <a:picLocks noChangeAspect="1"/>
                    </pic:cNvPicPr>
                  </pic:nvPicPr>
                  <pic:blipFill>
                    <a:blip r:embed="rId8"/>
                    <a:srcRect l="13191" t="38695" r="16418" b="24263"/>
                    <a:stretch>
                      <a:fillRect/>
                    </a:stretch>
                  </pic:blipFill>
                  <pic:spPr>
                    <a:xfrm>
                      <a:off x="0" y="0"/>
                      <a:ext cx="1403985" cy="782955"/>
                    </a:xfrm>
                    <a:prstGeom prst="rect">
                      <a:avLst/>
                    </a:prstGeom>
                    <a:noFill/>
                    <a:ln>
                      <a:noFill/>
                    </a:ln>
                  </pic:spPr>
                </pic:pic>
              </a:graphicData>
            </a:graphic>
          </wp:inline>
        </w:drawing>
      </w:r>
    </w:p>
    <w:p w14:paraId="0CD7ADDB">
      <w:pPr>
        <w:rPr>
          <w:rFonts w:hint="default" w:ascii="Times New Roman" w:hAnsi="Times New Roman" w:eastAsia="仿宋_GB2312" w:cs="Times New Roman"/>
          <w:color w:val="auto"/>
          <w:sz w:val="36"/>
          <w:szCs w:val="36"/>
          <w:highlight w:val="none"/>
          <w:u w:val="none" w:color="auto"/>
        </w:rPr>
      </w:pPr>
    </w:p>
    <w:p w14:paraId="2040473F">
      <w:pPr>
        <w:rPr>
          <w:rFonts w:hint="default" w:ascii="Times New Roman" w:hAnsi="Times New Roman" w:eastAsia="仿宋_GB2312" w:cs="Times New Roman"/>
          <w:color w:val="auto"/>
          <w:sz w:val="36"/>
          <w:szCs w:val="36"/>
          <w:highlight w:val="none"/>
          <w:u w:val="none" w:color="auto"/>
        </w:rPr>
      </w:pPr>
    </w:p>
    <w:p w14:paraId="288F1CD2">
      <w:pPr>
        <w:rPr>
          <w:rFonts w:hint="default" w:ascii="Times New Roman" w:hAnsi="Times New Roman" w:eastAsia="仿宋_GB2312" w:cs="Times New Roman"/>
          <w:color w:val="auto"/>
          <w:sz w:val="36"/>
          <w:szCs w:val="36"/>
          <w:highlight w:val="none"/>
          <w:u w:val="none" w:color="auto"/>
        </w:rPr>
      </w:pPr>
    </w:p>
    <w:p w14:paraId="0DF3138F">
      <w:pPr>
        <w:rPr>
          <w:rFonts w:hint="default" w:ascii="Times New Roman" w:hAnsi="Times New Roman" w:eastAsia="仿宋_GB2312" w:cs="Times New Roman"/>
          <w:color w:val="auto"/>
          <w:sz w:val="36"/>
          <w:szCs w:val="36"/>
          <w:highlight w:val="none"/>
          <w:u w:val="none" w:color="auto"/>
        </w:rPr>
      </w:pPr>
    </w:p>
    <w:p w14:paraId="0F647A34">
      <w:pPr>
        <w:rPr>
          <w:rFonts w:hint="default" w:ascii="Times New Roman" w:hAnsi="Times New Roman" w:eastAsia="仿宋_GB2312" w:cs="Times New Roman"/>
          <w:color w:val="auto"/>
          <w:sz w:val="36"/>
          <w:szCs w:val="36"/>
          <w:highlight w:val="none"/>
          <w:u w:val="none" w:color="auto"/>
        </w:rPr>
      </w:pPr>
    </w:p>
    <w:p w14:paraId="0B465994">
      <w:pPr>
        <w:adjustRightInd w:val="0"/>
        <w:snapToGrid w:val="0"/>
        <w:jc w:val="center"/>
        <w:outlineLvl w:val="0"/>
        <w:rPr>
          <w:rFonts w:hint="default" w:ascii="Times New Roman" w:hAnsi="Times New Roman" w:eastAsia="方正小标宋_GBK" w:cs="Times New Roman"/>
          <w:bCs/>
          <w:color w:val="auto"/>
          <w:sz w:val="72"/>
          <w:szCs w:val="72"/>
          <w:highlight w:val="none"/>
          <w:u w:val="none" w:color="auto"/>
        </w:rPr>
      </w:pPr>
      <w:bookmarkStart w:id="0" w:name="_Toc731"/>
      <w:bookmarkStart w:id="1" w:name="_Toc15283"/>
      <w:bookmarkStart w:id="2" w:name="_Toc8104"/>
      <w:bookmarkStart w:id="3" w:name="_Toc9387"/>
      <w:bookmarkStart w:id="4" w:name="_Toc9637"/>
      <w:bookmarkStart w:id="5" w:name="_Toc26483"/>
      <w:bookmarkStart w:id="6" w:name="_Toc17168"/>
      <w:bookmarkStart w:id="7" w:name="_Toc7915"/>
      <w:r>
        <w:rPr>
          <w:rFonts w:hint="default" w:ascii="Times New Roman" w:hAnsi="Times New Roman" w:eastAsia="方正小标宋_GBK" w:cs="Times New Roman"/>
          <w:bCs/>
          <w:color w:val="auto"/>
          <w:sz w:val="72"/>
          <w:szCs w:val="72"/>
          <w:highlight w:val="none"/>
          <w:u w:val="none" w:color="auto"/>
        </w:rPr>
        <w:t>建设项目环境影响报告表</w:t>
      </w:r>
      <w:bookmarkEnd w:id="0"/>
      <w:bookmarkEnd w:id="1"/>
      <w:bookmarkEnd w:id="2"/>
      <w:bookmarkEnd w:id="3"/>
      <w:bookmarkEnd w:id="4"/>
      <w:bookmarkEnd w:id="5"/>
      <w:bookmarkEnd w:id="6"/>
      <w:bookmarkEnd w:id="7"/>
    </w:p>
    <w:p w14:paraId="1C49D9F5">
      <w:pPr>
        <w:adjustRightInd w:val="0"/>
        <w:snapToGrid w:val="0"/>
        <w:spacing w:before="192" w:beforeLines="80"/>
        <w:jc w:val="center"/>
        <w:rPr>
          <w:rFonts w:hint="default" w:ascii="Times New Roman" w:hAnsi="Times New Roman" w:eastAsia="楷体_GB2312" w:cs="Times New Roman"/>
          <w:bCs/>
          <w:color w:val="auto"/>
          <w:sz w:val="48"/>
          <w:szCs w:val="48"/>
          <w:highlight w:val="none"/>
          <w:u w:val="none" w:color="auto"/>
        </w:rPr>
      </w:pPr>
      <w:r>
        <w:rPr>
          <w:rFonts w:hint="default" w:ascii="Times New Roman" w:hAnsi="Times New Roman" w:eastAsia="楷体_GB2312" w:cs="Times New Roman"/>
          <w:bCs/>
          <w:color w:val="auto"/>
          <w:sz w:val="48"/>
          <w:szCs w:val="48"/>
          <w:highlight w:val="none"/>
          <w:u w:val="none" w:color="auto"/>
        </w:rPr>
        <w:t>（污染影响类）</w:t>
      </w:r>
    </w:p>
    <w:p w14:paraId="43F1EBBE">
      <w:pPr>
        <w:jc w:val="center"/>
        <w:rPr>
          <w:rFonts w:hint="default" w:ascii="Times New Roman" w:hAnsi="Times New Roman" w:eastAsia="仿宋" w:cs="Times New Roman"/>
          <w:color w:val="auto"/>
          <w:sz w:val="52"/>
          <w:szCs w:val="52"/>
          <w:highlight w:val="none"/>
          <w:u w:val="none" w:color="auto"/>
        </w:rPr>
      </w:pPr>
    </w:p>
    <w:p w14:paraId="36B0562C">
      <w:pPr>
        <w:jc w:val="center"/>
        <w:rPr>
          <w:rFonts w:hint="default" w:ascii="Times New Roman" w:hAnsi="Times New Roman" w:eastAsia="仿宋" w:cs="Times New Roman"/>
          <w:color w:val="auto"/>
          <w:sz w:val="52"/>
          <w:szCs w:val="52"/>
          <w:highlight w:val="none"/>
          <w:u w:val="none" w:color="auto"/>
        </w:rPr>
      </w:pPr>
    </w:p>
    <w:p w14:paraId="44A1EBB7">
      <w:pPr>
        <w:ind w:firstLine="1040"/>
        <w:rPr>
          <w:rFonts w:hint="default" w:ascii="Times New Roman" w:hAnsi="Times New Roman" w:eastAsia="仿宋" w:cs="Times New Roman"/>
          <w:color w:val="auto"/>
          <w:sz w:val="44"/>
          <w:szCs w:val="44"/>
          <w:highlight w:val="none"/>
          <w:u w:val="none" w:color="auto"/>
        </w:rPr>
      </w:pPr>
    </w:p>
    <w:p w14:paraId="10658444">
      <w:pPr>
        <w:ind w:firstLine="1040"/>
        <w:rPr>
          <w:rFonts w:hint="default" w:ascii="Times New Roman" w:hAnsi="Times New Roman" w:eastAsia="仿宋" w:cs="Times New Roman"/>
          <w:color w:val="auto"/>
          <w:sz w:val="44"/>
          <w:szCs w:val="44"/>
          <w:highlight w:val="none"/>
          <w:u w:val="none" w:color="auto"/>
        </w:rPr>
      </w:pPr>
    </w:p>
    <w:p w14:paraId="6B07E90A">
      <w:pPr>
        <w:ind w:firstLine="1040"/>
        <w:rPr>
          <w:rFonts w:hint="default" w:ascii="Times New Roman" w:hAnsi="Times New Roman" w:eastAsia="仿宋" w:cs="Times New Roman"/>
          <w:color w:val="auto"/>
          <w:sz w:val="44"/>
          <w:szCs w:val="44"/>
          <w:highlight w:val="none"/>
          <w:u w:val="none" w:color="auto"/>
        </w:rPr>
      </w:pPr>
    </w:p>
    <w:p w14:paraId="5A173761">
      <w:pPr>
        <w:ind w:firstLine="1040"/>
        <w:rPr>
          <w:rFonts w:hint="default" w:ascii="Times New Roman" w:hAnsi="Times New Roman" w:eastAsia="仿宋" w:cs="Times New Roman"/>
          <w:color w:val="auto"/>
          <w:sz w:val="44"/>
          <w:szCs w:val="44"/>
          <w:highlight w:val="none"/>
          <w:u w:val="none" w:color="auto"/>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1"/>
        <w:gridCol w:w="6039"/>
      </w:tblGrid>
      <w:tr w14:paraId="2ED2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667" w:type="pct"/>
            <w:vAlign w:val="center"/>
          </w:tcPr>
          <w:p w14:paraId="0AC6ADE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项目名称</w:t>
            </w:r>
            <w:r>
              <w:rPr>
                <w:rFonts w:hint="eastAsia" w:eastAsia="仿宋_GB2312" w:cs="Times New Roman"/>
                <w:color w:val="auto"/>
                <w:sz w:val="36"/>
                <w:szCs w:val="36"/>
                <w:highlight w:val="none"/>
                <w:u w:val="none" w:color="auto"/>
                <w:lang w:eastAsia="zh-CN"/>
              </w:rPr>
              <w:t>：</w:t>
            </w:r>
          </w:p>
        </w:tc>
        <w:tc>
          <w:tcPr>
            <w:tcW w:w="3332" w:type="pct"/>
            <w:vAlign w:val="center"/>
          </w:tcPr>
          <w:p w14:paraId="61ED07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highlight w:val="none"/>
                <w:u w:val="none" w:color="auto"/>
              </w:rPr>
            </w:pPr>
            <w:r>
              <w:rPr>
                <w:rFonts w:hint="default" w:ascii="Times New Roman" w:hAnsi="Times New Roman" w:eastAsia="仿宋_GB2312" w:cs="Times New Roman"/>
                <w:color w:val="auto"/>
                <w:sz w:val="36"/>
                <w:szCs w:val="36"/>
                <w:highlight w:val="none"/>
                <w:u w:val="none" w:color="auto"/>
                <w:lang w:val="en-US" w:eastAsia="zh-CN"/>
              </w:rPr>
              <w:t>年产硅砂</w:t>
            </w:r>
            <w:r>
              <w:rPr>
                <w:rFonts w:hint="eastAsia" w:eastAsia="仿宋_GB2312" w:cs="Times New Roman"/>
                <w:color w:val="auto"/>
                <w:sz w:val="36"/>
                <w:szCs w:val="36"/>
                <w:highlight w:val="none"/>
                <w:u w:val="none" w:color="auto"/>
                <w:lang w:val="en-US" w:eastAsia="zh-CN"/>
              </w:rPr>
              <w:t>（玻璃原材料）</w:t>
            </w:r>
            <w:r>
              <w:rPr>
                <w:rFonts w:hint="default" w:ascii="Times New Roman" w:hAnsi="Times New Roman" w:eastAsia="仿宋_GB2312" w:cs="Times New Roman"/>
                <w:color w:val="auto"/>
                <w:sz w:val="36"/>
                <w:szCs w:val="36"/>
                <w:highlight w:val="none"/>
                <w:u w:val="none" w:color="auto"/>
                <w:lang w:val="en-US" w:eastAsia="zh-CN"/>
              </w:rPr>
              <w:t>10万吨建设项目</w:t>
            </w:r>
          </w:p>
        </w:tc>
      </w:tr>
      <w:tr w14:paraId="709B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7677FFF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建设单位（盖章）</w:t>
            </w:r>
            <w:r>
              <w:rPr>
                <w:rFonts w:hint="eastAsia" w:eastAsia="仿宋_GB2312" w:cs="Times New Roman"/>
                <w:color w:val="auto"/>
                <w:sz w:val="36"/>
                <w:szCs w:val="36"/>
                <w:highlight w:val="none"/>
                <w:u w:val="none" w:color="auto"/>
                <w:lang w:eastAsia="zh-CN"/>
              </w:rPr>
              <w:t>：</w:t>
            </w:r>
          </w:p>
        </w:tc>
        <w:tc>
          <w:tcPr>
            <w:tcW w:w="3332" w:type="pct"/>
            <w:vAlign w:val="center"/>
          </w:tcPr>
          <w:p w14:paraId="5143DA4E">
            <w:pPr>
              <w:keepNext w:val="0"/>
              <w:keepLines w:val="0"/>
              <w:widowControl/>
              <w:suppressLineNumbers w:val="0"/>
              <w:jc w:val="center"/>
              <w:rPr>
                <w:color w:val="auto"/>
                <w:highlight w:val="none"/>
                <w:u w:val="none" w:color="auto"/>
              </w:rPr>
            </w:pPr>
            <w:r>
              <w:rPr>
                <w:rFonts w:hint="default" w:ascii="Times New Roman" w:hAnsi="Times New Roman" w:eastAsia="仿宋_GB2312" w:cs="Times New Roman"/>
                <w:color w:val="auto"/>
                <w:sz w:val="36"/>
                <w:szCs w:val="36"/>
                <w:highlight w:val="none"/>
                <w:u w:val="none" w:color="auto"/>
                <w:lang w:val="en-US" w:eastAsia="zh-CN"/>
              </w:rPr>
              <w:t>岳阳市峰</w:t>
            </w:r>
            <w:r>
              <w:rPr>
                <w:rFonts w:hint="eastAsia" w:ascii="Times New Roman" w:hAnsi="Times New Roman" w:eastAsia="仿宋_GB2312" w:cs="Times New Roman"/>
                <w:color w:val="auto"/>
                <w:sz w:val="36"/>
                <w:szCs w:val="36"/>
                <w:highlight w:val="none"/>
                <w:u w:val="none" w:color="auto"/>
                <w:lang w:val="en-US" w:eastAsia="zh-CN"/>
              </w:rPr>
              <w:t>璟</w:t>
            </w:r>
            <w:r>
              <w:rPr>
                <w:rFonts w:hint="default" w:ascii="Times New Roman" w:hAnsi="Times New Roman" w:eastAsia="仿宋_GB2312" w:cs="Times New Roman"/>
                <w:color w:val="auto"/>
                <w:sz w:val="36"/>
                <w:szCs w:val="36"/>
                <w:highlight w:val="none"/>
                <w:u w:val="none" w:color="auto"/>
                <w:lang w:val="en-US" w:eastAsia="zh-CN"/>
              </w:rPr>
              <w:t>新材料科技有限公司</w:t>
            </w:r>
          </w:p>
        </w:tc>
      </w:tr>
      <w:tr w14:paraId="35C5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45D4B0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编制日期</w:t>
            </w:r>
            <w:r>
              <w:rPr>
                <w:rFonts w:hint="eastAsia" w:eastAsia="仿宋_GB2312" w:cs="Times New Roman"/>
                <w:color w:val="auto"/>
                <w:sz w:val="36"/>
                <w:szCs w:val="36"/>
                <w:highlight w:val="none"/>
                <w:u w:val="none" w:color="auto"/>
                <w:lang w:eastAsia="zh-CN"/>
              </w:rPr>
              <w:t>：</w:t>
            </w:r>
          </w:p>
        </w:tc>
        <w:tc>
          <w:tcPr>
            <w:tcW w:w="3332" w:type="pct"/>
            <w:vAlign w:val="center"/>
          </w:tcPr>
          <w:p w14:paraId="50977AE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highlight w:val="none"/>
                <w:u w:val="none" w:color="auto"/>
              </w:rPr>
            </w:pPr>
            <w:r>
              <w:rPr>
                <w:rFonts w:hint="default" w:ascii="Times New Roman" w:hAnsi="Times New Roman" w:eastAsia="仿宋_GB2312" w:cs="Times New Roman"/>
                <w:color w:val="auto"/>
                <w:sz w:val="36"/>
                <w:szCs w:val="36"/>
                <w:highlight w:val="none"/>
                <w:u w:val="none" w:color="auto"/>
                <w:lang w:val="en-US" w:eastAsia="zh-CN"/>
              </w:rPr>
              <w:t>20</w:t>
            </w:r>
            <w:r>
              <w:rPr>
                <w:rFonts w:hint="eastAsia" w:eastAsia="仿宋_GB2312" w:cs="Times New Roman"/>
                <w:color w:val="auto"/>
                <w:sz w:val="36"/>
                <w:szCs w:val="36"/>
                <w:highlight w:val="none"/>
                <w:u w:val="none" w:color="auto"/>
                <w:lang w:val="en-US" w:eastAsia="zh-CN"/>
              </w:rPr>
              <w:t>25</w:t>
            </w:r>
            <w:r>
              <w:rPr>
                <w:rFonts w:hint="default" w:ascii="Times New Roman" w:hAnsi="Times New Roman" w:eastAsia="仿宋_GB2312" w:cs="Times New Roman"/>
                <w:color w:val="auto"/>
                <w:sz w:val="36"/>
                <w:szCs w:val="36"/>
                <w:highlight w:val="none"/>
                <w:u w:val="none" w:color="auto"/>
                <w:lang w:val="en-US" w:eastAsia="zh-CN"/>
              </w:rPr>
              <w:t>年</w:t>
            </w:r>
            <w:r>
              <w:rPr>
                <w:rFonts w:hint="eastAsia" w:eastAsia="仿宋_GB2312" w:cs="Times New Roman"/>
                <w:color w:val="auto"/>
                <w:sz w:val="36"/>
                <w:szCs w:val="36"/>
                <w:highlight w:val="none"/>
                <w:u w:val="none" w:color="auto"/>
                <w:lang w:val="en-US" w:eastAsia="zh-CN"/>
              </w:rPr>
              <w:t>2</w:t>
            </w:r>
            <w:r>
              <w:rPr>
                <w:rFonts w:hint="default" w:ascii="Times New Roman" w:hAnsi="Times New Roman" w:eastAsia="仿宋_GB2312" w:cs="Times New Roman"/>
                <w:color w:val="auto"/>
                <w:sz w:val="36"/>
                <w:szCs w:val="36"/>
                <w:highlight w:val="none"/>
                <w:u w:val="none" w:color="auto"/>
                <w:lang w:val="en-US" w:eastAsia="zh-CN"/>
              </w:rPr>
              <w:t>月</w:t>
            </w:r>
          </w:p>
        </w:tc>
        <w:bookmarkStart w:id="8" w:name="_Hlk57884087"/>
      </w:tr>
    </w:tbl>
    <w:p w14:paraId="00903D10">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12CC99E3">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6F539033">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54160A43">
      <w:pPr>
        <w:adjustRightInd w:val="0"/>
        <w:snapToGrid w:val="0"/>
        <w:spacing w:line="288" w:lineRule="auto"/>
        <w:rPr>
          <w:rFonts w:hint="default" w:ascii="Times New Roman" w:hAnsi="Times New Roman" w:eastAsia="仿宋_GB2312" w:cs="Times New Roman"/>
          <w:color w:val="auto"/>
          <w:sz w:val="36"/>
          <w:szCs w:val="36"/>
          <w:highlight w:val="green"/>
          <w:u w:val="none" w:color="auto"/>
        </w:rPr>
      </w:pPr>
    </w:p>
    <w:bookmarkEnd w:id="8"/>
    <w:p w14:paraId="3968042B">
      <w:pPr>
        <w:adjustRightInd w:val="0"/>
        <w:snapToGrid w:val="0"/>
        <w:spacing w:line="288" w:lineRule="auto"/>
        <w:jc w:val="center"/>
        <w:rPr>
          <w:rFonts w:hint="default" w:ascii="Times New Roman" w:hAnsi="Times New Roman" w:eastAsia="楷体_GB2312" w:cs="Times New Roman"/>
          <w:color w:val="auto"/>
          <w:sz w:val="36"/>
          <w:szCs w:val="36"/>
          <w:highlight w:val="none"/>
          <w:u w:val="none" w:color="auto"/>
        </w:rPr>
      </w:pPr>
      <w:r>
        <w:rPr>
          <w:rFonts w:hint="default" w:ascii="Times New Roman" w:hAnsi="Times New Roman" w:eastAsia="楷体_GB2312" w:cs="Times New Roman"/>
          <w:color w:val="auto"/>
          <w:sz w:val="36"/>
          <w:szCs w:val="36"/>
          <w:highlight w:val="none"/>
          <w:u w:val="none" w:color="auto"/>
        </w:rPr>
        <w:t>中华人民共和国生态环境部制</w:t>
      </w:r>
    </w:p>
    <w:p w14:paraId="31E19F8D">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hint="default" w:ascii="Times New Roman" w:hAnsi="Times New Roman" w:eastAsia="宋体" w:cs="Times New Roman"/>
          <w:b/>
          <w:bCs/>
          <w:color w:val="auto"/>
          <w:sz w:val="30"/>
          <w:szCs w:val="30"/>
          <w:highlight w:val="green"/>
          <w:u w:val="none" w:color="auto"/>
          <w:lang w:val="en-US" w:eastAsia="zh-CN"/>
        </w:rPr>
        <w:id w:val="147459104"/>
        <w15:color w:val="DBDBDB"/>
        <w:docPartObj>
          <w:docPartGallery w:val="Table of Contents"/>
          <w:docPartUnique/>
        </w:docPartObj>
      </w:sdtPr>
      <w:sdtEndPr>
        <w:rPr>
          <w:rFonts w:hint="default" w:ascii="Times New Roman" w:hAnsi="Times New Roman" w:eastAsia="仿宋_GB2312" w:cs="Times New Roman"/>
          <w:b/>
          <w:bCs/>
          <w:color w:val="auto"/>
          <w:kern w:val="2"/>
          <w:sz w:val="21"/>
          <w:szCs w:val="36"/>
          <w:highlight w:val="green"/>
          <w:u w:val="none" w:color="auto"/>
          <w:lang w:val="en-US" w:eastAsia="zh-CN" w:bidi="ar-SA"/>
        </w:rPr>
      </w:sdtEndPr>
      <w:sdtContent>
        <w:p w14:paraId="778F04A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02" w:firstLineChars="200"/>
            <w:jc w:val="center"/>
            <w:textAlignment w:val="auto"/>
            <w:rPr>
              <w:rFonts w:hint="default" w:ascii="Times New Roman" w:hAnsi="Times New Roman" w:eastAsia="宋体" w:cs="Times New Roman"/>
              <w:b/>
              <w:bCs/>
              <w:color w:val="auto"/>
              <w:sz w:val="30"/>
              <w:szCs w:val="30"/>
              <w:highlight w:val="none"/>
              <w:u w:val="none" w:color="auto"/>
            </w:rPr>
          </w:pPr>
          <w:r>
            <w:rPr>
              <w:rFonts w:hint="default" w:ascii="Times New Roman" w:hAnsi="Times New Roman" w:eastAsia="宋体" w:cs="Times New Roman"/>
              <w:b/>
              <w:bCs/>
              <w:color w:val="auto"/>
              <w:sz w:val="30"/>
              <w:szCs w:val="30"/>
              <w:highlight w:val="none"/>
              <w:u w:val="none" w:color="auto"/>
            </w:rPr>
            <w:t>目录</w:t>
          </w:r>
        </w:p>
        <w:p w14:paraId="6CACE014">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TOC \o "1-3" \h \u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_Toc6696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一、建设项目基本情况</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_Toc6696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0FF37CFA">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_Toc7079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二、建设项目工程分析</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_Toc7079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21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579CA4F2">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_Toc4769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三、区域环境质量现状、环境保护目标及评价标准</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_Toc4769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31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3DFEEA99">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_Toc17209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四、主要环境影响和保护措施</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_Toc17209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35</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1A19A5D9">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_Toc11055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五、环境保护措施监督检查清单</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_Toc11055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58</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3CE287CD">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_Toc5866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六、结论</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_Toc5866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59</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B64F53D">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_Toc29458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附表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_Toc29458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60</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8149994">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_Toc8703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en-US"/>
            </w:rPr>
            <w:t>建设项目污染物排放量汇总表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_Toc8703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60</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0B6140BB">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1"/>
              <w:szCs w:val="36"/>
              <w:highlight w:val="green"/>
              <w:u w:val="none" w:color="auto"/>
              <w:lang w:val="en-US" w:eastAsia="zh-CN" w:bidi="ar-SA"/>
            </w:rPr>
          </w:pPr>
          <w:r>
            <w:rPr>
              <w:rFonts w:hint="default" w:ascii="Times New Roman" w:hAnsi="Times New Roman" w:eastAsia="黑体" w:cs="Times New Roman"/>
              <w:b w:val="0"/>
              <w:bCs w:val="0"/>
              <w:snapToGrid w:val="0"/>
              <w:color w:val="auto"/>
              <w:sz w:val="24"/>
              <w:szCs w:val="24"/>
              <w:highlight w:val="none"/>
              <w:u w:val="none" w:color="auto"/>
            </w:rPr>
            <w:fldChar w:fldCharType="end"/>
          </w:r>
        </w:p>
      </w:sdtContent>
    </w:sdt>
    <w:p w14:paraId="187A0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附件：</w:t>
      </w:r>
    </w:p>
    <w:p w14:paraId="74CB8090">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附件1   环评委托书</w:t>
      </w:r>
    </w:p>
    <w:p w14:paraId="6CE80A39">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附件2   发改备案</w:t>
      </w:r>
    </w:p>
    <w:p w14:paraId="3370853F">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附件3   农用地专用审批单</w:t>
      </w:r>
    </w:p>
    <w:p w14:paraId="31D19166">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附件4   购销合同及正常生产证明</w:t>
      </w:r>
    </w:p>
    <w:p w14:paraId="18E83E22">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附件5   硅砂检测报告</w:t>
      </w:r>
    </w:p>
    <w:p w14:paraId="0DF56AE4">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附件6   选址意见</w:t>
      </w:r>
    </w:p>
    <w:p w14:paraId="18D81268">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附件7   营业执照</w:t>
      </w:r>
    </w:p>
    <w:p w14:paraId="0D651200">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附件8   原料厂家相关手续</w:t>
      </w:r>
    </w:p>
    <w:p w14:paraId="4EC90E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附图：</w:t>
      </w:r>
    </w:p>
    <w:p w14:paraId="78DA8CBE">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 xml:space="preserve">附图1   </w:t>
      </w:r>
      <w:r>
        <w:rPr>
          <w:rFonts w:hint="default" w:ascii="Times New Roman" w:hAnsi="Times New Roman" w:cs="Times New Roman"/>
          <w:color w:val="auto"/>
          <w:highlight w:val="none"/>
          <w:u w:val="none" w:color="auto"/>
          <w:lang w:val="en-US" w:eastAsia="zh-CN"/>
        </w:rPr>
        <w:t>项目地理位置</w:t>
      </w:r>
      <w:r>
        <w:rPr>
          <w:rFonts w:hint="eastAsia" w:cs="Times New Roman"/>
          <w:color w:val="auto"/>
          <w:highlight w:val="none"/>
          <w:u w:val="none" w:color="auto"/>
          <w:lang w:val="en-US" w:eastAsia="zh-CN"/>
        </w:rPr>
        <w:t>及水系分布</w:t>
      </w:r>
      <w:r>
        <w:rPr>
          <w:rFonts w:hint="default" w:ascii="Times New Roman" w:hAnsi="Times New Roman" w:cs="Times New Roman"/>
          <w:color w:val="auto"/>
          <w:highlight w:val="none"/>
          <w:u w:val="none" w:color="auto"/>
          <w:lang w:val="en-US" w:eastAsia="zh-CN"/>
        </w:rPr>
        <w:t>图</w:t>
      </w:r>
    </w:p>
    <w:p w14:paraId="63A0479F">
      <w:pPr>
        <w:pStyle w:val="37"/>
        <w:bidi w:val="0"/>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 xml:space="preserve">附图2   </w:t>
      </w:r>
      <w:r>
        <w:rPr>
          <w:rFonts w:hint="default" w:ascii="Times New Roman" w:hAnsi="Times New Roman" w:cs="Times New Roman"/>
          <w:color w:val="auto"/>
          <w:highlight w:val="none"/>
          <w:u w:val="none" w:color="auto"/>
          <w:lang w:val="en-US" w:eastAsia="zh-CN"/>
        </w:rPr>
        <w:t>项目所在地</w:t>
      </w:r>
      <w:r>
        <w:rPr>
          <w:rFonts w:hint="eastAsia" w:cs="Times New Roman"/>
          <w:color w:val="auto"/>
          <w:highlight w:val="none"/>
          <w:u w:val="none" w:color="auto"/>
          <w:lang w:val="en-US" w:eastAsia="zh-CN"/>
        </w:rPr>
        <w:t>卫星影像图</w:t>
      </w:r>
    </w:p>
    <w:p w14:paraId="60849E79">
      <w:pPr>
        <w:pStyle w:val="37"/>
        <w:bidi w:val="0"/>
        <w:ind w:left="479" w:leftChars="228" w:firstLine="0" w:firstLineChars="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3   </w:t>
      </w:r>
      <w:r>
        <w:rPr>
          <w:rFonts w:hint="default" w:ascii="Times New Roman" w:hAnsi="Times New Roman" w:cs="Times New Roman"/>
          <w:color w:val="auto"/>
          <w:highlight w:val="none"/>
          <w:u w:val="none" w:color="auto"/>
          <w:lang w:val="en-US" w:eastAsia="zh-CN"/>
        </w:rPr>
        <w:t>项目</w:t>
      </w:r>
      <w:r>
        <w:rPr>
          <w:rFonts w:hint="eastAsia" w:ascii="Times New Roman" w:hAnsi="Times New Roman" w:cs="Times New Roman"/>
          <w:color w:val="auto"/>
          <w:highlight w:val="none"/>
          <w:u w:val="none" w:color="auto"/>
          <w:lang w:val="en-US" w:eastAsia="zh-CN"/>
        </w:rPr>
        <w:t>平面布置</w:t>
      </w:r>
      <w:r>
        <w:rPr>
          <w:rFonts w:hint="default" w:ascii="Times New Roman" w:hAnsi="Times New Roman" w:cs="Times New Roman"/>
          <w:color w:val="auto"/>
          <w:highlight w:val="none"/>
          <w:u w:val="none" w:color="auto"/>
          <w:lang w:val="en-US" w:eastAsia="zh-CN"/>
        </w:rPr>
        <w:t>图</w:t>
      </w:r>
    </w:p>
    <w:p w14:paraId="32806B49">
      <w:pPr>
        <w:pStyle w:val="3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4   </w:t>
      </w:r>
      <w:r>
        <w:rPr>
          <w:rFonts w:hint="eastAsia" w:ascii="Times New Roman" w:hAnsi="Times New Roman" w:cs="Times New Roman"/>
          <w:color w:val="auto"/>
          <w:highlight w:val="none"/>
          <w:u w:val="none" w:color="auto"/>
          <w:lang w:val="en-US" w:eastAsia="zh-CN"/>
        </w:rPr>
        <w:t>项目</w:t>
      </w:r>
      <w:r>
        <w:rPr>
          <w:rFonts w:hint="eastAsia" w:cs="Times New Roman"/>
          <w:color w:val="auto"/>
          <w:highlight w:val="none"/>
          <w:u w:val="none" w:color="auto"/>
          <w:lang w:val="en-US" w:eastAsia="zh-CN"/>
        </w:rPr>
        <w:t>大气</w:t>
      </w:r>
      <w:r>
        <w:rPr>
          <w:rFonts w:hint="eastAsia" w:ascii="Times New Roman" w:hAnsi="Times New Roman" w:cs="Times New Roman"/>
          <w:color w:val="auto"/>
          <w:highlight w:val="none"/>
          <w:u w:val="none" w:color="auto"/>
          <w:lang w:val="en-US" w:eastAsia="zh-CN"/>
        </w:rPr>
        <w:t>引用监测点示意图</w:t>
      </w:r>
    </w:p>
    <w:p w14:paraId="407AB6D2">
      <w:pPr>
        <w:pStyle w:val="37"/>
        <w:bidi w:val="0"/>
        <w:ind w:left="479" w:leftChars="228" w:firstLine="0" w:firstLineChars="0"/>
        <w:rPr>
          <w:b w:val="0"/>
          <w:bCs w:val="0"/>
          <w:color w:val="auto"/>
          <w:sz w:val="24"/>
          <w:szCs w:val="32"/>
          <w:highlight w:val="none"/>
          <w:u w:val="none" w:color="auto"/>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5   </w:t>
      </w:r>
      <w:r>
        <w:rPr>
          <w:b w:val="0"/>
          <w:bCs w:val="0"/>
          <w:color w:val="auto"/>
          <w:sz w:val="24"/>
          <w:szCs w:val="32"/>
          <w:highlight w:val="none"/>
          <w:u w:val="none" w:color="auto"/>
        </w:rPr>
        <w:t>环境保护目标示意图</w:t>
      </w:r>
    </w:p>
    <w:p w14:paraId="51D26C82">
      <w:pPr>
        <w:pStyle w:val="3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6   </w:t>
      </w:r>
      <w:r>
        <w:rPr>
          <w:rFonts w:hint="eastAsia" w:ascii="Times New Roman" w:hAnsi="Times New Roman" w:cs="Times New Roman"/>
          <w:color w:val="auto"/>
          <w:highlight w:val="none"/>
          <w:u w:val="none" w:color="auto"/>
          <w:lang w:val="en-US" w:eastAsia="zh-CN"/>
        </w:rPr>
        <w:t>岳阳县环境管控单元图</w:t>
      </w:r>
    </w:p>
    <w:p w14:paraId="15B3A7CA">
      <w:pPr>
        <w:pStyle w:val="37"/>
        <w:bidi w:val="0"/>
        <w:ind w:left="479" w:leftChars="228" w:firstLine="0" w:firstLineChars="0"/>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附图7   工程师现场踏勘及现场图片</w:t>
      </w:r>
    </w:p>
    <w:p w14:paraId="7AD3BB3A">
      <w:pPr>
        <w:pStyle w:val="37"/>
        <w:bidi w:val="0"/>
        <w:ind w:left="479" w:leftChars="228" w:firstLine="0" w:firstLineChars="0"/>
        <w:rPr>
          <w:rFonts w:hint="eastAsia"/>
          <w:b w:val="0"/>
          <w:bCs w:val="0"/>
          <w:color w:val="auto"/>
          <w:sz w:val="24"/>
          <w:szCs w:val="32"/>
          <w:highlight w:val="green"/>
          <w:u w:val="none" w:color="auto"/>
          <w:lang w:val="en-US" w:eastAsia="zh-CN"/>
        </w:rPr>
      </w:pPr>
    </w:p>
    <w:p w14:paraId="1CE9DC74">
      <w:pPr>
        <w:pStyle w:val="37"/>
        <w:bidi w:val="0"/>
        <w:rPr>
          <w:rFonts w:hint="default" w:ascii="Times New Roman" w:hAnsi="Times New Roman" w:cs="Times New Roman"/>
          <w:color w:val="auto"/>
          <w:highlight w:val="green"/>
          <w:u w:val="none" w:color="auto"/>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3613C94">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bCs/>
          <w:color w:val="auto"/>
          <w:highlight w:val="none"/>
          <w:u w:val="none" w:color="auto"/>
        </w:rPr>
      </w:pPr>
      <w:bookmarkStart w:id="9" w:name="_Toc6696"/>
      <w:r>
        <w:rPr>
          <w:rFonts w:hint="default" w:ascii="Times New Roman" w:hAnsi="Times New Roman" w:cs="Times New Roman"/>
          <w:b/>
          <w:bCs/>
          <w:color w:val="auto"/>
          <w:highlight w:val="none"/>
          <w:u w:val="none" w:color="auto"/>
        </w:rPr>
        <w:t>一、建设项目基本情况</w:t>
      </w:r>
      <w:bookmarkEnd w:id="9"/>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13"/>
        <w:gridCol w:w="1907"/>
        <w:gridCol w:w="1692"/>
        <w:gridCol w:w="3025"/>
      </w:tblGrid>
      <w:tr w14:paraId="0F5A6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431FE33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建设项目名称</w:t>
            </w:r>
          </w:p>
        </w:tc>
        <w:tc>
          <w:tcPr>
            <w:tcW w:w="6425" w:type="dxa"/>
            <w:gridSpan w:val="3"/>
            <w:tcBorders>
              <w:tl2br w:val="nil"/>
              <w:tr2bl w:val="nil"/>
            </w:tcBorders>
            <w:noWrap w:val="0"/>
            <w:vAlign w:val="center"/>
          </w:tcPr>
          <w:p w14:paraId="6401C3A0">
            <w:pPr>
              <w:adjustRightInd w:val="0"/>
              <w:snapToGrid w:val="0"/>
              <w:spacing w:line="240" w:lineRule="auto"/>
              <w:ind w:leftChars="100"/>
              <w:jc w:val="center"/>
              <w:rPr>
                <w:rFonts w:hint="eastAsia" w:ascii="Times New Roman" w:hAnsi="Times New Roman" w:eastAsia="宋体" w:cs="Times New Roman"/>
                <w:color w:val="auto"/>
                <w:sz w:val="24"/>
                <w:szCs w:val="24"/>
                <w:highlight w:val="none"/>
                <w:u w:val="none" w:color="auto"/>
                <w:lang w:eastAsia="zh-CN"/>
              </w:rPr>
            </w:pPr>
            <w:r>
              <w:rPr>
                <w:rFonts w:hint="eastAsia" w:cs="Times New Roman"/>
                <w:color w:val="auto"/>
                <w:sz w:val="24"/>
                <w:szCs w:val="24"/>
                <w:highlight w:val="none"/>
                <w:u w:val="none" w:color="auto"/>
                <w:lang w:eastAsia="zh-CN"/>
              </w:rPr>
              <w:t>年产硅砂（玻璃原材料）10万吨建设项目</w:t>
            </w:r>
          </w:p>
        </w:tc>
      </w:tr>
      <w:tr w14:paraId="335A3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61B5216E">
            <w:pPr>
              <w:adjustRightInd w:val="0"/>
              <w:snapToGrid w:val="0"/>
              <w:jc w:val="center"/>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sz w:val="24"/>
                <w:szCs w:val="24"/>
                <w:highlight w:val="none"/>
                <w:u w:val="none" w:color="auto"/>
              </w:rPr>
              <w:t>项目代码</w:t>
            </w:r>
          </w:p>
        </w:tc>
        <w:tc>
          <w:tcPr>
            <w:tcW w:w="6425" w:type="dxa"/>
            <w:gridSpan w:val="3"/>
            <w:tcBorders>
              <w:tl2br w:val="nil"/>
              <w:tr2bl w:val="nil"/>
            </w:tcBorders>
            <w:noWrap w:val="0"/>
            <w:vAlign w:val="center"/>
          </w:tcPr>
          <w:p w14:paraId="494836A1">
            <w:pPr>
              <w:adjustRightInd w:val="0"/>
              <w:snapToGrid w:val="0"/>
              <w:spacing w:line="240" w:lineRule="auto"/>
              <w:ind w:leftChars="100"/>
              <w:jc w:val="center"/>
              <w:rPr>
                <w:rFonts w:hint="default" w:ascii="Times New Roman" w:hAnsi="Times New Roman" w:eastAsia="宋体" w:cs="Times New Roman"/>
                <w:color w:val="auto"/>
                <w:sz w:val="24"/>
                <w:szCs w:val="24"/>
                <w:highlight w:val="green"/>
                <w:u w:val="none" w:color="auto"/>
                <w:lang w:val="en-US" w:eastAsia="zh-CN"/>
              </w:rPr>
            </w:pPr>
            <w:r>
              <w:rPr>
                <w:rFonts w:hint="eastAsia" w:cs="Times New Roman"/>
                <w:color w:val="auto"/>
                <w:sz w:val="24"/>
                <w:szCs w:val="24"/>
                <w:highlight w:val="none"/>
                <w:u w:val="none" w:color="auto"/>
                <w:lang w:val="en-US" w:eastAsia="zh-CN"/>
              </w:rPr>
              <w:t>2412-430621-04-05-694165</w:t>
            </w:r>
          </w:p>
        </w:tc>
      </w:tr>
      <w:tr w14:paraId="12908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66FFE012">
            <w:pPr>
              <w:adjustRightInd w:val="0"/>
              <w:snapToGrid w:val="0"/>
              <w:jc w:val="center"/>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sz w:val="24"/>
                <w:szCs w:val="24"/>
                <w:highlight w:val="none"/>
                <w:u w:val="none" w:color="auto"/>
              </w:rPr>
              <w:t>建设单位联系人</w:t>
            </w:r>
          </w:p>
        </w:tc>
        <w:tc>
          <w:tcPr>
            <w:tcW w:w="1929" w:type="dxa"/>
            <w:tcBorders>
              <w:tl2br w:val="nil"/>
              <w:tr2bl w:val="nil"/>
            </w:tcBorders>
            <w:noWrap w:val="0"/>
            <w:vAlign w:val="center"/>
          </w:tcPr>
          <w:p w14:paraId="594D0B40">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顾**</w:t>
            </w:r>
          </w:p>
        </w:tc>
        <w:tc>
          <w:tcPr>
            <w:tcW w:w="1692" w:type="dxa"/>
            <w:tcBorders>
              <w:tl2br w:val="nil"/>
              <w:tr2bl w:val="nil"/>
            </w:tcBorders>
            <w:noWrap w:val="0"/>
            <w:vAlign w:val="center"/>
          </w:tcPr>
          <w:p w14:paraId="2E906AC6">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default" w:cs="Times New Roman"/>
                <w:color w:val="auto"/>
                <w:sz w:val="24"/>
                <w:szCs w:val="24"/>
                <w:highlight w:val="none"/>
                <w:u w:val="none" w:color="auto"/>
                <w:lang w:val="en-US" w:eastAsia="zh-CN"/>
              </w:rPr>
              <w:t>联系方式</w:t>
            </w:r>
          </w:p>
        </w:tc>
        <w:tc>
          <w:tcPr>
            <w:tcW w:w="2804" w:type="dxa"/>
            <w:tcBorders>
              <w:tl2br w:val="nil"/>
              <w:tr2bl w:val="nil"/>
            </w:tcBorders>
            <w:noWrap w:val="0"/>
            <w:vAlign w:val="center"/>
          </w:tcPr>
          <w:p w14:paraId="2A70D809">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155****2888</w:t>
            </w:r>
          </w:p>
        </w:tc>
      </w:tr>
      <w:tr w14:paraId="0F868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35551009">
            <w:pPr>
              <w:adjustRightInd w:val="0"/>
              <w:snapToGrid w:val="0"/>
              <w:jc w:val="center"/>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sz w:val="24"/>
                <w:szCs w:val="24"/>
                <w:highlight w:val="none"/>
                <w:u w:val="none" w:color="auto"/>
              </w:rPr>
              <w:t>建设地点</w:t>
            </w:r>
          </w:p>
        </w:tc>
        <w:tc>
          <w:tcPr>
            <w:tcW w:w="6425" w:type="dxa"/>
            <w:gridSpan w:val="3"/>
            <w:tcBorders>
              <w:tl2br w:val="nil"/>
              <w:tr2bl w:val="nil"/>
            </w:tcBorders>
            <w:noWrap w:val="0"/>
            <w:vAlign w:val="center"/>
          </w:tcPr>
          <w:p w14:paraId="7187EF87">
            <w:pPr>
              <w:keepNext w:val="0"/>
              <w:keepLines w:val="0"/>
              <w:widowControl/>
              <w:suppressLineNumbers w:val="0"/>
              <w:jc w:val="center"/>
              <w:rPr>
                <w:rFonts w:hint="default" w:ascii="Times New Roman" w:hAnsi="Times New Roman" w:eastAsia="宋体" w:cs="Times New Roman"/>
                <w:color w:val="auto"/>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岳阳县新墙镇燎原村沙河片二组</w:t>
            </w:r>
          </w:p>
        </w:tc>
      </w:tr>
      <w:tr w14:paraId="74013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2BB8F7D4">
            <w:pPr>
              <w:adjustRightInd w:val="0"/>
              <w:snapToGrid w:val="0"/>
              <w:jc w:val="center"/>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sz w:val="24"/>
                <w:szCs w:val="24"/>
                <w:highlight w:val="none"/>
                <w:u w:val="none" w:color="auto"/>
              </w:rPr>
              <w:t>地理坐标</w:t>
            </w:r>
          </w:p>
        </w:tc>
        <w:tc>
          <w:tcPr>
            <w:tcW w:w="6425" w:type="dxa"/>
            <w:gridSpan w:val="3"/>
            <w:tcBorders>
              <w:tl2br w:val="nil"/>
              <w:tr2bl w:val="nil"/>
            </w:tcBorders>
            <w:noWrap w:val="0"/>
            <w:vAlign w:val="center"/>
          </w:tcPr>
          <w:p w14:paraId="005DEACE">
            <w:pPr>
              <w:ind w:leftChars="100"/>
              <w:jc w:val="center"/>
              <w:rPr>
                <w:rFonts w:hint="default" w:ascii="Times New Roman" w:hAnsi="Times New Roman" w:eastAsia="宋体" w:cs="Times New Roman"/>
                <w:color w:val="auto"/>
                <w:sz w:val="24"/>
                <w:szCs w:val="24"/>
                <w:highlight w:val="green"/>
                <w:u w:val="none" w:color="auto"/>
                <w:lang w:val="en-US" w:eastAsia="zh-CN"/>
              </w:rPr>
            </w:pPr>
            <w:r>
              <w:rPr>
                <w:rFonts w:hint="default" w:ascii="Times New Roman" w:hAnsi="Times New Roman" w:cs="Times New Roman"/>
                <w:color w:val="auto"/>
                <w:szCs w:val="21"/>
                <w:highlight w:val="none"/>
                <w:u w:val="none" w:color="auto"/>
              </w:rPr>
              <w:t>（</w:t>
            </w:r>
            <w:r>
              <w:rPr>
                <w:rFonts w:hint="default" w:ascii="Times New Roman" w:hAnsi="Times New Roman" w:cs="Times New Roman"/>
                <w:color w:val="auto"/>
                <w:sz w:val="24"/>
                <w:szCs w:val="24"/>
                <w:highlight w:val="none"/>
                <w:u w:val="none" w:color="auto"/>
                <w:lang w:val="en-US" w:eastAsia="zh-CN"/>
              </w:rPr>
              <w:t>113</w:t>
            </w:r>
            <w:r>
              <w:rPr>
                <w:rFonts w:hint="default" w:ascii="Times New Roman" w:hAnsi="Times New Roman" w:eastAsia="宋体" w:cs="Times New Roman"/>
                <w:color w:val="auto"/>
                <w:sz w:val="24"/>
                <w:szCs w:val="24"/>
                <w:highlight w:val="none"/>
                <w:u w:val="none" w:color="auto"/>
                <w:lang w:val="en-US" w:eastAsia="zh-CN"/>
              </w:rPr>
              <w:t>度</w:t>
            </w:r>
            <w:r>
              <w:rPr>
                <w:rFonts w:hint="eastAsia" w:cs="Times New Roman"/>
                <w:color w:val="auto"/>
                <w:sz w:val="24"/>
                <w:szCs w:val="24"/>
                <w:highlight w:val="none"/>
                <w:u w:val="none" w:color="auto"/>
                <w:lang w:val="en-US" w:eastAsia="zh-CN"/>
              </w:rPr>
              <w:t>10</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7.597</w:t>
            </w:r>
            <w:r>
              <w:rPr>
                <w:rFonts w:hint="default" w:ascii="Times New Roman" w:hAnsi="Times New Roman" w:eastAsia="宋体" w:cs="Times New Roman"/>
                <w:color w:val="auto"/>
                <w:sz w:val="24"/>
                <w:szCs w:val="24"/>
                <w:highlight w:val="none"/>
                <w:u w:val="none" w:color="auto"/>
                <w:lang w:val="en-US" w:eastAsia="zh-CN"/>
              </w:rPr>
              <w:t>秒，29度</w:t>
            </w:r>
            <w:r>
              <w:rPr>
                <w:rFonts w:hint="eastAsia"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10.106</w:t>
            </w:r>
            <w:r>
              <w:rPr>
                <w:rFonts w:hint="default" w:ascii="Times New Roman" w:hAnsi="Times New Roman" w:eastAsia="宋体" w:cs="Times New Roman"/>
                <w:color w:val="auto"/>
                <w:sz w:val="24"/>
                <w:szCs w:val="24"/>
                <w:highlight w:val="none"/>
                <w:u w:val="none" w:color="auto"/>
                <w:lang w:val="en-US" w:eastAsia="zh-CN"/>
              </w:rPr>
              <w:t>秒）</w:t>
            </w:r>
          </w:p>
        </w:tc>
      </w:tr>
      <w:tr w14:paraId="33F5C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1912" w:type="dxa"/>
            <w:tcBorders>
              <w:tl2br w:val="nil"/>
              <w:tr2bl w:val="nil"/>
            </w:tcBorders>
            <w:noWrap w:val="0"/>
            <w:tcMar>
              <w:top w:w="16" w:type="dxa"/>
              <w:left w:w="16" w:type="dxa"/>
              <w:right w:w="16" w:type="dxa"/>
            </w:tcMar>
            <w:vAlign w:val="center"/>
          </w:tcPr>
          <w:p w14:paraId="2297F76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国民经济</w:t>
            </w:r>
          </w:p>
          <w:p w14:paraId="04AD9BC4">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p>
        </w:tc>
        <w:tc>
          <w:tcPr>
            <w:tcW w:w="1929" w:type="dxa"/>
            <w:tcBorders>
              <w:tl2br w:val="nil"/>
              <w:tr2bl w:val="nil"/>
            </w:tcBorders>
            <w:noWrap w:val="0"/>
            <w:vAlign w:val="center"/>
          </w:tcPr>
          <w:p w14:paraId="5A6A3C5D">
            <w:pPr>
              <w:keepNext w:val="0"/>
              <w:keepLines w:val="0"/>
              <w:widowControl/>
              <w:suppressLineNumbers w:val="0"/>
              <w:jc w:val="center"/>
              <w:rPr>
                <w:rFonts w:hint="eastAsia" w:ascii="Times New Roman" w:hAnsi="Times New Roman" w:eastAsia="宋体" w:cs="Times New Roman"/>
                <w:color w:val="auto"/>
                <w:sz w:val="24"/>
                <w:szCs w:val="24"/>
                <w:highlight w:val="none"/>
                <w:u w:val="none" w:color="auto"/>
                <w:lang w:val="en-US" w:eastAsia="zh-CN"/>
              </w:rPr>
            </w:pPr>
            <w:r>
              <w:rPr>
                <w:rFonts w:hint="eastAsia"/>
                <w:color w:val="auto"/>
                <w:sz w:val="24"/>
                <w:highlight w:val="none"/>
                <w:u w:val="none" w:color="auto"/>
                <w:lang w:eastAsia="zh-CN"/>
              </w:rPr>
              <w:t>C3099其他非金属矿物制品制造</w:t>
            </w:r>
          </w:p>
        </w:tc>
        <w:tc>
          <w:tcPr>
            <w:tcW w:w="1692" w:type="dxa"/>
            <w:tcBorders>
              <w:tl2br w:val="nil"/>
              <w:tr2bl w:val="nil"/>
            </w:tcBorders>
            <w:noWrap w:val="0"/>
            <w:vAlign w:val="center"/>
          </w:tcPr>
          <w:p w14:paraId="568E56AF">
            <w:pPr>
              <w:adjustRightInd w:val="0"/>
              <w:snapToGrid w:val="0"/>
              <w:jc w:val="center"/>
              <w:rPr>
                <w:rFonts w:hint="default" w:ascii="Times New Roman" w:hAnsi="Times New Roman" w:cs="Times New Roman"/>
                <w:color w:val="auto"/>
                <w:sz w:val="24"/>
                <w:szCs w:val="24"/>
                <w:highlight w:val="none"/>
                <w:u w:val="none" w:color="auto"/>
              </w:rPr>
            </w:pPr>
            <w:bookmarkStart w:id="10" w:name="_Hlk49843745"/>
            <w:r>
              <w:rPr>
                <w:rFonts w:hint="default" w:ascii="Times New Roman" w:hAnsi="Times New Roman" w:cs="Times New Roman"/>
                <w:color w:val="auto"/>
                <w:sz w:val="24"/>
                <w:szCs w:val="24"/>
                <w:highlight w:val="none"/>
                <w:u w:val="none" w:color="auto"/>
              </w:rPr>
              <w:t>建设项目</w:t>
            </w:r>
          </w:p>
          <w:p w14:paraId="6BDBCD60">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bookmarkEnd w:id="10"/>
          </w:p>
        </w:tc>
        <w:tc>
          <w:tcPr>
            <w:tcW w:w="2804" w:type="dxa"/>
            <w:tcBorders>
              <w:tl2br w:val="nil"/>
              <w:tr2bl w:val="nil"/>
            </w:tcBorders>
            <w:noWrap w:val="0"/>
            <w:vAlign w:val="center"/>
          </w:tcPr>
          <w:p w14:paraId="32544BE3">
            <w:pPr>
              <w:adjustRightInd w:val="0"/>
              <w:snapToGrid w:val="0"/>
              <w:jc w:val="center"/>
              <w:rPr>
                <w:rFonts w:hint="eastAsia" w:ascii="Times New Roman" w:hAnsi="Times New Roman" w:eastAsia="宋体" w:cs="Times New Roman"/>
                <w:color w:val="auto"/>
                <w:sz w:val="24"/>
                <w:szCs w:val="24"/>
                <w:highlight w:val="none"/>
                <w:u w:val="none" w:color="auto"/>
                <w:lang w:val="en-US" w:eastAsia="zh-CN"/>
              </w:rPr>
            </w:pPr>
            <w:r>
              <w:rPr>
                <w:color w:val="auto"/>
                <w:sz w:val="24"/>
                <w:highlight w:val="none"/>
                <w:u w:val="none" w:color="auto"/>
              </w:rPr>
              <w:t>二十七、非金属矿物制品业60石墨及其他非金属矿物制品中的“其他”类</w:t>
            </w:r>
          </w:p>
        </w:tc>
      </w:tr>
      <w:tr w14:paraId="1875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9" w:hRule="atLeast"/>
          <w:jc w:val="center"/>
        </w:trPr>
        <w:tc>
          <w:tcPr>
            <w:tcW w:w="1912" w:type="dxa"/>
            <w:tcBorders>
              <w:tl2br w:val="nil"/>
              <w:tr2bl w:val="nil"/>
            </w:tcBorders>
            <w:noWrap w:val="0"/>
            <w:tcMar>
              <w:top w:w="16" w:type="dxa"/>
              <w:left w:w="16" w:type="dxa"/>
              <w:right w:w="16" w:type="dxa"/>
            </w:tcMar>
            <w:vAlign w:val="center"/>
          </w:tcPr>
          <w:p w14:paraId="619EDBA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建设性质</w:t>
            </w:r>
          </w:p>
        </w:tc>
        <w:tc>
          <w:tcPr>
            <w:tcW w:w="1929" w:type="dxa"/>
            <w:tcBorders>
              <w:tl2br w:val="nil"/>
              <w:tr2bl w:val="nil"/>
            </w:tcBorders>
            <w:noWrap w:val="0"/>
            <w:vAlign w:val="center"/>
          </w:tcPr>
          <w:p w14:paraId="67CA6C3A">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新建</w:t>
            </w:r>
          </w:p>
          <w:p w14:paraId="1BC9227E">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改建</w:t>
            </w:r>
          </w:p>
          <w:p w14:paraId="012E8D87">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扩建</w:t>
            </w:r>
          </w:p>
          <w:p w14:paraId="2DD5DFAD">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技术改造</w:t>
            </w:r>
          </w:p>
        </w:tc>
        <w:tc>
          <w:tcPr>
            <w:tcW w:w="1692" w:type="dxa"/>
            <w:tcBorders>
              <w:tl2br w:val="nil"/>
              <w:tr2bl w:val="nil"/>
            </w:tcBorders>
            <w:noWrap w:val="0"/>
            <w:vAlign w:val="center"/>
          </w:tcPr>
          <w:p w14:paraId="73440C3F">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w:t>
            </w:r>
          </w:p>
          <w:p w14:paraId="66BBAB0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申报情形</w:t>
            </w:r>
          </w:p>
        </w:tc>
        <w:tc>
          <w:tcPr>
            <w:tcW w:w="2804" w:type="dxa"/>
            <w:tcBorders>
              <w:tl2br w:val="nil"/>
              <w:tr2bl w:val="nil"/>
            </w:tcBorders>
            <w:noWrap w:val="0"/>
            <w:vAlign w:val="center"/>
          </w:tcPr>
          <w:p w14:paraId="000B163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首次申报项目</w:t>
            </w:r>
          </w:p>
          <w:p w14:paraId="3503257B">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不予批准后再次申报项目</w:t>
            </w:r>
          </w:p>
          <w:p w14:paraId="7227D70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超五年重新审核项目</w:t>
            </w:r>
          </w:p>
          <w:p w14:paraId="23143DB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重大变动重新报批项目</w:t>
            </w:r>
          </w:p>
        </w:tc>
      </w:tr>
      <w:tr w14:paraId="76460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1" w:hRule="atLeast"/>
          <w:jc w:val="center"/>
        </w:trPr>
        <w:tc>
          <w:tcPr>
            <w:tcW w:w="1912" w:type="dxa"/>
            <w:tcBorders>
              <w:tl2br w:val="nil"/>
              <w:tr2bl w:val="nil"/>
            </w:tcBorders>
            <w:noWrap w:val="0"/>
            <w:tcMar>
              <w:top w:w="16" w:type="dxa"/>
              <w:left w:w="16" w:type="dxa"/>
              <w:right w:w="16" w:type="dxa"/>
            </w:tcMar>
            <w:vAlign w:val="center"/>
          </w:tcPr>
          <w:p w14:paraId="0163440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w:t>
            </w:r>
          </w:p>
          <w:p w14:paraId="53A9322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备案）部门</w:t>
            </w:r>
          </w:p>
        </w:tc>
        <w:tc>
          <w:tcPr>
            <w:tcW w:w="1929" w:type="dxa"/>
            <w:tcBorders>
              <w:tl2br w:val="nil"/>
              <w:tr2bl w:val="nil"/>
            </w:tcBorders>
            <w:noWrap w:val="0"/>
            <w:vAlign w:val="center"/>
          </w:tcPr>
          <w:p w14:paraId="3130686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岳阳</w:t>
            </w:r>
            <w:r>
              <w:rPr>
                <w:rFonts w:hint="eastAsia" w:cs="Times New Roman"/>
                <w:color w:val="auto"/>
                <w:sz w:val="24"/>
                <w:szCs w:val="24"/>
                <w:highlight w:val="none"/>
                <w:u w:val="none" w:color="auto"/>
                <w:lang w:val="en-US" w:eastAsia="zh-CN"/>
              </w:rPr>
              <w:t>县</w:t>
            </w:r>
            <w:r>
              <w:rPr>
                <w:rFonts w:hint="default" w:ascii="Times New Roman" w:hAnsi="Times New Roman" w:cs="Times New Roman"/>
                <w:color w:val="auto"/>
                <w:sz w:val="24"/>
                <w:szCs w:val="24"/>
                <w:highlight w:val="none"/>
                <w:u w:val="none" w:color="auto"/>
              </w:rPr>
              <w:t>发展和改革委员会</w:t>
            </w:r>
          </w:p>
        </w:tc>
        <w:tc>
          <w:tcPr>
            <w:tcW w:w="1692" w:type="dxa"/>
            <w:tcBorders>
              <w:tl2br w:val="nil"/>
              <w:tr2bl w:val="nil"/>
            </w:tcBorders>
            <w:noWrap w:val="0"/>
            <w:vAlign w:val="center"/>
          </w:tcPr>
          <w:p w14:paraId="27EB603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项目审批（核准/备案）文号</w:t>
            </w:r>
          </w:p>
        </w:tc>
        <w:tc>
          <w:tcPr>
            <w:tcW w:w="2804" w:type="dxa"/>
            <w:tcBorders>
              <w:tl2br w:val="nil"/>
              <w:tr2bl w:val="nil"/>
            </w:tcBorders>
            <w:noWrap w:val="0"/>
            <w:vAlign w:val="center"/>
          </w:tcPr>
          <w:p w14:paraId="35DC9A87">
            <w:pPr>
              <w:adjustRightInd w:val="0"/>
              <w:snapToGrid w:val="0"/>
              <w:jc w:val="center"/>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2024年12月19日</w:t>
            </w:r>
          </w:p>
        </w:tc>
      </w:tr>
      <w:tr w14:paraId="3EC55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48EA83ED">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总投资（万元）</w:t>
            </w:r>
          </w:p>
        </w:tc>
        <w:tc>
          <w:tcPr>
            <w:tcW w:w="1929" w:type="dxa"/>
            <w:tcBorders>
              <w:tl2br w:val="nil"/>
              <w:tr2bl w:val="nil"/>
            </w:tcBorders>
            <w:noWrap w:val="0"/>
            <w:vAlign w:val="center"/>
          </w:tcPr>
          <w:p w14:paraId="6967A8B0">
            <w:pPr>
              <w:adjustRightInd w:val="0"/>
              <w:snapToGrid w:val="0"/>
              <w:jc w:val="center"/>
              <w:rPr>
                <w:rFonts w:hint="default" w:ascii="Times New Roman" w:hAnsi="Times New Roman" w:cs="Times New Roman"/>
                <w:color w:val="auto"/>
                <w:sz w:val="24"/>
                <w:szCs w:val="24"/>
                <w:highlight w:val="none"/>
                <w:u w:val="none" w:color="auto"/>
                <w:lang w:val="en-US"/>
              </w:rPr>
            </w:pPr>
            <w:r>
              <w:rPr>
                <w:rFonts w:hint="eastAsia" w:cs="Times New Roman"/>
                <w:color w:val="auto"/>
                <w:sz w:val="24"/>
                <w:szCs w:val="24"/>
                <w:highlight w:val="none"/>
                <w:u w:val="none" w:color="auto"/>
                <w:lang w:val="en-US" w:eastAsia="zh-CN"/>
              </w:rPr>
              <w:t>1000</w:t>
            </w:r>
          </w:p>
        </w:tc>
        <w:tc>
          <w:tcPr>
            <w:tcW w:w="1692" w:type="dxa"/>
            <w:tcBorders>
              <w:tl2br w:val="nil"/>
              <w:tr2bl w:val="nil"/>
            </w:tcBorders>
            <w:noWrap w:val="0"/>
            <w:tcMar>
              <w:top w:w="16" w:type="dxa"/>
              <w:left w:w="16" w:type="dxa"/>
              <w:right w:w="16" w:type="dxa"/>
            </w:tcMar>
            <w:vAlign w:val="center"/>
          </w:tcPr>
          <w:p w14:paraId="27F7AB4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w:t>
            </w:r>
          </w:p>
          <w:p w14:paraId="600365A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（万元）</w:t>
            </w:r>
          </w:p>
        </w:tc>
        <w:tc>
          <w:tcPr>
            <w:tcW w:w="2804" w:type="dxa"/>
            <w:tcBorders>
              <w:tl2br w:val="nil"/>
              <w:tr2bl w:val="nil"/>
            </w:tcBorders>
            <w:noWrap w:val="0"/>
            <w:vAlign w:val="center"/>
          </w:tcPr>
          <w:p w14:paraId="5854A57E">
            <w:pPr>
              <w:jc w:val="center"/>
              <w:rPr>
                <w:rFonts w:hint="default" w:ascii="Times New Roman" w:hAnsi="Times New Roman"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25.5</w:t>
            </w:r>
          </w:p>
        </w:tc>
      </w:tr>
      <w:tr w14:paraId="2FEFF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59EF2913">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环保投资占比（%）</w:t>
            </w:r>
          </w:p>
        </w:tc>
        <w:tc>
          <w:tcPr>
            <w:tcW w:w="1929" w:type="dxa"/>
            <w:tcBorders>
              <w:tl2br w:val="nil"/>
              <w:tr2bl w:val="nil"/>
            </w:tcBorders>
            <w:noWrap w:val="0"/>
            <w:vAlign w:val="center"/>
          </w:tcPr>
          <w:p w14:paraId="05459E29">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2.55</w:t>
            </w:r>
          </w:p>
        </w:tc>
        <w:tc>
          <w:tcPr>
            <w:tcW w:w="1692" w:type="dxa"/>
            <w:tcBorders>
              <w:tl2br w:val="nil"/>
              <w:tr2bl w:val="nil"/>
            </w:tcBorders>
            <w:noWrap w:val="0"/>
            <w:tcMar>
              <w:top w:w="16" w:type="dxa"/>
              <w:left w:w="16" w:type="dxa"/>
              <w:right w:w="16" w:type="dxa"/>
            </w:tcMar>
            <w:vAlign w:val="center"/>
          </w:tcPr>
          <w:p w14:paraId="5A88FB63">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施工工期</w:t>
            </w:r>
          </w:p>
        </w:tc>
        <w:tc>
          <w:tcPr>
            <w:tcW w:w="2804" w:type="dxa"/>
            <w:tcBorders>
              <w:tl2br w:val="nil"/>
              <w:tr2bl w:val="nil"/>
            </w:tcBorders>
            <w:noWrap w:val="0"/>
            <w:vAlign w:val="center"/>
          </w:tcPr>
          <w:p w14:paraId="233AF6B6">
            <w:pPr>
              <w:adjustRightInd w:val="0"/>
              <w:snapToGrid w:val="0"/>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2个月</w:t>
            </w:r>
          </w:p>
        </w:tc>
      </w:tr>
      <w:tr w14:paraId="393B1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912" w:type="dxa"/>
            <w:tcBorders>
              <w:tl2br w:val="nil"/>
              <w:tr2bl w:val="nil"/>
            </w:tcBorders>
            <w:noWrap w:val="0"/>
            <w:tcMar>
              <w:top w:w="16" w:type="dxa"/>
              <w:left w:w="16" w:type="dxa"/>
              <w:right w:w="16" w:type="dxa"/>
            </w:tcMar>
            <w:vAlign w:val="center"/>
          </w:tcPr>
          <w:p w14:paraId="5A000C04">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是否开工建设</w:t>
            </w:r>
          </w:p>
        </w:tc>
        <w:tc>
          <w:tcPr>
            <w:tcW w:w="1929" w:type="dxa"/>
            <w:tcBorders>
              <w:tl2br w:val="nil"/>
              <w:tr2bl w:val="nil"/>
            </w:tcBorders>
            <w:noWrap w:val="0"/>
            <w:vAlign w:val="center"/>
          </w:tcPr>
          <w:p w14:paraId="5581BD39">
            <w:pPr>
              <w:adjustRightInd w:val="0"/>
              <w:snapToGrid w:val="0"/>
              <w:jc w:val="both"/>
              <w:rPr>
                <w:rFonts w:hint="default" w:ascii="Times New Roman" w:hAnsi="Times New Roman" w:cs="Times New Roman"/>
                <w:color w:val="auto"/>
                <w:sz w:val="24"/>
                <w:szCs w:val="24"/>
                <w:highlight w:val="none"/>
                <w:u w:val="none" w:color="auto"/>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否</w:t>
            </w:r>
          </w:p>
          <w:p w14:paraId="441BA4B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是：</w:t>
            </w:r>
            <w:r>
              <w:rPr>
                <w:rFonts w:hint="eastAsia" w:cs="Times New Roman"/>
                <w:color w:val="auto"/>
                <w:sz w:val="24"/>
                <w:szCs w:val="24"/>
                <w:highlight w:val="none"/>
                <w:u w:val="single" w:color="auto"/>
                <w:lang w:val="en-US" w:eastAsia="zh-CN"/>
              </w:rPr>
              <w:t xml:space="preserve"> 部分设备进场，未投产 </w:t>
            </w:r>
          </w:p>
        </w:tc>
        <w:tc>
          <w:tcPr>
            <w:tcW w:w="1692" w:type="dxa"/>
            <w:tcBorders>
              <w:tl2br w:val="nil"/>
              <w:tr2bl w:val="nil"/>
            </w:tcBorders>
            <w:noWrap w:val="0"/>
            <w:tcMar>
              <w:top w:w="16" w:type="dxa"/>
              <w:left w:w="16" w:type="dxa"/>
              <w:right w:w="16" w:type="dxa"/>
            </w:tcMar>
            <w:vAlign w:val="center"/>
          </w:tcPr>
          <w:p w14:paraId="02C66D48">
            <w:pPr>
              <w:adjustRightInd w:val="0"/>
              <w:snapToGrid w:val="0"/>
              <w:jc w:val="center"/>
              <w:rPr>
                <w:rFonts w:hint="default" w:ascii="Times New Roman" w:hAnsi="Times New Roman" w:cs="Times New Roman"/>
                <w:color w:val="auto"/>
                <w:spacing w:val="-6"/>
                <w:sz w:val="24"/>
                <w:szCs w:val="24"/>
                <w:highlight w:val="none"/>
                <w:u w:val="none" w:color="auto"/>
              </w:rPr>
            </w:pPr>
            <w:r>
              <w:rPr>
                <w:rFonts w:hint="default" w:ascii="Times New Roman" w:hAnsi="Times New Roman" w:cs="Times New Roman"/>
                <w:color w:val="auto"/>
                <w:spacing w:val="-6"/>
                <w:sz w:val="24"/>
                <w:szCs w:val="24"/>
                <w:highlight w:val="none"/>
                <w:u w:val="none" w:color="auto"/>
              </w:rPr>
              <w:t>用地（用海）</w:t>
            </w:r>
          </w:p>
          <w:p w14:paraId="7C604F2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pacing w:val="-6"/>
                <w:sz w:val="24"/>
                <w:szCs w:val="24"/>
                <w:highlight w:val="none"/>
                <w:u w:val="none" w:color="auto"/>
              </w:rPr>
              <w:t>面积（m</w:t>
            </w:r>
            <w:r>
              <w:rPr>
                <w:rFonts w:hint="default" w:ascii="Times New Roman" w:hAnsi="Times New Roman" w:cs="Times New Roman"/>
                <w:color w:val="auto"/>
                <w:spacing w:val="-6"/>
                <w:sz w:val="24"/>
                <w:szCs w:val="24"/>
                <w:highlight w:val="none"/>
                <w:u w:val="none" w:color="auto"/>
                <w:vertAlign w:val="superscript"/>
              </w:rPr>
              <w:t>2</w:t>
            </w:r>
            <w:r>
              <w:rPr>
                <w:rFonts w:hint="default" w:ascii="Times New Roman" w:hAnsi="Times New Roman" w:cs="Times New Roman"/>
                <w:color w:val="auto"/>
                <w:spacing w:val="-6"/>
                <w:sz w:val="24"/>
                <w:szCs w:val="24"/>
                <w:highlight w:val="none"/>
                <w:u w:val="none" w:color="auto"/>
              </w:rPr>
              <w:t>）</w:t>
            </w:r>
          </w:p>
        </w:tc>
        <w:tc>
          <w:tcPr>
            <w:tcW w:w="2804" w:type="dxa"/>
            <w:tcBorders>
              <w:tl2br w:val="nil"/>
              <w:tr2bl w:val="nil"/>
            </w:tcBorders>
            <w:noWrap w:val="0"/>
            <w:vAlign w:val="center"/>
          </w:tcPr>
          <w:p w14:paraId="5AD18F26">
            <w:pPr>
              <w:adjustRightInd w:val="0"/>
              <w:snapToGrid w:val="0"/>
              <w:ind w:leftChars="100"/>
              <w:jc w:val="center"/>
              <w:rPr>
                <w:rFonts w:hint="default" w:ascii="Times New Roman" w:hAnsi="Times New Roman" w:cs="Times New Roman"/>
                <w:color w:val="auto"/>
                <w:sz w:val="24"/>
                <w:szCs w:val="24"/>
                <w:highlight w:val="none"/>
                <w:u w:val="none" w:color="auto"/>
              </w:rPr>
            </w:pPr>
            <w:r>
              <w:rPr>
                <w:rFonts w:hint="eastAsia" w:cs="Times New Roman"/>
                <w:color w:val="auto"/>
                <w:sz w:val="24"/>
                <w:szCs w:val="24"/>
                <w:highlight w:val="none"/>
                <w:u w:val="none" w:color="auto"/>
                <w:lang w:val="en-US" w:eastAsia="zh-CN"/>
              </w:rPr>
              <w:t>4500</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2</w:t>
            </w:r>
          </w:p>
        </w:tc>
      </w:tr>
      <w:tr w14:paraId="1670D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6" w:hRule="atLeast"/>
          <w:jc w:val="center"/>
        </w:trPr>
        <w:tc>
          <w:tcPr>
            <w:tcW w:w="1912" w:type="dxa"/>
            <w:tcBorders>
              <w:tl2br w:val="nil"/>
              <w:tr2bl w:val="nil"/>
            </w:tcBorders>
            <w:noWrap w:val="0"/>
            <w:vAlign w:val="center"/>
          </w:tcPr>
          <w:p w14:paraId="15482B0E">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专项评价设置情况</w:t>
            </w:r>
          </w:p>
        </w:tc>
        <w:tc>
          <w:tcPr>
            <w:tcW w:w="6425" w:type="dxa"/>
            <w:gridSpan w:val="3"/>
            <w:tcBorders>
              <w:tl2br w:val="nil"/>
              <w:tr2bl w:val="nil"/>
            </w:tcBorders>
            <w:noWrap w:val="0"/>
            <w:vAlign w:val="center"/>
          </w:tcPr>
          <w:p w14:paraId="522CF7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根据《建设项目环境影响报告表编制技术指南（污染影响类）》专项设置评价如下表：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6"/>
              <w:gridCol w:w="2773"/>
              <w:gridCol w:w="1760"/>
              <w:gridCol w:w="919"/>
            </w:tblGrid>
            <w:tr w14:paraId="616F7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5807C95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b/>
                      <w:bCs/>
                      <w:color w:val="auto"/>
                      <w:spacing w:val="5"/>
                      <w:sz w:val="21"/>
                      <w:szCs w:val="21"/>
                    </w:rPr>
                    <w:t>专项评价的类</w:t>
                  </w:r>
                  <w:r>
                    <w:rPr>
                      <w:b/>
                      <w:bCs/>
                      <w:color w:val="auto"/>
                      <w:spacing w:val="-3"/>
                      <w:sz w:val="21"/>
                      <w:szCs w:val="21"/>
                    </w:rPr>
                    <w:t>别</w:t>
                  </w:r>
                </w:p>
              </w:tc>
              <w:tc>
                <w:tcPr>
                  <w:tcW w:w="2773" w:type="dxa"/>
                  <w:tcBorders>
                    <w:tl2br w:val="nil"/>
                    <w:tr2bl w:val="nil"/>
                  </w:tcBorders>
                  <w:vAlign w:val="center"/>
                </w:tcPr>
                <w:p w14:paraId="51C7D7F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b/>
                      <w:bCs/>
                      <w:color w:val="auto"/>
                      <w:spacing w:val="5"/>
                      <w:sz w:val="21"/>
                      <w:szCs w:val="21"/>
                    </w:rPr>
                    <w:t>设置原则</w:t>
                  </w:r>
                </w:p>
              </w:tc>
              <w:tc>
                <w:tcPr>
                  <w:tcW w:w="1760" w:type="dxa"/>
                  <w:tcBorders>
                    <w:tl2br w:val="nil"/>
                    <w:tr2bl w:val="nil"/>
                  </w:tcBorders>
                  <w:vAlign w:val="center"/>
                </w:tcPr>
                <w:p w14:paraId="12A37A9A">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b/>
                      <w:bCs/>
                      <w:color w:val="auto"/>
                      <w:spacing w:val="6"/>
                      <w:sz w:val="21"/>
                      <w:szCs w:val="21"/>
                    </w:rPr>
                    <w:t>本项目情况</w:t>
                  </w:r>
                </w:p>
              </w:tc>
              <w:tc>
                <w:tcPr>
                  <w:tcW w:w="919" w:type="dxa"/>
                  <w:tcBorders>
                    <w:tl2br w:val="nil"/>
                    <w:tr2bl w:val="nil"/>
                  </w:tcBorders>
                  <w:vAlign w:val="center"/>
                </w:tcPr>
                <w:p w14:paraId="1E73BF29">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b/>
                      <w:bCs/>
                      <w:color w:val="auto"/>
                      <w:spacing w:val="4"/>
                      <w:sz w:val="21"/>
                      <w:szCs w:val="21"/>
                    </w:rPr>
                    <w:t>是否设</w:t>
                  </w:r>
                  <w:r>
                    <w:rPr>
                      <w:b/>
                      <w:bCs/>
                      <w:color w:val="auto"/>
                      <w:spacing w:val="6"/>
                      <w:sz w:val="21"/>
                      <w:szCs w:val="21"/>
                    </w:rPr>
                    <w:t>置专项</w:t>
                  </w:r>
                  <w:r>
                    <w:rPr>
                      <w:b/>
                      <w:bCs/>
                      <w:color w:val="auto"/>
                      <w:spacing w:val="4"/>
                      <w:sz w:val="21"/>
                      <w:szCs w:val="21"/>
                    </w:rPr>
                    <w:t>评价</w:t>
                  </w:r>
                </w:p>
              </w:tc>
            </w:tr>
            <w:tr w14:paraId="1B80C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1C4D9D9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3"/>
                      <w:sz w:val="21"/>
                      <w:szCs w:val="21"/>
                    </w:rPr>
                    <w:t>大气</w:t>
                  </w:r>
                </w:p>
              </w:tc>
              <w:tc>
                <w:tcPr>
                  <w:tcW w:w="2773" w:type="dxa"/>
                  <w:tcBorders>
                    <w:tl2br w:val="nil"/>
                    <w:tr2bl w:val="nil"/>
                  </w:tcBorders>
                  <w:vAlign w:val="center"/>
                </w:tcPr>
                <w:p w14:paraId="7E08E639">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52" w:firstLineChars="0"/>
                    <w:jc w:val="center"/>
                    <w:textAlignment w:val="auto"/>
                    <w:rPr>
                      <w:rFonts w:hint="default"/>
                      <w:color w:val="auto"/>
                      <w:sz w:val="21"/>
                      <w:szCs w:val="21"/>
                      <w:vertAlign w:val="baseline"/>
                      <w:lang w:val="en-US" w:eastAsia="zh-CN"/>
                    </w:rPr>
                  </w:pPr>
                  <w:r>
                    <w:rPr>
                      <w:color w:val="auto"/>
                      <w:spacing w:val="3"/>
                      <w:sz w:val="21"/>
                      <w:szCs w:val="21"/>
                    </w:rPr>
                    <w:t>排放废气含有毒有害污染物、二</w:t>
                  </w:r>
                  <w:r>
                    <w:rPr>
                      <w:color w:val="auto"/>
                      <w:spacing w:val="7"/>
                      <w:sz w:val="21"/>
                      <w:szCs w:val="21"/>
                    </w:rPr>
                    <w:t>噁英、苯并</w:t>
                  </w:r>
                  <w:r>
                    <w:rPr>
                      <w:rFonts w:ascii="Times New Roman" w:hAnsi="Times New Roman" w:eastAsia="Times New Roman" w:cs="Times New Roman"/>
                      <w:color w:val="auto"/>
                      <w:spacing w:val="7"/>
                      <w:sz w:val="21"/>
                      <w:szCs w:val="21"/>
                    </w:rPr>
                    <w:t>[a]</w:t>
                  </w:r>
                  <w:r>
                    <w:rPr>
                      <w:color w:val="auto"/>
                      <w:spacing w:val="7"/>
                      <w:sz w:val="21"/>
                      <w:szCs w:val="21"/>
                    </w:rPr>
                    <w:t>芘、氰化物、氯气且厂界外</w:t>
                  </w:r>
                  <w:r>
                    <w:rPr>
                      <w:rFonts w:ascii="Times New Roman" w:hAnsi="Times New Roman" w:eastAsia="Times New Roman" w:cs="Times New Roman"/>
                      <w:color w:val="auto"/>
                      <w:spacing w:val="7"/>
                      <w:sz w:val="21"/>
                      <w:szCs w:val="21"/>
                    </w:rPr>
                    <w:t>500</w:t>
                  </w:r>
                  <w:r>
                    <w:rPr>
                      <w:color w:val="auto"/>
                      <w:spacing w:val="7"/>
                      <w:sz w:val="21"/>
                      <w:szCs w:val="21"/>
                    </w:rPr>
                    <w:t>米范围内有环</w:t>
                  </w:r>
                  <w:r>
                    <w:rPr>
                      <w:color w:val="auto"/>
                      <w:spacing w:val="9"/>
                      <w:sz w:val="21"/>
                      <w:szCs w:val="21"/>
                    </w:rPr>
                    <w:t>境空气保护目标的建设项目。</w:t>
                  </w:r>
                </w:p>
              </w:tc>
              <w:tc>
                <w:tcPr>
                  <w:tcW w:w="1760" w:type="dxa"/>
                  <w:tcBorders>
                    <w:tl2br w:val="nil"/>
                    <w:tr2bl w:val="nil"/>
                  </w:tcBorders>
                  <w:vAlign w:val="center"/>
                </w:tcPr>
                <w:p w14:paraId="35F1B58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本项目废气污染物为</w:t>
                  </w:r>
                  <w:r>
                    <w:rPr>
                      <w:color w:val="auto"/>
                      <w:spacing w:val="9"/>
                      <w:sz w:val="21"/>
                      <w:szCs w:val="21"/>
                    </w:rPr>
                    <w:t>颗粒物，不涉及左侧</w:t>
                  </w:r>
                  <w:r>
                    <w:rPr>
                      <w:color w:val="auto"/>
                      <w:spacing w:val="7"/>
                      <w:sz w:val="21"/>
                      <w:szCs w:val="21"/>
                    </w:rPr>
                    <w:t>有毒有害污染物。</w:t>
                  </w:r>
                </w:p>
              </w:tc>
              <w:tc>
                <w:tcPr>
                  <w:tcW w:w="919" w:type="dxa"/>
                  <w:tcBorders>
                    <w:tl2br w:val="nil"/>
                    <w:tr2bl w:val="nil"/>
                  </w:tcBorders>
                  <w:vAlign w:val="center"/>
                </w:tcPr>
                <w:p w14:paraId="58A9EDED">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11DBD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22572EBB">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6"/>
                      <w:sz w:val="21"/>
                      <w:szCs w:val="21"/>
                    </w:rPr>
                    <w:t>地表水</w:t>
                  </w:r>
                </w:p>
              </w:tc>
              <w:tc>
                <w:tcPr>
                  <w:tcW w:w="2773" w:type="dxa"/>
                  <w:tcBorders>
                    <w:tl2br w:val="nil"/>
                    <w:tr2bl w:val="nil"/>
                  </w:tcBorders>
                  <w:vAlign w:val="center"/>
                </w:tcPr>
                <w:p w14:paraId="6A5AF411">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3"/>
                      <w:sz w:val="21"/>
                      <w:szCs w:val="21"/>
                    </w:rPr>
                    <w:t>新增工业废水直排建设项目（槽</w:t>
                  </w:r>
                  <w:r>
                    <w:rPr>
                      <w:color w:val="auto"/>
                      <w:spacing w:val="8"/>
                      <w:sz w:val="21"/>
                      <w:szCs w:val="21"/>
                    </w:rPr>
                    <w:t>罐车外送污水处理厂的除外</w:t>
                  </w:r>
                  <w:r>
                    <w:rPr>
                      <w:color w:val="auto"/>
                      <w:spacing w:val="5"/>
                      <w:sz w:val="21"/>
                      <w:szCs w:val="21"/>
                    </w:rPr>
                    <w:t>）；</w:t>
                  </w:r>
                  <w:r>
                    <w:rPr>
                      <w:color w:val="auto"/>
                      <w:spacing w:val="9"/>
                      <w:sz w:val="21"/>
                      <w:szCs w:val="21"/>
                    </w:rPr>
                    <w:t>新增废水直排的污水集中处理</w:t>
                  </w:r>
                  <w:r>
                    <w:rPr>
                      <w:color w:val="auto"/>
                      <w:sz w:val="21"/>
                      <w:szCs w:val="21"/>
                    </w:rPr>
                    <w:t>厂</w:t>
                  </w:r>
                </w:p>
              </w:tc>
              <w:tc>
                <w:tcPr>
                  <w:tcW w:w="1760" w:type="dxa"/>
                  <w:tcBorders>
                    <w:tl2br w:val="nil"/>
                    <w:tr2bl w:val="nil"/>
                  </w:tcBorders>
                  <w:vAlign w:val="center"/>
                </w:tcPr>
                <w:p w14:paraId="6D2FFB72">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7"/>
                      <w:sz w:val="21"/>
                      <w:szCs w:val="21"/>
                    </w:rPr>
                    <w:t>本项目无废水外排。</w:t>
                  </w:r>
                </w:p>
              </w:tc>
              <w:tc>
                <w:tcPr>
                  <w:tcW w:w="919" w:type="dxa"/>
                  <w:tcBorders>
                    <w:tl2br w:val="nil"/>
                    <w:tr2bl w:val="nil"/>
                  </w:tcBorders>
                  <w:vAlign w:val="center"/>
                </w:tcPr>
                <w:p w14:paraId="08589E41">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42255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7AA9AAAF">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22" w:firstLineChars="0"/>
                    <w:jc w:val="center"/>
                    <w:textAlignment w:val="auto"/>
                    <w:rPr>
                      <w:rFonts w:hint="default"/>
                      <w:color w:val="auto"/>
                      <w:sz w:val="21"/>
                      <w:szCs w:val="21"/>
                      <w:vertAlign w:val="baseline"/>
                      <w:lang w:val="en-US" w:eastAsia="zh-CN"/>
                    </w:rPr>
                  </w:pPr>
                  <w:r>
                    <w:rPr>
                      <w:color w:val="auto"/>
                      <w:spacing w:val="6"/>
                      <w:sz w:val="21"/>
                      <w:szCs w:val="21"/>
                    </w:rPr>
                    <w:t>环境风</w:t>
                  </w:r>
                  <w:r>
                    <w:rPr>
                      <w:color w:val="auto"/>
                      <w:sz w:val="21"/>
                      <w:szCs w:val="21"/>
                    </w:rPr>
                    <w:t>险</w:t>
                  </w:r>
                </w:p>
              </w:tc>
              <w:tc>
                <w:tcPr>
                  <w:tcW w:w="2773" w:type="dxa"/>
                  <w:tcBorders>
                    <w:tl2br w:val="nil"/>
                    <w:tr2bl w:val="nil"/>
                  </w:tcBorders>
                  <w:vAlign w:val="center"/>
                </w:tcPr>
                <w:p w14:paraId="76269EC4">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 w:firstLineChars="0"/>
                    <w:jc w:val="center"/>
                    <w:textAlignment w:val="auto"/>
                    <w:rPr>
                      <w:rFonts w:hint="default"/>
                      <w:color w:val="auto"/>
                      <w:sz w:val="21"/>
                      <w:szCs w:val="21"/>
                      <w:vertAlign w:val="baseline"/>
                      <w:lang w:val="en-US" w:eastAsia="zh-CN"/>
                    </w:rPr>
                  </w:pPr>
                  <w:r>
                    <w:rPr>
                      <w:color w:val="auto"/>
                      <w:spacing w:val="9"/>
                      <w:sz w:val="21"/>
                      <w:szCs w:val="21"/>
                    </w:rPr>
                    <w:t>有毒有害和易燃易爆危险物质存储量超过临界量的建设项目</w:t>
                  </w:r>
                </w:p>
              </w:tc>
              <w:tc>
                <w:tcPr>
                  <w:tcW w:w="1760" w:type="dxa"/>
                  <w:tcBorders>
                    <w:tl2br w:val="nil"/>
                    <w:tr2bl w:val="nil"/>
                  </w:tcBorders>
                  <w:vAlign w:val="center"/>
                </w:tcPr>
                <w:p w14:paraId="219CD84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本项目有毒有害和易燃易爆危险物质存储</w:t>
                  </w:r>
                  <w:r>
                    <w:rPr>
                      <w:color w:val="auto"/>
                      <w:spacing w:val="9"/>
                      <w:sz w:val="21"/>
                      <w:szCs w:val="21"/>
                    </w:rPr>
                    <w:t>量远低于临界量，项</w:t>
                  </w:r>
                  <w:r>
                    <w:rPr>
                      <w:color w:val="auto"/>
                      <w:spacing w:val="-5"/>
                      <w:sz w:val="21"/>
                      <w:szCs w:val="21"/>
                    </w:rPr>
                    <w:t>目</w:t>
                  </w:r>
                  <w:r>
                    <w:rPr>
                      <w:color w:val="auto"/>
                      <w:spacing w:val="-41"/>
                      <w:sz w:val="21"/>
                      <w:szCs w:val="21"/>
                    </w:rPr>
                    <w:t xml:space="preserve"> </w:t>
                  </w:r>
                  <w:r>
                    <w:rPr>
                      <w:rFonts w:ascii="Times New Roman" w:hAnsi="Times New Roman" w:eastAsia="Times New Roman" w:cs="Times New Roman"/>
                      <w:color w:val="auto"/>
                      <w:spacing w:val="-5"/>
                      <w:sz w:val="21"/>
                      <w:szCs w:val="21"/>
                    </w:rPr>
                    <w:t>Q</w:t>
                  </w:r>
                  <w:r>
                    <w:rPr>
                      <w:color w:val="auto"/>
                      <w:spacing w:val="-5"/>
                      <w:sz w:val="21"/>
                      <w:szCs w:val="21"/>
                    </w:rPr>
                    <w:t>＜</w:t>
                  </w:r>
                  <w:r>
                    <w:rPr>
                      <w:rFonts w:ascii="Times New Roman" w:hAnsi="Times New Roman" w:eastAsia="Times New Roman" w:cs="Times New Roman"/>
                      <w:color w:val="auto"/>
                      <w:spacing w:val="-5"/>
                      <w:sz w:val="21"/>
                      <w:szCs w:val="21"/>
                    </w:rPr>
                    <w:t>1</w:t>
                  </w:r>
                  <w:r>
                    <w:rPr>
                      <w:color w:val="auto"/>
                      <w:spacing w:val="-5"/>
                      <w:sz w:val="21"/>
                      <w:szCs w:val="21"/>
                    </w:rPr>
                    <w:t>。</w:t>
                  </w:r>
                </w:p>
              </w:tc>
              <w:tc>
                <w:tcPr>
                  <w:tcW w:w="919" w:type="dxa"/>
                  <w:tcBorders>
                    <w:tl2br w:val="nil"/>
                    <w:tr2bl w:val="nil"/>
                  </w:tcBorders>
                  <w:vAlign w:val="center"/>
                </w:tcPr>
                <w:p w14:paraId="78FFB4F1">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16B2B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6A234917">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3"/>
                      <w:sz w:val="21"/>
                      <w:szCs w:val="21"/>
                    </w:rPr>
                    <w:t>生态</w:t>
                  </w:r>
                </w:p>
              </w:tc>
              <w:tc>
                <w:tcPr>
                  <w:tcW w:w="2773" w:type="dxa"/>
                  <w:tcBorders>
                    <w:tl2br w:val="nil"/>
                    <w:tr2bl w:val="nil"/>
                  </w:tcBorders>
                  <w:vAlign w:val="center"/>
                </w:tcPr>
                <w:p w14:paraId="424067A7">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7"/>
                      <w:sz w:val="21"/>
                      <w:szCs w:val="21"/>
                    </w:rPr>
                    <w:t>取水口下游</w:t>
                  </w:r>
                  <w:r>
                    <w:rPr>
                      <w:rFonts w:hint="eastAsia"/>
                      <w:color w:val="auto"/>
                      <w:spacing w:val="7"/>
                      <w:sz w:val="21"/>
                      <w:szCs w:val="21"/>
                      <w:lang w:val="en-US" w:eastAsia="zh-CN"/>
                    </w:rPr>
                    <w:t>5</w:t>
                  </w:r>
                  <w:r>
                    <w:rPr>
                      <w:rFonts w:ascii="Times New Roman" w:hAnsi="Times New Roman" w:eastAsia="Times New Roman" w:cs="Times New Roman"/>
                      <w:color w:val="auto"/>
                      <w:spacing w:val="7"/>
                      <w:sz w:val="21"/>
                      <w:szCs w:val="21"/>
                    </w:rPr>
                    <w:t>00</w:t>
                  </w:r>
                  <w:r>
                    <w:rPr>
                      <w:color w:val="auto"/>
                      <w:spacing w:val="7"/>
                      <w:sz w:val="21"/>
                      <w:szCs w:val="21"/>
                    </w:rPr>
                    <w:t>米范围内有重</w:t>
                  </w:r>
                  <w:r>
                    <w:rPr>
                      <w:color w:val="auto"/>
                      <w:spacing w:val="2"/>
                      <w:sz w:val="21"/>
                      <w:szCs w:val="21"/>
                    </w:rPr>
                    <w:t>要水生生物的自然产卵场、索饵场、越冬场和洄游通道的新增河</w:t>
                  </w:r>
                  <w:r>
                    <w:rPr>
                      <w:color w:val="auto"/>
                      <w:spacing w:val="9"/>
                      <w:sz w:val="21"/>
                      <w:szCs w:val="21"/>
                    </w:rPr>
                    <w:t>道取水的污染类建设项目</w:t>
                  </w:r>
                </w:p>
              </w:tc>
              <w:tc>
                <w:tcPr>
                  <w:tcW w:w="1760" w:type="dxa"/>
                  <w:tcBorders>
                    <w:tl2br w:val="nil"/>
                    <w:tr2bl w:val="nil"/>
                  </w:tcBorders>
                  <w:vAlign w:val="center"/>
                </w:tcPr>
                <w:p w14:paraId="7C2224C0">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本项目非河道取水项</w:t>
                  </w:r>
                  <w:r>
                    <w:rPr>
                      <w:color w:val="auto"/>
                      <w:spacing w:val="-20"/>
                      <w:sz w:val="21"/>
                      <w:szCs w:val="21"/>
                    </w:rPr>
                    <w:t>目。</w:t>
                  </w:r>
                </w:p>
              </w:tc>
              <w:tc>
                <w:tcPr>
                  <w:tcW w:w="919" w:type="dxa"/>
                  <w:tcBorders>
                    <w:tl2br w:val="nil"/>
                    <w:tr2bl w:val="nil"/>
                  </w:tcBorders>
                  <w:vAlign w:val="center"/>
                </w:tcPr>
                <w:p w14:paraId="45C9F7D0">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49823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tcBorders>
                    <w:tl2br w:val="nil"/>
                    <w:tr2bl w:val="nil"/>
                  </w:tcBorders>
                  <w:vAlign w:val="center"/>
                </w:tcPr>
                <w:p w14:paraId="4B69465D">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5"/>
                      <w:sz w:val="21"/>
                      <w:szCs w:val="21"/>
                    </w:rPr>
                    <w:t>海洋</w:t>
                  </w:r>
                </w:p>
              </w:tc>
              <w:tc>
                <w:tcPr>
                  <w:tcW w:w="2773" w:type="dxa"/>
                  <w:tcBorders>
                    <w:tl2br w:val="nil"/>
                    <w:tr2bl w:val="nil"/>
                  </w:tcBorders>
                  <w:vAlign w:val="center"/>
                </w:tcPr>
                <w:p w14:paraId="2B65DE85">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837" w:firstLineChars="0"/>
                    <w:jc w:val="center"/>
                    <w:textAlignment w:val="auto"/>
                    <w:rPr>
                      <w:rFonts w:hint="default"/>
                      <w:color w:val="auto"/>
                      <w:sz w:val="21"/>
                      <w:szCs w:val="21"/>
                      <w:vertAlign w:val="baseline"/>
                      <w:lang w:val="en-US" w:eastAsia="zh-CN"/>
                    </w:rPr>
                  </w:pPr>
                  <w:r>
                    <w:rPr>
                      <w:color w:val="auto"/>
                      <w:spacing w:val="9"/>
                      <w:sz w:val="21"/>
                      <w:szCs w:val="21"/>
                    </w:rPr>
                    <w:t>直接向海排放污染物的海洋工</w:t>
                  </w:r>
                  <w:r>
                    <w:rPr>
                      <w:color w:val="auto"/>
                      <w:spacing w:val="8"/>
                      <w:sz w:val="21"/>
                      <w:szCs w:val="21"/>
                    </w:rPr>
                    <w:t>程建设项目</w:t>
                  </w:r>
                </w:p>
              </w:tc>
              <w:tc>
                <w:tcPr>
                  <w:tcW w:w="1760" w:type="dxa"/>
                  <w:tcBorders>
                    <w:tl2br w:val="nil"/>
                    <w:tr2bl w:val="nil"/>
                  </w:tcBorders>
                  <w:vAlign w:val="center"/>
                </w:tcPr>
                <w:p w14:paraId="5D776B3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312" w:firstLineChars="0"/>
                    <w:jc w:val="center"/>
                    <w:textAlignment w:val="auto"/>
                    <w:rPr>
                      <w:rFonts w:hint="default"/>
                      <w:color w:val="auto"/>
                      <w:sz w:val="21"/>
                      <w:szCs w:val="21"/>
                      <w:vertAlign w:val="baseline"/>
                      <w:lang w:val="en-US" w:eastAsia="zh-CN"/>
                    </w:rPr>
                  </w:pPr>
                  <w:r>
                    <w:rPr>
                      <w:color w:val="auto"/>
                      <w:spacing w:val="8"/>
                      <w:sz w:val="21"/>
                      <w:szCs w:val="21"/>
                    </w:rPr>
                    <w:t>本项目不属于海洋工</w:t>
                  </w:r>
                  <w:r>
                    <w:rPr>
                      <w:color w:val="auto"/>
                      <w:spacing w:val="6"/>
                      <w:sz w:val="21"/>
                      <w:szCs w:val="21"/>
                    </w:rPr>
                    <w:t>程建设项目。</w:t>
                  </w:r>
                </w:p>
              </w:tc>
              <w:tc>
                <w:tcPr>
                  <w:tcW w:w="919" w:type="dxa"/>
                  <w:tcBorders>
                    <w:tl2br w:val="nil"/>
                    <w:tr2bl w:val="nil"/>
                  </w:tcBorders>
                  <w:vAlign w:val="center"/>
                </w:tcPr>
                <w:p w14:paraId="5E7B1E86">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bl>
          <w:p w14:paraId="040AC2CC">
            <w:pPr>
              <w:pStyle w:val="3"/>
              <w:keepNext/>
              <w:keepLines/>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宋体" w:hAnsi="宋体" w:eastAsia="宋体" w:cs="宋体"/>
                <w:b w:val="0"/>
                <w:bCs w:val="0"/>
                <w:color w:val="auto"/>
                <w:kern w:val="0"/>
                <w:sz w:val="24"/>
                <w:szCs w:val="24"/>
                <w:highlight w:val="none"/>
                <w:lang w:val="en-US" w:eastAsia="zh-CN" w:bidi="ar-SA"/>
              </w:rPr>
              <w:t>由上表可知，本项目无须设置专项评价。</w:t>
            </w:r>
          </w:p>
        </w:tc>
      </w:tr>
      <w:tr w14:paraId="13D59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 w:hRule="atLeast"/>
          <w:jc w:val="center"/>
        </w:trPr>
        <w:tc>
          <w:tcPr>
            <w:tcW w:w="1912" w:type="dxa"/>
            <w:tcBorders>
              <w:tl2br w:val="nil"/>
              <w:tr2bl w:val="nil"/>
            </w:tcBorders>
            <w:noWrap w:val="0"/>
            <w:vAlign w:val="center"/>
          </w:tcPr>
          <w:p w14:paraId="4D2659EE">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规划情况</w:t>
            </w:r>
          </w:p>
        </w:tc>
        <w:tc>
          <w:tcPr>
            <w:tcW w:w="6425" w:type="dxa"/>
            <w:gridSpan w:val="3"/>
            <w:tcBorders>
              <w:tl2br w:val="nil"/>
              <w:tr2bl w:val="nil"/>
            </w:tcBorders>
            <w:noWrap w:val="0"/>
            <w:vAlign w:val="center"/>
          </w:tcPr>
          <w:p w14:paraId="2F987CFF">
            <w:pPr>
              <w:pStyle w:val="37"/>
              <w:keepNext w:val="0"/>
              <w:keepLines w:val="0"/>
              <w:pageBreakBefore w:val="0"/>
              <w:widowControl w:val="0"/>
              <w:kinsoku/>
              <w:overflowPunct/>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宋体" w:hAnsi="宋体" w:cs="宋体"/>
                <w:color w:val="auto"/>
                <w:kern w:val="0"/>
                <w:sz w:val="24"/>
                <w:szCs w:val="24"/>
                <w:highlight w:val="none"/>
              </w:rPr>
              <w:t>《新墙镇国民经济和社会发展第十四个五</w:t>
            </w:r>
            <w:r>
              <w:rPr>
                <w:rFonts w:hint="eastAsia" w:ascii="宋体" w:hAnsi="宋体" w:cs="宋体"/>
                <w:color w:val="auto"/>
                <w:kern w:val="0"/>
                <w:sz w:val="24"/>
                <w:szCs w:val="24"/>
                <w:highlight w:val="none"/>
                <w:lang w:val="en-US" w:eastAsia="zh-CN"/>
              </w:rPr>
              <w:t>年</w:t>
            </w:r>
            <w:r>
              <w:rPr>
                <w:rFonts w:hint="eastAsia" w:ascii="宋体" w:hAnsi="宋体" w:cs="宋体"/>
                <w:color w:val="auto"/>
                <w:kern w:val="0"/>
                <w:sz w:val="24"/>
                <w:szCs w:val="24"/>
                <w:highlight w:val="none"/>
              </w:rPr>
              <w:t>规划纲要》</w:t>
            </w:r>
          </w:p>
        </w:tc>
      </w:tr>
      <w:tr w14:paraId="55856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1912" w:type="dxa"/>
            <w:tcBorders>
              <w:tl2br w:val="nil"/>
              <w:tr2bl w:val="nil"/>
            </w:tcBorders>
            <w:noWrap w:val="0"/>
            <w:vAlign w:val="center"/>
          </w:tcPr>
          <w:p w14:paraId="78A2DF7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规划环境影响</w:t>
            </w:r>
          </w:p>
          <w:p w14:paraId="2E86BDB8">
            <w:pPr>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评价情况</w:t>
            </w:r>
          </w:p>
        </w:tc>
        <w:tc>
          <w:tcPr>
            <w:tcW w:w="6425" w:type="dxa"/>
            <w:gridSpan w:val="3"/>
            <w:tcBorders>
              <w:tl2br w:val="nil"/>
              <w:tr2bl w:val="nil"/>
            </w:tcBorders>
            <w:noWrap w:val="0"/>
            <w:vAlign w:val="center"/>
          </w:tcPr>
          <w:p w14:paraId="22C078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4"/>
                <w:highlight w:val="none"/>
                <w:u w:val="none" w:color="auto"/>
                <w:lang w:val="en-US" w:eastAsia="zh-CN"/>
              </w:rPr>
            </w:pPr>
            <w:r>
              <w:rPr>
                <w:rFonts w:hint="default" w:ascii="Times New Roman" w:hAnsi="Times New Roman" w:cs="Times New Roman"/>
                <w:color w:val="auto"/>
                <w:kern w:val="0"/>
                <w:sz w:val="24"/>
                <w:szCs w:val="24"/>
                <w:highlight w:val="none"/>
                <w:u w:val="none" w:color="auto"/>
              </w:rPr>
              <w:t>无</w:t>
            </w:r>
          </w:p>
        </w:tc>
      </w:tr>
      <w:tr w14:paraId="6DD39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12" w:type="dxa"/>
            <w:tcBorders>
              <w:tl2br w:val="nil"/>
              <w:tr2bl w:val="nil"/>
            </w:tcBorders>
            <w:noWrap w:val="0"/>
            <w:vAlign w:val="center"/>
          </w:tcPr>
          <w:p w14:paraId="08B19C7C">
            <w:pPr>
              <w:autoSpaceDE w:val="0"/>
              <w:autoSpaceDN w:val="0"/>
              <w:adjustRightInd w:val="0"/>
              <w:snapToGrid w:val="0"/>
              <w:jc w:val="center"/>
              <w:rPr>
                <w:rFonts w:hint="default" w:ascii="Times New Roman" w:hAnsi="Times New Roman" w:cs="Times New Roman"/>
                <w:color w:val="auto"/>
                <w:kern w:val="0"/>
                <w:sz w:val="24"/>
                <w:szCs w:val="24"/>
                <w:highlight w:val="green"/>
                <w:u w:val="none" w:color="auto"/>
              </w:rPr>
            </w:pPr>
            <w:r>
              <w:rPr>
                <w:rFonts w:hint="default" w:ascii="Times New Roman" w:hAnsi="Times New Roman" w:cs="Times New Roman"/>
                <w:color w:val="auto"/>
                <w:kern w:val="0"/>
                <w:sz w:val="24"/>
                <w:szCs w:val="24"/>
                <w:highlight w:val="none"/>
                <w:u w:val="none" w:color="auto"/>
              </w:rPr>
              <w:t>规划及规划环境影响评价符合性分析</w:t>
            </w:r>
          </w:p>
        </w:tc>
        <w:tc>
          <w:tcPr>
            <w:tcW w:w="6425" w:type="dxa"/>
            <w:gridSpan w:val="3"/>
            <w:tcBorders>
              <w:tl2br w:val="nil"/>
              <w:tr2bl w:val="nil"/>
            </w:tcBorders>
            <w:noWrap w:val="0"/>
            <w:vAlign w:val="center"/>
          </w:tcPr>
          <w:p w14:paraId="65C2A4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pacing w:val="0"/>
                <w:position w:val="0"/>
                <w:sz w:val="24"/>
                <w:szCs w:val="24"/>
                <w:highlight w:val="none"/>
                <w:u w:val="none" w:color="auto"/>
                <w:lang w:val="en-US" w:eastAsia="zh-CN"/>
              </w:rPr>
            </w:pPr>
            <w:r>
              <w:rPr>
                <w:rFonts w:hint="default" w:ascii="Times New Roman" w:hAnsi="Times New Roman" w:eastAsia="宋体" w:cs="Times New Roman"/>
                <w:b/>
                <w:bCs/>
                <w:color w:val="auto"/>
                <w:spacing w:val="0"/>
                <w:position w:val="0"/>
                <w:sz w:val="24"/>
                <w:szCs w:val="24"/>
                <w:highlight w:val="none"/>
                <w:u w:val="none" w:color="auto"/>
                <w:lang w:val="en-US" w:eastAsia="zh-CN"/>
              </w:rPr>
              <w:t>1、与规划符合性分析</w:t>
            </w:r>
          </w:p>
          <w:p w14:paraId="371FB4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rPr>
              <w:t>《新墙镇国民经济和社会发展第十四个五</w:t>
            </w:r>
            <w:r>
              <w:rPr>
                <w:rFonts w:hint="eastAsia" w:ascii="Times New Roman" w:hAnsi="Times New Roman" w:eastAsia="宋体" w:cs="Times New Roman"/>
                <w:i w:val="0"/>
                <w:iCs w:val="0"/>
                <w:caps w:val="0"/>
                <w:color w:val="auto"/>
                <w:spacing w:val="0"/>
                <w:sz w:val="24"/>
                <w:szCs w:val="24"/>
                <w:lang w:val="en-US" w:eastAsia="zh-CN"/>
              </w:rPr>
              <w:t>年</w:t>
            </w:r>
            <w:r>
              <w:rPr>
                <w:rFonts w:hint="default" w:ascii="Times New Roman" w:hAnsi="Times New Roman" w:eastAsia="宋体" w:cs="Times New Roman"/>
                <w:i w:val="0"/>
                <w:iCs w:val="0"/>
                <w:caps w:val="0"/>
                <w:color w:val="auto"/>
                <w:spacing w:val="0"/>
                <w:sz w:val="24"/>
                <w:szCs w:val="24"/>
              </w:rPr>
              <w:t>规划纲要》基本思路：强化农业的基础地位，提质增效。进一步加大农业支持保护力度。加强农业基础设施建设，优化产业结构，合理规划布局，为经济平稳较快发展和社会和谐稳定提供有力支撑。全力抓好招商引资，继续按照县委、县政府的工作要求，完善基础设施建设，优化工业发展环境，加强投资软环境建设，做好招商引资基础工作。加大金融招商力度，推动村镇银行和网点建设工作，促进新墙经济又好又快发展。发展战略：更加注重产业协调发展和项目建设，在转型发展上有大作为。深入实施产业强镇战略，以加大投入推进项目建设，带动产业转型升级，全力做大产业经济总量。全力推动新墙镇物流配送中心、农产品产地冷藏保鲜设施等物流项目建设，科学有序开发利用矿产资源，推进新墙河流域历史遗留矿山生态修复，新设矿山一律建成绿色矿山。</w:t>
            </w:r>
          </w:p>
          <w:p w14:paraId="63456AF8">
            <w:pPr>
              <w:pStyle w:val="37"/>
              <w:bidi w:val="0"/>
              <w:rPr>
                <w:rFonts w:hint="default"/>
                <w:color w:val="auto"/>
                <w:highlight w:val="green"/>
                <w:u w:val="none" w:color="auto"/>
                <w:lang w:val="en-US" w:eastAsia="zh-CN"/>
              </w:rPr>
            </w:pPr>
            <w:r>
              <w:rPr>
                <w:rFonts w:hint="default" w:ascii="Times New Roman" w:hAnsi="Times New Roman" w:eastAsia="宋体" w:cs="Times New Roman"/>
                <w:i w:val="0"/>
                <w:iCs w:val="0"/>
                <w:caps w:val="0"/>
                <w:color w:val="auto"/>
                <w:spacing w:val="0"/>
                <w:sz w:val="24"/>
                <w:szCs w:val="24"/>
              </w:rPr>
              <w:t>本项目属于</w:t>
            </w:r>
            <w:r>
              <w:rPr>
                <w:rFonts w:hint="eastAsia"/>
                <w:color w:val="auto"/>
                <w:sz w:val="24"/>
                <w:highlight w:val="none"/>
                <w:u w:val="none" w:color="auto"/>
                <w:lang w:eastAsia="zh-CN"/>
              </w:rPr>
              <w:t>其他非金属矿物制品制造</w:t>
            </w:r>
            <w:r>
              <w:rPr>
                <w:rFonts w:hint="default" w:ascii="Times New Roman" w:hAnsi="Times New Roman" w:eastAsia="宋体" w:cs="Times New Roman"/>
                <w:i w:val="0"/>
                <w:iCs w:val="0"/>
                <w:caps w:val="0"/>
                <w:color w:val="auto"/>
                <w:spacing w:val="0"/>
                <w:sz w:val="24"/>
                <w:szCs w:val="24"/>
              </w:rPr>
              <w:t>项目，项目的建设对当地经济社会各方发展有积极作用，符合《新墙镇国民经济和社会发展第十四个五规划纲要》基本思路及发展战略。</w:t>
            </w:r>
          </w:p>
        </w:tc>
      </w:tr>
      <w:tr w14:paraId="26583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12" w:type="dxa"/>
            <w:tcBorders>
              <w:tl2br w:val="nil"/>
              <w:tr2bl w:val="nil"/>
            </w:tcBorders>
            <w:noWrap w:val="0"/>
            <w:vAlign w:val="center"/>
          </w:tcPr>
          <w:p w14:paraId="4D5BC8E8">
            <w:pPr>
              <w:autoSpaceDE w:val="0"/>
              <w:autoSpaceDN w:val="0"/>
              <w:adjustRightInd w:val="0"/>
              <w:snapToGrid w:val="0"/>
              <w:jc w:val="center"/>
              <w:rPr>
                <w:rFonts w:hint="default" w:ascii="Times New Roman" w:hAnsi="Times New Roman" w:cs="Times New Roman"/>
                <w:color w:val="auto"/>
                <w:kern w:val="0"/>
                <w:sz w:val="24"/>
                <w:szCs w:val="24"/>
                <w:highlight w:val="green"/>
                <w:u w:val="none" w:color="auto"/>
              </w:rPr>
            </w:pPr>
            <w:r>
              <w:rPr>
                <w:color w:val="auto"/>
                <w:kern w:val="0"/>
                <w:sz w:val="24"/>
                <w:highlight w:val="none"/>
                <w:u w:val="none" w:color="auto"/>
              </w:rPr>
              <w:t>其他符合性分析</w:t>
            </w:r>
          </w:p>
        </w:tc>
        <w:tc>
          <w:tcPr>
            <w:tcW w:w="6425" w:type="dxa"/>
            <w:gridSpan w:val="3"/>
            <w:tcBorders>
              <w:tl2br w:val="nil"/>
              <w:tr2bl w:val="nil"/>
            </w:tcBorders>
            <w:noWrap w:val="0"/>
            <w:vAlign w:val="center"/>
          </w:tcPr>
          <w:p w14:paraId="2373F7A7">
            <w:pPr>
              <w:pStyle w:val="37"/>
              <w:numPr>
                <w:ilvl w:val="0"/>
                <w:numId w:val="2"/>
              </w:numPr>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“三线一单”符合性分析</w:t>
            </w:r>
          </w:p>
          <w:p w14:paraId="48F34DFB">
            <w:pPr>
              <w:spacing w:line="360" w:lineRule="auto"/>
              <w:ind w:firstLine="482"/>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根据</w:t>
            </w:r>
            <w:r>
              <w:rPr>
                <w:rFonts w:hint="eastAsia" w:ascii="Times New Roman" w:hAnsi="Times New Roman" w:eastAsia="宋体" w:cs="Times New Roman"/>
                <w:color w:val="auto"/>
                <w:sz w:val="24"/>
                <w:szCs w:val="24"/>
                <w:highlight w:val="none"/>
                <w:u w:val="none" w:color="auto"/>
                <w:lang w:val="en-US" w:eastAsia="zh-CN"/>
              </w:rPr>
              <w:t>环境保护</w:t>
            </w:r>
            <w:r>
              <w:rPr>
                <w:rFonts w:hint="default" w:ascii="Times New Roman" w:hAnsi="Times New Roman" w:eastAsia="宋体" w:cs="Times New Roman"/>
                <w:color w:val="auto"/>
                <w:sz w:val="24"/>
                <w:szCs w:val="24"/>
                <w:highlight w:val="none"/>
                <w:u w:val="none" w:color="auto"/>
              </w:rPr>
              <w:t>部发布的《关于以改善环境质量为核心加强环境影响评价管理的通知》</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环环评〔2016〕150号</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r>
              <w:rPr>
                <w:rFonts w:hint="default" w:ascii="Times New Roman" w:hAnsi="Times New Roman" w:eastAsia="宋体" w:cs="Times New Roman"/>
                <w:color w:val="auto"/>
                <w:sz w:val="24"/>
                <w:szCs w:val="24"/>
                <w:highlight w:val="none"/>
                <w:u w:val="none" w:color="auto"/>
                <w:lang w:eastAsia="zh-CN"/>
              </w:rPr>
              <w:t>。</w:t>
            </w:r>
          </w:p>
          <w:p w14:paraId="0620EB60">
            <w:pPr>
              <w:pStyle w:val="37"/>
              <w:bidi w:val="0"/>
              <w:spacing w:line="360" w:lineRule="auto"/>
              <w:rPr>
                <w:rFonts w:hint="eastAsia" w:cs="Times New Roman"/>
                <w:b/>
                <w:bCs/>
                <w:color w:val="auto"/>
                <w:kern w:val="0"/>
                <w:sz w:val="24"/>
                <w:szCs w:val="24"/>
                <w:highlight w:val="none"/>
                <w:u w:val="none" w:color="auto"/>
                <w:lang w:val="en-US" w:eastAsia="zh-CN"/>
              </w:rPr>
            </w:pPr>
            <w:r>
              <w:rPr>
                <w:rFonts w:hint="eastAsia" w:cs="Times New Roman"/>
                <w:b/>
                <w:bCs/>
                <w:color w:val="auto"/>
                <w:kern w:val="0"/>
                <w:sz w:val="24"/>
                <w:szCs w:val="24"/>
                <w:highlight w:val="none"/>
                <w:u w:val="none" w:color="auto"/>
                <w:lang w:val="en-US" w:eastAsia="zh-CN"/>
              </w:rPr>
              <w:t>1.1生态保护红线</w:t>
            </w:r>
          </w:p>
          <w:p w14:paraId="0FE36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w w:val="100"/>
                <w:position w:val="0"/>
                <w:sz w:val="24"/>
                <w:szCs w:val="24"/>
                <w:highlight w:val="none"/>
                <w:u w:val="none" w:color="auto"/>
                <w:lang w:eastAsia="zh-CN"/>
              </w:rPr>
            </w:pPr>
            <w:r>
              <w:rPr>
                <w:rFonts w:hint="eastAsia" w:ascii="宋体" w:hAnsi="宋体" w:eastAsia="宋体" w:cs="宋体"/>
                <w:b w:val="0"/>
                <w:bCs w:val="0"/>
                <w:color w:val="auto"/>
                <w:spacing w:val="0"/>
                <w:w w:val="100"/>
                <w:position w:val="0"/>
                <w:sz w:val="24"/>
                <w:szCs w:val="24"/>
                <w:highlight w:val="none"/>
                <w:u w:val="none" w:color="auto"/>
                <w:lang w:eastAsia="zh-CN"/>
              </w:rPr>
              <w:t>根据《关于以改善环境质量为核心加强环境影响评价管理的通知》(环环评[2016]150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59455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pacing w:val="0"/>
                <w:w w:val="100"/>
                <w:position w:val="0"/>
                <w:sz w:val="24"/>
                <w:szCs w:val="24"/>
                <w:highlight w:val="none"/>
                <w:u w:val="none" w:color="auto"/>
                <w:lang w:eastAsia="zh-CN"/>
              </w:rPr>
            </w:pP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本项目位于</w:t>
            </w:r>
            <w:r>
              <w:rPr>
                <w:rFonts w:hint="eastAsia" w:ascii="Times New Roman" w:hAnsi="Times New Roman" w:eastAsia="宋体" w:cs="Times New Roman"/>
                <w:color w:val="auto"/>
                <w:sz w:val="24"/>
                <w:szCs w:val="24"/>
                <w:highlight w:val="none"/>
                <w:u w:val="none" w:color="auto"/>
                <w:lang w:val="en-US" w:eastAsia="zh-CN"/>
              </w:rPr>
              <w:t>岳阳县新墙镇燎原村沙河片二组</w:t>
            </w: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根据《自然资源部办公厅关于浙江等省（市）启用"三区三线"划定成果作为报批建设项目用地用海依据的函》（自然资办函[2022]2080号）及《自然资源部办公厅关于依据"三区三线"划定成果报批建设项目用地用海有关事宜的函》（自然资办函[2022]2072号），三区三线中“三区”是指城镇空间、农业空间、生态空间三种类型的国土空间。“三线”分别对应在城镇空间、农业空间、生态空间划定的城镇开发边界、永久基本农田、生态保护红线三条控制线。</w:t>
            </w:r>
          </w:p>
          <w:p w14:paraId="4A455099">
            <w:pPr>
              <w:autoSpaceDE w:val="0"/>
              <w:autoSpaceDN w:val="0"/>
              <w:adjustRightInd w:val="0"/>
              <w:snapToGrid w:val="0"/>
              <w:spacing w:line="360" w:lineRule="auto"/>
              <w:ind w:firstLine="480" w:firstLineChars="200"/>
              <w:rPr>
                <w:color w:val="auto"/>
                <w:kern w:val="0"/>
                <w:sz w:val="24"/>
                <w:u w:val="single"/>
              </w:rPr>
            </w:pPr>
            <w:r>
              <w:rPr>
                <w:strike w:val="0"/>
                <w:dstrike w:val="0"/>
                <w:color w:val="auto"/>
                <w:kern w:val="0"/>
                <w:sz w:val="24"/>
                <w:u w:val="none" w:color="auto"/>
              </w:rPr>
              <w:t>本项目位于</w:t>
            </w:r>
            <w:r>
              <w:rPr>
                <w:rFonts w:hint="eastAsia" w:ascii="Times New Roman" w:hAnsi="Times New Roman" w:eastAsia="宋体" w:cs="Times New Roman"/>
                <w:strike w:val="0"/>
                <w:dstrike w:val="0"/>
                <w:color w:val="auto"/>
                <w:sz w:val="24"/>
                <w:szCs w:val="24"/>
                <w:highlight w:val="none"/>
                <w:u w:val="none" w:color="auto"/>
                <w:lang w:val="en-US" w:eastAsia="zh-CN"/>
              </w:rPr>
              <w:t>新墙镇燎原村沙河片二组</w:t>
            </w:r>
            <w:r>
              <w:rPr>
                <w:strike w:val="0"/>
                <w:dstrike w:val="0"/>
                <w:color w:val="auto"/>
                <w:kern w:val="0"/>
                <w:sz w:val="24"/>
                <w:u w:val="none" w:color="auto"/>
              </w:rPr>
              <w:t>，</w:t>
            </w:r>
            <w:r>
              <w:rPr>
                <w:rFonts w:hint="eastAsia"/>
                <w:strike w:val="0"/>
                <w:dstrike w:val="0"/>
                <w:color w:val="auto"/>
                <w:sz w:val="24"/>
                <w:u w:val="none" w:color="auto"/>
              </w:rPr>
              <w:t>根据岳阳县“三区三线”划定成果，本项目用地</w:t>
            </w:r>
            <w:r>
              <w:rPr>
                <w:strike w:val="0"/>
                <w:dstrike w:val="0"/>
                <w:color w:val="auto"/>
                <w:sz w:val="24"/>
                <w:u w:val="none" w:color="auto"/>
              </w:rPr>
              <w:t>不在生态红线范围内</w:t>
            </w:r>
            <w:r>
              <w:rPr>
                <w:strike w:val="0"/>
                <w:dstrike w:val="0"/>
                <w:color w:val="auto"/>
                <w:kern w:val="0"/>
                <w:sz w:val="24"/>
                <w:u w:val="none" w:color="auto"/>
              </w:rPr>
              <w:t>。</w:t>
            </w:r>
            <w:r>
              <w:rPr>
                <w:rFonts w:hint="default" w:ascii="Times New Roman" w:hAnsi="Times New Roman" w:eastAsia="宋体" w:cs="Times New Roman"/>
                <w:b w:val="0"/>
                <w:bCs w:val="0"/>
                <w:strike w:val="0"/>
                <w:dstrike w:val="0"/>
                <w:color w:val="auto"/>
                <w:spacing w:val="0"/>
                <w:w w:val="100"/>
                <w:position w:val="0"/>
                <w:sz w:val="24"/>
                <w:szCs w:val="24"/>
                <w:highlight w:val="none"/>
                <w:u w:val="none" w:color="auto"/>
                <w:lang w:val="en-US" w:eastAsia="zh-CN"/>
              </w:rPr>
              <w:t>对</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照《湖南省岳阳市岳阳县环境管控单元图》（2023年），本项目不涉及生态保护红线</w:t>
            </w:r>
            <w:r>
              <w:rPr>
                <w:rFonts w:hint="eastAsia" w:ascii="Times New Roman" w:hAnsi="Times New Roman" w:eastAsia="宋体" w:cs="Times New Roman"/>
                <w:b w:val="0"/>
                <w:bCs w:val="0"/>
                <w:color w:val="auto"/>
                <w:spacing w:val="0"/>
                <w:w w:val="100"/>
                <w:position w:val="0"/>
                <w:sz w:val="24"/>
                <w:szCs w:val="24"/>
                <w:highlight w:val="none"/>
                <w:u w:val="none" w:color="auto"/>
                <w:lang w:val="en-US" w:eastAsia="zh-CN"/>
              </w:rPr>
              <w:t>（详见附件</w:t>
            </w:r>
            <w:r>
              <w:rPr>
                <w:rFonts w:hint="eastAsia" w:cs="Times New Roman"/>
                <w:b w:val="0"/>
                <w:bCs w:val="0"/>
                <w:color w:val="auto"/>
                <w:spacing w:val="0"/>
                <w:w w:val="100"/>
                <w:position w:val="0"/>
                <w:sz w:val="24"/>
                <w:szCs w:val="24"/>
                <w:highlight w:val="none"/>
                <w:u w:val="none" w:color="auto"/>
                <w:lang w:val="en-US" w:eastAsia="zh-CN"/>
              </w:rPr>
              <w:t>5</w:t>
            </w:r>
            <w:r>
              <w:rPr>
                <w:rFonts w:hint="eastAsia" w:ascii="Times New Roman" w:hAnsi="Times New Roman" w:eastAsia="宋体" w:cs="Times New Roman"/>
                <w:b w:val="0"/>
                <w:bCs w:val="0"/>
                <w:color w:val="auto"/>
                <w:spacing w:val="0"/>
                <w:w w:val="100"/>
                <w:position w:val="0"/>
                <w:sz w:val="24"/>
                <w:szCs w:val="24"/>
                <w:highlight w:val="none"/>
                <w:u w:val="none" w:color="auto"/>
                <w:lang w:val="en-US" w:eastAsia="zh-CN"/>
              </w:rPr>
              <w:t>）</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w:t>
            </w:r>
          </w:p>
          <w:p w14:paraId="2263D7C3">
            <w:pPr>
              <w:pStyle w:val="37"/>
              <w:bidi w:val="0"/>
              <w:rPr>
                <w:rFonts w:hint="default" w:ascii="Times New Roman" w:hAnsi="Times New Roman" w:cs="Times New Roman"/>
                <w:color w:val="auto"/>
                <w:sz w:val="24"/>
                <w:highlight w:val="none"/>
                <w:u w:val="none" w:color="auto"/>
              </w:rPr>
            </w:pPr>
            <w:r>
              <w:rPr>
                <w:rFonts w:hint="eastAsia" w:cs="Times New Roman"/>
                <w:b/>
                <w:bCs/>
                <w:color w:val="auto"/>
                <w:kern w:val="0"/>
                <w:sz w:val="24"/>
                <w:szCs w:val="24"/>
                <w:highlight w:val="none"/>
                <w:u w:val="none" w:color="auto"/>
                <w:lang w:val="en-US" w:eastAsia="zh-CN"/>
              </w:rPr>
              <w:t>1.2环境质量底线</w:t>
            </w:r>
          </w:p>
          <w:p w14:paraId="323DC7DF">
            <w:pPr>
              <w:pStyle w:val="37"/>
              <w:bidi w:val="0"/>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r>
              <w:rPr>
                <w:rFonts w:hint="default" w:ascii="Times New Roman" w:hAnsi="Times New Roman" w:eastAsia="宋体" w:cs="Times New Roman"/>
                <w:color w:val="auto"/>
                <w:sz w:val="24"/>
                <w:szCs w:val="24"/>
                <w:highlight w:val="none"/>
                <w:u w:val="none" w:color="auto"/>
                <w:lang w:eastAsia="zh-CN"/>
              </w:rPr>
              <w:t>。</w:t>
            </w:r>
          </w:p>
          <w:p w14:paraId="6A2FF59D">
            <w:pPr>
              <w:pStyle w:val="50"/>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both"/>
              <w:textAlignment w:val="auto"/>
              <w:rPr>
                <w:color w:val="auto"/>
                <w:sz w:val="24"/>
                <w:szCs w:val="24"/>
                <w:highlight w:val="none"/>
              </w:rPr>
            </w:pPr>
            <w:r>
              <w:rPr>
                <w:color w:val="auto"/>
                <w:spacing w:val="9"/>
                <w:sz w:val="24"/>
                <w:szCs w:val="24"/>
                <w:highlight w:val="none"/>
              </w:rPr>
              <w:t>本项目位</w:t>
            </w:r>
            <w:r>
              <w:rPr>
                <w:rFonts w:hint="eastAsia"/>
                <w:color w:val="auto"/>
                <w:spacing w:val="9"/>
                <w:sz w:val="24"/>
                <w:szCs w:val="24"/>
                <w:highlight w:val="none"/>
                <w:lang w:val="en-US" w:eastAsia="zh-CN"/>
              </w:rPr>
              <w:t>于</w:t>
            </w:r>
            <w:r>
              <w:rPr>
                <w:color w:val="auto"/>
                <w:spacing w:val="9"/>
                <w:sz w:val="24"/>
                <w:szCs w:val="24"/>
                <w:highlight w:val="none"/>
              </w:rPr>
              <w:t>岳阳县内</w:t>
            </w:r>
            <w:r>
              <w:rPr>
                <w:color w:val="auto"/>
                <w:spacing w:val="-55"/>
                <w:sz w:val="24"/>
                <w:szCs w:val="24"/>
                <w:highlight w:val="none"/>
              </w:rPr>
              <w:t xml:space="preserve"> </w:t>
            </w:r>
            <w:r>
              <w:rPr>
                <w:color w:val="auto"/>
                <w:spacing w:val="9"/>
                <w:sz w:val="24"/>
                <w:szCs w:val="24"/>
                <w:highlight w:val="none"/>
              </w:rPr>
              <w:t>，环境</w:t>
            </w:r>
            <w:r>
              <w:rPr>
                <w:color w:val="auto"/>
                <w:spacing w:val="-67"/>
                <w:sz w:val="24"/>
                <w:szCs w:val="24"/>
                <w:highlight w:val="none"/>
              </w:rPr>
              <w:t xml:space="preserve"> </w:t>
            </w:r>
            <w:r>
              <w:rPr>
                <w:color w:val="auto"/>
                <w:spacing w:val="9"/>
                <w:sz w:val="24"/>
                <w:szCs w:val="24"/>
                <w:highlight w:val="none"/>
              </w:rPr>
              <w:t>空气质量执</w:t>
            </w:r>
            <w:r>
              <w:rPr>
                <w:color w:val="auto"/>
                <w:spacing w:val="-71"/>
                <w:sz w:val="24"/>
                <w:szCs w:val="24"/>
                <w:highlight w:val="none"/>
              </w:rPr>
              <w:t xml:space="preserve"> </w:t>
            </w:r>
            <w:r>
              <w:rPr>
                <w:color w:val="auto"/>
                <w:spacing w:val="9"/>
                <w:sz w:val="24"/>
                <w:szCs w:val="24"/>
                <w:highlight w:val="none"/>
              </w:rPr>
              <w:t>行《环境</w:t>
            </w:r>
            <w:r>
              <w:rPr>
                <w:rFonts w:hint="eastAsia"/>
                <w:color w:val="auto"/>
                <w:spacing w:val="9"/>
                <w:sz w:val="24"/>
                <w:szCs w:val="24"/>
                <w:highlight w:val="none"/>
                <w:lang w:val="en-US" w:eastAsia="zh-CN"/>
              </w:rPr>
              <w:t>空气质量标准</w:t>
            </w:r>
            <w:r>
              <w:rPr>
                <w:color w:val="auto"/>
                <w:spacing w:val="9"/>
                <w:sz w:val="24"/>
                <w:szCs w:val="24"/>
                <w:highlight w:val="none"/>
              </w:rPr>
              <w:t>》</w:t>
            </w:r>
            <w:r>
              <w:rPr>
                <w:color w:val="auto"/>
                <w:spacing w:val="1"/>
                <w:sz w:val="24"/>
                <w:szCs w:val="24"/>
                <w:highlight w:val="none"/>
              </w:rPr>
              <w:t>（</w:t>
            </w:r>
            <w:r>
              <w:rPr>
                <w:rFonts w:ascii="Times New Roman" w:hAnsi="Times New Roman" w:eastAsia="Times New Roman" w:cs="Times New Roman"/>
                <w:color w:val="auto"/>
                <w:sz w:val="24"/>
                <w:szCs w:val="24"/>
                <w:highlight w:val="none"/>
              </w:rPr>
              <w:t>GB</w:t>
            </w:r>
            <w:r>
              <w:rPr>
                <w:rFonts w:ascii="Times New Roman" w:hAnsi="Times New Roman" w:eastAsia="Times New Roman" w:cs="Times New Roman"/>
                <w:color w:val="auto"/>
                <w:spacing w:val="1"/>
                <w:sz w:val="24"/>
                <w:szCs w:val="24"/>
                <w:highlight w:val="none"/>
              </w:rPr>
              <w:t>3095-2012</w:t>
            </w:r>
            <w:r>
              <w:rPr>
                <w:color w:val="auto"/>
                <w:spacing w:val="1"/>
                <w:sz w:val="24"/>
                <w:szCs w:val="24"/>
                <w:highlight w:val="none"/>
              </w:rPr>
              <w:t>）及其修改单中二级标准。根据岳阳市生态环境局发布的岳阳</w:t>
            </w:r>
            <w:r>
              <w:rPr>
                <w:color w:val="auto"/>
                <w:spacing w:val="-1"/>
                <w:sz w:val="24"/>
                <w:szCs w:val="24"/>
                <w:highlight w:val="none"/>
              </w:rPr>
              <w:t>市</w:t>
            </w:r>
            <w:r>
              <w:rPr>
                <w:rFonts w:ascii="Times New Roman" w:hAnsi="Times New Roman" w:eastAsia="Times New Roman" w:cs="Times New Roman"/>
                <w:color w:val="auto"/>
                <w:spacing w:val="-1"/>
                <w:sz w:val="24"/>
                <w:szCs w:val="24"/>
                <w:highlight w:val="none"/>
              </w:rPr>
              <w:t>2023</w:t>
            </w:r>
            <w:r>
              <w:rPr>
                <w:color w:val="auto"/>
                <w:spacing w:val="-1"/>
                <w:sz w:val="24"/>
                <w:szCs w:val="24"/>
                <w:highlight w:val="none"/>
              </w:rPr>
              <w:t>年度生态环境质量公报可知：</w:t>
            </w:r>
            <w:r>
              <w:rPr>
                <w:rFonts w:ascii="Times New Roman" w:hAnsi="Times New Roman" w:eastAsia="Times New Roman" w:cs="Times New Roman"/>
                <w:color w:val="auto"/>
                <w:spacing w:val="-1"/>
                <w:sz w:val="24"/>
                <w:szCs w:val="24"/>
                <w:highlight w:val="none"/>
              </w:rPr>
              <w:t>2023</w:t>
            </w:r>
            <w:r>
              <w:rPr>
                <w:color w:val="auto"/>
                <w:spacing w:val="-1"/>
                <w:sz w:val="24"/>
                <w:szCs w:val="24"/>
                <w:highlight w:val="none"/>
              </w:rPr>
              <w:t>年岳阳县</w:t>
            </w:r>
            <w:r>
              <w:rPr>
                <w:rFonts w:ascii="Times New Roman" w:hAnsi="Times New Roman" w:eastAsia="Times New Roman" w:cs="Times New Roman"/>
                <w:color w:val="auto"/>
                <w:spacing w:val="-1"/>
                <w:sz w:val="24"/>
                <w:szCs w:val="24"/>
                <w:highlight w:val="none"/>
              </w:rPr>
              <w:t>SO</w:t>
            </w:r>
            <w:r>
              <w:rPr>
                <w:rFonts w:ascii="Times New Roman" w:hAnsi="Times New Roman" w:eastAsia="Times New Roman" w:cs="Times New Roman"/>
                <w:color w:val="auto"/>
                <w:spacing w:val="-1"/>
                <w:position w:val="-1"/>
                <w:sz w:val="24"/>
                <w:szCs w:val="24"/>
                <w:highlight w:val="none"/>
                <w:vertAlign w:val="subscript"/>
              </w:rPr>
              <w:t>2</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NO</w:t>
            </w:r>
            <w:r>
              <w:rPr>
                <w:rFonts w:ascii="Times New Roman" w:hAnsi="Times New Roman" w:eastAsia="Times New Roman" w:cs="Times New Roman"/>
                <w:color w:val="auto"/>
                <w:spacing w:val="-1"/>
                <w:position w:val="-1"/>
                <w:sz w:val="24"/>
                <w:szCs w:val="24"/>
                <w:highlight w:val="none"/>
                <w:vertAlign w:val="subscript"/>
              </w:rPr>
              <w:t>2</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PM</w:t>
            </w:r>
            <w:r>
              <w:rPr>
                <w:rFonts w:ascii="Times New Roman" w:hAnsi="Times New Roman" w:eastAsia="Times New Roman" w:cs="Times New Roman"/>
                <w:color w:val="auto"/>
                <w:spacing w:val="-1"/>
                <w:position w:val="-1"/>
                <w:sz w:val="24"/>
                <w:szCs w:val="24"/>
                <w:highlight w:val="none"/>
                <w:vertAlign w:val="subscript"/>
              </w:rPr>
              <w:t>1</w:t>
            </w:r>
            <w:r>
              <w:rPr>
                <w:rFonts w:ascii="Times New Roman" w:hAnsi="Times New Roman" w:eastAsia="Times New Roman" w:cs="Times New Roman"/>
                <w:color w:val="auto"/>
                <w:spacing w:val="-2"/>
                <w:position w:val="-1"/>
                <w:sz w:val="24"/>
                <w:szCs w:val="24"/>
                <w:highlight w:val="none"/>
                <w:vertAlign w:val="subscript"/>
              </w:rPr>
              <w:t>0</w:t>
            </w:r>
            <w:r>
              <w:rPr>
                <w:color w:val="auto"/>
                <w:spacing w:val="-2"/>
                <w:sz w:val="24"/>
                <w:szCs w:val="24"/>
                <w:highlight w:val="none"/>
              </w:rPr>
              <w:t>、</w:t>
            </w:r>
            <w:r>
              <w:rPr>
                <w:rFonts w:ascii="Times New Roman" w:hAnsi="Times New Roman" w:eastAsia="Times New Roman" w:cs="Times New Roman"/>
                <w:color w:val="auto"/>
                <w:spacing w:val="-2"/>
                <w:sz w:val="24"/>
                <w:szCs w:val="24"/>
                <w:highlight w:val="none"/>
              </w:rPr>
              <w:t>O</w:t>
            </w:r>
            <w:r>
              <w:rPr>
                <w:rFonts w:ascii="Times New Roman" w:hAnsi="Times New Roman" w:eastAsia="Times New Roman" w:cs="Times New Roman"/>
                <w:color w:val="auto"/>
                <w:spacing w:val="-2"/>
                <w:position w:val="-1"/>
                <w:sz w:val="24"/>
                <w:szCs w:val="24"/>
                <w:highlight w:val="none"/>
              </w:rPr>
              <w:t>3</w:t>
            </w:r>
            <w:r>
              <w:rPr>
                <w:color w:val="auto"/>
                <w:spacing w:val="-2"/>
                <w:sz w:val="24"/>
                <w:szCs w:val="24"/>
                <w:highlight w:val="none"/>
              </w:rPr>
              <w:t>、</w:t>
            </w:r>
            <w:r>
              <w:rPr>
                <w:rFonts w:ascii="Times New Roman" w:hAnsi="Times New Roman" w:eastAsia="Times New Roman" w:cs="Times New Roman"/>
                <w:color w:val="auto"/>
                <w:spacing w:val="-3"/>
                <w:sz w:val="24"/>
                <w:szCs w:val="24"/>
                <w:highlight w:val="none"/>
              </w:rPr>
              <w:t>PM</w:t>
            </w:r>
            <w:r>
              <w:rPr>
                <w:rFonts w:ascii="Times New Roman" w:hAnsi="Times New Roman" w:eastAsia="Times New Roman" w:cs="Times New Roman"/>
                <w:color w:val="auto"/>
                <w:spacing w:val="-3"/>
                <w:position w:val="-1"/>
                <w:sz w:val="24"/>
                <w:szCs w:val="24"/>
                <w:highlight w:val="none"/>
              </w:rPr>
              <w:t>2.5</w:t>
            </w:r>
            <w:r>
              <w:rPr>
                <w:color w:val="auto"/>
                <w:spacing w:val="-3"/>
                <w:sz w:val="24"/>
                <w:szCs w:val="24"/>
                <w:highlight w:val="none"/>
              </w:rPr>
              <w:t>的日最大</w:t>
            </w:r>
            <w:r>
              <w:rPr>
                <w:color w:val="auto"/>
                <w:spacing w:val="-46"/>
                <w:sz w:val="24"/>
                <w:szCs w:val="24"/>
                <w:highlight w:val="none"/>
              </w:rPr>
              <w:t xml:space="preserve"> </w:t>
            </w:r>
            <w:r>
              <w:rPr>
                <w:rFonts w:ascii="Times New Roman" w:hAnsi="Times New Roman" w:eastAsia="Times New Roman" w:cs="Times New Roman"/>
                <w:color w:val="auto"/>
                <w:spacing w:val="-3"/>
                <w:sz w:val="24"/>
                <w:szCs w:val="24"/>
                <w:highlight w:val="none"/>
              </w:rPr>
              <w:t>8h</w:t>
            </w:r>
            <w:r>
              <w:rPr>
                <w:color w:val="auto"/>
                <w:spacing w:val="-3"/>
                <w:sz w:val="24"/>
                <w:szCs w:val="24"/>
                <w:highlight w:val="none"/>
              </w:rPr>
              <w:t>第</w:t>
            </w:r>
            <w:r>
              <w:rPr>
                <w:rFonts w:ascii="Times New Roman" w:hAnsi="Times New Roman" w:eastAsia="Times New Roman" w:cs="Times New Roman"/>
                <w:color w:val="auto"/>
                <w:spacing w:val="-3"/>
                <w:sz w:val="24"/>
                <w:szCs w:val="24"/>
                <w:highlight w:val="none"/>
              </w:rPr>
              <w:t>90</w:t>
            </w:r>
            <w:r>
              <w:rPr>
                <w:color w:val="auto"/>
                <w:spacing w:val="-3"/>
                <w:sz w:val="24"/>
                <w:szCs w:val="24"/>
                <w:highlight w:val="none"/>
              </w:rPr>
              <w:t>百分位及</w:t>
            </w:r>
            <w:r>
              <w:rPr>
                <w:rFonts w:ascii="Times New Roman" w:hAnsi="Times New Roman" w:eastAsia="Times New Roman" w:cs="Times New Roman"/>
                <w:color w:val="auto"/>
                <w:spacing w:val="-3"/>
                <w:sz w:val="24"/>
                <w:szCs w:val="24"/>
                <w:highlight w:val="none"/>
              </w:rPr>
              <w:t>CO</w:t>
            </w:r>
            <w:r>
              <w:rPr>
                <w:color w:val="auto"/>
                <w:spacing w:val="-3"/>
                <w:sz w:val="24"/>
                <w:szCs w:val="24"/>
                <w:highlight w:val="none"/>
              </w:rPr>
              <w:t>的</w:t>
            </w:r>
            <w:r>
              <w:rPr>
                <w:rFonts w:hint="default" w:ascii="Times New Roman" w:hAnsi="Times New Roman" w:cs="Times New Roman"/>
                <w:color w:val="auto"/>
                <w:spacing w:val="-3"/>
                <w:sz w:val="24"/>
                <w:szCs w:val="24"/>
                <w:highlight w:val="none"/>
                <w:lang w:val="en-US" w:eastAsia="zh-CN"/>
              </w:rPr>
              <w:t>24h</w:t>
            </w:r>
            <w:r>
              <w:rPr>
                <w:color w:val="auto"/>
                <w:spacing w:val="-3"/>
                <w:sz w:val="24"/>
                <w:szCs w:val="24"/>
                <w:highlight w:val="none"/>
              </w:rPr>
              <w:t>平均第</w:t>
            </w:r>
            <w:r>
              <w:rPr>
                <w:rFonts w:ascii="Times New Roman" w:hAnsi="Times New Roman" w:eastAsia="Times New Roman" w:cs="Times New Roman"/>
                <w:color w:val="auto"/>
                <w:spacing w:val="-3"/>
                <w:sz w:val="24"/>
                <w:szCs w:val="24"/>
                <w:highlight w:val="none"/>
              </w:rPr>
              <w:t>95</w:t>
            </w:r>
            <w:r>
              <w:rPr>
                <w:color w:val="auto"/>
                <w:spacing w:val="-3"/>
                <w:sz w:val="24"/>
                <w:szCs w:val="24"/>
                <w:highlight w:val="none"/>
              </w:rPr>
              <w:t>百分位数均满足《环境</w:t>
            </w:r>
            <w:r>
              <w:rPr>
                <w:color w:val="auto"/>
                <w:sz w:val="24"/>
                <w:szCs w:val="24"/>
                <w:highlight w:val="none"/>
              </w:rPr>
              <w:t>空气质量标准》（</w:t>
            </w:r>
            <w:r>
              <w:rPr>
                <w:rFonts w:ascii="Times New Roman" w:hAnsi="Times New Roman" w:eastAsia="Times New Roman" w:cs="Times New Roman"/>
                <w:color w:val="auto"/>
                <w:sz w:val="24"/>
                <w:szCs w:val="24"/>
                <w:highlight w:val="none"/>
              </w:rPr>
              <w:t>GB3095-2012</w:t>
            </w:r>
            <w:r>
              <w:rPr>
                <w:color w:val="auto"/>
                <w:sz w:val="24"/>
                <w:szCs w:val="24"/>
                <w:highlight w:val="none"/>
              </w:rPr>
              <w:t>）及其</w:t>
            </w:r>
            <w:r>
              <w:rPr>
                <w:rFonts w:ascii="Times New Roman" w:hAnsi="Times New Roman" w:eastAsia="Times New Roman" w:cs="Times New Roman"/>
                <w:color w:val="auto"/>
                <w:sz w:val="24"/>
                <w:szCs w:val="24"/>
                <w:highlight w:val="none"/>
              </w:rPr>
              <w:t>2018</w:t>
            </w:r>
            <w:r>
              <w:rPr>
                <w:color w:val="auto"/>
                <w:sz w:val="24"/>
                <w:szCs w:val="24"/>
                <w:highlight w:val="none"/>
              </w:rPr>
              <w:t>年修改</w:t>
            </w:r>
            <w:r>
              <w:rPr>
                <w:color w:val="auto"/>
                <w:spacing w:val="-1"/>
                <w:sz w:val="24"/>
                <w:szCs w:val="24"/>
                <w:highlight w:val="none"/>
              </w:rPr>
              <w:t>单中二级标准限值要求。</w:t>
            </w:r>
          </w:p>
          <w:p w14:paraId="59E8CC3D">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rPr>
                <w:color w:val="auto"/>
                <w:sz w:val="24"/>
                <w:szCs w:val="24"/>
                <w:highlight w:val="none"/>
              </w:rPr>
            </w:pPr>
            <w:r>
              <w:rPr>
                <w:color w:val="auto"/>
                <w:spacing w:val="-2"/>
                <w:sz w:val="24"/>
                <w:szCs w:val="24"/>
                <w:highlight w:val="none"/>
              </w:rPr>
              <w:t>本项目北距新墙河约</w:t>
            </w:r>
            <w:r>
              <w:rPr>
                <w:rFonts w:hint="eastAsia" w:ascii="Times New Roman" w:hAnsi="Times New Roman" w:eastAsia="宋体" w:cs="Times New Roman"/>
                <w:color w:val="auto"/>
                <w:spacing w:val="-2"/>
                <w:sz w:val="24"/>
                <w:szCs w:val="24"/>
                <w:highlight w:val="none"/>
                <w:lang w:val="en-US" w:eastAsia="zh-CN"/>
              </w:rPr>
              <w:t>2.4</w:t>
            </w:r>
            <w:r>
              <w:rPr>
                <w:rFonts w:ascii="Times New Roman" w:hAnsi="Times New Roman" w:eastAsia="Times New Roman" w:cs="Times New Roman"/>
                <w:color w:val="auto"/>
                <w:spacing w:val="-2"/>
                <w:sz w:val="24"/>
                <w:szCs w:val="24"/>
                <w:highlight w:val="none"/>
              </w:rPr>
              <w:t>km</w:t>
            </w:r>
            <w:r>
              <w:rPr>
                <w:color w:val="auto"/>
                <w:spacing w:val="-2"/>
                <w:sz w:val="24"/>
                <w:szCs w:val="24"/>
                <w:highlight w:val="none"/>
              </w:rPr>
              <w:t>，西北距东洞庭湖约</w:t>
            </w:r>
            <w:r>
              <w:rPr>
                <w:rFonts w:hint="eastAsia" w:ascii="Times New Roman" w:hAnsi="Times New Roman" w:eastAsia="宋体" w:cs="Times New Roman"/>
                <w:color w:val="auto"/>
                <w:spacing w:val="-2"/>
                <w:sz w:val="24"/>
                <w:szCs w:val="24"/>
                <w:highlight w:val="none"/>
                <w:lang w:val="en-US" w:eastAsia="zh-CN"/>
              </w:rPr>
              <w:t>22</w:t>
            </w:r>
            <w:r>
              <w:rPr>
                <w:rFonts w:ascii="Times New Roman" w:hAnsi="Times New Roman" w:eastAsia="Times New Roman" w:cs="Times New Roman"/>
                <w:color w:val="auto"/>
                <w:spacing w:val="-2"/>
                <w:sz w:val="24"/>
                <w:szCs w:val="24"/>
                <w:highlight w:val="none"/>
              </w:rPr>
              <w:t>km</w:t>
            </w:r>
            <w:r>
              <w:rPr>
                <w:color w:val="auto"/>
                <w:spacing w:val="-2"/>
                <w:sz w:val="24"/>
                <w:szCs w:val="24"/>
                <w:highlight w:val="none"/>
              </w:rPr>
              <w:t>（见附图</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）。本次</w:t>
            </w:r>
            <w:r>
              <w:rPr>
                <w:color w:val="auto"/>
                <w:spacing w:val="2"/>
                <w:sz w:val="24"/>
                <w:szCs w:val="24"/>
                <w:highlight w:val="none"/>
              </w:rPr>
              <w:t>评价引用《岳阳市</w:t>
            </w:r>
            <w:r>
              <w:rPr>
                <w:rFonts w:ascii="Times New Roman" w:hAnsi="Times New Roman" w:eastAsia="Times New Roman" w:cs="Times New Roman"/>
                <w:color w:val="auto"/>
                <w:spacing w:val="2"/>
                <w:sz w:val="24"/>
                <w:szCs w:val="24"/>
                <w:highlight w:val="none"/>
              </w:rPr>
              <w:t>2023</w:t>
            </w:r>
            <w:r>
              <w:rPr>
                <w:color w:val="auto"/>
                <w:spacing w:val="2"/>
                <w:sz w:val="24"/>
                <w:szCs w:val="24"/>
                <w:highlight w:val="none"/>
              </w:rPr>
              <w:t>年度生态环境质量公报》中</w:t>
            </w:r>
            <w:r>
              <w:rPr>
                <w:rFonts w:ascii="Times New Roman" w:hAnsi="Times New Roman" w:eastAsia="Times New Roman" w:cs="Times New Roman"/>
                <w:color w:val="auto"/>
                <w:spacing w:val="2"/>
                <w:sz w:val="24"/>
                <w:szCs w:val="24"/>
                <w:highlight w:val="none"/>
              </w:rPr>
              <w:t>“</w:t>
            </w:r>
            <w:r>
              <w:rPr>
                <w:color w:val="auto"/>
                <w:spacing w:val="2"/>
                <w:sz w:val="24"/>
                <w:szCs w:val="24"/>
                <w:highlight w:val="none"/>
              </w:rPr>
              <w:t>三、地</w:t>
            </w:r>
            <w:r>
              <w:rPr>
                <w:color w:val="auto"/>
                <w:spacing w:val="1"/>
                <w:sz w:val="24"/>
                <w:szCs w:val="24"/>
                <w:highlight w:val="none"/>
              </w:rPr>
              <w:t>表水环境</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（主要</w:t>
            </w:r>
            <w:r>
              <w:rPr>
                <w:color w:val="auto"/>
                <w:spacing w:val="-4"/>
                <w:sz w:val="24"/>
                <w:szCs w:val="24"/>
                <w:highlight w:val="none"/>
              </w:rPr>
              <w:t>江河水质状况</w:t>
            </w:r>
            <w:r>
              <w:rPr>
                <w:rFonts w:ascii="Times New Roman" w:hAnsi="Times New Roman" w:eastAsia="Times New Roman" w:cs="Times New Roman"/>
                <w:color w:val="auto"/>
                <w:spacing w:val="-4"/>
                <w:sz w:val="24"/>
                <w:szCs w:val="24"/>
                <w:highlight w:val="none"/>
              </w:rPr>
              <w:t>”</w:t>
            </w:r>
            <w:r>
              <w:rPr>
                <w:color w:val="auto"/>
                <w:spacing w:val="-4"/>
                <w:sz w:val="24"/>
                <w:szCs w:val="24"/>
                <w:highlight w:val="none"/>
              </w:rPr>
              <w:t>中：新墙河水质总体为优，</w:t>
            </w:r>
            <w:r>
              <w:rPr>
                <w:rFonts w:ascii="Times New Roman" w:hAnsi="Times New Roman" w:eastAsia="Times New Roman" w:cs="Times New Roman"/>
                <w:color w:val="auto"/>
                <w:spacing w:val="-4"/>
                <w:sz w:val="24"/>
                <w:szCs w:val="24"/>
                <w:highlight w:val="none"/>
              </w:rPr>
              <w:t>9</w:t>
            </w:r>
            <w:r>
              <w:rPr>
                <w:color w:val="auto"/>
                <w:spacing w:val="-4"/>
                <w:sz w:val="24"/>
                <w:szCs w:val="24"/>
                <w:highlight w:val="none"/>
              </w:rPr>
              <w:t>个控制断面水质均达到或优于</w:t>
            </w:r>
            <w:r>
              <w:rPr>
                <w:rFonts w:ascii="Times New Roman" w:hAnsi="Times New Roman" w:eastAsia="Times New Roman" w:cs="Times New Roman"/>
                <w:color w:val="auto"/>
                <w:spacing w:val="-4"/>
                <w:sz w:val="24"/>
                <w:szCs w:val="24"/>
                <w:highlight w:val="none"/>
              </w:rPr>
              <w:t>Ⅱ</w:t>
            </w:r>
            <w:r>
              <w:rPr>
                <w:color w:val="auto"/>
                <w:spacing w:val="-4"/>
                <w:sz w:val="24"/>
                <w:szCs w:val="24"/>
                <w:highlight w:val="none"/>
              </w:rPr>
              <w:t>类。</w:t>
            </w:r>
            <w:r>
              <w:rPr>
                <w:color w:val="auto"/>
                <w:spacing w:val="-2"/>
                <w:sz w:val="24"/>
                <w:szCs w:val="24"/>
                <w:highlight w:val="none"/>
              </w:rPr>
              <w:t>由此表明，本项目所在区域的地表水环境质量良好。</w:t>
            </w:r>
          </w:p>
          <w:p w14:paraId="04A89E91">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rPr>
                <w:color w:val="auto"/>
                <w:sz w:val="24"/>
                <w:szCs w:val="24"/>
                <w:highlight w:val="none"/>
              </w:rPr>
            </w:pPr>
            <w:r>
              <w:rPr>
                <w:color w:val="auto"/>
                <w:spacing w:val="-6"/>
                <w:sz w:val="24"/>
                <w:szCs w:val="24"/>
                <w:highlight w:val="none"/>
              </w:rPr>
              <w:t>本项目生活污水经化粪池处理后用作周边农肥，不外排；生产废水</w:t>
            </w:r>
            <w:r>
              <w:rPr>
                <w:color w:val="auto"/>
                <w:spacing w:val="-7"/>
                <w:sz w:val="24"/>
                <w:szCs w:val="24"/>
                <w:highlight w:val="none"/>
              </w:rPr>
              <w:t>不外排，</w:t>
            </w:r>
            <w:r>
              <w:rPr>
                <w:color w:val="auto"/>
                <w:spacing w:val="-1"/>
                <w:sz w:val="24"/>
                <w:szCs w:val="24"/>
                <w:highlight w:val="none"/>
              </w:rPr>
              <w:t>其中洗砂废水及经</w:t>
            </w:r>
            <w:r>
              <w:rPr>
                <w:rFonts w:hint="eastAsia"/>
                <w:color w:val="auto"/>
                <w:spacing w:val="-1"/>
                <w:sz w:val="24"/>
                <w:szCs w:val="24"/>
                <w:highlight w:val="none"/>
                <w:lang w:val="en-US" w:eastAsia="zh-CN"/>
              </w:rPr>
              <w:t>絮凝沉淀</w:t>
            </w:r>
            <w:r>
              <w:rPr>
                <w:color w:val="auto"/>
                <w:spacing w:val="-1"/>
                <w:sz w:val="24"/>
                <w:szCs w:val="24"/>
                <w:highlight w:val="none"/>
              </w:rPr>
              <w:t>后均回用于洗砂，初期雨水经</w:t>
            </w:r>
            <w:r>
              <w:rPr>
                <w:rFonts w:hint="eastAsia"/>
                <w:color w:val="auto"/>
                <w:spacing w:val="-1"/>
                <w:sz w:val="24"/>
                <w:szCs w:val="24"/>
                <w:highlight w:val="none"/>
                <w:lang w:val="en-US" w:eastAsia="zh-CN"/>
              </w:rPr>
              <w:t>絮凝沉淀</w:t>
            </w:r>
            <w:r>
              <w:rPr>
                <w:color w:val="auto"/>
                <w:spacing w:val="-1"/>
                <w:sz w:val="24"/>
                <w:szCs w:val="24"/>
                <w:highlight w:val="none"/>
              </w:rPr>
              <w:t>后回用于</w:t>
            </w:r>
            <w:r>
              <w:rPr>
                <w:rFonts w:hint="eastAsia"/>
                <w:color w:val="auto"/>
                <w:spacing w:val="-1"/>
                <w:sz w:val="24"/>
                <w:szCs w:val="24"/>
                <w:highlight w:val="none"/>
                <w:lang w:val="en-US" w:eastAsia="zh-CN"/>
              </w:rPr>
              <w:t>抑尘用水</w:t>
            </w:r>
            <w:r>
              <w:rPr>
                <w:color w:val="auto"/>
                <w:spacing w:val="-1"/>
                <w:sz w:val="24"/>
                <w:szCs w:val="24"/>
                <w:highlight w:val="none"/>
              </w:rPr>
              <w:t>，车辆冲洗用水</w:t>
            </w:r>
            <w:r>
              <w:rPr>
                <w:rFonts w:hint="eastAsia"/>
                <w:color w:val="auto"/>
                <w:spacing w:val="-1"/>
                <w:sz w:val="24"/>
                <w:szCs w:val="24"/>
                <w:highlight w:val="none"/>
                <w:lang w:val="en-US" w:eastAsia="zh-CN"/>
              </w:rPr>
              <w:t>及场区清洗用水经洗车槽</w:t>
            </w:r>
            <w:r>
              <w:rPr>
                <w:color w:val="auto"/>
                <w:spacing w:val="-1"/>
                <w:sz w:val="24"/>
                <w:szCs w:val="24"/>
                <w:highlight w:val="none"/>
              </w:rPr>
              <w:t>沉淀后回用于车辆冲洗。本项目不会对项目厂区附近地表水水体的水质造成不利影响。同时，大气污染物为颗粒物，经采取相应防治措施后可实现达标排放；固体废物能得到妥善、安全处置，不对环境造成二次污染。落实本环评提出的相关环保措施后，本项目污染物排放不会对区域环境质量底线造成冲击。</w:t>
            </w:r>
          </w:p>
          <w:p w14:paraId="0759DF1E">
            <w:pPr>
              <w:pStyle w:val="37"/>
              <w:bidi w:val="0"/>
              <w:rPr>
                <w:rFonts w:hint="eastAsia" w:ascii="Times New Roman" w:hAnsi="Times New Roman" w:eastAsia="宋体" w:cs="Times New Roman"/>
                <w:b/>
                <w:bCs/>
                <w:color w:val="auto"/>
                <w:kern w:val="0"/>
                <w:sz w:val="24"/>
                <w:szCs w:val="24"/>
                <w:highlight w:val="none"/>
                <w:u w:val="none" w:color="auto"/>
                <w:lang w:val="en-US" w:eastAsia="zh-CN"/>
              </w:rPr>
            </w:pPr>
            <w:r>
              <w:rPr>
                <w:rFonts w:hint="eastAsia" w:ascii="Times New Roman" w:hAnsi="Times New Roman" w:eastAsia="宋体" w:cs="Times New Roman"/>
                <w:b/>
                <w:bCs/>
                <w:color w:val="auto"/>
                <w:kern w:val="0"/>
                <w:sz w:val="24"/>
                <w:szCs w:val="24"/>
                <w:highlight w:val="none"/>
                <w:u w:val="none" w:color="auto"/>
                <w:lang w:val="en-US" w:eastAsia="zh-CN"/>
              </w:rPr>
              <w:t>1.3资源利用上线</w:t>
            </w:r>
          </w:p>
          <w:p w14:paraId="7FB0F2CE">
            <w:pPr>
              <w:spacing w:line="360" w:lineRule="auto"/>
              <w:ind w:firstLine="482"/>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资源是环境的载体，</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资源利用，上线</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地区能源、水、土地等资源消耗不得突破的</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天花板</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0C322C1A">
            <w:pPr>
              <w:spacing w:line="360" w:lineRule="auto"/>
              <w:ind w:firstLine="482"/>
              <w:rPr>
                <w:color w:val="auto"/>
                <w:sz w:val="24"/>
                <w:u w:val="none"/>
              </w:rPr>
            </w:pPr>
            <w:r>
              <w:rPr>
                <w:rFonts w:hint="eastAsia" w:ascii="Times New Roman" w:hAnsi="Times New Roman" w:eastAsia="宋体" w:cs="Times New Roman"/>
                <w:color w:val="auto"/>
                <w:sz w:val="24"/>
                <w:szCs w:val="24"/>
                <w:highlight w:val="none"/>
                <w:u w:val="none" w:color="auto"/>
                <w:lang w:val="en-US" w:eastAsia="zh-CN"/>
              </w:rPr>
              <w:t>项目使用的资源主要为电和水，营运过程中用电由</w:t>
            </w:r>
            <w:r>
              <w:rPr>
                <w:rFonts w:hint="default" w:ascii="Times New Roman" w:hAnsi="Times New Roman" w:eastAsia="宋体" w:cs="Times New Roman"/>
                <w:color w:val="auto"/>
                <w:sz w:val="24"/>
                <w:szCs w:val="24"/>
                <w:highlight w:val="none"/>
                <w:u w:val="none" w:color="auto"/>
              </w:rPr>
              <w:t>国</w:t>
            </w:r>
            <w:r>
              <w:rPr>
                <w:rFonts w:hint="default"/>
                <w:color w:val="auto"/>
                <w:highlight w:val="none"/>
                <w:u w:val="none" w:color="auto"/>
              </w:rPr>
              <w:t>家电网</w:t>
            </w:r>
            <w:r>
              <w:rPr>
                <w:rFonts w:hint="eastAsia"/>
                <w:color w:val="auto"/>
                <w:highlight w:val="none"/>
                <w:u w:val="none" w:color="auto"/>
                <w:lang w:val="en-US" w:eastAsia="zh-CN"/>
              </w:rPr>
              <w:t>供应，</w:t>
            </w:r>
            <w:r>
              <w:rPr>
                <w:rFonts w:hint="default" w:ascii="Times New Roman" w:hAnsi="Times New Roman" w:eastAsia="宋体" w:cs="Times New Roman"/>
                <w:color w:val="auto"/>
                <w:sz w:val="24"/>
                <w:szCs w:val="24"/>
                <w:highlight w:val="none"/>
                <w:u w:val="none" w:color="auto"/>
              </w:rPr>
              <w:t>区域内已通自来水且水源充足，</w:t>
            </w:r>
            <w:r>
              <w:rPr>
                <w:rFonts w:hint="eastAsia"/>
                <w:color w:val="auto"/>
                <w:sz w:val="24"/>
                <w:u w:val="none"/>
              </w:rPr>
              <w:t>项目生产过程中产生的废水经处理后循环使用，减少了新鲜水使用量，节省了水资源，且项目资源消耗量相对区域资源利用总量较少，符合资源利用上限要求。</w:t>
            </w:r>
          </w:p>
          <w:p w14:paraId="783A70DC">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1.4生态环境准入清单</w:t>
            </w:r>
          </w:p>
          <w:p w14:paraId="6CF299E7">
            <w:pPr>
              <w:pStyle w:val="5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对照《湖南省国家重点生态功能区产业准入负面清单》（湘发改规划〔2018〕373号）和《湖南省新增19个国家重点生态功能区产业准入负面清单（试行）》（2018年11月）中相关规定，本项目不属于负面清单中限制类及淘汰类，符合要求；根据国家发展改革委商务部关于印发《市场准入负面清单（2022年版）》的通知（发改体改规〔2022〕397号），本项目不属于其中的限制类和禁止类，本项目不在负面清单内，符合规定。</w:t>
            </w:r>
          </w:p>
          <w:p w14:paraId="32917F01">
            <w:pPr>
              <w:pStyle w:val="5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综上，评价认为本项目在严格落实评价要求的各种污染防治及管理措施后，项目符合湖南省人民政府关于实施“三线一单”生态环境分区管控的意见中有关要求。</w:t>
            </w:r>
          </w:p>
          <w:p w14:paraId="4DE7B641">
            <w:pPr>
              <w:spacing w:line="272" w:lineRule="auto"/>
              <w:jc w:val="center"/>
              <w:rPr>
                <w:rFonts w:hint="default" w:ascii="Times New Roman" w:hAnsi="Times New Roman" w:eastAsia="宋体" w:cs="Times New Roman"/>
                <w:b/>
                <w:color w:val="auto"/>
                <w:highlight w:val="none"/>
                <w:u w:val="none" w:color="auto"/>
              </w:rPr>
            </w:pPr>
            <w:r>
              <w:rPr>
                <w:rFonts w:hint="default" w:ascii="Times New Roman" w:hAnsi="Times New Roman" w:eastAsia="宋体" w:cs="Times New Roman"/>
                <w:b/>
                <w:color w:val="auto"/>
                <w:highlight w:val="none"/>
                <w:u w:val="none" w:color="auto"/>
              </w:rPr>
              <w:t>表</w:t>
            </w:r>
            <w:r>
              <w:rPr>
                <w:rFonts w:hint="default" w:ascii="Times New Roman" w:hAnsi="Times New Roman" w:eastAsia="宋体" w:cs="Times New Roman"/>
                <w:b/>
                <w:color w:val="auto"/>
                <w:highlight w:val="none"/>
                <w:u w:val="none" w:color="auto"/>
                <w:lang w:val="en-US" w:eastAsia="zh-CN"/>
              </w:rPr>
              <w:t>1-</w:t>
            </w:r>
            <w:r>
              <w:rPr>
                <w:rFonts w:hint="default" w:ascii="Times New Roman" w:hAnsi="Times New Roman" w:eastAsia="宋体" w:cs="Times New Roman"/>
                <w:b/>
                <w:color w:val="auto"/>
                <w:highlight w:val="none"/>
                <w:u w:val="none" w:color="auto"/>
              </w:rPr>
              <w:t>1</w:t>
            </w:r>
            <w:r>
              <w:rPr>
                <w:rFonts w:hint="eastAsia" w:cs="Times New Roman"/>
                <w:b/>
                <w:color w:val="auto"/>
                <w:highlight w:val="none"/>
                <w:u w:val="none" w:color="auto"/>
                <w:lang w:val="en-US" w:eastAsia="zh-CN"/>
              </w:rPr>
              <w:t xml:space="preserve">  </w:t>
            </w:r>
            <w:r>
              <w:rPr>
                <w:rFonts w:hint="default" w:ascii="Times New Roman" w:hAnsi="Times New Roman" w:eastAsia="宋体" w:cs="Times New Roman"/>
                <w:b/>
                <w:color w:val="auto"/>
                <w:highlight w:val="none"/>
                <w:u w:val="none" w:color="auto"/>
              </w:rPr>
              <w:t xml:space="preserve"> 与</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关于实施岳阳市</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三线一单</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生态环境分区管控的意见</w:t>
            </w:r>
            <w:r>
              <w:rPr>
                <w:rFonts w:hint="eastAsia" w:ascii="Times New Roman" w:hAnsi="Times New Roman" w:eastAsia="宋体" w:cs="Times New Roman"/>
                <w:b/>
                <w:color w:val="auto"/>
                <w:highlight w:val="none"/>
                <w:u w:val="none" w:color="auto"/>
                <w:lang w:eastAsia="zh-CN"/>
              </w:rPr>
              <w:t>》</w:t>
            </w:r>
            <w:r>
              <w:rPr>
                <w:rFonts w:hint="eastAsia" w:cs="Times New Roman"/>
                <w:b/>
                <w:color w:val="auto"/>
                <w:highlight w:val="none"/>
                <w:u w:val="none" w:color="auto"/>
                <w:lang w:eastAsia="zh-CN"/>
              </w:rPr>
              <w:t>（环发[2024]14号）</w:t>
            </w:r>
            <w:r>
              <w:rPr>
                <w:rFonts w:hint="default" w:ascii="Times New Roman" w:hAnsi="Times New Roman" w:eastAsia="宋体" w:cs="Times New Roman"/>
                <w:b/>
                <w:color w:val="auto"/>
                <w:highlight w:val="none"/>
                <w:u w:val="none" w:color="auto"/>
              </w:rPr>
              <w:t>符合性分析</w:t>
            </w:r>
          </w:p>
          <w:tbl>
            <w:tblPr>
              <w:tblStyle w:val="23"/>
              <w:tblW w:w="49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1"/>
              <w:gridCol w:w="469"/>
              <w:gridCol w:w="427"/>
              <w:gridCol w:w="1130"/>
              <w:gridCol w:w="657"/>
              <w:gridCol w:w="384"/>
              <w:gridCol w:w="1143"/>
              <w:gridCol w:w="500"/>
            </w:tblGrid>
            <w:tr w14:paraId="1204E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41DB4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环境管控单元编码</w:t>
                  </w:r>
                </w:p>
              </w:tc>
              <w:tc>
                <w:tcPr>
                  <w:tcW w:w="494" w:type="pct"/>
                  <w:tcBorders>
                    <w:tl2br w:val="nil"/>
                    <w:tr2bl w:val="nil"/>
                  </w:tcBorders>
                  <w:noWrap w:val="0"/>
                  <w:vAlign w:val="center"/>
                </w:tcPr>
                <w:p w14:paraId="683C0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单元名称</w:t>
                  </w:r>
                </w:p>
              </w:tc>
              <w:tc>
                <w:tcPr>
                  <w:tcW w:w="398" w:type="pct"/>
                  <w:tcBorders>
                    <w:tl2br w:val="nil"/>
                    <w:tr2bl w:val="nil"/>
                  </w:tcBorders>
                  <w:noWrap w:val="0"/>
                  <w:vAlign w:val="center"/>
                </w:tcPr>
                <w:p w14:paraId="3FF5C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单元分类</w:t>
                  </w:r>
                </w:p>
              </w:tc>
              <w:tc>
                <w:tcPr>
                  <w:tcW w:w="646" w:type="pct"/>
                  <w:tcBorders>
                    <w:tl2br w:val="nil"/>
                    <w:tr2bl w:val="nil"/>
                  </w:tcBorders>
                  <w:noWrap w:val="0"/>
                  <w:vAlign w:val="center"/>
                </w:tcPr>
                <w:p w14:paraId="67A41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单元面积</w:t>
                  </w:r>
                </w:p>
              </w:tc>
              <w:tc>
                <w:tcPr>
                  <w:tcW w:w="1132" w:type="pct"/>
                  <w:gridSpan w:val="2"/>
                  <w:tcBorders>
                    <w:tl2br w:val="nil"/>
                    <w:tr2bl w:val="nil"/>
                  </w:tcBorders>
                  <w:noWrap w:val="0"/>
                  <w:vAlign w:val="center"/>
                </w:tcPr>
                <w:p w14:paraId="1D3E8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经济产业</w:t>
                  </w:r>
                </w:p>
                <w:p w14:paraId="21B27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布局</w:t>
                  </w:r>
                </w:p>
              </w:tc>
              <w:tc>
                <w:tcPr>
                  <w:tcW w:w="1539" w:type="pct"/>
                  <w:gridSpan w:val="2"/>
                  <w:tcBorders>
                    <w:tl2br w:val="nil"/>
                    <w:tr2bl w:val="nil"/>
                  </w:tcBorders>
                  <w:noWrap w:val="0"/>
                  <w:vAlign w:val="center"/>
                </w:tcPr>
                <w:p w14:paraId="7AB13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主要环境问题</w:t>
                  </w:r>
                </w:p>
              </w:tc>
            </w:tr>
            <w:tr w14:paraId="54B4C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42798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ZH43062120003</w:t>
                  </w:r>
                </w:p>
              </w:tc>
              <w:tc>
                <w:tcPr>
                  <w:tcW w:w="494" w:type="pct"/>
                  <w:tcBorders>
                    <w:tl2br w:val="nil"/>
                    <w:tr2bl w:val="nil"/>
                  </w:tcBorders>
                  <w:noWrap w:val="0"/>
                  <w:vAlign w:val="center"/>
                </w:tcPr>
                <w:p w14:paraId="48F73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黄沙街镇/荣家湾镇/新开镇/新墙镇</w:t>
                  </w:r>
                </w:p>
              </w:tc>
              <w:tc>
                <w:tcPr>
                  <w:tcW w:w="398" w:type="pct"/>
                  <w:tcBorders>
                    <w:tl2br w:val="nil"/>
                    <w:tr2bl w:val="nil"/>
                  </w:tcBorders>
                  <w:noWrap w:val="0"/>
                  <w:vAlign w:val="center"/>
                </w:tcPr>
                <w:p w14:paraId="220C8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kern w:val="0"/>
                      <w:sz w:val="21"/>
                      <w:szCs w:val="21"/>
                      <w:highlight w:val="none"/>
                      <w:u w:val="none"/>
                    </w:rPr>
                    <w:t>重点管控单元</w:t>
                  </w:r>
                </w:p>
              </w:tc>
              <w:tc>
                <w:tcPr>
                  <w:tcW w:w="646" w:type="pct"/>
                  <w:tcBorders>
                    <w:tl2br w:val="nil"/>
                    <w:tr2bl w:val="nil"/>
                  </w:tcBorders>
                  <w:noWrap w:val="0"/>
                  <w:vAlign w:val="center"/>
                </w:tcPr>
                <w:p w14:paraId="625A8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36</w:t>
                  </w:r>
                  <w:r>
                    <w:rPr>
                      <w:rFonts w:hint="default" w:ascii="Times New Roman" w:hAnsi="Times New Roman" w:eastAsia="宋体" w:cs="Times New Roman"/>
                      <w:color w:val="auto"/>
                      <w:sz w:val="21"/>
                      <w:szCs w:val="21"/>
                      <w:highlight w:val="none"/>
                      <w:u w:val="none"/>
                      <w:lang w:val="en-US" w:eastAsia="zh-CN"/>
                    </w:rPr>
                    <w:t>8.71km</w:t>
                  </w:r>
                  <w:r>
                    <w:rPr>
                      <w:rFonts w:hint="default" w:ascii="Times New Roman" w:hAnsi="Times New Roman" w:eastAsia="宋体" w:cs="Times New Roman"/>
                      <w:color w:val="auto"/>
                      <w:sz w:val="21"/>
                      <w:szCs w:val="21"/>
                      <w:highlight w:val="none"/>
                      <w:u w:val="none"/>
                      <w:vertAlign w:val="superscript"/>
                      <w:lang w:val="en-US" w:eastAsia="zh-CN"/>
                    </w:rPr>
                    <w:t>2</w:t>
                  </w:r>
                </w:p>
              </w:tc>
              <w:tc>
                <w:tcPr>
                  <w:tcW w:w="1132" w:type="pct"/>
                  <w:gridSpan w:val="2"/>
                  <w:tcBorders>
                    <w:tl2br w:val="nil"/>
                    <w:tr2bl w:val="nil"/>
                  </w:tcBorders>
                  <w:noWrap w:val="0"/>
                  <w:vAlign w:val="center"/>
                </w:tcPr>
                <w:p w14:paraId="7052A52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b/>
                      <w:bCs/>
                      <w:color w:val="auto"/>
                      <w:spacing w:val="6"/>
                      <w:sz w:val="21"/>
                      <w:szCs w:val="21"/>
                      <w:highlight w:val="none"/>
                    </w:rPr>
                    <w:t>新墙镇：</w:t>
                  </w:r>
                  <w:r>
                    <w:rPr>
                      <w:rFonts w:hint="default" w:ascii="Times New Roman" w:hAnsi="Times New Roman" w:eastAsia="宋体" w:cs="Times New Roman"/>
                      <w:color w:val="auto"/>
                      <w:spacing w:val="6"/>
                      <w:sz w:val="21"/>
                      <w:szCs w:val="21"/>
                      <w:highlight w:val="none"/>
                    </w:rPr>
                    <w:t>城郊服务型，重点发展特色农业种植、建材加工、工业陶瓷、商</w:t>
                  </w:r>
                  <w:r>
                    <w:rPr>
                      <w:rFonts w:hint="default" w:ascii="Times New Roman" w:hAnsi="Times New Roman" w:eastAsia="宋体" w:cs="Times New Roman"/>
                      <w:color w:val="auto"/>
                      <w:spacing w:val="5"/>
                      <w:sz w:val="21"/>
                      <w:szCs w:val="21"/>
                      <w:highlight w:val="none"/>
                    </w:rPr>
                    <w:t>贸物流。</w:t>
                  </w:r>
                </w:p>
              </w:tc>
              <w:tc>
                <w:tcPr>
                  <w:tcW w:w="1539" w:type="pct"/>
                  <w:gridSpan w:val="2"/>
                  <w:tcBorders>
                    <w:tl2br w:val="nil"/>
                    <w:tr2bl w:val="nil"/>
                  </w:tcBorders>
                  <w:noWrap w:val="0"/>
                  <w:vAlign w:val="center"/>
                </w:tcPr>
                <w:p w14:paraId="18015BB2">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主要环境问题：</w:t>
                  </w:r>
                </w:p>
                <w:p w14:paraId="04C28B6B">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2"/>
                      <w:sz w:val="21"/>
                      <w:szCs w:val="21"/>
                      <w:highlight w:val="none"/>
                    </w:rPr>
                    <w:t>新墙镇</w:t>
                  </w:r>
                  <w:r>
                    <w:rPr>
                      <w:rFonts w:hint="default" w:ascii="Times New Roman" w:hAnsi="Times New Roman" w:eastAsia="宋体" w:cs="Times New Roman"/>
                      <w:color w:val="auto"/>
                      <w:spacing w:val="12"/>
                      <w:sz w:val="21"/>
                      <w:szCs w:val="21"/>
                      <w:highlight w:val="none"/>
                    </w:rPr>
                    <w:t>：</w:t>
                  </w:r>
                  <w:r>
                    <w:rPr>
                      <w:rFonts w:hint="default" w:ascii="Times New Roman" w:hAnsi="Times New Roman" w:eastAsia="宋体" w:cs="Times New Roman"/>
                      <w:color w:val="auto"/>
                      <w:spacing w:val="-48"/>
                      <w:sz w:val="21"/>
                      <w:szCs w:val="21"/>
                      <w:highlight w:val="none"/>
                    </w:rPr>
                    <w:t xml:space="preserve"> </w:t>
                  </w:r>
                  <w:r>
                    <w:rPr>
                      <w:rFonts w:hint="default" w:ascii="Times New Roman" w:hAnsi="Times New Roman" w:eastAsia="宋体" w:cs="Times New Roman"/>
                      <w:color w:val="auto"/>
                      <w:spacing w:val="12"/>
                      <w:sz w:val="21"/>
                      <w:szCs w:val="21"/>
                      <w:highlight w:val="none"/>
                    </w:rPr>
                    <w:t>畜禽养殖、农业面源</w:t>
                  </w:r>
                  <w:r>
                    <w:rPr>
                      <w:rFonts w:hint="default" w:ascii="Times New Roman" w:hAnsi="Times New Roman" w:eastAsia="宋体" w:cs="Times New Roman"/>
                      <w:color w:val="auto"/>
                      <w:spacing w:val="16"/>
                      <w:sz w:val="21"/>
                      <w:szCs w:val="21"/>
                      <w:highlight w:val="none"/>
                    </w:rPr>
                    <w:t>和农村生活污染对新墙河水体</w:t>
                  </w:r>
                  <w:r>
                    <w:rPr>
                      <w:rFonts w:hint="default" w:ascii="Times New Roman" w:hAnsi="Times New Roman" w:eastAsia="宋体" w:cs="Times New Roman"/>
                      <w:color w:val="auto"/>
                      <w:spacing w:val="4"/>
                      <w:sz w:val="21"/>
                      <w:szCs w:val="21"/>
                      <w:highlight w:val="none"/>
                    </w:rPr>
                    <w:t>的影响。</w:t>
                  </w:r>
                </w:p>
                <w:p w14:paraId="1AA16E12">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重要敏感目标：</w:t>
                  </w:r>
                </w:p>
                <w:p w14:paraId="56DCA2B9">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b/>
                      <w:bCs/>
                      <w:color w:val="auto"/>
                      <w:spacing w:val="16"/>
                      <w:sz w:val="21"/>
                      <w:szCs w:val="21"/>
                      <w:highlight w:val="none"/>
                    </w:rPr>
                    <w:t>新墙镇</w:t>
                  </w:r>
                  <w:r>
                    <w:rPr>
                      <w:rFonts w:hint="default" w:ascii="Times New Roman" w:hAnsi="Times New Roman" w:eastAsia="宋体" w:cs="Times New Roman"/>
                      <w:color w:val="auto"/>
                      <w:spacing w:val="16"/>
                      <w:sz w:val="21"/>
                      <w:szCs w:val="21"/>
                      <w:highlight w:val="none"/>
                    </w:rPr>
                    <w:t>：岳阳县新墙水库饮用水水源保护区、湖南新墙河国</w:t>
                  </w:r>
                  <w:r>
                    <w:rPr>
                      <w:rFonts w:hint="default" w:ascii="Times New Roman" w:hAnsi="Times New Roman" w:eastAsia="宋体" w:cs="Times New Roman"/>
                      <w:color w:val="auto"/>
                      <w:spacing w:val="6"/>
                      <w:sz w:val="21"/>
                      <w:szCs w:val="21"/>
                      <w:highlight w:val="none"/>
                    </w:rPr>
                    <w:t>家湿地公园。</w:t>
                  </w:r>
                </w:p>
              </w:tc>
            </w:tr>
            <w:tr w14:paraId="5383F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787" w:type="pct"/>
                  <w:tcBorders>
                    <w:tl2br w:val="nil"/>
                    <w:tr2bl w:val="nil"/>
                  </w:tcBorders>
                  <w:noWrap w:val="0"/>
                  <w:vAlign w:val="center"/>
                </w:tcPr>
                <w:p w14:paraId="67F2DE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管控维度</w:t>
                  </w:r>
                </w:p>
              </w:tc>
              <w:tc>
                <w:tcPr>
                  <w:tcW w:w="2243" w:type="pct"/>
                  <w:gridSpan w:val="4"/>
                  <w:tcBorders>
                    <w:tl2br w:val="nil"/>
                    <w:tr2bl w:val="nil"/>
                  </w:tcBorders>
                  <w:noWrap w:val="0"/>
                  <w:vAlign w:val="center"/>
                </w:tcPr>
                <w:p w14:paraId="17E355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管控要求</w:t>
                  </w:r>
                </w:p>
              </w:tc>
              <w:tc>
                <w:tcPr>
                  <w:tcW w:w="1450" w:type="pct"/>
                  <w:gridSpan w:val="2"/>
                  <w:tcBorders>
                    <w:tl2br w:val="nil"/>
                    <w:tr2bl w:val="nil"/>
                  </w:tcBorders>
                  <w:noWrap w:val="0"/>
                  <w:vAlign w:val="center"/>
                </w:tcPr>
                <w:p w14:paraId="536378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项目情况</w:t>
                  </w:r>
                </w:p>
              </w:tc>
              <w:tc>
                <w:tcPr>
                  <w:tcW w:w="518" w:type="pct"/>
                  <w:tcBorders>
                    <w:tl2br w:val="nil"/>
                    <w:tr2bl w:val="nil"/>
                  </w:tcBorders>
                  <w:noWrap w:val="0"/>
                  <w:vAlign w:val="center"/>
                </w:tcPr>
                <w:p w14:paraId="779E34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是否</w:t>
                  </w:r>
                </w:p>
                <w:p w14:paraId="7EB9A7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符合</w:t>
                  </w:r>
                </w:p>
              </w:tc>
            </w:tr>
            <w:tr w14:paraId="573E8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545937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空间布局</w:t>
                  </w:r>
                </w:p>
                <w:p w14:paraId="72F22C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约束</w:t>
                  </w:r>
                </w:p>
              </w:tc>
              <w:tc>
                <w:tcPr>
                  <w:tcW w:w="2243" w:type="pct"/>
                  <w:gridSpan w:val="4"/>
                  <w:tcBorders>
                    <w:tl2br w:val="nil"/>
                    <w:tr2bl w:val="nil"/>
                  </w:tcBorders>
                  <w:noWrap w:val="0"/>
                  <w:vAlign w:val="center"/>
                </w:tcPr>
                <w:p w14:paraId="5782441E">
                  <w:pPr>
                    <w:keepNext w:val="0"/>
                    <w:keepLines w:val="0"/>
                    <w:pageBreakBefore w:val="0"/>
                    <w:kinsoku/>
                    <w:wordWrap/>
                    <w:overflowPunct/>
                    <w:topLinePunct w:val="0"/>
                    <w:autoSpaceDE/>
                    <w:autoSpaceDN/>
                    <w:bidi w:val="0"/>
                    <w:adjustRightInd/>
                    <w:snapToGrid/>
                    <w:spacing w:line="240" w:lineRule="auto"/>
                    <w:ind w:left="0" w:right="0" w:firstLine="7"/>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w:t>
                  </w:r>
                  <w:r>
                    <w:rPr>
                      <w:rFonts w:hint="default" w:ascii="Times New Roman" w:hAnsi="Times New Roman" w:eastAsia="Times New Roman" w:cs="Times New Roman"/>
                      <w:color w:val="auto"/>
                      <w:spacing w:val="6"/>
                      <w:sz w:val="21"/>
                      <w:szCs w:val="21"/>
                      <w:highlight w:val="none"/>
                    </w:rPr>
                    <w:t>1.1</w:t>
                  </w:r>
                  <w:r>
                    <w:rPr>
                      <w:rFonts w:hint="default" w:ascii="Times New Roman" w:hAnsi="Times New Roman" w:eastAsia="宋体" w:cs="Times New Roman"/>
                      <w:color w:val="auto"/>
                      <w:spacing w:val="6"/>
                      <w:sz w:val="21"/>
                      <w:szCs w:val="21"/>
                      <w:highlight w:val="none"/>
                    </w:rPr>
                    <w:t>）全面规范河流、湖泊、水库等天然水域的水产养殖行为，禁止天然水域投肥</w:t>
                  </w:r>
                  <w:r>
                    <w:rPr>
                      <w:rFonts w:hint="default" w:ascii="Times New Roman" w:hAnsi="Times New Roman" w:eastAsia="宋体" w:cs="Times New Roman"/>
                      <w:color w:val="auto"/>
                      <w:spacing w:val="9"/>
                      <w:sz w:val="21"/>
                      <w:szCs w:val="21"/>
                      <w:highlight w:val="none"/>
                    </w:rPr>
                    <w:t>投饵养殖。禁止周边生活污水及畜禽粪直接排入水库，全面</w:t>
                  </w:r>
                  <w:r>
                    <w:rPr>
                      <w:rFonts w:hint="default" w:ascii="Times New Roman" w:hAnsi="Times New Roman" w:eastAsia="宋体" w:cs="Times New Roman"/>
                      <w:color w:val="auto"/>
                      <w:spacing w:val="8"/>
                      <w:sz w:val="21"/>
                      <w:szCs w:val="21"/>
                      <w:highlight w:val="none"/>
                    </w:rPr>
                    <w:t>加强对人工水产养殖尾</w:t>
                  </w:r>
                  <w:r>
                    <w:rPr>
                      <w:rFonts w:hint="default" w:ascii="Times New Roman" w:hAnsi="Times New Roman" w:eastAsia="宋体" w:cs="Times New Roman"/>
                      <w:color w:val="auto"/>
                      <w:spacing w:val="9"/>
                      <w:sz w:val="21"/>
                      <w:szCs w:val="21"/>
                      <w:highlight w:val="none"/>
                    </w:rPr>
                    <w:t>水排放的管控。岳阳县重点湖泊禁止网箱、网围、网栏等人工养殖。</w:t>
                  </w:r>
                </w:p>
                <w:p w14:paraId="4597501A">
                  <w:pPr>
                    <w:keepNext w:val="0"/>
                    <w:keepLines w:val="0"/>
                    <w:pageBreakBefore w:val="0"/>
                    <w:kinsoku/>
                    <w:wordWrap/>
                    <w:overflowPunct/>
                    <w:topLinePunct w:val="0"/>
                    <w:autoSpaceDE/>
                    <w:autoSpaceDN/>
                    <w:bidi w:val="0"/>
                    <w:adjustRightInd/>
                    <w:snapToGrid/>
                    <w:spacing w:line="240" w:lineRule="auto"/>
                    <w:ind w:left="0" w:right="0" w:firstLine="1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w:t>
                  </w:r>
                  <w:r>
                    <w:rPr>
                      <w:rFonts w:hint="default" w:ascii="Times New Roman" w:hAnsi="Times New Roman" w:eastAsia="Times New Roman" w:cs="Times New Roman"/>
                      <w:color w:val="auto"/>
                      <w:spacing w:val="7"/>
                      <w:sz w:val="21"/>
                      <w:szCs w:val="21"/>
                      <w:highlight w:val="none"/>
                    </w:rPr>
                    <w:t>1.2</w:t>
                  </w:r>
                  <w:r>
                    <w:rPr>
                      <w:rFonts w:hint="default" w:ascii="Times New Roman" w:hAnsi="Times New Roman" w:eastAsia="宋体" w:cs="Times New Roman"/>
                      <w:color w:val="auto"/>
                      <w:spacing w:val="7"/>
                      <w:sz w:val="21"/>
                      <w:szCs w:val="21"/>
                      <w:highlight w:val="none"/>
                    </w:rPr>
                    <w:t>）黄沙街镇、新墙镇围绕特色农产品的优势区建设，加强地方</w:t>
                  </w:r>
                  <w:r>
                    <w:rPr>
                      <w:rFonts w:hint="default" w:ascii="Times New Roman" w:hAnsi="Times New Roman" w:eastAsia="宋体" w:cs="Times New Roman"/>
                      <w:color w:val="auto"/>
                      <w:spacing w:val="6"/>
                      <w:sz w:val="21"/>
                      <w:szCs w:val="21"/>
                      <w:highlight w:val="none"/>
                    </w:rPr>
                    <w:t>特色种质资源保</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9"/>
                      <w:sz w:val="21"/>
                      <w:szCs w:val="21"/>
                      <w:highlight w:val="none"/>
                    </w:rPr>
                    <w:t>护与利用，发展壮大葡萄、茶叶等特色优势产业。新墙镇、新开镇注重发</w:t>
                  </w:r>
                  <w:r>
                    <w:rPr>
                      <w:rFonts w:hint="default" w:ascii="Times New Roman" w:hAnsi="Times New Roman" w:eastAsia="宋体" w:cs="Times New Roman"/>
                      <w:color w:val="auto"/>
                      <w:spacing w:val="8"/>
                      <w:sz w:val="21"/>
                      <w:szCs w:val="21"/>
                      <w:highlight w:val="none"/>
                    </w:rPr>
                    <w:t>展物流和</w:t>
                  </w:r>
                  <w:r>
                    <w:rPr>
                      <w:rFonts w:hint="default" w:ascii="Times New Roman" w:hAnsi="Times New Roman" w:eastAsia="宋体" w:cs="Times New Roman"/>
                      <w:color w:val="auto"/>
                      <w:spacing w:val="9"/>
                      <w:sz w:val="21"/>
                      <w:szCs w:val="21"/>
                      <w:highlight w:val="none"/>
                    </w:rPr>
                    <w:t>机械加工。新开镇配套发展建材加工，禁止引入以废气排放量大的企</w:t>
                  </w:r>
                  <w:r>
                    <w:rPr>
                      <w:rFonts w:hint="default" w:ascii="Times New Roman" w:hAnsi="Times New Roman" w:eastAsia="宋体" w:cs="Times New Roman"/>
                      <w:color w:val="auto"/>
                      <w:spacing w:val="8"/>
                      <w:sz w:val="21"/>
                      <w:szCs w:val="21"/>
                      <w:highlight w:val="none"/>
                    </w:rPr>
                    <w:t>业。推进辖区</w:t>
                  </w:r>
                  <w:r>
                    <w:rPr>
                      <w:rFonts w:hint="default" w:ascii="Times New Roman" w:hAnsi="Times New Roman" w:eastAsia="宋体" w:cs="Times New Roman"/>
                      <w:color w:val="auto"/>
                      <w:spacing w:val="9"/>
                      <w:sz w:val="21"/>
                      <w:szCs w:val="21"/>
                      <w:highlight w:val="none"/>
                    </w:rPr>
                    <w:t>加工企业聚集发展，提高产业集约化、绿色化发展水平。限制布局废水量大、耗水</w:t>
                  </w:r>
                  <w:r>
                    <w:rPr>
                      <w:rFonts w:hint="default" w:ascii="Times New Roman" w:hAnsi="Times New Roman" w:eastAsia="宋体" w:cs="Times New Roman"/>
                      <w:color w:val="auto"/>
                      <w:spacing w:val="7"/>
                      <w:sz w:val="21"/>
                      <w:szCs w:val="21"/>
                      <w:highlight w:val="none"/>
                    </w:rPr>
                    <w:t>量大的工业企业。</w:t>
                  </w:r>
                </w:p>
                <w:p w14:paraId="43B70B09">
                  <w:pPr>
                    <w:keepNext w:val="0"/>
                    <w:keepLines w:val="0"/>
                    <w:pageBreakBefore w:val="0"/>
                    <w:kinsoku/>
                    <w:wordWrap/>
                    <w:overflowPunct/>
                    <w:topLinePunct w:val="0"/>
                    <w:autoSpaceDE/>
                    <w:autoSpaceDN/>
                    <w:bidi w:val="0"/>
                    <w:adjustRightInd/>
                    <w:snapToGrid/>
                    <w:spacing w:line="240" w:lineRule="auto"/>
                    <w:ind w:left="0" w:right="0" w:hanging="15"/>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w:t>
                  </w:r>
                  <w:r>
                    <w:rPr>
                      <w:rFonts w:hint="default" w:ascii="Times New Roman" w:hAnsi="Times New Roman" w:eastAsia="Times New Roman" w:cs="Times New Roman"/>
                      <w:color w:val="auto"/>
                      <w:spacing w:val="7"/>
                      <w:sz w:val="21"/>
                      <w:szCs w:val="21"/>
                      <w:highlight w:val="none"/>
                    </w:rPr>
                    <w:t>1.3</w:t>
                  </w:r>
                  <w:r>
                    <w:rPr>
                      <w:rFonts w:hint="default" w:ascii="Times New Roman" w:hAnsi="Times New Roman" w:eastAsia="宋体" w:cs="Times New Roman"/>
                      <w:color w:val="auto"/>
                      <w:spacing w:val="7"/>
                      <w:sz w:val="21"/>
                      <w:szCs w:val="21"/>
                      <w:highlight w:val="none"/>
                    </w:rPr>
                    <w:t>）畜禽养殖按照《湖南省畜禽规模养殖污染防治规定》相关内</w:t>
                  </w:r>
                  <w:r>
                    <w:rPr>
                      <w:rFonts w:hint="default" w:ascii="Times New Roman" w:hAnsi="Times New Roman" w:eastAsia="宋体" w:cs="Times New Roman"/>
                      <w:color w:val="auto"/>
                      <w:spacing w:val="6"/>
                      <w:sz w:val="21"/>
                      <w:szCs w:val="21"/>
                      <w:highlight w:val="none"/>
                    </w:rPr>
                    <w:t>容实施，禁养区</w:t>
                  </w:r>
                  <w:r>
                    <w:rPr>
                      <w:rFonts w:hint="default" w:ascii="Times New Roman" w:hAnsi="Times New Roman" w:eastAsia="宋体" w:cs="Times New Roman"/>
                      <w:color w:val="auto"/>
                      <w:spacing w:val="7"/>
                      <w:sz w:val="21"/>
                      <w:szCs w:val="21"/>
                      <w:highlight w:val="none"/>
                    </w:rPr>
                    <w:t>内畜禽养殖场立即关停退养，禁养区外沿江、河、湖、库、排（干）渠岸线</w:t>
                  </w:r>
                  <w:r>
                    <w:rPr>
                      <w:rFonts w:hint="default" w:ascii="Times New Roman" w:hAnsi="Times New Roman" w:eastAsia="Times New Roman" w:cs="Times New Roman"/>
                      <w:color w:val="auto"/>
                      <w:spacing w:val="7"/>
                      <w:sz w:val="21"/>
                      <w:szCs w:val="21"/>
                      <w:highlight w:val="none"/>
                    </w:rPr>
                    <w:t>500</w:t>
                  </w:r>
                  <w:r>
                    <w:rPr>
                      <w:rFonts w:hint="default" w:ascii="Times New Roman" w:hAnsi="Times New Roman" w:eastAsia="宋体" w:cs="Times New Roman"/>
                      <w:color w:val="auto"/>
                      <w:spacing w:val="7"/>
                      <w:sz w:val="21"/>
                      <w:szCs w:val="21"/>
                      <w:highlight w:val="none"/>
                    </w:rPr>
                    <w:t>米</w:t>
                  </w:r>
                  <w:r>
                    <w:rPr>
                      <w:rFonts w:hint="default" w:ascii="Times New Roman" w:hAnsi="Times New Roman" w:eastAsia="宋体" w:cs="Times New Roman"/>
                      <w:color w:val="auto"/>
                      <w:spacing w:val="9"/>
                      <w:sz w:val="21"/>
                      <w:szCs w:val="21"/>
                      <w:highlight w:val="none"/>
                    </w:rPr>
                    <w:t>内实施限养管理，禁止新增养殖场和扩大养殖规模，</w:t>
                  </w:r>
                  <w:r>
                    <w:rPr>
                      <w:rFonts w:hint="default" w:ascii="Times New Roman" w:hAnsi="Times New Roman" w:eastAsia="宋体" w:cs="Times New Roman"/>
                      <w:color w:val="auto"/>
                      <w:spacing w:val="8"/>
                      <w:sz w:val="21"/>
                      <w:szCs w:val="21"/>
                      <w:highlight w:val="none"/>
                    </w:rPr>
                    <w:t>引导现有养殖场逐步退出。</w:t>
                  </w:r>
                </w:p>
                <w:p w14:paraId="15B25EEA">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color w:val="auto"/>
                      <w:spacing w:val="4"/>
                      <w:sz w:val="21"/>
                      <w:szCs w:val="21"/>
                      <w:highlight w:val="none"/>
                    </w:rPr>
                    <w:t>（</w:t>
                  </w:r>
                  <w:r>
                    <w:rPr>
                      <w:rFonts w:hint="default" w:ascii="Times New Roman" w:hAnsi="Times New Roman" w:eastAsia="Times New Roman" w:cs="Times New Roman"/>
                      <w:color w:val="auto"/>
                      <w:spacing w:val="4"/>
                      <w:sz w:val="21"/>
                      <w:szCs w:val="21"/>
                      <w:highlight w:val="none"/>
                    </w:rPr>
                    <w:t>1.4</w:t>
                  </w:r>
                  <w:r>
                    <w:rPr>
                      <w:rFonts w:hint="default" w:ascii="Times New Roman" w:hAnsi="Times New Roman" w:eastAsia="宋体" w:cs="Times New Roman"/>
                      <w:color w:val="auto"/>
                      <w:spacing w:val="4"/>
                      <w:sz w:val="21"/>
                      <w:szCs w:val="21"/>
                      <w:highlight w:val="none"/>
                    </w:rPr>
                    <w:t>）推进矿山植被生态恢复，矿山建设应落实《湖南省绿色矿山管理办法》要</w:t>
                  </w:r>
                  <w:r>
                    <w:rPr>
                      <w:rFonts w:hint="default" w:ascii="Times New Roman" w:hAnsi="Times New Roman" w:eastAsia="宋体" w:cs="Times New Roman"/>
                      <w:color w:val="auto"/>
                      <w:spacing w:val="3"/>
                      <w:sz w:val="21"/>
                      <w:szCs w:val="21"/>
                      <w:highlight w:val="none"/>
                    </w:rPr>
                    <w:t>求。</w:t>
                  </w:r>
                </w:p>
              </w:tc>
              <w:tc>
                <w:tcPr>
                  <w:tcW w:w="1450" w:type="pct"/>
                  <w:gridSpan w:val="2"/>
                  <w:tcBorders>
                    <w:tl2br w:val="nil"/>
                    <w:tr2bl w:val="nil"/>
                  </w:tcBorders>
                  <w:noWrap w:val="0"/>
                  <w:vAlign w:val="center"/>
                </w:tcPr>
                <w:p w14:paraId="18698111">
                  <w:pPr>
                    <w:widowControl/>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1.1</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本项目属于</w:t>
                  </w:r>
                  <w:r>
                    <w:rPr>
                      <w:rFonts w:hint="eastAsia" w:cs="Times New Roman"/>
                      <w:color w:val="auto"/>
                      <w:sz w:val="21"/>
                      <w:szCs w:val="21"/>
                      <w:highlight w:val="none"/>
                      <w:u w:val="none"/>
                      <w:lang w:val="en-US" w:eastAsia="zh-CN"/>
                    </w:rPr>
                    <w:t>其他非金属矿物制品制造</w:t>
                  </w:r>
                  <w:r>
                    <w:rPr>
                      <w:rFonts w:hint="default" w:ascii="Times New Roman" w:hAnsi="Times New Roman" w:eastAsia="宋体" w:cs="Times New Roman"/>
                      <w:color w:val="auto"/>
                      <w:sz w:val="21"/>
                      <w:szCs w:val="21"/>
                      <w:highlight w:val="none"/>
                      <w:u w:val="none"/>
                      <w:lang w:val="en-US" w:eastAsia="zh-CN"/>
                    </w:rPr>
                    <w:t>业，不涉及水产养殖</w:t>
                  </w:r>
                </w:p>
                <w:p w14:paraId="739624EE">
                  <w:pPr>
                    <w:widowControl/>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1.2</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本项目</w:t>
                  </w:r>
                  <w:r>
                    <w:rPr>
                      <w:rFonts w:hint="eastAsia" w:cs="Times New Roman"/>
                      <w:color w:val="auto"/>
                      <w:sz w:val="21"/>
                      <w:szCs w:val="21"/>
                      <w:highlight w:val="none"/>
                      <w:u w:val="none"/>
                      <w:lang w:val="en-US" w:eastAsia="zh-CN"/>
                    </w:rPr>
                    <w:t>为其他非金属矿物制品制造</w:t>
                  </w:r>
                  <w:r>
                    <w:rPr>
                      <w:rFonts w:hint="default" w:ascii="Times New Roman" w:hAnsi="Times New Roman" w:eastAsia="宋体" w:cs="Times New Roman"/>
                      <w:color w:val="auto"/>
                      <w:sz w:val="21"/>
                      <w:szCs w:val="21"/>
                      <w:highlight w:val="none"/>
                      <w:u w:val="none"/>
                      <w:lang w:val="en-US" w:eastAsia="zh-CN"/>
                    </w:rPr>
                    <w:t>业，</w:t>
                  </w:r>
                  <w:r>
                    <w:rPr>
                      <w:rFonts w:hint="eastAsia" w:ascii="Times New Roman" w:hAnsi="Times New Roman" w:eastAsia="宋体" w:cs="Times New Roman"/>
                      <w:color w:val="auto"/>
                      <w:highlight w:val="none"/>
                      <w:u w:val="none"/>
                      <w:lang w:val="en-US" w:eastAsia="zh-CN"/>
                    </w:rPr>
                    <w:t>基本符合</w:t>
                  </w:r>
                  <w:r>
                    <w:rPr>
                      <w:rFonts w:hint="eastAsia"/>
                      <w:bCs/>
                      <w:color w:val="auto"/>
                      <w:kern w:val="0"/>
                      <w:szCs w:val="21"/>
                      <w:highlight w:val="none"/>
                      <w:u w:val="none"/>
                    </w:rPr>
                    <w:t>新墙镇</w:t>
                  </w:r>
                  <w:r>
                    <w:rPr>
                      <w:rFonts w:hint="eastAsia"/>
                      <w:color w:val="auto"/>
                      <w:kern w:val="0"/>
                      <w:szCs w:val="21"/>
                      <w:highlight w:val="none"/>
                      <w:u w:val="none"/>
                    </w:rPr>
                    <w:t>注重发展</w:t>
                  </w:r>
                  <w:r>
                    <w:rPr>
                      <w:rFonts w:hint="eastAsia"/>
                      <w:color w:val="auto"/>
                      <w:highlight w:val="none"/>
                      <w:u w:val="none"/>
                    </w:rPr>
                    <w:t>物流和</w:t>
                  </w:r>
                  <w:r>
                    <w:rPr>
                      <w:rFonts w:hint="eastAsia"/>
                      <w:color w:val="auto"/>
                      <w:kern w:val="0"/>
                      <w:szCs w:val="21"/>
                      <w:highlight w:val="none"/>
                      <w:u w:val="none"/>
                    </w:rPr>
                    <w:t>机械加工</w:t>
                  </w:r>
                  <w:r>
                    <w:rPr>
                      <w:rFonts w:hint="eastAsia"/>
                      <w:color w:val="auto"/>
                      <w:kern w:val="0"/>
                      <w:szCs w:val="21"/>
                      <w:highlight w:val="none"/>
                      <w:u w:val="none"/>
                      <w:lang w:eastAsia="zh-CN"/>
                    </w:rPr>
                    <w:t>的</w:t>
                  </w:r>
                  <w:r>
                    <w:rPr>
                      <w:rFonts w:hint="eastAsia"/>
                      <w:color w:val="auto"/>
                      <w:kern w:val="0"/>
                      <w:szCs w:val="21"/>
                      <w:highlight w:val="none"/>
                      <w:u w:val="none"/>
                      <w:lang w:val="en-US" w:eastAsia="zh-CN"/>
                    </w:rPr>
                    <w:t>发展方向，</w:t>
                  </w:r>
                  <w:r>
                    <w:rPr>
                      <w:rFonts w:hint="eastAsia" w:cs="Times New Roman"/>
                      <w:color w:val="auto"/>
                      <w:sz w:val="21"/>
                      <w:szCs w:val="21"/>
                      <w:highlight w:val="none"/>
                      <w:u w:val="none"/>
                      <w:lang w:val="en-US" w:eastAsia="zh-CN"/>
                    </w:rPr>
                    <w:t>同时本项目</w:t>
                  </w:r>
                  <w:r>
                    <w:rPr>
                      <w:rFonts w:hint="default" w:ascii="Times New Roman" w:hAnsi="Times New Roman" w:cs="Times New Roman"/>
                      <w:color w:val="auto"/>
                      <w:sz w:val="21"/>
                      <w:szCs w:val="21"/>
                      <w:highlight w:val="none"/>
                      <w:u w:val="none"/>
                      <w:lang w:val="en-US" w:eastAsia="zh-CN"/>
                    </w:rPr>
                    <w:t>不属于</w:t>
                  </w:r>
                  <w:r>
                    <w:rPr>
                      <w:rFonts w:hint="default" w:ascii="Times New Roman" w:hAnsi="Times New Roman" w:eastAsia="宋体" w:cs="Times New Roman"/>
                      <w:color w:val="auto"/>
                      <w:spacing w:val="9"/>
                      <w:sz w:val="21"/>
                      <w:szCs w:val="21"/>
                      <w:highlight w:val="none"/>
                    </w:rPr>
                    <w:t>废气排放量大的企</w:t>
                  </w:r>
                  <w:r>
                    <w:rPr>
                      <w:rFonts w:hint="default" w:ascii="Times New Roman" w:hAnsi="Times New Roman" w:eastAsia="宋体" w:cs="Times New Roman"/>
                      <w:color w:val="auto"/>
                      <w:spacing w:val="8"/>
                      <w:sz w:val="21"/>
                      <w:szCs w:val="21"/>
                      <w:highlight w:val="none"/>
                    </w:rPr>
                    <w:t>业</w:t>
                  </w:r>
                </w:p>
                <w:p w14:paraId="2B4345F1">
                  <w:pPr>
                    <w:widowControl/>
                    <w:rPr>
                      <w:rFonts w:hint="default" w:ascii="Times New Roman" w:hAnsi="Times New Roman" w:cs="Times New Roman"/>
                      <w:color w:val="auto"/>
                      <w:sz w:val="21"/>
                      <w:szCs w:val="21"/>
                      <w:highlight w:val="none"/>
                      <w:u w:val="none"/>
                      <w:lang w:eastAsia="zh-CN"/>
                    </w:rPr>
                  </w:pP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1.3</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本项目</w:t>
                  </w:r>
                  <w:r>
                    <w:rPr>
                      <w:rFonts w:hint="default" w:ascii="Times New Roman" w:hAnsi="Times New Roman" w:eastAsia="宋体" w:cs="Times New Roman"/>
                      <w:color w:val="auto"/>
                      <w:sz w:val="21"/>
                      <w:szCs w:val="21"/>
                      <w:highlight w:val="none"/>
                      <w:u w:val="none"/>
                      <w:lang w:val="en-US" w:eastAsia="zh-CN"/>
                    </w:rPr>
                    <w:t>属于</w:t>
                  </w:r>
                  <w:r>
                    <w:rPr>
                      <w:rFonts w:hint="eastAsia" w:cs="Times New Roman"/>
                      <w:color w:val="auto"/>
                      <w:sz w:val="21"/>
                      <w:szCs w:val="21"/>
                      <w:highlight w:val="none"/>
                      <w:u w:val="none"/>
                      <w:lang w:val="en-US" w:eastAsia="zh-CN"/>
                    </w:rPr>
                    <w:t>其他非金属矿物制品制造</w:t>
                  </w:r>
                  <w:r>
                    <w:rPr>
                      <w:rFonts w:hint="default" w:ascii="Times New Roman" w:hAnsi="Times New Roman" w:eastAsia="宋体" w:cs="Times New Roman"/>
                      <w:color w:val="auto"/>
                      <w:sz w:val="21"/>
                      <w:szCs w:val="21"/>
                      <w:highlight w:val="none"/>
                      <w:u w:val="none"/>
                      <w:lang w:val="en-US" w:eastAsia="zh-CN"/>
                    </w:rPr>
                    <w:t>业，</w:t>
                  </w:r>
                  <w:r>
                    <w:rPr>
                      <w:rFonts w:hint="default" w:ascii="Times New Roman" w:hAnsi="Times New Roman" w:cs="Times New Roman"/>
                      <w:color w:val="auto"/>
                      <w:sz w:val="21"/>
                      <w:szCs w:val="21"/>
                      <w:highlight w:val="none"/>
                      <w:u w:val="none"/>
                      <w:lang w:val="en-US" w:eastAsia="zh-CN"/>
                    </w:rPr>
                    <w:t>不涉及</w:t>
                  </w:r>
                  <w:r>
                    <w:rPr>
                      <w:rFonts w:hint="default" w:ascii="Times New Roman" w:hAnsi="Times New Roman" w:cs="Times New Roman"/>
                      <w:color w:val="auto"/>
                      <w:sz w:val="21"/>
                      <w:szCs w:val="21"/>
                      <w:highlight w:val="none"/>
                      <w:u w:val="none"/>
                      <w:lang w:eastAsia="zh-CN"/>
                    </w:rPr>
                    <w:t>畜禽养殖</w:t>
                  </w:r>
                </w:p>
                <w:p w14:paraId="570E4E02">
                  <w:pPr>
                    <w:widowControl/>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（1.4）本项目</w:t>
                  </w:r>
                  <w:r>
                    <w:rPr>
                      <w:rFonts w:hint="default" w:ascii="Times New Roman" w:hAnsi="Times New Roman" w:eastAsia="宋体" w:cs="Times New Roman"/>
                      <w:color w:val="auto"/>
                      <w:sz w:val="21"/>
                      <w:szCs w:val="21"/>
                      <w:highlight w:val="none"/>
                      <w:u w:val="none"/>
                      <w:lang w:val="en-US" w:eastAsia="zh-CN"/>
                    </w:rPr>
                    <w:t>属于</w:t>
                  </w:r>
                  <w:r>
                    <w:rPr>
                      <w:rFonts w:hint="eastAsia" w:cs="Times New Roman"/>
                      <w:color w:val="auto"/>
                      <w:sz w:val="21"/>
                      <w:szCs w:val="21"/>
                      <w:highlight w:val="none"/>
                      <w:u w:val="none"/>
                      <w:lang w:val="en-US" w:eastAsia="zh-CN"/>
                    </w:rPr>
                    <w:t>其他非金属矿物制品制造</w:t>
                  </w:r>
                  <w:r>
                    <w:rPr>
                      <w:rFonts w:hint="default" w:ascii="Times New Roman" w:hAnsi="Times New Roman" w:eastAsia="宋体" w:cs="Times New Roman"/>
                      <w:color w:val="auto"/>
                      <w:sz w:val="21"/>
                      <w:szCs w:val="21"/>
                      <w:highlight w:val="none"/>
                      <w:u w:val="none"/>
                      <w:lang w:val="en-US" w:eastAsia="zh-CN"/>
                    </w:rPr>
                    <w:t>业，</w:t>
                  </w:r>
                  <w:r>
                    <w:rPr>
                      <w:rFonts w:hint="default" w:ascii="Times New Roman" w:hAnsi="Times New Roman" w:cs="Times New Roman"/>
                      <w:color w:val="auto"/>
                      <w:sz w:val="21"/>
                      <w:szCs w:val="21"/>
                      <w:highlight w:val="none"/>
                      <w:u w:val="none"/>
                      <w:lang w:val="en-US" w:eastAsia="zh-CN"/>
                    </w:rPr>
                    <w:t>原料均外购，</w:t>
                  </w:r>
                  <w:r>
                    <w:rPr>
                      <w:rFonts w:hint="default" w:ascii="Times New Roman" w:hAnsi="Times New Roman" w:eastAsia="宋体" w:cs="Times New Roman"/>
                      <w:color w:val="auto"/>
                      <w:kern w:val="2"/>
                      <w:sz w:val="21"/>
                      <w:szCs w:val="21"/>
                      <w:highlight w:val="none"/>
                      <w:u w:val="none"/>
                      <w:lang w:val="en-US" w:eastAsia="zh-CN" w:bidi="ar-SA"/>
                    </w:rPr>
                    <w:t>不涉及矿山建设</w:t>
                  </w:r>
                </w:p>
              </w:tc>
              <w:tc>
                <w:tcPr>
                  <w:tcW w:w="518" w:type="pct"/>
                  <w:tcBorders>
                    <w:tl2br w:val="nil"/>
                    <w:tr2bl w:val="nil"/>
                  </w:tcBorders>
                  <w:noWrap w:val="0"/>
                  <w:vAlign w:val="center"/>
                </w:tcPr>
                <w:p w14:paraId="051621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53FE9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787" w:type="pct"/>
                  <w:tcBorders>
                    <w:tl2br w:val="nil"/>
                    <w:tr2bl w:val="nil"/>
                  </w:tcBorders>
                  <w:noWrap w:val="0"/>
                  <w:vAlign w:val="center"/>
                </w:tcPr>
                <w:p w14:paraId="5DC5C0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污染物排放管控</w:t>
                  </w:r>
                </w:p>
              </w:tc>
              <w:tc>
                <w:tcPr>
                  <w:tcW w:w="2243" w:type="pct"/>
                  <w:gridSpan w:val="4"/>
                  <w:tcBorders>
                    <w:tl2br w:val="nil"/>
                    <w:tr2bl w:val="nil"/>
                  </w:tcBorders>
                  <w:noWrap w:val="0"/>
                  <w:vAlign w:val="center"/>
                </w:tcPr>
                <w:p w14:paraId="1DFFB39A">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2.1）废气：加强建筑施工工地扬尘污染控制，严格落实“六个100%”措施；强化建材等企业无组织排放管控及治理；持续推进敞开式汽修喷涂、油品储运销等过程中挥发性有机物的治理工作；提升秸秆综合利用，拓宽秸秆利用途径；严禁垃圾露天焚烧,加强餐饮油烟、露天烧烤监管。</w:t>
                  </w:r>
                </w:p>
                <w:p w14:paraId="3780E05F">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2.2）废水：进一步完善城镇生活污水收集管网，更新修复老旧破损管网，同步做到雨污分流，确保管网全覆盖、污水全收集；推进农村生活污水治理，推进农村户用厕所建设和改造，强化农户生活污水分类处理处置；加速农村黑臭水体整治，逐步消除农村较大面积黑臭水体。</w:t>
                  </w:r>
                </w:p>
                <w:p w14:paraId="45373E64">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（2.3）固体废物：加快推进农村生活垃圾源头分类减量，减少垃圾出村量；推进以种养结合为重点的畜禽养殖废弃物资源利用，推动畜禽规模养殖场粪污处理设施装备提档升级。</w:t>
                  </w:r>
                </w:p>
                <w:p w14:paraId="3A62F905">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pacing w:val="8"/>
                      <w:sz w:val="21"/>
                      <w:szCs w:val="21"/>
                      <w:highlight w:val="none"/>
                    </w:rPr>
                    <w:t>（2.4）农业面源：逐步推行有机肥代替化肥，推行绿肥种植、秸秆还田、粪污还田等措施，推进化肥农药减量增效。</w:t>
                  </w:r>
                </w:p>
              </w:tc>
              <w:tc>
                <w:tcPr>
                  <w:tcW w:w="1450" w:type="pct"/>
                  <w:gridSpan w:val="2"/>
                  <w:tcBorders>
                    <w:tl2br w:val="nil"/>
                    <w:tr2bl w:val="nil"/>
                  </w:tcBorders>
                  <w:noWrap w:val="0"/>
                  <w:vAlign w:val="center"/>
                </w:tcPr>
                <w:p w14:paraId="667E26FF">
                  <w:pPr>
                    <w:widowControl/>
                    <w:rPr>
                      <w:rFonts w:hint="default" w:ascii="Times New Roman" w:hAnsi="Times New Roman" w:eastAsia="宋体" w:cs="Times New Roman"/>
                      <w:b w:val="0"/>
                      <w:bCs w:val="0"/>
                      <w:strike w:val="0"/>
                      <w:color w:val="auto"/>
                      <w:sz w:val="21"/>
                      <w:szCs w:val="21"/>
                      <w:highlight w:val="none"/>
                      <w:u w:val="none"/>
                      <w:lang w:val="en-US" w:eastAsia="zh-CN"/>
                    </w:rPr>
                  </w:pPr>
                  <w:r>
                    <w:rPr>
                      <w:rFonts w:hint="default" w:ascii="Times New Roman" w:hAnsi="Times New Roman" w:cs="Times New Roman"/>
                      <w:b/>
                      <w:bCs/>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val="en-US" w:eastAsia="zh-CN"/>
                    </w:rPr>
                    <w:t>2.1</w:t>
                  </w:r>
                  <w:r>
                    <w:rPr>
                      <w:rFonts w:hint="default" w:ascii="Times New Roman" w:hAnsi="Times New Roman" w:cs="Times New Roman"/>
                      <w:b/>
                      <w:bCs/>
                      <w:strike w:val="0"/>
                      <w:color w:val="auto"/>
                      <w:sz w:val="21"/>
                      <w:szCs w:val="21"/>
                      <w:highlight w:val="none"/>
                      <w:u w:val="none"/>
                      <w:lang w:eastAsia="zh-CN"/>
                    </w:rPr>
                    <w:t>）废气：</w:t>
                  </w:r>
                  <w:r>
                    <w:rPr>
                      <w:rFonts w:hint="default" w:ascii="Times New Roman" w:hAnsi="Times New Roman" w:cs="Times New Roman"/>
                      <w:b w:val="0"/>
                      <w:bCs w:val="0"/>
                      <w:strike w:val="0"/>
                      <w:color w:val="auto"/>
                      <w:sz w:val="21"/>
                      <w:szCs w:val="21"/>
                      <w:highlight w:val="none"/>
                      <w:u w:val="none"/>
                      <w:lang w:val="en-US" w:eastAsia="zh-CN"/>
                    </w:rPr>
                    <w:t>本项目</w:t>
                  </w:r>
                  <w:r>
                    <w:rPr>
                      <w:rFonts w:hint="default" w:ascii="Times New Roman" w:hAnsi="Times New Roman" w:eastAsia="宋体" w:cs="Times New Roman"/>
                      <w:color w:val="auto"/>
                      <w:spacing w:val="8"/>
                      <w:sz w:val="21"/>
                      <w:szCs w:val="21"/>
                      <w:highlight w:val="none"/>
                    </w:rPr>
                    <w:t>施工</w:t>
                  </w:r>
                  <w:r>
                    <w:rPr>
                      <w:rFonts w:hint="eastAsia" w:ascii="Times New Roman" w:hAnsi="Times New Roman" w:eastAsia="宋体" w:cs="Times New Roman"/>
                      <w:color w:val="auto"/>
                      <w:spacing w:val="8"/>
                      <w:sz w:val="21"/>
                      <w:szCs w:val="21"/>
                      <w:highlight w:val="none"/>
                      <w:lang w:val="en-US" w:eastAsia="zh-CN"/>
                    </w:rPr>
                    <w:t>期将严格</w:t>
                  </w:r>
                  <w:r>
                    <w:rPr>
                      <w:rFonts w:hint="default" w:ascii="Times New Roman" w:hAnsi="Times New Roman" w:eastAsia="宋体" w:cs="Times New Roman"/>
                      <w:color w:val="auto"/>
                      <w:spacing w:val="8"/>
                      <w:sz w:val="21"/>
                      <w:szCs w:val="21"/>
                      <w:highlight w:val="none"/>
                    </w:rPr>
                    <w:t>落实“六个100%”措施</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加强废气无组织</w:t>
                  </w:r>
                  <w:r>
                    <w:rPr>
                      <w:rFonts w:hint="default" w:ascii="Times New Roman" w:hAnsi="Times New Roman" w:eastAsia="宋体" w:cs="Times New Roman"/>
                      <w:color w:val="auto"/>
                      <w:spacing w:val="8"/>
                      <w:sz w:val="21"/>
                      <w:szCs w:val="21"/>
                      <w:highlight w:val="none"/>
                    </w:rPr>
                    <w:t>排放管控及治理</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生产过程中不涉及</w:t>
                  </w:r>
                  <w:r>
                    <w:rPr>
                      <w:rFonts w:hint="default" w:ascii="Times New Roman" w:hAnsi="Times New Roman" w:eastAsia="宋体" w:cs="Times New Roman"/>
                      <w:color w:val="auto"/>
                      <w:spacing w:val="8"/>
                      <w:sz w:val="21"/>
                      <w:szCs w:val="21"/>
                      <w:highlight w:val="none"/>
                    </w:rPr>
                    <w:t>挥发性有机物</w:t>
                  </w:r>
                  <w:r>
                    <w:rPr>
                      <w:rFonts w:hint="eastAsia" w:ascii="Times New Roman" w:hAnsi="Times New Roman" w:eastAsia="宋体" w:cs="Times New Roman"/>
                      <w:color w:val="auto"/>
                      <w:spacing w:val="8"/>
                      <w:sz w:val="21"/>
                      <w:szCs w:val="21"/>
                      <w:highlight w:val="none"/>
                      <w:lang w:val="en-US" w:eastAsia="zh-CN"/>
                    </w:rPr>
                    <w:t>的排放，不使用</w:t>
                  </w:r>
                  <w:r>
                    <w:rPr>
                      <w:rFonts w:hint="default" w:ascii="Times New Roman" w:hAnsi="Times New Roman" w:eastAsia="宋体" w:cs="Times New Roman"/>
                      <w:color w:val="auto"/>
                      <w:spacing w:val="8"/>
                      <w:sz w:val="21"/>
                      <w:szCs w:val="21"/>
                      <w:highlight w:val="none"/>
                    </w:rPr>
                    <w:t>秸秆</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生活垃圾定期交由环卫部门清运，油烟通过油烟机处理后外排。</w:t>
                  </w:r>
                </w:p>
                <w:p w14:paraId="06645CB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trike w:val="0"/>
                      <w:color w:val="auto"/>
                      <w:sz w:val="21"/>
                      <w:szCs w:val="21"/>
                      <w:highlight w:val="none"/>
                      <w:u w:val="none"/>
                      <w:lang w:val="en-US" w:eastAsia="zh-CN"/>
                    </w:rPr>
                  </w:pPr>
                  <w:r>
                    <w:rPr>
                      <w:rFonts w:hint="default" w:ascii="Times New Roman" w:hAnsi="Times New Roman" w:cs="Times New Roman"/>
                      <w:b/>
                      <w:bCs/>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val="en-US" w:eastAsia="zh-CN"/>
                    </w:rPr>
                    <w:t>2.2</w:t>
                  </w:r>
                  <w:r>
                    <w:rPr>
                      <w:rFonts w:hint="default" w:ascii="Times New Roman" w:hAnsi="Times New Roman" w:cs="Times New Roman"/>
                      <w:b/>
                      <w:bCs/>
                      <w:strike w:val="0"/>
                      <w:color w:val="auto"/>
                      <w:sz w:val="21"/>
                      <w:szCs w:val="21"/>
                      <w:highlight w:val="none"/>
                      <w:u w:val="none"/>
                      <w:lang w:eastAsia="zh-CN"/>
                    </w:rPr>
                    <w:t>）废水：</w:t>
                  </w:r>
                  <w:r>
                    <w:rPr>
                      <w:rFonts w:hint="default" w:ascii="Times New Roman" w:hAnsi="Times New Roman" w:cs="Times New Roman"/>
                      <w:strike w:val="0"/>
                      <w:color w:val="auto"/>
                      <w:sz w:val="21"/>
                      <w:szCs w:val="21"/>
                      <w:highlight w:val="none"/>
                      <w:u w:val="none"/>
                      <w:lang w:val="en-US" w:eastAsia="zh-CN"/>
                    </w:rPr>
                    <w:t>本项目采用雨污分流制，无生产废水外排，生活污水经化粪池预处理后用于周边农田施肥。</w:t>
                  </w:r>
                </w:p>
                <w:p w14:paraId="39CBA7B0">
                  <w:pPr>
                    <w:widowControl/>
                    <w:rPr>
                      <w:rFonts w:hint="default" w:ascii="Times New Roman" w:hAnsi="Times New Roman" w:eastAsia="宋体" w:cs="Times New Roman"/>
                      <w:strike w:val="0"/>
                      <w:color w:val="auto"/>
                      <w:sz w:val="21"/>
                      <w:szCs w:val="21"/>
                      <w:highlight w:val="none"/>
                      <w:u w:val="none"/>
                      <w:lang w:val="en-US" w:eastAsia="zh-CN"/>
                    </w:rPr>
                  </w:pPr>
                  <w:r>
                    <w:rPr>
                      <w:rFonts w:hint="default" w:ascii="Times New Roman" w:hAnsi="Times New Roman" w:eastAsia="宋体" w:cs="Times New Roman"/>
                      <w:b/>
                      <w:bCs/>
                      <w:strike w:val="0"/>
                      <w:color w:val="auto"/>
                      <w:sz w:val="21"/>
                      <w:szCs w:val="21"/>
                      <w:highlight w:val="none"/>
                      <w:u w:val="none"/>
                      <w:lang w:eastAsia="zh-CN"/>
                    </w:rPr>
                    <w:t>（</w:t>
                  </w:r>
                  <w:r>
                    <w:rPr>
                      <w:rFonts w:hint="default" w:ascii="Times New Roman" w:hAnsi="Times New Roman" w:eastAsia="宋体" w:cs="Times New Roman"/>
                      <w:b/>
                      <w:bCs/>
                      <w:strike w:val="0"/>
                      <w:color w:val="auto"/>
                      <w:sz w:val="21"/>
                      <w:szCs w:val="21"/>
                      <w:highlight w:val="none"/>
                      <w:u w:val="none"/>
                      <w:lang w:val="en-US" w:eastAsia="zh-CN"/>
                    </w:rPr>
                    <w:t>2.3</w:t>
                  </w:r>
                  <w:r>
                    <w:rPr>
                      <w:rFonts w:hint="default" w:ascii="Times New Roman" w:hAnsi="Times New Roman" w:eastAsia="宋体" w:cs="Times New Roman"/>
                      <w:b/>
                      <w:bCs/>
                      <w:strike w:val="0"/>
                      <w:color w:val="auto"/>
                      <w:sz w:val="21"/>
                      <w:szCs w:val="21"/>
                      <w:highlight w:val="none"/>
                      <w:u w:val="none"/>
                      <w:lang w:eastAsia="zh-CN"/>
                    </w:rPr>
                    <w:t>）固体废物</w:t>
                  </w:r>
                  <w:r>
                    <w:rPr>
                      <w:rFonts w:hint="default" w:ascii="Times New Roman" w:hAnsi="Times New Roman" w:eastAsia="宋体" w:cs="Times New Roman"/>
                      <w:strike w:val="0"/>
                      <w:color w:val="auto"/>
                      <w:sz w:val="21"/>
                      <w:szCs w:val="21"/>
                      <w:highlight w:val="none"/>
                      <w:u w:val="none"/>
                      <w:lang w:eastAsia="zh-CN"/>
                    </w:rPr>
                    <w:t>：</w:t>
                  </w:r>
                  <w:r>
                    <w:rPr>
                      <w:rFonts w:hint="default" w:ascii="Times New Roman" w:hAnsi="Times New Roman" w:eastAsia="宋体" w:cs="Times New Roman"/>
                      <w:strike w:val="0"/>
                      <w:color w:val="auto"/>
                      <w:sz w:val="21"/>
                      <w:szCs w:val="21"/>
                      <w:highlight w:val="none"/>
                      <w:u w:val="none"/>
                      <w:lang w:val="en-US" w:eastAsia="zh-CN"/>
                    </w:rPr>
                    <w:t>本项目生活垃圾进行分类收集处理，本项目</w:t>
                  </w:r>
                  <w:r>
                    <w:rPr>
                      <w:rFonts w:hint="eastAsia" w:cs="Times New Roman"/>
                      <w:color w:val="auto"/>
                      <w:sz w:val="21"/>
                      <w:szCs w:val="21"/>
                      <w:highlight w:val="none"/>
                      <w:u w:val="none"/>
                      <w:lang w:val="en-US" w:eastAsia="zh-CN"/>
                    </w:rPr>
                    <w:t>其他非金属矿物制品制造</w:t>
                  </w:r>
                  <w:r>
                    <w:rPr>
                      <w:rFonts w:hint="default" w:ascii="Times New Roman" w:hAnsi="Times New Roman" w:eastAsia="宋体" w:cs="Times New Roman"/>
                      <w:color w:val="auto"/>
                      <w:sz w:val="21"/>
                      <w:szCs w:val="21"/>
                      <w:highlight w:val="none"/>
                      <w:u w:val="none"/>
                      <w:lang w:val="en-US" w:eastAsia="zh-CN"/>
                    </w:rPr>
                    <w:t>业</w:t>
                  </w:r>
                  <w:r>
                    <w:rPr>
                      <w:rFonts w:hint="default" w:ascii="Times New Roman" w:hAnsi="Times New Roman" w:eastAsia="宋体" w:cs="Times New Roman"/>
                      <w:strike w:val="0"/>
                      <w:color w:val="auto"/>
                      <w:sz w:val="21"/>
                      <w:szCs w:val="21"/>
                      <w:highlight w:val="none"/>
                      <w:u w:val="none"/>
                      <w:lang w:val="en-US" w:eastAsia="zh-CN"/>
                    </w:rPr>
                    <w:t>不涉及畜禽养殖</w:t>
                  </w:r>
                </w:p>
                <w:p w14:paraId="7D804EA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val="0"/>
                      <w:bCs w:val="0"/>
                      <w:strike w:val="0"/>
                      <w:color w:val="auto"/>
                      <w:sz w:val="21"/>
                      <w:szCs w:val="21"/>
                      <w:highlight w:val="none"/>
                      <w:u w:val="none"/>
                      <w:lang w:val="en-US" w:eastAsia="zh-CN"/>
                    </w:rPr>
                  </w:pPr>
                  <w:r>
                    <w:rPr>
                      <w:rFonts w:hint="default" w:ascii="Times New Roman" w:hAnsi="Times New Roman" w:cs="Times New Roman"/>
                      <w:b/>
                      <w:bCs/>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val="en-US" w:eastAsia="zh-CN"/>
                    </w:rPr>
                    <w:t>2.4</w:t>
                  </w:r>
                  <w:r>
                    <w:rPr>
                      <w:rFonts w:hint="default" w:ascii="Times New Roman" w:hAnsi="Times New Roman" w:cs="Times New Roman"/>
                      <w:b/>
                      <w:bCs/>
                      <w:strike w:val="0"/>
                      <w:color w:val="auto"/>
                      <w:sz w:val="21"/>
                      <w:szCs w:val="21"/>
                      <w:highlight w:val="none"/>
                      <w:u w:val="none"/>
                      <w:lang w:eastAsia="zh-CN"/>
                    </w:rPr>
                    <w:t>）农业面源：</w:t>
                  </w:r>
                  <w:r>
                    <w:rPr>
                      <w:rFonts w:hint="default" w:ascii="Times New Roman" w:hAnsi="Times New Roman" w:cs="Times New Roman"/>
                      <w:b w:val="0"/>
                      <w:bCs w:val="0"/>
                      <w:strike w:val="0"/>
                      <w:color w:val="auto"/>
                      <w:sz w:val="21"/>
                      <w:szCs w:val="21"/>
                      <w:highlight w:val="none"/>
                      <w:u w:val="none"/>
                      <w:lang w:val="en-US" w:eastAsia="zh-CN"/>
                    </w:rPr>
                    <w:t>本项目不使用化肥和农药</w:t>
                  </w:r>
                </w:p>
              </w:tc>
              <w:tc>
                <w:tcPr>
                  <w:tcW w:w="518" w:type="pct"/>
                  <w:tcBorders>
                    <w:tl2br w:val="nil"/>
                    <w:tr2bl w:val="nil"/>
                  </w:tcBorders>
                  <w:noWrap w:val="0"/>
                  <w:vAlign w:val="center"/>
                </w:tcPr>
                <w:p w14:paraId="66F672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10F42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787" w:type="pct"/>
                  <w:tcBorders>
                    <w:tl2br w:val="nil"/>
                    <w:tr2bl w:val="nil"/>
                  </w:tcBorders>
                  <w:noWrap w:val="0"/>
                  <w:vAlign w:val="center"/>
                </w:tcPr>
                <w:p w14:paraId="1E1D50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环境风险防控</w:t>
                  </w:r>
                </w:p>
              </w:tc>
              <w:tc>
                <w:tcPr>
                  <w:tcW w:w="2243" w:type="pct"/>
                  <w:gridSpan w:val="4"/>
                  <w:tcBorders>
                    <w:tl2br w:val="nil"/>
                    <w:tr2bl w:val="nil"/>
                  </w:tcBorders>
                  <w:noWrap w:val="0"/>
                  <w:vAlign w:val="center"/>
                </w:tcPr>
                <w:p w14:paraId="2C5DD804">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（3.1）积极应对重污染天气，对纳入应急减排项目清单的工业企业要制定“一厂一策”实施方案。</w:t>
                  </w:r>
                </w:p>
                <w:p w14:paraId="5C905DC6">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（3.2）有效管控建设用地土壤污染风险。以用途变更为“一住两公”的地块为重点，依法开展土壤污染状况调查和风险评估。</w:t>
                  </w:r>
                </w:p>
                <w:p w14:paraId="37967E72">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（3.3）推进农用地土壤污染防治和安全利用。严格涉镉等重金属行业大气、水污染物排放管控，全面排查整治涉镉等重金属关停企业及矿区历史遗留固体废物。</w:t>
                  </w:r>
                </w:p>
                <w:p w14:paraId="1C4262A2">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（3.4）加密重点断面水质监测，将断面水质管控作为河湖长制重点工作内容，纳入河湖长工作绩效考核。</w:t>
                  </w:r>
                </w:p>
                <w:p w14:paraId="75190F88">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pacing w:val="8"/>
                      <w:sz w:val="21"/>
                      <w:szCs w:val="21"/>
                      <w:highlight w:val="none"/>
                    </w:rPr>
                    <w:t>（3.5）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450" w:type="pct"/>
                  <w:gridSpan w:val="2"/>
                  <w:tcBorders>
                    <w:tl2br w:val="nil"/>
                    <w:tr2bl w:val="nil"/>
                  </w:tcBorders>
                  <w:noWrap w:val="0"/>
                  <w:vAlign w:val="center"/>
                </w:tcPr>
                <w:p w14:paraId="43E79076">
                  <w:pPr>
                    <w:widowControl/>
                    <w:rPr>
                      <w:rFonts w:hint="default" w:ascii="Times New Roman" w:hAnsi="Times New Roman" w:eastAsia="宋体" w:cs="Times New Roman"/>
                      <w:strike w:val="0"/>
                      <w:color w:val="auto"/>
                      <w:sz w:val="21"/>
                      <w:szCs w:val="21"/>
                      <w:highlight w:val="none"/>
                      <w:u w:val="none"/>
                      <w:lang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3.1</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本项目暂未纳入</w:t>
                  </w:r>
                  <w:r>
                    <w:rPr>
                      <w:rFonts w:hint="default" w:ascii="Times New Roman" w:hAnsi="Times New Roman" w:eastAsia="宋体" w:cs="Times New Roman"/>
                      <w:strike w:val="0"/>
                      <w:color w:val="auto"/>
                      <w:sz w:val="21"/>
                      <w:szCs w:val="21"/>
                      <w:highlight w:val="none"/>
                      <w:u w:val="none"/>
                      <w:lang w:eastAsia="zh-CN"/>
                    </w:rPr>
                    <w:t>应急减排项目清单</w:t>
                  </w:r>
                </w:p>
                <w:p w14:paraId="7709F697">
                  <w:pPr>
                    <w:widowControl/>
                    <w:rPr>
                      <w:rFonts w:hint="default" w:ascii="Times New Roman" w:hAnsi="Times New Roman" w:cs="Times New Roman"/>
                      <w:strike w:val="0"/>
                      <w:color w:val="auto"/>
                      <w:sz w:val="21"/>
                      <w:szCs w:val="21"/>
                      <w:highlight w:val="none"/>
                      <w:u w:val="none"/>
                      <w:lang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3.2</w:t>
                  </w:r>
                  <w:r>
                    <w:rPr>
                      <w:rFonts w:hint="default" w:ascii="Times New Roman" w:hAnsi="Times New Roman" w:cs="Times New Roman"/>
                      <w:strike w:val="0"/>
                      <w:color w:val="auto"/>
                      <w:sz w:val="21"/>
                      <w:szCs w:val="21"/>
                      <w:highlight w:val="none"/>
                      <w:u w:val="none"/>
                      <w:lang w:eastAsia="zh-CN"/>
                    </w:rPr>
                    <w:t>）本项目</w:t>
                  </w:r>
                  <w:r>
                    <w:rPr>
                      <w:rFonts w:hint="eastAsia" w:cs="Times New Roman"/>
                      <w:strike w:val="0"/>
                      <w:color w:val="auto"/>
                      <w:sz w:val="21"/>
                      <w:szCs w:val="21"/>
                      <w:highlight w:val="none"/>
                      <w:u w:val="none"/>
                      <w:lang w:val="en-US" w:eastAsia="zh-CN"/>
                    </w:rPr>
                    <w:t>已取得农用地专用审批单（详见附件3）</w:t>
                  </w:r>
                  <w:r>
                    <w:rPr>
                      <w:rFonts w:hint="default" w:ascii="Times New Roman" w:hAnsi="Times New Roman" w:cs="Times New Roman"/>
                      <w:strike w:val="0"/>
                      <w:color w:val="auto"/>
                      <w:sz w:val="21"/>
                      <w:szCs w:val="21"/>
                      <w:highlight w:val="none"/>
                      <w:u w:val="none"/>
                      <w:lang w:eastAsia="zh-CN"/>
                    </w:rPr>
                    <w:t>。</w:t>
                  </w:r>
                </w:p>
                <w:p w14:paraId="4AB2C511">
                  <w:pPr>
                    <w:widowControl/>
                    <w:rPr>
                      <w:rFonts w:hint="default" w:ascii="Times New Roman" w:hAnsi="Times New Roman" w:cs="Times New Roman"/>
                      <w:strike w:val="0"/>
                      <w:color w:val="auto"/>
                      <w:sz w:val="21"/>
                      <w:szCs w:val="21"/>
                      <w:highlight w:val="none"/>
                      <w:u w:val="none"/>
                      <w:lang w:eastAsia="zh-CN"/>
                    </w:rPr>
                  </w:pPr>
                  <w:r>
                    <w:rPr>
                      <w:rFonts w:hint="eastAsia" w:ascii="Times New Roman" w:hAnsi="Times New Roman" w:cs="Times New Roman"/>
                      <w:strike w:val="0"/>
                      <w:color w:val="auto"/>
                      <w:sz w:val="21"/>
                      <w:szCs w:val="21"/>
                      <w:highlight w:val="none"/>
                      <w:u w:val="none"/>
                      <w:lang w:eastAsia="zh-CN"/>
                    </w:rPr>
                    <w:t>（</w:t>
                  </w:r>
                  <w:r>
                    <w:rPr>
                      <w:rFonts w:hint="eastAsia" w:ascii="Times New Roman" w:hAnsi="Times New Roman" w:cs="Times New Roman"/>
                      <w:strike w:val="0"/>
                      <w:color w:val="auto"/>
                      <w:sz w:val="21"/>
                      <w:szCs w:val="21"/>
                      <w:highlight w:val="none"/>
                      <w:u w:val="none"/>
                      <w:lang w:val="en-US" w:eastAsia="zh-CN"/>
                    </w:rPr>
                    <w:t>3.3）</w:t>
                  </w:r>
                  <w:r>
                    <w:rPr>
                      <w:rFonts w:hint="default" w:ascii="Times New Roman" w:hAnsi="Times New Roman" w:cs="Times New Roman"/>
                      <w:strike w:val="0"/>
                      <w:color w:val="auto"/>
                      <w:sz w:val="21"/>
                      <w:szCs w:val="21"/>
                      <w:highlight w:val="none"/>
                      <w:u w:val="none"/>
                      <w:lang w:eastAsia="zh-CN"/>
                    </w:rPr>
                    <w:t>排放的废气污染物主要为</w:t>
                  </w:r>
                  <w:r>
                    <w:rPr>
                      <w:rFonts w:hint="default" w:ascii="Times New Roman" w:hAnsi="Times New Roman" w:cs="Times New Roman"/>
                      <w:strike w:val="0"/>
                      <w:color w:val="auto"/>
                      <w:sz w:val="21"/>
                      <w:szCs w:val="21"/>
                      <w:highlight w:val="none"/>
                      <w:u w:val="none"/>
                      <w:lang w:val="en-US" w:eastAsia="zh-CN"/>
                    </w:rPr>
                    <w:t>颗粒物</w:t>
                  </w:r>
                  <w:r>
                    <w:rPr>
                      <w:rFonts w:hint="default" w:ascii="Times New Roman" w:hAnsi="Times New Roman" w:cs="Times New Roman"/>
                      <w:strike w:val="0"/>
                      <w:color w:val="auto"/>
                      <w:sz w:val="21"/>
                      <w:szCs w:val="21"/>
                      <w:highlight w:val="none"/>
                      <w:u w:val="none"/>
                      <w:lang w:eastAsia="zh-CN"/>
                    </w:rPr>
                    <w:t>，不涉及第一类水污染物、难降解有机物、重金属及其化合物、有毒有害大气污染物、二噁英、苯并芘、氯气及氰化物，不会通过大气沉降对周边土壤及地下水产生污染。</w:t>
                  </w:r>
                </w:p>
                <w:p w14:paraId="68EEE175">
                  <w:pPr>
                    <w:widowControl/>
                    <w:rPr>
                      <w:rFonts w:hint="default" w:ascii="Times New Roman" w:hAnsi="Times New Roman" w:eastAsia="宋体" w:cs="Times New Roman"/>
                      <w:strike w:val="0"/>
                      <w:color w:val="auto"/>
                      <w:sz w:val="21"/>
                      <w:szCs w:val="21"/>
                      <w:highlight w:val="none"/>
                      <w:u w:val="none"/>
                      <w:lang w:val="en-US"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3.</w:t>
                  </w:r>
                  <w:r>
                    <w:rPr>
                      <w:rFonts w:hint="eastAsia" w:ascii="Times New Roman" w:hAnsi="Times New Roman" w:cs="Times New Roman"/>
                      <w:strike w:val="0"/>
                      <w:color w:val="auto"/>
                      <w:sz w:val="21"/>
                      <w:szCs w:val="21"/>
                      <w:highlight w:val="none"/>
                      <w:u w:val="none"/>
                      <w:lang w:val="en-US" w:eastAsia="zh-CN"/>
                    </w:rPr>
                    <w:t>4</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本项</w:t>
                  </w:r>
                  <w:r>
                    <w:rPr>
                      <w:rFonts w:hint="eastAsia" w:ascii="Times New Roman" w:hAnsi="Times New Roman" w:cs="Times New Roman"/>
                      <w:strike w:val="0"/>
                      <w:color w:val="auto"/>
                      <w:sz w:val="21"/>
                      <w:szCs w:val="21"/>
                      <w:highlight w:val="none"/>
                      <w:u w:val="none"/>
                      <w:lang w:val="en-US" w:eastAsia="zh-CN"/>
                    </w:rPr>
                    <w:t>目</w:t>
                  </w:r>
                  <w:r>
                    <w:rPr>
                      <w:rFonts w:hint="default" w:ascii="Times New Roman" w:hAnsi="Times New Roman" w:cs="Times New Roman"/>
                      <w:color w:val="auto"/>
                      <w:sz w:val="21"/>
                      <w:szCs w:val="21"/>
                      <w:highlight w:val="none"/>
                      <w:u w:val="none"/>
                      <w:lang w:val="en-US" w:eastAsia="zh-CN"/>
                    </w:rPr>
                    <w:t>生活污水经化粪池处理后用于农田施肥，不外排，对周边水体影响不大</w:t>
                  </w:r>
                </w:p>
                <w:p w14:paraId="77D8C489">
                  <w:pPr>
                    <w:widowControl/>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 w:val="21"/>
                      <w:szCs w:val="21"/>
                      <w:highlight w:val="none"/>
                      <w:u w:val="none"/>
                    </w:rPr>
                    <w:t>（3.</w:t>
                  </w:r>
                  <w:r>
                    <w:rPr>
                      <w:rFonts w:hint="eastAsia" w:ascii="Times New Roman" w:hAnsi="Times New Roman" w:cs="Times New Roman"/>
                      <w:color w:val="auto"/>
                      <w:sz w:val="21"/>
                      <w:szCs w:val="21"/>
                      <w:highlight w:val="none"/>
                      <w:u w:val="none"/>
                      <w:lang w:val="en-US" w:eastAsia="zh-CN"/>
                    </w:rPr>
                    <w:t>5</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sz w:val="21"/>
                      <w:szCs w:val="21"/>
                      <w:highlight w:val="none"/>
                      <w:u w:val="none"/>
                      <w:lang w:val="en-US" w:eastAsia="zh-CN"/>
                    </w:rPr>
                    <w:t>本项目生活污水经化粪池处理后用于农田施肥，不外排，对周边水体影响不大</w:t>
                  </w:r>
                </w:p>
              </w:tc>
              <w:tc>
                <w:tcPr>
                  <w:tcW w:w="518" w:type="pct"/>
                  <w:tcBorders>
                    <w:tl2br w:val="nil"/>
                    <w:tr2bl w:val="nil"/>
                  </w:tcBorders>
                  <w:noWrap w:val="0"/>
                  <w:vAlign w:val="center"/>
                </w:tcPr>
                <w:p w14:paraId="755E36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2F6B3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787" w:type="pct"/>
                  <w:tcBorders>
                    <w:tl2br w:val="nil"/>
                    <w:tr2bl w:val="nil"/>
                  </w:tcBorders>
                  <w:noWrap w:val="0"/>
                  <w:vAlign w:val="center"/>
                </w:tcPr>
                <w:p w14:paraId="5CFB5B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资源开发效率要求</w:t>
                  </w:r>
                </w:p>
              </w:tc>
              <w:tc>
                <w:tcPr>
                  <w:tcW w:w="2243" w:type="pct"/>
                  <w:gridSpan w:val="4"/>
                  <w:tcBorders>
                    <w:tl2br w:val="nil"/>
                    <w:tr2bl w:val="nil"/>
                  </w:tcBorders>
                  <w:noWrap w:val="0"/>
                  <w:vAlign w:val="center"/>
                </w:tcPr>
                <w:p w14:paraId="2BC2C62B">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（4.1）对取用水总量接近控制指标的地区，限制审批建设项目新增取水许可；已达到或超过控制指标的地区，暂停审批建设项目新增取水许可；划定全县地下水禁采区、限采区和地面沉降控制区范围。</w:t>
                  </w:r>
                </w:p>
                <w:p w14:paraId="7A708440">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（4.2）水资源：2025年，岳阳县用水总量4.07亿立方米，万元地区生产总值用水量比2020年下降21.53%，万元工业增加值用水量比2020年下降12.65%，农田灌溉水有效利用系数0.59。</w:t>
                  </w:r>
                </w:p>
                <w:p w14:paraId="78700D3C">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（4.3）能源：岳阳县“十四五”时期能耗强度降低基本目标16%，激励目标16.5%。</w:t>
                  </w:r>
                </w:p>
                <w:p w14:paraId="47A77739">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新墙镇：耕地保护目标35816.98 亩，永久基本农田保护面积32079.85亩，生态保护红线面积203.29公顷，城镇开发边界规模479.55公顷，村庄建设用地665.55公顷。</w:t>
                  </w:r>
                </w:p>
              </w:tc>
              <w:tc>
                <w:tcPr>
                  <w:tcW w:w="1450" w:type="pct"/>
                  <w:gridSpan w:val="2"/>
                  <w:tcBorders>
                    <w:tl2br w:val="nil"/>
                    <w:tr2bl w:val="nil"/>
                  </w:tcBorders>
                  <w:noWrap w:val="0"/>
                  <w:vAlign w:val="center"/>
                </w:tcPr>
                <w:p w14:paraId="34AD18D2">
                  <w:pP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（4.1）</w:t>
                  </w:r>
                  <w:r>
                    <w:rPr>
                      <w:rFonts w:hint="default" w:ascii="Times New Roman" w:hAnsi="Times New Roman" w:cs="Times New Roman"/>
                      <w:color w:val="auto"/>
                      <w:sz w:val="21"/>
                      <w:szCs w:val="21"/>
                      <w:highlight w:val="none"/>
                      <w:u w:val="none"/>
                      <w:lang w:val="en-US" w:eastAsia="zh-CN"/>
                    </w:rPr>
                    <w:t>本项目使用自来水不</w:t>
                  </w:r>
                  <w:r>
                    <w:rPr>
                      <w:rFonts w:hint="default" w:ascii="Times New Roman" w:hAnsi="Times New Roman" w:cs="Times New Roman"/>
                      <w:color w:val="auto"/>
                      <w:sz w:val="21"/>
                      <w:szCs w:val="21"/>
                      <w:highlight w:val="none"/>
                      <w:u w:val="none"/>
                    </w:rPr>
                    <w:t>新增取水许可</w:t>
                  </w:r>
                </w:p>
                <w:p w14:paraId="0F9BA870">
                  <w:pPr>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 w:val="21"/>
                      <w:szCs w:val="21"/>
                      <w:highlight w:val="none"/>
                      <w:u w:val="none"/>
                    </w:rPr>
                    <w:t>（4.2）</w:t>
                  </w:r>
                  <w:r>
                    <w:rPr>
                      <w:rFonts w:hint="default" w:ascii="Times New Roman" w:hAnsi="Times New Roman" w:eastAsia="宋体" w:cs="Times New Roman"/>
                      <w:color w:val="auto"/>
                      <w:sz w:val="21"/>
                      <w:szCs w:val="21"/>
                      <w:highlight w:val="none"/>
                      <w:u w:val="none"/>
                    </w:rPr>
                    <w:t>本项目生产</w:t>
                  </w:r>
                  <w:r>
                    <w:rPr>
                      <w:rFonts w:hint="default" w:ascii="Times New Roman" w:hAnsi="Times New Roman" w:eastAsia="宋体" w:cs="Times New Roman"/>
                      <w:color w:val="auto"/>
                      <w:sz w:val="21"/>
                      <w:szCs w:val="21"/>
                      <w:highlight w:val="none"/>
                      <w:u w:val="none"/>
                      <w:lang w:val="en-US" w:eastAsia="zh-CN"/>
                    </w:rPr>
                    <w:t>用水循环使用</w:t>
                  </w:r>
                  <w:r>
                    <w:rPr>
                      <w:rFonts w:hint="default" w:ascii="Times New Roman" w:hAnsi="Times New Roman" w:eastAsia="宋体" w:cs="Times New Roman"/>
                      <w:color w:val="auto"/>
                      <w:sz w:val="21"/>
                      <w:szCs w:val="21"/>
                      <w:highlight w:val="none"/>
                      <w:u w:val="none"/>
                    </w:rPr>
                    <w:t>。</w:t>
                  </w:r>
                </w:p>
                <w:p w14:paraId="6C4C647C">
                  <w:pPr>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 w:val="21"/>
                      <w:szCs w:val="21"/>
                      <w:highlight w:val="none"/>
                      <w:u w:val="none"/>
                    </w:rPr>
                    <w:t>（4.3）</w:t>
                  </w:r>
                  <w:r>
                    <w:rPr>
                      <w:rFonts w:hint="default" w:ascii="Times New Roman" w:hAnsi="Times New Roman" w:eastAsia="宋体" w:cs="Times New Roman"/>
                      <w:color w:val="auto"/>
                      <w:sz w:val="21"/>
                      <w:szCs w:val="21"/>
                      <w:highlight w:val="none"/>
                      <w:u w:val="none"/>
                    </w:rPr>
                    <w:t>项目能耗为电，且在能耗控制范围内</w:t>
                  </w:r>
                </w:p>
                <w:p w14:paraId="3EC3FF02">
                  <w:pP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本项目已取得农用地专用审批单（详见附件3），不占用基本农田，同时不涉及生态红线。</w:t>
                  </w:r>
                </w:p>
              </w:tc>
              <w:tc>
                <w:tcPr>
                  <w:tcW w:w="518" w:type="pct"/>
                  <w:tcBorders>
                    <w:tl2br w:val="nil"/>
                    <w:tr2bl w:val="nil"/>
                  </w:tcBorders>
                  <w:noWrap w:val="0"/>
                  <w:vAlign w:val="center"/>
                </w:tcPr>
                <w:p w14:paraId="3754F1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bl>
          <w:p w14:paraId="534CA8FA">
            <w:pPr>
              <w:pStyle w:val="37"/>
              <w:bidi w:val="0"/>
              <w:rPr>
                <w:rFonts w:hint="default"/>
                <w:b/>
                <w:bCs/>
                <w:color w:val="auto"/>
                <w:highlight w:val="green"/>
                <w:u w:val="none" w:color="auto"/>
                <w:lang w:val="en-US" w:eastAsia="zh-CN"/>
              </w:rPr>
            </w:pPr>
            <w:r>
              <w:rPr>
                <w:rFonts w:hint="default" w:ascii="Times New Roman" w:hAnsi="Times New Roman" w:eastAsia="宋体" w:cs="Times New Roman"/>
                <w:color w:val="auto"/>
                <w:spacing w:val="0"/>
                <w:kern w:val="0"/>
                <w:position w:val="0"/>
                <w:sz w:val="24"/>
                <w:szCs w:val="24"/>
                <w:highlight w:val="none"/>
                <w:u w:val="none"/>
                <w:lang w:val="en-US" w:eastAsia="zh-CN" w:bidi="ar-SA"/>
              </w:rPr>
              <w:t>根据上表可知，本项目</w:t>
            </w:r>
            <w:r>
              <w:rPr>
                <w:rFonts w:hint="default" w:ascii="Times New Roman" w:hAnsi="Times New Roman" w:eastAsia="宋体" w:cs="Times New Roman"/>
                <w:b w:val="0"/>
                <w:bCs w:val="0"/>
                <w:color w:val="auto"/>
                <w:spacing w:val="0"/>
                <w:kern w:val="0"/>
                <w:position w:val="0"/>
                <w:sz w:val="24"/>
                <w:szCs w:val="24"/>
                <w:highlight w:val="none"/>
                <w:u w:val="none"/>
                <w:lang w:val="en-US" w:eastAsia="zh-CN" w:bidi="ar-SA"/>
              </w:rPr>
              <w:t>符合</w:t>
            </w:r>
            <w:r>
              <w:rPr>
                <w:rFonts w:hint="eastAsia"/>
                <w:b w:val="0"/>
                <w:bCs w:val="0"/>
                <w:color w:val="auto"/>
                <w:highlight w:val="none"/>
                <w:u w:val="none"/>
              </w:rPr>
              <w:t>新墙镇</w:t>
            </w:r>
            <w:r>
              <w:rPr>
                <w:rFonts w:hint="default" w:ascii="Times New Roman" w:hAnsi="Times New Roman" w:eastAsia="宋体" w:cs="Times New Roman"/>
                <w:b w:val="0"/>
                <w:bCs w:val="0"/>
                <w:color w:val="auto"/>
                <w:spacing w:val="0"/>
                <w:kern w:val="0"/>
                <w:position w:val="0"/>
                <w:sz w:val="24"/>
                <w:szCs w:val="24"/>
                <w:highlight w:val="none"/>
                <w:u w:val="none"/>
                <w:lang w:val="en-US" w:eastAsia="zh-CN" w:bidi="ar-SA"/>
              </w:rPr>
              <w:t>的</w:t>
            </w:r>
            <w:r>
              <w:rPr>
                <w:rFonts w:hint="eastAsia" w:ascii="Times New Roman" w:hAnsi="Times New Roman" w:eastAsia="宋体" w:cs="Times New Roman"/>
                <w:b w:val="0"/>
                <w:bCs w:val="0"/>
                <w:color w:val="auto"/>
                <w:spacing w:val="0"/>
                <w:kern w:val="0"/>
                <w:position w:val="0"/>
                <w:sz w:val="24"/>
                <w:szCs w:val="24"/>
                <w:highlight w:val="none"/>
                <w:u w:val="none"/>
                <w:lang w:val="en-US" w:eastAsia="zh-CN" w:bidi="ar-SA"/>
              </w:rPr>
              <w:t>分区管控</w:t>
            </w:r>
            <w:r>
              <w:rPr>
                <w:rFonts w:hint="default" w:ascii="Times New Roman" w:hAnsi="Times New Roman" w:eastAsia="宋体" w:cs="Times New Roman"/>
                <w:color w:val="auto"/>
                <w:spacing w:val="0"/>
                <w:kern w:val="0"/>
                <w:position w:val="0"/>
                <w:sz w:val="24"/>
                <w:szCs w:val="24"/>
                <w:highlight w:val="none"/>
                <w:u w:val="none"/>
                <w:lang w:val="en-US" w:eastAsia="zh-CN" w:bidi="ar-SA"/>
              </w:rPr>
              <w:t>相关要求。</w:t>
            </w:r>
          </w:p>
          <w:p w14:paraId="399BDFCF">
            <w:pPr>
              <w:pStyle w:val="37"/>
              <w:bidi w:val="0"/>
              <w:rPr>
                <w:rFonts w:hint="default"/>
                <w:b/>
                <w:bCs/>
                <w:color w:val="auto"/>
                <w:highlight w:val="none"/>
                <w:u w:val="none" w:color="auto"/>
              </w:rPr>
            </w:pPr>
            <w:r>
              <w:rPr>
                <w:rFonts w:hint="default"/>
                <w:b/>
                <w:bCs/>
                <w:color w:val="auto"/>
                <w:highlight w:val="none"/>
                <w:u w:val="none" w:color="auto"/>
                <w:lang w:val="en-US" w:eastAsia="zh-CN"/>
              </w:rPr>
              <w:t>二</w:t>
            </w:r>
            <w:r>
              <w:rPr>
                <w:rFonts w:hint="default"/>
                <w:b/>
                <w:bCs/>
                <w:color w:val="auto"/>
                <w:highlight w:val="none"/>
                <w:u w:val="none" w:color="auto"/>
              </w:rPr>
              <w:t>、产业政策符合性分析</w:t>
            </w:r>
          </w:p>
          <w:p w14:paraId="3ACF02F6">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本项目为</w:t>
            </w:r>
            <w:r>
              <w:rPr>
                <w:rFonts w:hint="eastAsia"/>
                <w:color w:val="auto"/>
                <w:sz w:val="24"/>
                <w:highlight w:val="none"/>
                <w:u w:val="none" w:color="auto"/>
                <w:lang w:eastAsia="zh-CN"/>
              </w:rPr>
              <w:t>C3099其他非金属矿物制品制造</w:t>
            </w:r>
            <w:r>
              <w:rPr>
                <w:rFonts w:hint="eastAsia"/>
                <w:color w:val="auto"/>
                <w:highlight w:val="none"/>
                <w:u w:val="none" w:color="auto"/>
                <w:lang w:eastAsia="zh-CN"/>
              </w:rPr>
              <w:t>，</w:t>
            </w: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p w14:paraId="565CD4E6">
            <w:pPr>
              <w:pStyle w:val="37"/>
              <w:bidi w:val="0"/>
              <w:rPr>
                <w:color w:val="auto"/>
                <w:highlight w:val="none"/>
                <w:u w:val="none" w:color="auto"/>
              </w:rPr>
            </w:pPr>
            <w:r>
              <w:rPr>
                <w:color w:val="auto"/>
                <w:highlight w:val="none"/>
                <w:u w:val="none" w:color="auto"/>
              </w:rPr>
              <w:t>根据《限期淘汰产生严重污染环境的工业固体废物的落后生产工艺设备名录》（2021年第25号工业和信息化部令），</w:t>
            </w:r>
            <w:r>
              <w:rPr>
                <w:rFonts w:hint="default"/>
                <w:color w:val="auto"/>
                <w:highlight w:val="none"/>
                <w:u w:val="none" w:color="auto"/>
              </w:rPr>
              <w:t>采用的生产工艺、主要生产设备均不属于现行产业政策中淘汰类设备、工艺和产品有关内容，</w:t>
            </w:r>
            <w:r>
              <w:rPr>
                <w:color w:val="auto"/>
                <w:highlight w:val="none"/>
                <w:u w:val="none" w:color="auto"/>
              </w:rPr>
              <w:t>项目设备符合产业政策。</w:t>
            </w:r>
          </w:p>
          <w:p w14:paraId="6B3A7299">
            <w:pPr>
              <w:pStyle w:val="37"/>
              <w:bidi w:val="0"/>
              <w:rPr>
                <w:rFonts w:hint="default"/>
                <w:color w:val="auto"/>
                <w:highlight w:val="none"/>
                <w:u w:val="none" w:color="auto"/>
              </w:rPr>
            </w:pPr>
            <w:r>
              <w:rPr>
                <w:color w:val="auto"/>
                <w:highlight w:val="none"/>
                <w:u w:val="none" w:color="auto"/>
              </w:rPr>
              <w:t>综上，项目建设符合国家和行业产业政策要求。</w:t>
            </w:r>
          </w:p>
          <w:p w14:paraId="543A5553">
            <w:pPr>
              <w:pStyle w:val="37"/>
              <w:bidi w:val="0"/>
              <w:rPr>
                <w:rFonts w:hint="default"/>
                <w:b/>
                <w:bCs/>
                <w:color w:val="auto"/>
                <w:highlight w:val="none"/>
                <w:u w:val="none" w:color="auto"/>
              </w:rPr>
            </w:pPr>
            <w:r>
              <w:rPr>
                <w:rFonts w:hint="eastAsia"/>
                <w:b/>
                <w:bCs/>
                <w:color w:val="auto"/>
                <w:highlight w:val="none"/>
                <w:u w:val="none" w:color="auto"/>
                <w:lang w:val="en-US" w:eastAsia="zh-CN"/>
              </w:rPr>
              <w:t>三、</w:t>
            </w:r>
            <w:r>
              <w:rPr>
                <w:rFonts w:hint="default"/>
                <w:b/>
                <w:bCs/>
                <w:color w:val="auto"/>
                <w:highlight w:val="none"/>
                <w:u w:val="none" w:color="auto"/>
              </w:rPr>
              <w:t>用地和选址合理性分析</w:t>
            </w:r>
          </w:p>
          <w:p w14:paraId="4D9029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本项目位于岳阳县新墙镇燎原村沙河片二组，本项目所在地已于2020年取得农用地专用审批单（详见附件</w:t>
            </w:r>
            <w:r>
              <w:rPr>
                <w:rFonts w:hint="eastAsia" w:cs="Times New Roman"/>
                <w:color w:val="auto"/>
                <w:kern w:val="0"/>
                <w:sz w:val="24"/>
                <w:szCs w:val="24"/>
                <w:highlight w:val="none"/>
                <w:u w:val="none" w:color="auto"/>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），且</w:t>
            </w:r>
            <w:r>
              <w:rPr>
                <w:rFonts w:hint="default" w:ascii="Times New Roman" w:hAnsi="Times New Roman" w:eastAsia="宋体" w:cs="Times New Roman"/>
                <w:color w:val="auto"/>
                <w:kern w:val="0"/>
                <w:sz w:val="24"/>
                <w:szCs w:val="24"/>
                <w:highlight w:val="none"/>
                <w:u w:val="none" w:color="auto"/>
                <w:lang w:val="en-US" w:eastAsia="zh-CN" w:bidi="ar-SA"/>
              </w:rPr>
              <w:t>不涉及生态红线，不占用基本农田、风景名胜区等；</w:t>
            </w:r>
            <w:r>
              <w:rPr>
                <w:rFonts w:hint="eastAsia" w:ascii="Times New Roman" w:hAnsi="Times New Roman" w:eastAsia="宋体" w:cs="Times New Roman"/>
                <w:color w:val="auto"/>
                <w:kern w:val="0"/>
                <w:sz w:val="24"/>
                <w:szCs w:val="24"/>
                <w:highlight w:val="none"/>
                <w:u w:val="none" w:color="auto"/>
                <w:lang w:val="en-US" w:eastAsia="zh-CN" w:bidi="ar-SA"/>
              </w:rPr>
              <w:t>项目用电、用水来源可靠有保障，周边基础设施条件良好，不会制约项目建设与发展。</w:t>
            </w:r>
          </w:p>
          <w:p w14:paraId="614E2E0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根据工程分析，对本项目生产过程中产生的无组织排放的粉尘采取喷淋降尘、道路洒水抑尘等措施后，项目大气污染物颗粒物放符合相关标准要求；运营期员工在厂区食宿</w:t>
            </w:r>
            <w:r>
              <w:rPr>
                <w:rFonts w:hint="eastAsia" w:cs="Times New Roman"/>
                <w:color w:val="auto"/>
                <w:kern w:val="0"/>
                <w:sz w:val="24"/>
                <w:szCs w:val="24"/>
                <w:highlight w:val="none"/>
                <w:u w:val="none" w:color="auto"/>
                <w:lang w:val="en-US" w:eastAsia="zh-CN" w:bidi="ar-SA"/>
              </w:rPr>
              <w:t>，食堂油烟经</w:t>
            </w:r>
            <w:r>
              <w:rPr>
                <w:rFonts w:hint="eastAsia" w:ascii="Times New Roman" w:hAnsi="Times New Roman" w:eastAsia="宋体" w:cs="Times New Roman"/>
                <w:color w:val="auto"/>
                <w:kern w:val="0"/>
                <w:sz w:val="24"/>
                <w:szCs w:val="24"/>
                <w:highlight w:val="none"/>
                <w:u w:val="none" w:color="auto"/>
                <w:lang w:val="en-US" w:eastAsia="zh-CN" w:bidi="ar-SA"/>
              </w:rPr>
              <w:t>抽油烟机收集后由管道引至屋外排放，项目生活废水经化粪池处理后用作周边农肥，不外排；洗砂废水经</w:t>
            </w:r>
            <w:r>
              <w:rPr>
                <w:rFonts w:hint="eastAsia" w:cs="Times New Roman"/>
                <w:color w:val="auto"/>
                <w:kern w:val="0"/>
                <w:sz w:val="24"/>
                <w:szCs w:val="24"/>
                <w:highlight w:val="none"/>
                <w:u w:val="none" w:color="auto"/>
                <w:lang w:val="en-US" w:eastAsia="zh-CN" w:bidi="ar-SA"/>
              </w:rPr>
              <w:t>絮凝</w:t>
            </w:r>
            <w:r>
              <w:rPr>
                <w:rFonts w:hint="eastAsia" w:ascii="Times New Roman" w:hAnsi="Times New Roman" w:eastAsia="宋体" w:cs="Times New Roman"/>
                <w:color w:val="auto"/>
                <w:kern w:val="0"/>
                <w:sz w:val="24"/>
                <w:szCs w:val="24"/>
                <w:highlight w:val="none"/>
                <w:u w:val="none" w:color="auto"/>
                <w:lang w:val="en-US" w:eastAsia="zh-CN" w:bidi="ar-SA"/>
              </w:rPr>
              <w:t>罐沉淀处理后回用于洗砂工序，初期雨水经沉淀后用于</w:t>
            </w:r>
            <w:r>
              <w:rPr>
                <w:rFonts w:hint="eastAsia" w:cs="Times New Roman"/>
                <w:color w:val="auto"/>
                <w:kern w:val="0"/>
                <w:sz w:val="24"/>
                <w:szCs w:val="24"/>
                <w:highlight w:val="none"/>
                <w:u w:val="none" w:color="auto"/>
                <w:lang w:val="en-US" w:eastAsia="zh-CN" w:bidi="ar-SA"/>
              </w:rPr>
              <w:t>抑尘用水</w:t>
            </w:r>
            <w:r>
              <w:rPr>
                <w:rFonts w:hint="eastAsia" w:ascii="Times New Roman" w:hAnsi="Times New Roman" w:eastAsia="宋体" w:cs="Times New Roman"/>
                <w:color w:val="auto"/>
                <w:kern w:val="0"/>
                <w:sz w:val="24"/>
                <w:szCs w:val="24"/>
                <w:highlight w:val="none"/>
                <w:u w:val="none" w:color="auto"/>
                <w:lang w:val="en-US" w:eastAsia="zh-CN" w:bidi="ar-SA"/>
              </w:rPr>
              <w:t>，生产废水不外排；项目厂界外50m范围内无居民点等敏感点分布，对周边敏感保护目标的声环境影响较小。</w:t>
            </w:r>
          </w:p>
          <w:p w14:paraId="56B7A0D7">
            <w:pPr>
              <w:pStyle w:val="50"/>
              <w:spacing w:before="42" w:line="352" w:lineRule="auto"/>
              <w:ind w:left="102" w:right="97" w:firstLine="481"/>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厂址所在地水、电、原料供应均有保证，满足生产及生活需求。项目产生的废气经处理后可达标排放，生产废水经</w:t>
            </w:r>
            <w:r>
              <w:rPr>
                <w:rFonts w:hint="eastAsia" w:ascii="Times New Roman" w:hAnsi="Times New Roman" w:cs="Times New Roman"/>
                <w:color w:val="auto"/>
                <w:kern w:val="0"/>
                <w:sz w:val="24"/>
                <w:szCs w:val="24"/>
                <w:highlight w:val="none"/>
                <w:u w:val="none" w:color="auto"/>
                <w:lang w:val="en-US" w:eastAsia="zh-CN" w:bidi="ar-SA"/>
              </w:rPr>
              <w:t>絮凝沉淀</w:t>
            </w:r>
            <w:r>
              <w:rPr>
                <w:rFonts w:hint="eastAsia" w:ascii="Times New Roman" w:hAnsi="Times New Roman" w:eastAsia="宋体" w:cs="Times New Roman"/>
                <w:color w:val="auto"/>
                <w:kern w:val="0"/>
                <w:sz w:val="24"/>
                <w:szCs w:val="24"/>
                <w:highlight w:val="none"/>
                <w:u w:val="none" w:color="auto"/>
                <w:lang w:val="en-US" w:eastAsia="zh-CN" w:bidi="ar-SA"/>
              </w:rPr>
              <w:t>后回用于生产不外排，项目生产过程中产生的噪声，通过隔声、减震等措施后厂界噪声可达标。本项目实施对周边环境影响较小</w:t>
            </w:r>
            <w:r>
              <w:rPr>
                <w:rFonts w:hint="eastAsia" w:ascii="Times New Roman" w:hAnsi="Times New Roman" w:cs="Times New Roman"/>
                <w:color w:val="auto"/>
                <w:kern w:val="0"/>
                <w:sz w:val="24"/>
                <w:szCs w:val="24"/>
                <w:highlight w:val="none"/>
                <w:u w:val="none" w:color="auto"/>
                <w:lang w:val="en-US" w:eastAsia="zh-CN" w:bidi="ar-SA"/>
              </w:rPr>
              <w:t>。</w:t>
            </w:r>
          </w:p>
          <w:p w14:paraId="36A23A81">
            <w:pPr>
              <w:pStyle w:val="37"/>
              <w:bidi w:val="0"/>
              <w:rPr>
                <w:rFonts w:hint="default"/>
                <w:b/>
                <w:bCs/>
                <w:color w:val="auto"/>
                <w:highlight w:val="none"/>
                <w:u w:val="none" w:color="auto"/>
              </w:rPr>
            </w:pPr>
            <w:r>
              <w:rPr>
                <w:rFonts w:hint="eastAsia"/>
                <w:b/>
                <w:bCs/>
                <w:color w:val="auto"/>
                <w:highlight w:val="none"/>
                <w:u w:val="none" w:color="auto"/>
                <w:lang w:val="en-US" w:eastAsia="zh-CN"/>
              </w:rPr>
              <w:t>四、与《</w:t>
            </w:r>
            <w:r>
              <w:rPr>
                <w:rFonts w:hint="default"/>
                <w:b/>
                <w:bCs/>
                <w:color w:val="auto"/>
                <w:highlight w:val="none"/>
                <w:u w:val="none" w:color="auto"/>
                <w:lang w:val="en-US" w:eastAsia="zh-CN"/>
              </w:rPr>
              <w:t>湖南省长江经济带发展负面清单实施细则</w:t>
            </w:r>
            <w:r>
              <w:rPr>
                <w:rFonts w:hint="eastAsia"/>
                <w:b/>
                <w:bCs/>
                <w:color w:val="auto"/>
                <w:highlight w:val="none"/>
                <w:u w:val="none" w:color="auto"/>
                <w:lang w:val="en-US" w:eastAsia="zh-CN"/>
              </w:rPr>
              <w:t>（试行，2022版）》</w:t>
            </w:r>
            <w:r>
              <w:rPr>
                <w:rFonts w:hint="default"/>
                <w:b/>
                <w:bCs/>
                <w:color w:val="auto"/>
                <w:highlight w:val="none"/>
                <w:u w:val="none" w:color="auto"/>
              </w:rPr>
              <w:t>分析</w:t>
            </w:r>
          </w:p>
          <w:p w14:paraId="51A0C566">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本项目与《湖南省长江经济带发展负面清单实施细则</w:t>
            </w:r>
            <w:r>
              <w:rPr>
                <w:rFonts w:hint="eastAsia"/>
                <w:color w:val="auto"/>
                <w:highlight w:val="none"/>
                <w:u w:val="none" w:color="auto"/>
                <w:lang w:val="en-US" w:eastAsia="zh-CN"/>
              </w:rPr>
              <w:t>（试</w:t>
            </w:r>
            <w:r>
              <w:rPr>
                <w:rFonts w:hint="default"/>
                <w:color w:val="auto"/>
                <w:highlight w:val="none"/>
                <w:u w:val="none" w:color="auto"/>
                <w:lang w:val="en-US" w:eastAsia="zh-CN"/>
              </w:rPr>
              <w:t>行，2022年版</w:t>
            </w:r>
            <w:r>
              <w:rPr>
                <w:rFonts w:hint="eastAsia"/>
                <w:color w:val="auto"/>
                <w:highlight w:val="none"/>
                <w:u w:val="none" w:color="auto"/>
                <w:lang w:val="en-US" w:eastAsia="zh-CN"/>
              </w:rPr>
              <w:t>）》</w:t>
            </w:r>
            <w:r>
              <w:rPr>
                <w:rFonts w:hint="default"/>
                <w:color w:val="auto"/>
                <w:highlight w:val="none"/>
                <w:u w:val="none" w:color="auto"/>
                <w:lang w:val="en-US" w:eastAsia="zh-CN"/>
              </w:rPr>
              <w:t>符合性分析详见下表。</w:t>
            </w:r>
          </w:p>
          <w:p w14:paraId="226D4C08">
            <w:pPr>
              <w:pStyle w:val="37"/>
              <w:bidi w:val="0"/>
              <w:spacing w:line="240" w:lineRule="auto"/>
              <w:jc w:val="center"/>
              <w:rPr>
                <w:rFonts w:hint="eastAsia"/>
                <w:b/>
                <w:bCs/>
                <w:color w:val="auto"/>
                <w:sz w:val="21"/>
                <w:szCs w:val="21"/>
                <w:highlight w:val="none"/>
                <w:u w:val="none" w:color="auto"/>
                <w:lang w:val="en-US" w:eastAsia="zh-CN"/>
              </w:rPr>
            </w:pPr>
            <w:r>
              <w:rPr>
                <w:rFonts w:hint="default"/>
                <w:b/>
                <w:bCs/>
                <w:color w:val="auto"/>
                <w:sz w:val="21"/>
                <w:szCs w:val="21"/>
                <w:highlight w:val="none"/>
                <w:u w:val="none" w:color="auto"/>
                <w:lang w:val="en-US" w:eastAsia="zh-CN"/>
              </w:rPr>
              <w:t>表1-</w:t>
            </w:r>
            <w:r>
              <w:rPr>
                <w:rFonts w:hint="eastAsia"/>
                <w:b/>
                <w:bCs/>
                <w:color w:val="auto"/>
                <w:sz w:val="21"/>
                <w:szCs w:val="21"/>
                <w:highlight w:val="none"/>
                <w:u w:val="none" w:color="auto"/>
                <w:lang w:val="en-US" w:eastAsia="zh-CN"/>
              </w:rPr>
              <w:t>2</w:t>
            </w:r>
            <w:r>
              <w:rPr>
                <w:rFonts w:hint="default"/>
                <w:b/>
                <w:bCs/>
                <w:color w:val="auto"/>
                <w:sz w:val="21"/>
                <w:szCs w:val="21"/>
                <w:highlight w:val="none"/>
                <w:u w:val="none" w:color="auto"/>
                <w:lang w:val="en-US" w:eastAsia="zh-CN"/>
              </w:rPr>
              <w:t xml:space="preserve"> </w:t>
            </w:r>
            <w:r>
              <w:rPr>
                <w:rFonts w:hint="eastAsia"/>
                <w:b/>
                <w:bCs/>
                <w:color w:val="auto"/>
                <w:sz w:val="21"/>
                <w:szCs w:val="21"/>
                <w:highlight w:val="none"/>
                <w:u w:val="none" w:color="auto"/>
                <w:lang w:val="en-US" w:eastAsia="zh-CN"/>
              </w:rPr>
              <w:t xml:space="preserve">  </w:t>
            </w:r>
            <w:r>
              <w:rPr>
                <w:rFonts w:hint="default"/>
                <w:b/>
                <w:bCs/>
                <w:color w:val="auto"/>
                <w:sz w:val="21"/>
                <w:szCs w:val="21"/>
                <w:highlight w:val="none"/>
                <w:u w:val="none" w:color="auto"/>
                <w:lang w:val="en-US" w:eastAsia="zh-CN"/>
              </w:rPr>
              <w:t>与《湖南省长江经济带发展负面清单实施细则(</w:t>
            </w:r>
            <w:r>
              <w:rPr>
                <w:rFonts w:hint="eastAsia"/>
                <w:b/>
                <w:bCs/>
                <w:color w:val="auto"/>
                <w:sz w:val="21"/>
                <w:szCs w:val="21"/>
                <w:highlight w:val="none"/>
                <w:u w:val="none" w:color="auto"/>
                <w:lang w:val="en-US" w:eastAsia="zh-CN"/>
              </w:rPr>
              <w:t>试行</w:t>
            </w:r>
            <w:r>
              <w:rPr>
                <w:rFonts w:hint="default"/>
                <w:b/>
                <w:bCs/>
                <w:color w:val="auto"/>
                <w:sz w:val="21"/>
                <w:szCs w:val="21"/>
                <w:highlight w:val="none"/>
                <w:u w:val="none" w:color="auto"/>
                <w:lang w:val="en-US" w:eastAsia="zh-CN"/>
              </w:rPr>
              <w:t>，2022年版)》符合性分析</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3172"/>
              <w:gridCol w:w="2294"/>
              <w:gridCol w:w="438"/>
            </w:tblGrid>
            <w:tr w14:paraId="189BA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66A48801">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序号</w:t>
                  </w:r>
                </w:p>
              </w:tc>
              <w:tc>
                <w:tcPr>
                  <w:tcW w:w="2487" w:type="pct"/>
                  <w:tcBorders>
                    <w:tl2br w:val="nil"/>
                    <w:tr2bl w:val="nil"/>
                  </w:tcBorders>
                  <w:vAlign w:val="center"/>
                </w:tcPr>
                <w:p w14:paraId="4DF18925">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具体要求</w:t>
                  </w:r>
                </w:p>
              </w:tc>
              <w:tc>
                <w:tcPr>
                  <w:tcW w:w="1798" w:type="pct"/>
                  <w:tcBorders>
                    <w:tl2br w:val="nil"/>
                    <w:tr2bl w:val="nil"/>
                  </w:tcBorders>
                  <w:vAlign w:val="center"/>
                </w:tcPr>
                <w:p w14:paraId="6F118034">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本项目情况</w:t>
                  </w:r>
                </w:p>
              </w:tc>
              <w:tc>
                <w:tcPr>
                  <w:tcW w:w="343" w:type="pct"/>
                  <w:tcBorders>
                    <w:tl2br w:val="nil"/>
                    <w:tr2bl w:val="nil"/>
                  </w:tcBorders>
                  <w:vAlign w:val="center"/>
                </w:tcPr>
                <w:p w14:paraId="5BBF7300">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相符性</w:t>
                  </w:r>
                </w:p>
              </w:tc>
            </w:tr>
            <w:tr w14:paraId="26C26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7C582365">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w:t>
                  </w:r>
                </w:p>
              </w:tc>
              <w:tc>
                <w:tcPr>
                  <w:tcW w:w="2487" w:type="pct"/>
                  <w:tcBorders>
                    <w:tl2br w:val="nil"/>
                    <w:tr2bl w:val="nil"/>
                  </w:tcBorders>
                  <w:vAlign w:val="center"/>
                </w:tcPr>
                <w:p w14:paraId="3DEAFE55">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的过长江通道项目</w:t>
                  </w:r>
                  <w:r>
                    <w:rPr>
                      <w:rFonts w:hint="eastAsia"/>
                      <w:color w:val="auto"/>
                      <w:highlight w:val="none"/>
                      <w:u w:val="none" w:color="auto"/>
                      <w:lang w:val="en-US" w:eastAsia="zh-CN"/>
                    </w:rPr>
                    <w:t>。</w:t>
                  </w:r>
                </w:p>
              </w:tc>
              <w:tc>
                <w:tcPr>
                  <w:tcW w:w="1798" w:type="pct"/>
                  <w:tcBorders>
                    <w:tl2br w:val="nil"/>
                    <w:tr2bl w:val="nil"/>
                  </w:tcBorders>
                  <w:vAlign w:val="center"/>
                </w:tcPr>
                <w:p w14:paraId="6E30A015">
                  <w:pPr>
                    <w:pStyle w:val="7"/>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eastAsia" w:ascii="Times New Roman" w:hAnsi="Times New Roman" w:eastAsia="宋体" w:cs="Times New Roman"/>
                      <w:color w:val="auto"/>
                      <w:highlight w:val="none"/>
                      <w:u w:val="none" w:color="auto"/>
                      <w:lang w:val="en-US" w:eastAsia="zh-CN"/>
                    </w:rPr>
                    <w:t>为</w:t>
                  </w:r>
                  <w:r>
                    <w:rPr>
                      <w:rFonts w:hint="eastAsia" w:cs="Times New Roman"/>
                      <w:color w:val="auto"/>
                      <w:highlight w:val="none"/>
                      <w:u w:val="none" w:color="auto"/>
                      <w:lang w:val="en-US" w:eastAsia="zh-CN"/>
                    </w:rPr>
                    <w:t>C3099其他非金属矿物制品制造</w:t>
                  </w:r>
                  <w:r>
                    <w:rPr>
                      <w:rFonts w:hint="eastAsia" w:eastAsia="宋体" w:cs="Times New Roman"/>
                      <w:color w:val="auto"/>
                      <w:highlight w:val="none"/>
                      <w:u w:val="none" w:color="auto"/>
                      <w:lang w:val="en-US" w:eastAsia="zh-CN"/>
                    </w:rPr>
                    <w:t>项目</w:t>
                  </w:r>
                  <w:r>
                    <w:rPr>
                      <w:rFonts w:hint="default" w:ascii="Times New Roman" w:hAnsi="Times New Roman" w:eastAsia="宋体" w:cs="Times New Roman"/>
                      <w:color w:val="auto"/>
                      <w:highlight w:val="none"/>
                      <w:u w:val="none" w:color="auto"/>
                      <w:lang w:val="en-US" w:eastAsia="zh-CN"/>
                    </w:rPr>
                    <w:t>，不涉及</w:t>
                  </w:r>
                  <w:r>
                    <w:rPr>
                      <w:rFonts w:hint="default" w:ascii="Times New Roman" w:hAnsi="Times New Roman" w:cs="Times New Roman"/>
                      <w:color w:val="auto"/>
                      <w:highlight w:val="none"/>
                      <w:u w:val="none" w:color="auto"/>
                      <w:lang w:val="en-US" w:eastAsia="zh-CN"/>
                    </w:rPr>
                    <w:t>港</w:t>
                  </w:r>
                  <w:r>
                    <w:rPr>
                      <w:rFonts w:hint="default"/>
                      <w:color w:val="auto"/>
                      <w:highlight w:val="none"/>
                      <w:u w:val="none" w:color="auto"/>
                      <w:lang w:val="en-US" w:eastAsia="zh-CN"/>
                    </w:rPr>
                    <w:t>口码头建设</w:t>
                  </w:r>
                  <w:r>
                    <w:rPr>
                      <w:rFonts w:hint="eastAsia"/>
                      <w:color w:val="auto"/>
                      <w:highlight w:val="none"/>
                      <w:u w:val="none" w:color="auto"/>
                      <w:lang w:val="en-US" w:eastAsia="zh-CN"/>
                    </w:rPr>
                    <w:t>。</w:t>
                  </w:r>
                </w:p>
              </w:tc>
              <w:tc>
                <w:tcPr>
                  <w:tcW w:w="343" w:type="pct"/>
                  <w:tcBorders>
                    <w:tl2br w:val="nil"/>
                    <w:tr2bl w:val="nil"/>
                  </w:tcBorders>
                  <w:vAlign w:val="center"/>
                </w:tcPr>
                <w:p w14:paraId="31AD4E1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D0E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0F632F3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2487" w:type="pct"/>
                  <w:tcBorders>
                    <w:tl2br w:val="nil"/>
                    <w:tr2bl w:val="nil"/>
                  </w:tcBorders>
                  <w:vAlign w:val="center"/>
                </w:tcPr>
                <w:p w14:paraId="1DBAEA4C">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自然保护区核心区、缓冲区的岸线和河段范围内投资建设以下项目:(一)高尔夫球场开发、房地产开发、索道建设、会所建设等项目;(光伏发电、风力发电、火力发电建设项目;社会资金进行商业性探矿勘查，以及不属于国家紧缺矿种资源的基础地质调查和矿产远景调查等公益性工作的设施建设;(四)野生动物驯养繁殖，展览基地建设项目;(五)污染环境、破坏自然资源或自然景观的建设设施</w:t>
                  </w:r>
                  <w:r>
                    <w:rPr>
                      <w:rFonts w:hint="eastAsia"/>
                      <w:color w:val="auto"/>
                      <w:highlight w:val="none"/>
                      <w:u w:val="none" w:color="auto"/>
                      <w:lang w:val="en-US" w:eastAsia="zh-CN"/>
                    </w:rPr>
                    <w:t>；</w:t>
                  </w:r>
                  <w:r>
                    <w:rPr>
                      <w:rFonts w:hint="default"/>
                      <w:color w:val="auto"/>
                      <w:highlight w:val="none"/>
                      <w:u w:val="none" w:color="auto"/>
                      <w:lang w:val="en-US" w:eastAsia="zh-CN"/>
                    </w:rPr>
                    <w:t>(六)对自然保护区主要保护对象产生重大影响、改变自然生态系统完整性、原真性、破坏自然景观的设施</w:t>
                  </w:r>
                  <w:r>
                    <w:rPr>
                      <w:rFonts w:hint="eastAsia"/>
                      <w:color w:val="auto"/>
                      <w:highlight w:val="none"/>
                      <w:u w:val="none" w:color="auto"/>
                      <w:lang w:val="en-US" w:eastAsia="zh-CN"/>
                    </w:rPr>
                    <w:t>；</w:t>
                  </w:r>
                  <w:r>
                    <w:rPr>
                      <w:rFonts w:hint="default"/>
                      <w:color w:val="auto"/>
                      <w:highlight w:val="none"/>
                      <w:u w:val="none" w:color="auto"/>
                      <w:lang w:val="en-US" w:eastAsia="zh-CN"/>
                    </w:rPr>
                    <w:t>(七)其他不符合自然保护区主体功能定位和国家禁止的设施。</w:t>
                  </w:r>
                </w:p>
              </w:tc>
              <w:tc>
                <w:tcPr>
                  <w:tcW w:w="1798" w:type="pct"/>
                  <w:tcBorders>
                    <w:tl2br w:val="nil"/>
                    <w:tr2bl w:val="nil"/>
                  </w:tcBorders>
                  <w:vAlign w:val="center"/>
                </w:tcPr>
                <w:p w14:paraId="4342219F">
                  <w:pPr>
                    <w:pStyle w:val="7"/>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w:t>
                  </w:r>
                  <w:r>
                    <w:rPr>
                      <w:rFonts w:hint="default" w:ascii="Times New Roman" w:hAnsi="Times New Roman" w:eastAsia="宋体" w:cs="Times New Roman"/>
                      <w:color w:val="auto"/>
                      <w:kern w:val="0"/>
                      <w:sz w:val="21"/>
                      <w:szCs w:val="20"/>
                      <w:highlight w:val="none"/>
                      <w:u w:val="none" w:color="auto"/>
                      <w:lang w:val="en-US" w:eastAsia="zh-CN" w:bidi="ar-SA"/>
                    </w:rPr>
                    <w:t>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ascii="Times New Roman" w:hAnsi="Times New Roman" w:eastAsia="宋体" w:cs="Times New Roman"/>
                      <w:color w:val="auto"/>
                      <w:kern w:val="0"/>
                      <w:sz w:val="21"/>
                      <w:szCs w:val="20"/>
                      <w:highlight w:val="none"/>
                      <w:u w:val="none" w:color="auto"/>
                      <w:lang w:val="en-US" w:eastAsia="zh-CN" w:bidi="ar-SA"/>
                    </w:rPr>
                    <w:t>，不属于左</w:t>
                  </w:r>
                  <w:r>
                    <w:rPr>
                      <w:rFonts w:hint="default" w:ascii="Times New Roman" w:hAnsi="Times New Roman" w:cs="Times New Roman"/>
                      <w:color w:val="auto"/>
                      <w:highlight w:val="none"/>
                      <w:u w:val="none" w:color="auto"/>
                      <w:lang w:val="en-US" w:eastAsia="zh-CN"/>
                    </w:rPr>
                    <w:t>侧项目类型;本项目所在区域不涉及自然保护区等敏感区</w:t>
                  </w:r>
                  <w:r>
                    <w:rPr>
                      <w:rFonts w:hint="eastAsia" w:ascii="Times New Roman" w:hAnsi="Times New Roman" w:cs="Times New Roman"/>
                      <w:color w:val="auto"/>
                      <w:highlight w:val="none"/>
                      <w:u w:val="none" w:color="auto"/>
                      <w:lang w:val="en-US" w:eastAsia="zh-CN"/>
                    </w:rPr>
                    <w:t>。</w:t>
                  </w:r>
                </w:p>
              </w:tc>
              <w:tc>
                <w:tcPr>
                  <w:tcW w:w="343" w:type="pct"/>
                  <w:tcBorders>
                    <w:tl2br w:val="nil"/>
                    <w:tr2bl w:val="nil"/>
                  </w:tcBorders>
                  <w:vAlign w:val="center"/>
                </w:tcPr>
                <w:p w14:paraId="61501CB2">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6106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099D22B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3</w:t>
                  </w:r>
                </w:p>
              </w:tc>
              <w:tc>
                <w:tcPr>
                  <w:tcW w:w="2487" w:type="pct"/>
                  <w:tcBorders>
                    <w:tl2br w:val="nil"/>
                    <w:tr2bl w:val="nil"/>
                  </w:tcBorders>
                  <w:vAlign w:val="center"/>
                </w:tcPr>
                <w:p w14:paraId="1FFC6234">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r>
                    <w:rPr>
                      <w:rFonts w:hint="eastAsia"/>
                      <w:color w:val="auto"/>
                      <w:highlight w:val="none"/>
                      <w:u w:val="none" w:color="auto"/>
                      <w:lang w:val="en-US" w:eastAsia="zh-CN"/>
                    </w:rPr>
                    <w:t>。</w:t>
                  </w:r>
                </w:p>
              </w:tc>
              <w:tc>
                <w:tcPr>
                  <w:tcW w:w="1798" w:type="pct"/>
                  <w:tcBorders>
                    <w:tl2br w:val="nil"/>
                    <w:tr2bl w:val="nil"/>
                  </w:tcBorders>
                  <w:vAlign w:val="center"/>
                </w:tcPr>
                <w:p w14:paraId="4F34D11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，不涉及机场、铁路、公路、水利、航运、围堰等公益性基础设施建设</w:t>
                  </w:r>
                  <w:r>
                    <w:rPr>
                      <w:rFonts w:hint="eastAsia"/>
                      <w:color w:val="auto"/>
                      <w:highlight w:val="none"/>
                      <w:u w:val="none" w:color="auto"/>
                      <w:lang w:val="en-US" w:eastAsia="zh-CN"/>
                    </w:rPr>
                    <w:t>。</w:t>
                  </w:r>
                </w:p>
              </w:tc>
              <w:tc>
                <w:tcPr>
                  <w:tcW w:w="343" w:type="pct"/>
                  <w:tcBorders>
                    <w:tl2br w:val="nil"/>
                    <w:tr2bl w:val="nil"/>
                  </w:tcBorders>
                  <w:vAlign w:val="center"/>
                </w:tcPr>
                <w:p w14:paraId="10871DE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73FE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6C87A092">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4</w:t>
                  </w:r>
                </w:p>
              </w:tc>
              <w:tc>
                <w:tcPr>
                  <w:tcW w:w="2487" w:type="pct"/>
                  <w:tcBorders>
                    <w:tl2br w:val="nil"/>
                    <w:tr2bl w:val="nil"/>
                  </w:tcBorders>
                  <w:vAlign w:val="center"/>
                </w:tcPr>
                <w:p w14:paraId="23A9607E">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禁止违反风景名胜区规划，在风景名胜区内设立各类开发区和在核心景区内建设宾馆、招待所、培训中心、疗养院以及与风景名胜资源保护无关的其他建筑物</w:t>
                  </w:r>
                  <w:r>
                    <w:rPr>
                      <w:rFonts w:hint="eastAsia"/>
                      <w:color w:val="auto"/>
                      <w:highlight w:val="none"/>
                      <w:u w:val="none" w:color="auto"/>
                      <w:lang w:val="en-US" w:eastAsia="zh-CN"/>
                    </w:rPr>
                    <w:t>；</w:t>
                  </w:r>
                  <w:r>
                    <w:rPr>
                      <w:rFonts w:hint="default"/>
                      <w:color w:val="auto"/>
                      <w:highlight w:val="none"/>
                      <w:u w:val="none" w:color="auto"/>
                      <w:lang w:val="en-US" w:eastAsia="zh-CN"/>
                    </w:rPr>
                    <w:t>已经建设的，应当按照风景名胜区规划，逐步迁出。</w:t>
                  </w:r>
                </w:p>
              </w:tc>
              <w:tc>
                <w:tcPr>
                  <w:tcW w:w="1798" w:type="pct"/>
                  <w:tcBorders>
                    <w:tl2br w:val="nil"/>
                    <w:tr2bl w:val="nil"/>
                  </w:tcBorders>
                  <w:vAlign w:val="center"/>
                </w:tcPr>
                <w:p w14:paraId="057D6E32">
                  <w:pPr>
                    <w:pStyle w:val="42"/>
                    <w:widowControl w:val="0"/>
                    <w:bidi w:val="0"/>
                    <w:adjustRightInd w:val="0"/>
                    <w:spacing w:line="240" w:lineRule="auto"/>
                    <w:ind w:firstLine="0" w:firstLineChars="0"/>
                    <w:jc w:val="center"/>
                    <w:textAlignment w:val="baseline"/>
                    <w:rPr>
                      <w:rFonts w:hint="default"/>
                      <w:color w:val="auto"/>
                      <w:highlight w:val="none"/>
                      <w:u w:val="none" w:color="auto"/>
                      <w:lang w:val="en-US" w:eastAsia="zh-CN"/>
                    </w:rPr>
                  </w:pPr>
                  <w:r>
                    <w:rPr>
                      <w:rFonts w:ascii="Times New Roman" w:hAnsi="Times New Roman" w:eastAsia="宋体" w:cs="Times New Roman"/>
                      <w:color w:val="auto"/>
                      <w:kern w:val="0"/>
                      <w:sz w:val="21"/>
                      <w:szCs w:val="20"/>
                      <w:highlight w:val="none"/>
                      <w:u w:val="none" w:color="auto"/>
                      <w:lang w:bidi="ar-SA"/>
                    </w:rPr>
                    <w:t>本项目位于湖南省岳阳市</w:t>
                  </w:r>
                  <w:r>
                    <w:rPr>
                      <w:rFonts w:hint="eastAsia" w:cs="Times New Roman"/>
                      <w:color w:val="auto"/>
                      <w:kern w:val="0"/>
                      <w:sz w:val="21"/>
                      <w:szCs w:val="20"/>
                      <w:highlight w:val="none"/>
                      <w:u w:val="none" w:color="auto"/>
                      <w:lang w:eastAsia="zh-CN" w:bidi="ar-SA"/>
                    </w:rPr>
                    <w:t>岳阳县新墙镇燎原村沙河片二组</w:t>
                  </w:r>
                  <w:r>
                    <w:rPr>
                      <w:rFonts w:ascii="Times New Roman" w:hAnsi="Times New Roman" w:eastAsia="宋体" w:cs="Times New Roman"/>
                      <w:color w:val="auto"/>
                      <w:kern w:val="0"/>
                      <w:sz w:val="21"/>
                      <w:szCs w:val="20"/>
                      <w:highlight w:val="none"/>
                      <w:u w:val="none" w:color="auto"/>
                      <w:lang w:bidi="ar-SA"/>
                    </w:rPr>
                    <w:t>，且不属于风景名胜区的范畴内。</w:t>
                  </w:r>
                </w:p>
              </w:tc>
              <w:tc>
                <w:tcPr>
                  <w:tcW w:w="343" w:type="pct"/>
                  <w:tcBorders>
                    <w:tl2br w:val="nil"/>
                    <w:tr2bl w:val="nil"/>
                  </w:tcBorders>
                  <w:vAlign w:val="center"/>
                </w:tcPr>
                <w:p w14:paraId="11225B5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D62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4A1D23D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5</w:t>
                  </w:r>
                </w:p>
              </w:tc>
              <w:tc>
                <w:tcPr>
                  <w:tcW w:w="2487" w:type="pct"/>
                  <w:tcBorders>
                    <w:tl2br w:val="nil"/>
                    <w:tr2bl w:val="nil"/>
                  </w:tcBorders>
                  <w:vAlign w:val="center"/>
                </w:tcPr>
                <w:p w14:paraId="72F74E9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他废弃物;禁止设置油库;禁止使用含磷洗涤用品。</w:t>
                  </w:r>
                </w:p>
              </w:tc>
              <w:tc>
                <w:tcPr>
                  <w:tcW w:w="1798" w:type="pct"/>
                  <w:vMerge w:val="restart"/>
                  <w:tcBorders>
                    <w:tl2br w:val="nil"/>
                    <w:tr2bl w:val="nil"/>
                  </w:tcBorders>
                  <w:vAlign w:val="center"/>
                </w:tcPr>
                <w:p w14:paraId="2017D288">
                  <w:pPr>
                    <w:pStyle w:val="42"/>
                    <w:bidi w:val="0"/>
                    <w:jc w:val="center"/>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本项目生活污水经化粪池处理后用作农肥</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lang w:val="en-US" w:eastAsia="zh-CN"/>
                    </w:rPr>
                    <w:t>不外排</w:t>
                  </w:r>
                  <w:r>
                    <w:rPr>
                      <w:rFonts w:hint="eastAsia"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生产用水</w:t>
                  </w:r>
                  <w:r>
                    <w:rPr>
                      <w:rFonts w:hint="default" w:ascii="Times New Roman" w:hAnsi="Times New Roman" w:cs="Times New Roman"/>
                      <w:color w:val="auto"/>
                      <w:highlight w:val="none"/>
                      <w:u w:val="none" w:color="auto"/>
                      <w:lang w:val="en-US" w:eastAsia="zh-CN"/>
                    </w:rPr>
                    <w:t>循环使用不外排</w:t>
                  </w:r>
                  <w:r>
                    <w:rPr>
                      <w:rFonts w:hint="eastAsia" w:ascii="Times New Roman" w:hAnsi="Times New Roman" w:cs="Times New Roman"/>
                      <w:color w:val="auto"/>
                      <w:highlight w:val="none"/>
                      <w:u w:val="none" w:color="auto"/>
                      <w:lang w:val="en-US" w:eastAsia="zh-CN"/>
                    </w:rPr>
                    <w:t>。本项目所在区域不涉及饮用水水源保护区。</w:t>
                  </w:r>
                </w:p>
              </w:tc>
              <w:tc>
                <w:tcPr>
                  <w:tcW w:w="343" w:type="pct"/>
                  <w:tcBorders>
                    <w:tl2br w:val="nil"/>
                    <w:tr2bl w:val="nil"/>
                  </w:tcBorders>
                  <w:vAlign w:val="center"/>
                </w:tcPr>
                <w:p w14:paraId="7D6CA5E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7EC3E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5AE468E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6</w:t>
                  </w:r>
                </w:p>
              </w:tc>
              <w:tc>
                <w:tcPr>
                  <w:tcW w:w="2487" w:type="pct"/>
                  <w:tcBorders>
                    <w:tl2br w:val="nil"/>
                    <w:tr2bl w:val="nil"/>
                  </w:tcBorders>
                  <w:vAlign w:val="center"/>
                </w:tcPr>
                <w:p w14:paraId="484766F6">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798" w:type="pct"/>
                  <w:vMerge w:val="continue"/>
                  <w:tcBorders>
                    <w:tl2br w:val="nil"/>
                    <w:tr2bl w:val="nil"/>
                  </w:tcBorders>
                  <w:vAlign w:val="center"/>
                </w:tcPr>
                <w:p w14:paraId="5B490560">
                  <w:pPr>
                    <w:pStyle w:val="42"/>
                    <w:bidi w:val="0"/>
                    <w:jc w:val="center"/>
                    <w:rPr>
                      <w:rFonts w:hint="default"/>
                      <w:color w:val="auto"/>
                      <w:highlight w:val="none"/>
                      <w:u w:val="none" w:color="auto"/>
                      <w:lang w:val="en-US" w:eastAsia="zh-CN"/>
                    </w:rPr>
                  </w:pPr>
                </w:p>
              </w:tc>
              <w:tc>
                <w:tcPr>
                  <w:tcW w:w="343" w:type="pct"/>
                  <w:tcBorders>
                    <w:tl2br w:val="nil"/>
                    <w:tr2bl w:val="nil"/>
                  </w:tcBorders>
                  <w:vAlign w:val="center"/>
                </w:tcPr>
                <w:p w14:paraId="1AB9E2C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51C6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7F618A2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7</w:t>
                  </w:r>
                </w:p>
              </w:tc>
              <w:tc>
                <w:tcPr>
                  <w:tcW w:w="2487" w:type="pct"/>
                  <w:tcBorders>
                    <w:tl2br w:val="nil"/>
                    <w:tr2bl w:val="nil"/>
                  </w:tcBorders>
                  <w:vAlign w:val="center"/>
                </w:tcPr>
                <w:p w14:paraId="635CD3A7">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禁止在水产种质资源保护区的岸线和河段范围内新建排污口、实施非法围垦河道和围湖造田造地等投资建设项目</w:t>
                  </w:r>
                </w:p>
              </w:tc>
              <w:tc>
                <w:tcPr>
                  <w:tcW w:w="1798" w:type="pct"/>
                  <w:vMerge w:val="continue"/>
                  <w:tcBorders>
                    <w:tl2br w:val="nil"/>
                    <w:tr2bl w:val="nil"/>
                  </w:tcBorders>
                  <w:vAlign w:val="center"/>
                </w:tcPr>
                <w:p w14:paraId="12024A7E">
                  <w:pPr>
                    <w:pStyle w:val="42"/>
                    <w:bidi w:val="0"/>
                    <w:jc w:val="center"/>
                    <w:rPr>
                      <w:rFonts w:hint="default"/>
                      <w:color w:val="auto"/>
                      <w:highlight w:val="none"/>
                      <w:u w:val="none" w:color="auto"/>
                      <w:lang w:val="en-US" w:eastAsia="zh-CN"/>
                    </w:rPr>
                  </w:pPr>
                </w:p>
              </w:tc>
              <w:tc>
                <w:tcPr>
                  <w:tcW w:w="343" w:type="pct"/>
                  <w:tcBorders>
                    <w:tl2br w:val="nil"/>
                    <w:tr2bl w:val="nil"/>
                  </w:tcBorders>
                  <w:vAlign w:val="center"/>
                </w:tcPr>
                <w:p w14:paraId="6CD5B3A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586F8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1AB241F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w:t>
                  </w:r>
                </w:p>
              </w:tc>
              <w:tc>
                <w:tcPr>
                  <w:tcW w:w="2487" w:type="pct"/>
                  <w:tcBorders>
                    <w:tl2br w:val="nil"/>
                    <w:tr2bl w:val="nil"/>
                  </w:tcBorders>
                  <w:vAlign w:val="center"/>
                </w:tcPr>
                <w:p w14:paraId="6F21C55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八)其他破坏湿地及其生态功能的活动</w:t>
                  </w:r>
                </w:p>
              </w:tc>
              <w:tc>
                <w:tcPr>
                  <w:tcW w:w="1798" w:type="pct"/>
                  <w:tcBorders>
                    <w:tl2br w:val="nil"/>
                    <w:tr2bl w:val="nil"/>
                  </w:tcBorders>
                  <w:vAlign w:val="center"/>
                </w:tcPr>
                <w:p w14:paraId="134F299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，不涉及左侧所列行为和活动。</w:t>
                  </w:r>
                </w:p>
              </w:tc>
              <w:tc>
                <w:tcPr>
                  <w:tcW w:w="343" w:type="pct"/>
                  <w:tcBorders>
                    <w:tl2br w:val="nil"/>
                    <w:tr2bl w:val="nil"/>
                  </w:tcBorders>
                  <w:vAlign w:val="center"/>
                </w:tcPr>
                <w:p w14:paraId="7268E214">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2673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0612873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w:t>
                  </w:r>
                </w:p>
              </w:tc>
              <w:tc>
                <w:tcPr>
                  <w:tcW w:w="2487" w:type="pct"/>
                  <w:tcBorders>
                    <w:tl2br w:val="nil"/>
                    <w:tr2bl w:val="nil"/>
                  </w:tcBorders>
                  <w:vAlign w:val="center"/>
                </w:tcPr>
                <w:p w14:paraId="5CFD3FEE">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围网、填埋湿地等侵占河湖水域或者违法利用、占用河湖岸线的行为。</w:t>
                  </w:r>
                </w:p>
              </w:tc>
              <w:tc>
                <w:tcPr>
                  <w:tcW w:w="1798" w:type="pct"/>
                  <w:tcBorders>
                    <w:tl2br w:val="nil"/>
                    <w:tr2bl w:val="nil"/>
                  </w:tcBorders>
                  <w:vAlign w:val="center"/>
                </w:tcPr>
                <w:p w14:paraId="1F239129">
                  <w:pPr>
                    <w:pStyle w:val="42"/>
                    <w:bidi w:val="0"/>
                    <w:jc w:val="center"/>
                    <w:rPr>
                      <w:rFonts w:hint="default"/>
                      <w:color w:val="auto"/>
                      <w:highlight w:val="green"/>
                      <w:u w:val="none" w:color="auto"/>
                      <w:lang w:val="en-US" w:eastAsia="zh-CN"/>
                    </w:rPr>
                  </w:pPr>
                  <w:r>
                    <w:rPr>
                      <w:rFonts w:hint="default"/>
                      <w:color w:val="auto"/>
                      <w:highlight w:val="none"/>
                      <w:u w:val="none" w:color="auto"/>
                      <w:lang w:val="en-US" w:eastAsia="zh-CN"/>
                    </w:rPr>
                    <w:t>北距新墙河约</w:t>
                  </w:r>
                  <w:r>
                    <w:rPr>
                      <w:rFonts w:hint="eastAsia"/>
                      <w:color w:val="auto"/>
                      <w:highlight w:val="none"/>
                      <w:u w:val="none" w:color="auto"/>
                      <w:lang w:val="en-US" w:eastAsia="zh-CN"/>
                    </w:rPr>
                    <w:t>2.4</w:t>
                  </w:r>
                  <w:r>
                    <w:rPr>
                      <w:rFonts w:hint="default"/>
                      <w:color w:val="auto"/>
                      <w:highlight w:val="none"/>
                      <w:u w:val="none" w:color="auto"/>
                      <w:lang w:val="en-US" w:eastAsia="zh-CN"/>
                    </w:rPr>
                    <w:t>km，西北距洞庭湖约</w:t>
                  </w:r>
                  <w:r>
                    <w:rPr>
                      <w:rFonts w:hint="eastAsia"/>
                      <w:color w:val="auto"/>
                      <w:highlight w:val="none"/>
                      <w:u w:val="none" w:color="auto"/>
                      <w:lang w:val="en-US" w:eastAsia="zh-CN"/>
                    </w:rPr>
                    <w:t>22k</w:t>
                  </w:r>
                  <w:r>
                    <w:rPr>
                      <w:rFonts w:hint="default"/>
                      <w:color w:val="auto"/>
                      <w:highlight w:val="none"/>
                      <w:u w:val="none" w:color="auto"/>
                      <w:lang w:val="en-US" w:eastAsia="zh-CN"/>
                    </w:rPr>
                    <w:t>m。本项目不占用长江流域河湖岸线，不涉及填湖造地、围湖造田及非法围垦河道等行为。</w:t>
                  </w:r>
                </w:p>
              </w:tc>
              <w:tc>
                <w:tcPr>
                  <w:tcW w:w="343" w:type="pct"/>
                  <w:tcBorders>
                    <w:tl2br w:val="nil"/>
                    <w:tr2bl w:val="nil"/>
                  </w:tcBorders>
                  <w:vAlign w:val="center"/>
                </w:tcPr>
                <w:p w14:paraId="585127B7">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F66B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43A9769D">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10</w:t>
                  </w:r>
                </w:p>
              </w:tc>
              <w:tc>
                <w:tcPr>
                  <w:tcW w:w="2487" w:type="pct"/>
                  <w:tcBorders>
                    <w:tl2br w:val="nil"/>
                    <w:tr2bl w:val="nil"/>
                  </w:tcBorders>
                  <w:vAlign w:val="center"/>
                </w:tcPr>
                <w:p w14:paraId="2A6D2E16">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禁止在《全国重要江河湖泊水功能区划》划定的河段及湖泊保护区、保留区内投资建设不利于水资源及自然生态保护的项目。</w:t>
                  </w:r>
                </w:p>
              </w:tc>
              <w:tc>
                <w:tcPr>
                  <w:tcW w:w="1798" w:type="pct"/>
                  <w:tcBorders>
                    <w:tl2br w:val="nil"/>
                    <w:tr2bl w:val="nil"/>
                  </w:tcBorders>
                  <w:vAlign w:val="center"/>
                </w:tcPr>
                <w:p w14:paraId="27D08C8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本项目无废水外排</w:t>
                  </w:r>
                  <w:r>
                    <w:rPr>
                      <w:rFonts w:hint="eastAsia"/>
                      <w:color w:val="auto"/>
                      <w:highlight w:val="none"/>
                      <w:u w:val="none" w:color="auto"/>
                      <w:lang w:val="en-US" w:eastAsia="zh-CN"/>
                    </w:rPr>
                    <w:t>且</w:t>
                  </w:r>
                  <w:r>
                    <w:rPr>
                      <w:rFonts w:hint="default"/>
                      <w:color w:val="auto"/>
                      <w:highlight w:val="none"/>
                      <w:u w:val="none" w:color="auto"/>
                      <w:lang w:val="en-US" w:eastAsia="zh-CN"/>
                    </w:rPr>
                    <w:t>不属于不利于水资源及自然生态保护的项目。</w:t>
                  </w:r>
                </w:p>
              </w:tc>
              <w:tc>
                <w:tcPr>
                  <w:tcW w:w="343" w:type="pct"/>
                  <w:tcBorders>
                    <w:tl2br w:val="nil"/>
                    <w:tr2bl w:val="nil"/>
                  </w:tcBorders>
                  <w:vAlign w:val="center"/>
                </w:tcPr>
                <w:p w14:paraId="45DDFAB0">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D319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4544B5C9">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11</w:t>
                  </w:r>
                </w:p>
              </w:tc>
              <w:tc>
                <w:tcPr>
                  <w:tcW w:w="2487" w:type="pct"/>
                  <w:tcBorders>
                    <w:tl2br w:val="nil"/>
                    <w:tr2bl w:val="nil"/>
                  </w:tcBorders>
                  <w:vAlign w:val="center"/>
                </w:tcPr>
                <w:p w14:paraId="52CD35A9">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禁止未经许可在长江</w:t>
                  </w:r>
                  <w:r>
                    <w:rPr>
                      <w:rFonts w:hint="eastAsia"/>
                      <w:color w:val="auto"/>
                      <w:highlight w:val="none"/>
                      <w:u w:val="none" w:color="auto"/>
                      <w:lang w:val="en-US" w:eastAsia="zh-CN"/>
                    </w:rPr>
                    <w:t>干</w:t>
                  </w:r>
                  <w:r>
                    <w:rPr>
                      <w:rFonts w:hint="default"/>
                      <w:color w:val="auto"/>
                      <w:highlight w:val="none"/>
                      <w:u w:val="none" w:color="auto"/>
                      <w:lang w:val="en-US" w:eastAsia="zh-CN"/>
                    </w:rPr>
                    <w:t>支流及湖泊新设、改设或扩大排污口。</w:t>
                  </w:r>
                </w:p>
              </w:tc>
              <w:tc>
                <w:tcPr>
                  <w:tcW w:w="1798" w:type="pct"/>
                  <w:tcBorders>
                    <w:tl2br w:val="nil"/>
                    <w:tr2bl w:val="nil"/>
                  </w:tcBorders>
                  <w:vAlign w:val="center"/>
                </w:tcPr>
                <w:p w14:paraId="0B13743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本项目无废水排放</w:t>
                  </w:r>
                </w:p>
              </w:tc>
              <w:tc>
                <w:tcPr>
                  <w:tcW w:w="343" w:type="pct"/>
                  <w:tcBorders>
                    <w:tl2br w:val="nil"/>
                    <w:tr2bl w:val="nil"/>
                  </w:tcBorders>
                  <w:vAlign w:val="center"/>
                </w:tcPr>
                <w:p w14:paraId="3E431E49">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8DF3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6A38C48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w:t>
                  </w:r>
                </w:p>
              </w:tc>
              <w:tc>
                <w:tcPr>
                  <w:tcW w:w="2487" w:type="pct"/>
                  <w:tcBorders>
                    <w:tl2br w:val="nil"/>
                    <w:tr2bl w:val="nil"/>
                  </w:tcBorders>
                  <w:vAlign w:val="center"/>
                </w:tcPr>
                <w:p w14:paraId="647EFA0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禁止在洞庭湖、湘江、资江、沅江、澧水干流和45 个水生生物保护区开展生产性捕捞。在相关自然保护区域和禁猎(渔)区、禁猎(渔)期内，禁止猎捕以及其他妨碍野生动物生息繁衍的活动，但法律法规另有规定的除外。</w:t>
                  </w:r>
                </w:p>
              </w:tc>
              <w:tc>
                <w:tcPr>
                  <w:tcW w:w="1798" w:type="pct"/>
                  <w:tcBorders>
                    <w:tl2br w:val="nil"/>
                    <w:tr2bl w:val="nil"/>
                  </w:tcBorders>
                  <w:vAlign w:val="center"/>
                </w:tcPr>
                <w:p w14:paraId="2B48830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，不涉及在水生生物保护区开展生产性捕捞工作。</w:t>
                  </w:r>
                </w:p>
              </w:tc>
              <w:tc>
                <w:tcPr>
                  <w:tcW w:w="343" w:type="pct"/>
                  <w:tcBorders>
                    <w:tl2br w:val="nil"/>
                    <w:tr2bl w:val="nil"/>
                  </w:tcBorders>
                  <w:vAlign w:val="center"/>
                </w:tcPr>
                <w:p w14:paraId="5CD90D0F">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F76D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3DA2842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13</w:t>
                  </w:r>
                </w:p>
              </w:tc>
              <w:tc>
                <w:tcPr>
                  <w:tcW w:w="2487" w:type="pct"/>
                  <w:tcBorders>
                    <w:tl2br w:val="nil"/>
                    <w:tr2bl w:val="nil"/>
                  </w:tcBorders>
                  <w:vAlign w:val="center"/>
                </w:tcPr>
                <w:p w14:paraId="7E5CE751">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音库，以提升安全、生态环境保护水平为目的的改建除外。</w:t>
                  </w:r>
                </w:p>
              </w:tc>
              <w:tc>
                <w:tcPr>
                  <w:tcW w:w="1798" w:type="pct"/>
                  <w:tcBorders>
                    <w:tl2br w:val="nil"/>
                    <w:tr2bl w:val="nil"/>
                  </w:tcBorders>
                  <w:vAlign w:val="center"/>
                </w:tcPr>
                <w:p w14:paraId="1AB2DA64">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，不属于化工项</w:t>
                  </w:r>
                  <w:r>
                    <w:rPr>
                      <w:rFonts w:hint="eastAsia"/>
                      <w:color w:val="auto"/>
                      <w:highlight w:val="none"/>
                      <w:u w:val="none" w:color="auto"/>
                      <w:lang w:val="en-US" w:eastAsia="zh-CN"/>
                    </w:rPr>
                    <w:t>目</w:t>
                  </w:r>
                  <w:r>
                    <w:rPr>
                      <w:rFonts w:hint="default"/>
                      <w:color w:val="auto"/>
                      <w:highlight w:val="none"/>
                      <w:u w:val="none" w:color="auto"/>
                      <w:lang w:val="en-US" w:eastAsia="zh-CN"/>
                    </w:rPr>
                    <w:t>。</w:t>
                  </w:r>
                </w:p>
              </w:tc>
              <w:tc>
                <w:tcPr>
                  <w:tcW w:w="343" w:type="pct"/>
                  <w:tcBorders>
                    <w:tl2br w:val="nil"/>
                    <w:tr2bl w:val="nil"/>
                  </w:tcBorders>
                  <w:vAlign w:val="center"/>
                </w:tcPr>
                <w:p w14:paraId="1FB000F5">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4AAF5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7D2B0867">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14</w:t>
                  </w:r>
                </w:p>
              </w:tc>
              <w:tc>
                <w:tcPr>
                  <w:tcW w:w="2487" w:type="pct"/>
                  <w:tcBorders>
                    <w:tl2br w:val="nil"/>
                    <w:tr2bl w:val="nil"/>
                  </w:tcBorders>
                  <w:vAlign w:val="center"/>
                </w:tcPr>
                <w:p w14:paraId="535E849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禁止在合规园区外新建、扩建钢铁、石化、化工、焦化、建材、有色、制浆造纸等高污染项目。高污染项目严格按照生态环境部《环境保护综合名录(2021年版)》有关要求执行。</w:t>
                  </w:r>
                </w:p>
              </w:tc>
              <w:tc>
                <w:tcPr>
                  <w:tcW w:w="1798" w:type="pct"/>
                  <w:vMerge w:val="restart"/>
                  <w:tcBorders>
                    <w:tl2br w:val="nil"/>
                    <w:tr2bl w:val="nil"/>
                  </w:tcBorders>
                  <w:vAlign w:val="center"/>
                </w:tcPr>
                <w:p w14:paraId="2F794433">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本项目的国民经济行业类别为</w:t>
                  </w:r>
                  <w:r>
                    <w:rPr>
                      <w:rFonts w:hint="default"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C3099其他非金属矿物制品制造</w:t>
                  </w:r>
                  <w:r>
                    <w:rPr>
                      <w:rFonts w:hint="default" w:ascii="Times New Roman" w:hAnsi="Times New Roman" w:cs="Times New Roman"/>
                      <w:color w:val="auto"/>
                      <w:highlight w:val="none"/>
                      <w:u w:val="none" w:color="auto"/>
                      <w:lang w:val="en-US" w:eastAsia="zh-CN"/>
                    </w:rPr>
                    <w:t>”</w:t>
                  </w:r>
                  <w:r>
                    <w:rPr>
                      <w:rFonts w:hint="eastAsia" w:ascii="Times New Roman" w:hAnsi="Times New Roman" w:cs="Times New Roman"/>
                      <w:color w:val="auto"/>
                      <w:highlight w:val="none"/>
                      <w:u w:val="none" w:color="auto"/>
                      <w:lang w:val="en-US" w:eastAsia="zh-CN"/>
                    </w:rPr>
                    <w:t>；</w:t>
                  </w:r>
                  <w:r>
                    <w:rPr>
                      <w:rFonts w:hint="default"/>
                      <w:color w:val="auto"/>
                      <w:highlight w:val="none"/>
                      <w:u w:val="none" w:color="auto"/>
                      <w:lang w:val="en-US" w:eastAsia="zh-CN"/>
                    </w:rPr>
                    <w:t>对照《湖南省“两高”项目管理目录》</w:t>
                  </w:r>
                  <w:r>
                    <w:rPr>
                      <w:rFonts w:hint="eastAsia"/>
                      <w:color w:val="auto"/>
                      <w:highlight w:val="none"/>
                      <w:u w:val="none" w:color="auto"/>
                      <w:lang w:val="en-US" w:eastAsia="zh-CN"/>
                    </w:rPr>
                    <w:t>可知</w:t>
                  </w:r>
                  <w:r>
                    <w:rPr>
                      <w:rFonts w:hint="default"/>
                      <w:color w:val="auto"/>
                      <w:highlight w:val="none"/>
                      <w:u w:val="none" w:color="auto"/>
                      <w:lang w:val="en-US" w:eastAsia="zh-CN"/>
                    </w:rPr>
                    <w:t>，本项目不属于“两高”项目的范畴;同时，本项目不属于石化、现代煤化工项目。</w:t>
                  </w:r>
                </w:p>
              </w:tc>
              <w:tc>
                <w:tcPr>
                  <w:tcW w:w="343" w:type="pct"/>
                  <w:tcBorders>
                    <w:tl2br w:val="nil"/>
                    <w:tr2bl w:val="nil"/>
                  </w:tcBorders>
                  <w:vAlign w:val="center"/>
                </w:tcPr>
                <w:p w14:paraId="3B0EAF7C">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22B7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3D7A59B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15</w:t>
                  </w:r>
                </w:p>
              </w:tc>
              <w:tc>
                <w:tcPr>
                  <w:tcW w:w="2487" w:type="pct"/>
                  <w:tcBorders>
                    <w:tl2br w:val="nil"/>
                    <w:tr2bl w:val="nil"/>
                  </w:tcBorders>
                  <w:vAlign w:val="center"/>
                </w:tcPr>
                <w:p w14:paraId="539BFE13">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禁止新建、扩建不符合国家石化、现代煤化工等产业布局规划的项目。未通过认定的化工园区，不得新建、改扩建化工项目(安全、环保、节能和智能</w:t>
                  </w:r>
                </w:p>
                <w:p w14:paraId="150DB70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化改造项目除外)。</w:t>
                  </w:r>
                </w:p>
              </w:tc>
              <w:tc>
                <w:tcPr>
                  <w:tcW w:w="1798" w:type="pct"/>
                  <w:vMerge w:val="continue"/>
                  <w:tcBorders>
                    <w:tl2br w:val="nil"/>
                    <w:tr2bl w:val="nil"/>
                  </w:tcBorders>
                  <w:vAlign w:val="center"/>
                </w:tcPr>
                <w:p w14:paraId="66CBACA6">
                  <w:pPr>
                    <w:pStyle w:val="42"/>
                    <w:bidi w:val="0"/>
                    <w:jc w:val="center"/>
                    <w:rPr>
                      <w:rFonts w:hint="default"/>
                      <w:color w:val="auto"/>
                      <w:highlight w:val="none"/>
                      <w:u w:val="none" w:color="auto"/>
                      <w:lang w:val="en-US" w:eastAsia="zh-CN"/>
                    </w:rPr>
                  </w:pPr>
                </w:p>
              </w:tc>
              <w:tc>
                <w:tcPr>
                  <w:tcW w:w="343" w:type="pct"/>
                  <w:tcBorders>
                    <w:tl2br w:val="nil"/>
                    <w:tr2bl w:val="nil"/>
                  </w:tcBorders>
                  <w:vAlign w:val="center"/>
                </w:tcPr>
                <w:p w14:paraId="6D09C405">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2881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6858690F">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16</w:t>
                  </w:r>
                </w:p>
              </w:tc>
              <w:tc>
                <w:tcPr>
                  <w:tcW w:w="2487" w:type="pct"/>
                  <w:tcBorders>
                    <w:tl2br w:val="nil"/>
                    <w:tr2bl w:val="nil"/>
                  </w:tcBorders>
                  <w:vAlign w:val="center"/>
                </w:tcPr>
                <w:p w14:paraId="7136C2E5">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798" w:type="pct"/>
                  <w:tcBorders>
                    <w:tl2br w:val="nil"/>
                    <w:tr2bl w:val="nil"/>
                  </w:tcBorders>
                  <w:vAlign w:val="center"/>
                </w:tcPr>
                <w:p w14:paraId="7F981B2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tc>
              <w:tc>
                <w:tcPr>
                  <w:tcW w:w="343" w:type="pct"/>
                  <w:tcBorders>
                    <w:tl2br w:val="nil"/>
                    <w:tr2bl w:val="nil"/>
                  </w:tcBorders>
                  <w:vAlign w:val="center"/>
                </w:tcPr>
                <w:p w14:paraId="64BCB66E">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bl>
          <w:p w14:paraId="7AF63900">
            <w:pPr>
              <w:pStyle w:val="37"/>
              <w:bidi w:val="0"/>
              <w:rPr>
                <w:color w:val="auto"/>
                <w:highlight w:val="none"/>
                <w:u w:val="none" w:color="auto"/>
              </w:rPr>
            </w:pPr>
            <w:r>
              <w:rPr>
                <w:rFonts w:hint="eastAsia"/>
                <w:color w:val="auto"/>
                <w:highlight w:val="none"/>
                <w:u w:val="none" w:color="auto"/>
              </w:rPr>
              <w:t>根据上表可知，本项目符合区域发展规划，不属于高耗能、高排放项目符合《湖南省长江经济带发展负面清单实施细则(试行，2022年版)》有关规定。</w:t>
            </w:r>
          </w:p>
          <w:p w14:paraId="268F9937">
            <w:pPr>
              <w:pStyle w:val="37"/>
              <w:bidi w:val="0"/>
              <w:rPr>
                <w:rFonts w:hint="eastAsia" w:ascii="Times New Roman" w:hAnsi="Times New Roman" w:eastAsia="宋体" w:cs="Times New Roman"/>
                <w:b/>
                <w:bCs/>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五、与《湖南省大气污染防治“守护蓝天”攻坚行动计划（2023—2025年）》符合性分析</w:t>
            </w:r>
          </w:p>
          <w:p w14:paraId="00D3BFE4">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w:t>
            </w:r>
            <w:r>
              <w:rPr>
                <w:rFonts w:hint="default" w:ascii="Times New Roman" w:hAnsi="Times New Roman" w:eastAsia="宋体" w:cs="Times New Roman"/>
                <w:color w:val="auto"/>
                <w:highlight w:val="none"/>
                <w:u w:val="none" w:color="auto"/>
                <w:lang w:val="en-US" w:eastAsia="zh-CN"/>
              </w:rPr>
              <w:t>符合性分析详见下表。</w:t>
            </w:r>
          </w:p>
          <w:p w14:paraId="0F7D8679">
            <w:pPr>
              <w:jc w:val="center"/>
              <w:rPr>
                <w:rFonts w:hint="default" w:ascii="Times New Roman" w:hAnsi="Times New Roman" w:cs="Times New Roman"/>
                <w:b/>
                <w:color w:val="auto"/>
                <w:szCs w:val="21"/>
                <w:highlight w:val="none"/>
                <w:u w:val="none" w:color="auto"/>
              </w:rPr>
            </w:pPr>
            <w:r>
              <w:rPr>
                <w:rFonts w:hint="default" w:ascii="Times New Roman" w:hAnsi="Times New Roman" w:cs="Times New Roman"/>
                <w:b/>
                <w:color w:val="auto"/>
                <w:szCs w:val="21"/>
                <w:highlight w:val="none"/>
                <w:u w:val="none" w:color="auto"/>
              </w:rPr>
              <w:t>表1-</w:t>
            </w:r>
            <w:r>
              <w:rPr>
                <w:rFonts w:hint="eastAsia" w:ascii="Times New Roman" w:hAnsi="Times New Roman" w:cs="Times New Roman"/>
                <w:b/>
                <w:color w:val="auto"/>
                <w:szCs w:val="21"/>
                <w:highlight w:val="none"/>
                <w:u w:val="none" w:color="auto"/>
                <w:lang w:val="en-US" w:eastAsia="zh-CN"/>
              </w:rPr>
              <w:t>3</w:t>
            </w:r>
            <w:r>
              <w:rPr>
                <w:rFonts w:hint="default" w:ascii="Times New Roman" w:hAnsi="Times New Roman" w:cs="Times New Roman"/>
                <w:b/>
                <w:color w:val="auto"/>
                <w:szCs w:val="21"/>
                <w:highlight w:val="none"/>
                <w:u w:val="none" w:color="auto"/>
                <w:lang w:val="en-US" w:eastAsia="zh-CN"/>
              </w:rPr>
              <w:t xml:space="preserve">   </w:t>
            </w:r>
            <w:r>
              <w:rPr>
                <w:rFonts w:hint="default" w:ascii="Times New Roman" w:hAnsi="Times New Roman" w:cs="Times New Roman"/>
                <w:b/>
                <w:color w:val="auto"/>
                <w:szCs w:val="21"/>
                <w:highlight w:val="none"/>
                <w:u w:val="none" w:color="auto"/>
              </w:rPr>
              <w:t>本项目与《湖南省大气污染防治“守护蓝天”攻坚行动计划（2023—2025年）》相符性分析</w:t>
            </w:r>
          </w:p>
          <w:tbl>
            <w:tblPr>
              <w:tblStyle w:val="24"/>
              <w:tblW w:w="6264"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40"/>
              <w:gridCol w:w="4365"/>
              <w:gridCol w:w="1003"/>
              <w:gridCol w:w="456"/>
            </w:tblGrid>
            <w:tr w14:paraId="0DA173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1DB905D3">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序号</w:t>
                  </w:r>
                </w:p>
              </w:tc>
              <w:tc>
                <w:tcPr>
                  <w:tcW w:w="4365" w:type="dxa"/>
                  <w:tcBorders>
                    <w:tl2br w:val="nil"/>
                    <w:tr2bl w:val="nil"/>
                  </w:tcBorders>
                  <w:vAlign w:val="center"/>
                </w:tcPr>
                <w:p w14:paraId="69E2364D">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相关规定</w:t>
                  </w:r>
                </w:p>
              </w:tc>
              <w:tc>
                <w:tcPr>
                  <w:tcW w:w="1003" w:type="dxa"/>
                  <w:tcBorders>
                    <w:tl2br w:val="nil"/>
                    <w:tr2bl w:val="nil"/>
                  </w:tcBorders>
                  <w:vAlign w:val="center"/>
                </w:tcPr>
                <w:p w14:paraId="142A5E62">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项目情况</w:t>
                  </w:r>
                </w:p>
              </w:tc>
              <w:tc>
                <w:tcPr>
                  <w:tcW w:w="456" w:type="dxa"/>
                  <w:tcBorders>
                    <w:tl2br w:val="nil"/>
                    <w:tr2bl w:val="nil"/>
                  </w:tcBorders>
                  <w:vAlign w:val="center"/>
                </w:tcPr>
                <w:p w14:paraId="5CA7EC99">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相符性</w:t>
                  </w:r>
                </w:p>
              </w:tc>
            </w:tr>
            <w:tr w14:paraId="02E60D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241C4478">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p>
              </w:tc>
              <w:tc>
                <w:tcPr>
                  <w:tcW w:w="4365" w:type="dxa"/>
                  <w:tcBorders>
                    <w:tl2br w:val="nil"/>
                    <w:tr2bl w:val="nil"/>
                  </w:tcBorders>
                  <w:vAlign w:val="center"/>
                </w:tcPr>
                <w:p w14:paraId="039D5F69">
                  <w:pPr>
                    <w:pStyle w:val="8"/>
                    <w:keepNext w:val="0"/>
                    <w:keepLines w:val="0"/>
                    <w:pageBreakBefore w:val="0"/>
                    <w:widowControl/>
                    <w:numPr>
                      <w:ilvl w:val="0"/>
                      <w:numId w:val="3"/>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能源领域1.推动能源绿色低碳转型。严格落实煤炭等量、减量替代，提高电煤消费占比。多渠道扩展天然气气源，扩大外受电比重，持续推进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煤改电</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工程，大力推进使用清洁能源或电厂热力、工业余热等替代锅炉、炉窑燃料用煤，加快推动玻璃、地板砖等建材行业企业以及有色冶炼行业鼓风炉、反射炉等</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依法依规推进煤气发生炉有序退出，推动非化石能源发展。到2025年，煤炭消费占一次能源消费比重下降至51%左右，电煤消费占比达到55%以上。［省发展改革委（省能源局）牵头，各市州人民政府负责落实；以下均需各市州人民政府负责落实，不再列出］</w:t>
                  </w:r>
                </w:p>
                <w:p w14:paraId="6B01421C">
                  <w:pPr>
                    <w:pStyle w:val="8"/>
                    <w:keepNext w:val="0"/>
                    <w:keepLines w:val="0"/>
                    <w:pageBreakBefore w:val="0"/>
                    <w:widowControl/>
                    <w:numPr>
                      <w:ilvl w:val="0"/>
                      <w:numId w:val="4"/>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强化禁燃区管控，推进散煤替代。加强煤炭生产、销售和使用监管。优化调整高污染燃料禁燃区范围，严厉查处禁燃区内煤炭燃用行为。推进农村用能低碳化转型，加快农业种植、养殖、农产品加工等散煤替代。［省发展改革委（省能源局）、省生态环境厅、省农业农村厅、省市场监管局按职责分工负责］</w:t>
                  </w:r>
                </w:p>
                <w:p w14:paraId="26971378">
                  <w:pPr>
                    <w:pStyle w:val="8"/>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全省煤电机组平均供电煤耗降至300克标煤/千瓦时以下。［省发展改革委（省能源局）、省工业和信息化厅按职责分工负责］</w:t>
                  </w:r>
                </w:p>
              </w:tc>
              <w:tc>
                <w:tcPr>
                  <w:tcW w:w="1003" w:type="dxa"/>
                  <w:tcBorders>
                    <w:tl2br w:val="nil"/>
                    <w:tr2bl w:val="nil"/>
                  </w:tcBorders>
                  <w:vAlign w:val="center"/>
                </w:tcPr>
                <w:p w14:paraId="0B9019B3">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本项目不使用煤炭能源，本项目使用电能。</w:t>
                  </w:r>
                </w:p>
              </w:tc>
              <w:tc>
                <w:tcPr>
                  <w:tcW w:w="456" w:type="dxa"/>
                  <w:tcBorders>
                    <w:tl2br w:val="nil"/>
                    <w:tr2bl w:val="nil"/>
                  </w:tcBorders>
                  <w:vAlign w:val="center"/>
                </w:tcPr>
                <w:p w14:paraId="565BF3F2">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1333B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5AEE556B">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p>
              </w:tc>
              <w:tc>
                <w:tcPr>
                  <w:tcW w:w="4365" w:type="dxa"/>
                  <w:tcBorders>
                    <w:tl2br w:val="nil"/>
                    <w:tr2bl w:val="nil"/>
                  </w:tcBorders>
                  <w:vAlign w:val="center"/>
                </w:tcPr>
                <w:p w14:paraId="1AC4217B">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（二）工业和信息化领域</w:t>
                  </w:r>
                </w:p>
                <w:p w14:paraId="3988705B">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1.优化产业结构和布局。严格项目准入，遏制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两高一低</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省工业和信息化厅、省发展改革委、省生态环境厅按职责分工负责）</w:t>
                  </w:r>
                </w:p>
                <w:p w14:paraId="1A37C32E">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产业绿色低碳发展。健全节能标准体系，深入开展重点行业强制性清洁生产审核。大力推行绿色制造，推进绿色工厂、绿色园区建设。到2025年，规模以上工业单位增加值能耗降低14%，重点行业主要污染物排放强度降低10%；建成50家省级及以上绿色园区、500家绿色工厂，各市州重点行业企业全面完成一轮清洁生产审核、全省自愿性清洁生产审核通过企业1500家以上。（省工业和信息化厅、省发展改革委、省生态环境厅按职责分工负责）</w:t>
                  </w:r>
                </w:p>
                <w:p w14:paraId="691B5175">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3.加大低VOCs原辅材料替代力度。建立多部门联合执法机制，加大监督检查力度，确保生产、销售、使用符合VOCs含量限值标准的产品。以工业涂装、包装印刷和</w:t>
                  </w:r>
                  <w:r>
                    <w:rPr>
                      <w:rFonts w:hint="eastAsia" w:cs="Times New Roman"/>
                      <w:b w:val="0"/>
                      <w:bCs w:val="0"/>
                      <w:color w:val="auto"/>
                      <w:kern w:val="0"/>
                      <w:sz w:val="21"/>
                      <w:szCs w:val="21"/>
                      <w:highlight w:val="none"/>
                      <w:u w:val="none" w:color="auto"/>
                      <w:vertAlign w:val="baseline"/>
                      <w:lang w:val="en-US" w:eastAsia="zh-CN"/>
                    </w:rPr>
                    <w:t>胶黏剂</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使用等为重点，在企业清洁生产审核中明确提出低VOCs原辅材料替代要求。（省工业和信息化厅、省生态环境厅、省市场监管局按职责分工负责）</w:t>
                  </w:r>
                </w:p>
              </w:tc>
              <w:tc>
                <w:tcPr>
                  <w:tcW w:w="1003" w:type="dxa"/>
                  <w:tcBorders>
                    <w:tl2br w:val="nil"/>
                    <w:tr2bl w:val="nil"/>
                  </w:tcBorders>
                  <w:vAlign w:val="center"/>
                </w:tcPr>
                <w:p w14:paraId="361CC1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pacing w:val="0"/>
                      <w:kern w:val="0"/>
                      <w:positio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1.本项目位于</w:t>
                  </w:r>
                  <w:r>
                    <w:rPr>
                      <w:rFonts w:hint="eastAsia" w:ascii="Times New Roman" w:hAnsi="Times New Roman" w:eastAsia="宋体" w:cs="Times New Roman"/>
                      <w:b w:val="0"/>
                      <w:bCs w:val="0"/>
                      <w:color w:val="auto"/>
                      <w:kern w:val="0"/>
                      <w:sz w:val="21"/>
                      <w:szCs w:val="21"/>
                      <w:highlight w:val="none"/>
                      <w:u w:val="none" w:color="auto"/>
                      <w:vertAlign w:val="baseline"/>
                      <w:lang w:val="en-US" w:eastAsia="zh-CN"/>
                    </w:rPr>
                    <w:t>岳阳县新墙镇燎原村沙河片二组</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已</w:t>
                  </w:r>
                  <w:r>
                    <w:rPr>
                      <w:rFonts w:hint="eastAsia" w:cs="Times New Roman"/>
                      <w:color w:val="auto"/>
                      <w:spacing w:val="0"/>
                      <w:kern w:val="0"/>
                      <w:position w:val="0"/>
                      <w:sz w:val="21"/>
                      <w:szCs w:val="21"/>
                      <w:highlight w:val="none"/>
                      <w:u w:val="none" w:color="auto"/>
                      <w:lang w:val="en-US" w:eastAsia="zh-CN" w:bidi="ar-SA"/>
                    </w:rPr>
                    <w:t>取得农用地转用审批单</w:t>
                  </w:r>
                  <w:r>
                    <w:rPr>
                      <w:rFonts w:hint="default" w:ascii="Times New Roman" w:hAnsi="Times New Roman" w:eastAsia="宋体" w:cs="Times New Roman"/>
                      <w:color w:val="auto"/>
                      <w:spacing w:val="0"/>
                      <w:kern w:val="0"/>
                      <w:position w:val="0"/>
                      <w:sz w:val="21"/>
                      <w:szCs w:val="21"/>
                      <w:highlight w:val="none"/>
                      <w:u w:val="none" w:color="auto"/>
                      <w:lang w:val="en-US" w:eastAsia="zh-CN"/>
                    </w:rPr>
                    <w:t>。</w:t>
                  </w:r>
                </w:p>
                <w:p w14:paraId="5055AC89">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2.本项目在采取各项污染防治措施后均可达标排放，本项目采用先进设备和工艺。</w:t>
                  </w:r>
                </w:p>
                <w:p w14:paraId="5D42D8DF">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3.本项目不涉及VOCs原料的使用和储存，项目不产生VOCs。</w:t>
                  </w:r>
                </w:p>
              </w:tc>
              <w:tc>
                <w:tcPr>
                  <w:tcW w:w="456" w:type="dxa"/>
                  <w:tcBorders>
                    <w:tl2br w:val="nil"/>
                    <w:tr2bl w:val="nil"/>
                  </w:tcBorders>
                  <w:vAlign w:val="center"/>
                </w:tcPr>
                <w:p w14:paraId="12EE07E5">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69C01F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D4EC613">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p>
              </w:tc>
              <w:tc>
                <w:tcPr>
                  <w:tcW w:w="4365" w:type="dxa"/>
                  <w:tcBorders>
                    <w:tl2br w:val="nil"/>
                    <w:tr2bl w:val="nil"/>
                  </w:tcBorders>
                  <w:vAlign w:val="center"/>
                </w:tcPr>
                <w:p w14:paraId="1261B864">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（三）交通运输领域</w:t>
                  </w:r>
                </w:p>
                <w:p w14:paraId="07DE63E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1.推动货物运输绿色转型。推动大宗货物运输</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公转铁、公转水</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多式联运</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散改集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外集内配</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等运输模式，逐步提升大宗货物清洁方式运输比例。优化提质路网结构，加快推进京港澳高速公路长株段新线扩容工程建设。到2025年，全省铁路、水路货运量较2020年分别增长10%和12%，集装箱铁水联运量年均增长15%以上；火电、钢铁、煤炭、焦化、有色等重点行业企业大宗货物清洁方式运输比例达到70%以上。（省交通运输厅、省发展改革委、省住房城乡建设厅按职责分工负责）</w:t>
                  </w:r>
                </w:p>
                <w:p w14:paraId="774AA495">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车船清洁低碳发展。以公共领域用车和中重型货车为重点，推动传统汽车清洁化，加快新能源交通基础设施建设。加大高耗能高排放船舶淘汰力度，加快船舶受电装置改造。到2025年，新能源汽车新车销售量达到汽车新车销售总量的20%左右，重点城市和国家生态文明试验区新增或更新公交、出租、物流配送、轻型环卫等车辆中新能源汽车比例不低于80%；完成1000载重吨及以上的内河干散货船舶、多用途船舶受电设施改造。（省交通运输厅、省发展改革委、省财政厅、省商务厅按职责分工负责）</w:t>
                  </w:r>
                </w:p>
                <w:p w14:paraId="5BDDA1A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3.加强船舶及港口污染防治。加强船舶燃油使用监管，有条件的船舶加装烟气处理设施。加快岸电设施建设，有受电设施的船舶（液货船除外）在具备岸电供应能力的泊位靠泊超过2小时且未</w:t>
                  </w:r>
                  <w:r>
                    <w:rPr>
                      <w:rFonts w:hint="eastAsia" w:cs="Times New Roman"/>
                      <w:b w:val="0"/>
                      <w:bCs w:val="0"/>
                      <w:color w:val="auto"/>
                      <w:kern w:val="0"/>
                      <w:sz w:val="21"/>
                      <w:szCs w:val="21"/>
                      <w:highlight w:val="none"/>
                      <w:u w:val="none" w:color="auto"/>
                      <w:vertAlign w:val="baseline"/>
                      <w:lang w:val="en-US" w:eastAsia="zh-CN"/>
                    </w:rPr>
                    <w:t>采取</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有效替代措施的，应当使用岸电。推动港口码头使用电动机械，逐步禁止国三及以下排放标准非道路移动机械使用。到2025年，船舶靠港使用岸电量年均增长10%以上。（省交通运输厅、省生态环境厅按职责分工负责）</w:t>
                  </w:r>
                </w:p>
              </w:tc>
              <w:tc>
                <w:tcPr>
                  <w:tcW w:w="1003" w:type="dxa"/>
                  <w:tcBorders>
                    <w:tl2br w:val="nil"/>
                    <w:tr2bl w:val="nil"/>
                  </w:tcBorders>
                  <w:vAlign w:val="center"/>
                </w:tcPr>
                <w:p w14:paraId="74CBE285">
                  <w:pPr>
                    <w:pStyle w:val="8"/>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产品采用货车</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运输</w:t>
                  </w:r>
                </w:p>
                <w:p w14:paraId="2A454F47">
                  <w:pPr>
                    <w:pStyle w:val="8"/>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，不涉及车船清洁低碳发展。</w:t>
                  </w:r>
                </w:p>
                <w:p w14:paraId="1CAC4DA9">
                  <w:pPr>
                    <w:pStyle w:val="8"/>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，不涉及船舶及港口。</w:t>
                  </w:r>
                </w:p>
              </w:tc>
              <w:tc>
                <w:tcPr>
                  <w:tcW w:w="456" w:type="dxa"/>
                  <w:tcBorders>
                    <w:tl2br w:val="nil"/>
                    <w:tr2bl w:val="nil"/>
                  </w:tcBorders>
                  <w:vAlign w:val="center"/>
                </w:tcPr>
                <w:p w14:paraId="705EEAC1">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502E5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16954C51">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w:t>
                  </w:r>
                </w:p>
              </w:tc>
              <w:tc>
                <w:tcPr>
                  <w:tcW w:w="4365" w:type="dxa"/>
                  <w:tcBorders>
                    <w:tl2br w:val="nil"/>
                    <w:tr2bl w:val="nil"/>
                  </w:tcBorders>
                  <w:vAlign w:val="center"/>
                </w:tcPr>
                <w:p w14:paraId="3B707FE0">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（四）工业治理领域</w:t>
                  </w:r>
                </w:p>
                <w:p w14:paraId="6AF29CAD">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1.推进锅</w:t>
                  </w:r>
                  <w:r>
                    <w:rPr>
                      <w:rFonts w:hint="eastAsia" w:cs="Times New Roman"/>
                      <w:b w:val="0"/>
                      <w:bCs w:val="0"/>
                      <w:color w:val="auto"/>
                      <w:kern w:val="0"/>
                      <w:sz w:val="21"/>
                      <w:szCs w:val="21"/>
                      <w:highlight w:val="none"/>
                      <w:u w:val="none" w:color="auto"/>
                      <w:vertAlign w:val="baseline"/>
                      <w:lang w:val="en-US" w:eastAsia="zh-CN"/>
                    </w:rPr>
                    <w:t>炉</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省生态环境厅牵头）</w:t>
                  </w:r>
                </w:p>
                <w:p w14:paraId="3B2F9AC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2.开展涉VOCs重点行业全流程整治。持续开展VOCs治理突出问题排查，清理整顿简易低效、不合规定治理设施，强化无组织和非正常工况废气排放管控。规范开展泄漏检测与修复。推动各市州分别新建1—3个涉VOCs</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绿岛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项目。（省生态环境厅牵头）</w:t>
                  </w:r>
                </w:p>
                <w:p w14:paraId="1BF48B4C">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工业源重污染天气应对。完善应急减排清单，确保涉气企业全覆盖。将应急减排措施纳入排污许可证管理。严厉打击在线监控运维及手工监测报告弄虚作假、治理设施不正常运行和重污染应急减排措施未落实等违法行为。积极提升应急减排重点行业企业环境绩效水平。到2025年，全省非最低等级绩效水平企业占比力争达到10%，钢铁、水泥企业全部达到B（含B-）级及以上。（省生态环境厅牵头）</w:t>
                  </w:r>
                </w:p>
              </w:tc>
              <w:tc>
                <w:tcPr>
                  <w:tcW w:w="1003" w:type="dxa"/>
                  <w:tcBorders>
                    <w:tl2br w:val="nil"/>
                    <w:tr2bl w:val="nil"/>
                  </w:tcBorders>
                  <w:vAlign w:val="center"/>
                </w:tcPr>
                <w:p w14:paraId="59874BBC">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，不使用锅炉，且不属于钢铁、水泥行业。</w:t>
                  </w:r>
                </w:p>
                <w:p w14:paraId="2393C479">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ker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2.本项目不涉及VOCs原料的使用和储存，项目不产生VOCs。</w:t>
                  </w:r>
                </w:p>
                <w:p w14:paraId="7E82A1AA">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cs="Times New Roman"/>
                      <w:color w:val="auto"/>
                      <w:kern w:val="0"/>
                      <w:sz w:val="21"/>
                      <w:szCs w:val="21"/>
                      <w:highlight w:val="none"/>
                      <w:u w:val="none" w:color="auto"/>
                      <w:lang w:val="en-US" w:eastAsia="zh-CN"/>
                    </w:rPr>
                    <w:t>3.本项目为新建项目，不涉及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应急减排清单。</w:t>
                  </w:r>
                </w:p>
              </w:tc>
              <w:tc>
                <w:tcPr>
                  <w:tcW w:w="456" w:type="dxa"/>
                  <w:tcBorders>
                    <w:tl2br w:val="nil"/>
                    <w:tr2bl w:val="nil"/>
                  </w:tcBorders>
                  <w:vAlign w:val="center"/>
                </w:tcPr>
                <w:p w14:paraId="22FAEF19">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green"/>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351DB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78942DF6">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5</w:t>
                  </w:r>
                </w:p>
              </w:tc>
              <w:tc>
                <w:tcPr>
                  <w:tcW w:w="4365" w:type="dxa"/>
                  <w:tcBorders>
                    <w:tl2br w:val="nil"/>
                    <w:tr2bl w:val="nil"/>
                  </w:tcBorders>
                  <w:vAlign w:val="center"/>
                </w:tcPr>
                <w:p w14:paraId="58EDD402">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（五）柴油货车污染治理</w:t>
                  </w:r>
                </w:p>
                <w:p w14:paraId="554BE0A4">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机动车达标监管。加大路检路查和入户检查力度。严格机动车环保检验管理，严厉查处违法行为。优化交通管控措施，各地制定完善并严格执行高排放车辆禁限行政策，科学规划绕城通道，减少国三及以下排放标准柴油货车进入城区；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浓度高于全省平均水平的市州要及时研究采取特定时段城区燃油车动态限行措施。严厉打击禁限行区域机动车闯禁行为。（省生态环境厅、省公安厅、省交通运输厅、省市场监管局按职责分工负责）</w:t>
                  </w:r>
                </w:p>
                <w:p w14:paraId="612E175D">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2.推动老旧机动车淘汰。大力推进老旧</w:t>
                  </w:r>
                  <w:r>
                    <w:rPr>
                      <w:rFonts w:hint="eastAsia" w:cs="Times New Roman"/>
                      <w:b w:val="0"/>
                      <w:bCs w:val="0"/>
                      <w:color w:val="auto"/>
                      <w:kern w:val="0"/>
                      <w:sz w:val="21"/>
                      <w:szCs w:val="21"/>
                      <w:highlight w:val="none"/>
                      <w:u w:val="none" w:color="auto"/>
                      <w:vertAlign w:val="baseline"/>
                      <w:lang w:val="en-US" w:eastAsia="zh-CN"/>
                    </w:rPr>
                    <w:t>车辆</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淘汰更新，鼓励有条件的重点城市加快出台和完善柴油货车提前淘汰报废补贴等政策。严格执行机动车强制报废标准规定，对达到强制报废标准的车辆牌证依法依规公告作废，符合强制报废情形的按规定交报废机动车回收企业回收拆解。到2025年，按国家规定淘汰国三及以下排放标准的柴油货车。（省公安厅、省商务厅、省生态环境厅、省财政厅按职责分工负责）</w:t>
                  </w:r>
                </w:p>
                <w:p w14:paraId="74A92511">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非道路移动机械监管。严格制定并落实高排放非道路移动机械禁用措施，强化低排放区内使用监管。持续开展非道路移动机械编码登记及抽测工作。推进厂矿企业、单位内部作业车辆和机械电动化。到2025年，基本淘汰国</w:t>
                  </w:r>
                  <w:r>
                    <w:rPr>
                      <w:rFonts w:hint="default" w:ascii="Times New Roman" w:hAnsi="Times New Roman" w:cs="Times New Roman"/>
                      <w:b w:val="0"/>
                      <w:bCs w:val="0"/>
                      <w:color w:val="auto"/>
                      <w:kern w:val="0"/>
                      <w:sz w:val="21"/>
                      <w:szCs w:val="21"/>
                      <w:highlight w:val="none"/>
                      <w:u w:val="none" w:color="auto"/>
                      <w:vertAlign w:val="baseline"/>
                      <w:lang w:val="en-US" w:eastAsia="zh-CN"/>
                    </w:rPr>
                    <w:t>一级</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以下排放标准的非道路移动机械。（省生态环境厅、省住房城乡建设厅、省交通运输厅、省农业农村厅按职责分工负责）</w:t>
                  </w:r>
                </w:p>
                <w:p w14:paraId="61C61E8F">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推进重点用车单位监管。推动重点用车单位在短驳及固定线路使用电动车辆或皮带廊道代替柴油货车运输，完善车辆使用台账，加强智能门禁系统建设，提升国六排放标准柴油货车或清洁能源货车使用比例。（省交通运输厅、省公安厅、省生态环境厅按职责分工负责）</w:t>
                  </w:r>
                </w:p>
              </w:tc>
              <w:tc>
                <w:tcPr>
                  <w:tcW w:w="1003" w:type="dxa"/>
                  <w:tcBorders>
                    <w:tl2br w:val="nil"/>
                    <w:tr2bl w:val="nil"/>
                  </w:tcBorders>
                  <w:vAlign w:val="center"/>
                </w:tcPr>
                <w:p w14:paraId="07A4F9BF">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柴油货车污染</w:t>
                  </w:r>
                </w:p>
              </w:tc>
              <w:tc>
                <w:tcPr>
                  <w:tcW w:w="456" w:type="dxa"/>
                  <w:tcBorders>
                    <w:tl2br w:val="nil"/>
                    <w:tr2bl w:val="nil"/>
                  </w:tcBorders>
                  <w:vAlign w:val="center"/>
                </w:tcPr>
                <w:p w14:paraId="0D65D795">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744ABE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5834C68">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6</w:t>
                  </w:r>
                </w:p>
              </w:tc>
              <w:tc>
                <w:tcPr>
                  <w:tcW w:w="4365" w:type="dxa"/>
                  <w:tcBorders>
                    <w:tl2br w:val="nil"/>
                    <w:tr2bl w:val="nil"/>
                  </w:tcBorders>
                  <w:vAlign w:val="center"/>
                </w:tcPr>
                <w:p w14:paraId="201C2BBF">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（六）成品油流通领域</w:t>
                  </w:r>
                </w:p>
                <w:p w14:paraId="589D8142">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加油站油气回收治理。开展储运销环节油气回收专项检查，加油站按要求完成三次油气回收治理。到2025年，年销售汽油量大于5000吨（含）的加油站全面完成油气回收在线监测设施安装并联网。（省商务厅、省生态环境厅按职责分工负责）</w:t>
                  </w:r>
                </w:p>
                <w:p w14:paraId="21EBECDC">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2.加强成品油流通市场综合治理。定期开展成品油流通领域</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打非治违</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专项行动，全面清理整顿无证无照或证照过期的自建油罐、流动加油车（船）和黑加油站点。健全油品联合监管机制，每年成品油经营站（点）油品质量抽检达到1600批次以上。（省商务厅、省市场监管局、省公安厅、省应急厅、省交通运输厅按职责分工负责）</w:t>
                  </w:r>
                </w:p>
                <w:p w14:paraId="544DCC91">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动原油成品油码头和油船治理。开展原油成品油码头泊位及油船油气回收治理现状排查和设施建设。到2025年，5000吨级及以上原油成品油码头泊位全部完成油气回收设施建设。（省交通运输厅、省生态环境厅按职责分工负责）</w:t>
                  </w:r>
                </w:p>
              </w:tc>
              <w:tc>
                <w:tcPr>
                  <w:tcW w:w="1003" w:type="dxa"/>
                  <w:tcBorders>
                    <w:tl2br w:val="nil"/>
                    <w:tr2bl w:val="nil"/>
                  </w:tcBorders>
                  <w:vAlign w:val="center"/>
                </w:tcPr>
                <w:p w14:paraId="77C649C1">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加油站、原油成品油码头以及油船</w:t>
                  </w:r>
                </w:p>
              </w:tc>
              <w:tc>
                <w:tcPr>
                  <w:tcW w:w="456" w:type="dxa"/>
                  <w:tcBorders>
                    <w:tl2br w:val="nil"/>
                    <w:tr2bl w:val="nil"/>
                  </w:tcBorders>
                  <w:vAlign w:val="center"/>
                </w:tcPr>
                <w:p w14:paraId="133FB923">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772549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3EAC99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7</w:t>
                  </w:r>
                </w:p>
              </w:tc>
              <w:tc>
                <w:tcPr>
                  <w:tcW w:w="4365" w:type="dxa"/>
                  <w:tcBorders>
                    <w:tl2br w:val="nil"/>
                    <w:tr2bl w:val="nil"/>
                  </w:tcBorders>
                  <w:vAlign w:val="center"/>
                </w:tcPr>
                <w:p w14:paraId="3BE8BDFA">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（七）住房城乡建设领域</w:t>
                  </w:r>
                </w:p>
                <w:p w14:paraId="4C1F12F2">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1.加强建筑施工污染治理。将扬尘污染防治纳入安全生产目标管理和施工单位信用评价。开展施工工地扬尘治理及工程机械使用情况专项检查，加快推广应用</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互联网+智慧工地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监管系统。持续推进装配式建筑发展，鼓励装配式装修，引导房屋建筑使用低VOCs含量涂料等绿色建材产品。（省住房城乡建设厅牵头，省生态环境厅、省水利厅参与）</w:t>
                  </w:r>
                </w:p>
                <w:p w14:paraId="581DF388">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2.强化道路及裸土扬尘治理。推广道路</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吸扫冲收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组合作业模式，建立道路积尘负荷评价机制，提升清扫保洁质量。对城市公共区域、长期未开发的裸地采取绿化、硬化、遮盖等措施及时整治扬尘。持续开展露天矿山修复治理，深入推进绿色矿山建设。（省住房城乡建设厅、省自然资源厅按职责分工负责）</w:t>
                  </w:r>
                </w:p>
                <w:p w14:paraId="57B53520">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进生活源污染整治。建立健全部门协调联动的餐饮油烟治理闭环管理体系；依法督促餐饮单位规范安装、运行和维护油烟净化设施；加大餐饮单位油烟违规排放、超标排放执法检查力度。深化露天烧烤和夜市餐饮油烟污染专项整治。严格执行烟花爆竹禁限放政策，除承办国家级、省级重大活动确需外，市州中心城区、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县（市）中心城区禁止燃放烟花爆竹，其他区域鼓励禁放。承办国家级、省级重大活动确需燃放烟花爆竹的，应在市州生态环境局指导下开展空气质量影响评估后，依法依规报公安部门审批；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浓度高于全国平均水平的，由市州生态环境局将评估意见报省生态环境厅备案。严厉查处违规销售烟花爆竹行为。（省住房城乡建设厅、省生态环境厅、省市场监管局、省公安厅、省应急管理厅按职责分工负责）</w:t>
                  </w:r>
                </w:p>
              </w:tc>
              <w:tc>
                <w:tcPr>
                  <w:tcW w:w="1003" w:type="dxa"/>
                  <w:tcBorders>
                    <w:tl2br w:val="nil"/>
                    <w:tr2bl w:val="nil"/>
                  </w:tcBorders>
                  <w:vAlign w:val="center"/>
                </w:tcPr>
                <w:p w14:paraId="796B203A">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本项目位于</w:t>
                  </w:r>
                  <w:r>
                    <w:rPr>
                      <w:rFonts w:hint="eastAsia" w:cs="Times New Roman"/>
                      <w:color w:val="auto"/>
                      <w:spacing w:val="0"/>
                      <w:kern w:val="0"/>
                      <w:position w:val="0"/>
                      <w:sz w:val="21"/>
                      <w:szCs w:val="21"/>
                      <w:highlight w:val="none"/>
                      <w:u w:val="none" w:color="auto"/>
                      <w:lang w:val="en-US" w:eastAsia="zh-CN" w:bidi="ar-SA"/>
                    </w:rPr>
                    <w:t>岳阳县新墙镇燎原村沙河片二组</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，属于工业用地，不涉及住房城乡建设领域</w:t>
                  </w:r>
                </w:p>
                <w:p w14:paraId="521883F2">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sz w:val="21"/>
                      <w:szCs w:val="21"/>
                      <w:highlight w:val="green"/>
                      <w:u w:val="none" w:color="auto"/>
                      <w:lang w:val="en-US" w:eastAsia="zh-CN"/>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2.本项目位于</w:t>
                  </w:r>
                  <w:r>
                    <w:rPr>
                      <w:rFonts w:hint="eastAsia" w:cs="Times New Roman"/>
                      <w:color w:val="auto"/>
                      <w:spacing w:val="0"/>
                      <w:kern w:val="0"/>
                      <w:position w:val="0"/>
                      <w:sz w:val="21"/>
                      <w:szCs w:val="21"/>
                      <w:highlight w:val="none"/>
                      <w:u w:val="none" w:color="auto"/>
                      <w:lang w:val="en-US" w:eastAsia="zh-CN" w:bidi="ar-SA"/>
                    </w:rPr>
                    <w:t>岳阳县新墙镇燎原村沙河片二组</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，厂区道路已硬化，不涉及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裸土路面。</w:t>
                  </w:r>
                </w:p>
              </w:tc>
              <w:tc>
                <w:tcPr>
                  <w:tcW w:w="456" w:type="dxa"/>
                  <w:tcBorders>
                    <w:tl2br w:val="nil"/>
                    <w:tr2bl w:val="nil"/>
                  </w:tcBorders>
                  <w:vAlign w:val="center"/>
                </w:tcPr>
                <w:p w14:paraId="67E4B8AB">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green"/>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15CA3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A78A2A1">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8</w:t>
                  </w:r>
                </w:p>
              </w:tc>
              <w:tc>
                <w:tcPr>
                  <w:tcW w:w="4365" w:type="dxa"/>
                  <w:tcBorders>
                    <w:tl2br w:val="nil"/>
                    <w:tr2bl w:val="nil"/>
                  </w:tcBorders>
                  <w:vAlign w:val="center"/>
                </w:tcPr>
                <w:p w14:paraId="220B2157">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（八）农业农村领域</w:t>
                  </w:r>
                </w:p>
                <w:p w14:paraId="158D8710">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1.加强秸秆综合利用和禁烧。因地制宜推进秸秆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五化</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综合利用，建立秸秆资源台账系统和定期调度机制，完善秸秆收储运体系。完善网格化监管体系，提高秸秆焚烧火点监测精准度，开展重点区域重点时段专项巡查。各地科学划定禁烧区域，禁止秸秆露天焚烧。到2025年，全省秸秆综合利用率稳定在86%以上并达到国家要求。（省农业农村厅、省生态环境厅按职责分工负责）</w:t>
                  </w:r>
                </w:p>
                <w:p w14:paraId="489C3777">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2.推进农业生产绿色发展。加快推广应用节能环保农机，加大耗能高、污染重的老旧农机具报废淘汰力度。推进畜禽粪污资源化利用和化肥农药减量增效，实施化肥零增长行动。（省农业农村厅牵头）</w:t>
                  </w:r>
                </w:p>
              </w:tc>
              <w:tc>
                <w:tcPr>
                  <w:tcW w:w="1003" w:type="dxa"/>
                  <w:tcBorders>
                    <w:tl2br w:val="nil"/>
                    <w:tr2bl w:val="nil"/>
                  </w:tcBorders>
                  <w:vAlign w:val="center"/>
                </w:tcPr>
                <w:p w14:paraId="15AF3C5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项目，不涉及秸秆焚烧。</w:t>
                  </w:r>
                </w:p>
                <w:p w14:paraId="79E4C868">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项目，不涉及农机的使用。</w:t>
                  </w:r>
                </w:p>
              </w:tc>
              <w:tc>
                <w:tcPr>
                  <w:tcW w:w="456" w:type="dxa"/>
                  <w:tcBorders>
                    <w:tl2br w:val="nil"/>
                    <w:tr2bl w:val="nil"/>
                  </w:tcBorders>
                  <w:vAlign w:val="center"/>
                </w:tcPr>
                <w:p w14:paraId="77E4781A">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2CD6B4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42E1F310">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9</w:t>
                  </w:r>
                </w:p>
              </w:tc>
              <w:tc>
                <w:tcPr>
                  <w:tcW w:w="4365" w:type="dxa"/>
                  <w:tcBorders>
                    <w:tl2br w:val="nil"/>
                    <w:tr2bl w:val="nil"/>
                  </w:tcBorders>
                  <w:vAlign w:val="center"/>
                </w:tcPr>
                <w:p w14:paraId="271F4671">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（九）省属国有企业领域</w:t>
                  </w:r>
                </w:p>
                <w:p w14:paraId="3CC03765">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企业绿色发展。督促指导企业建立绿色供应链体系，建成一批绿色供应链管理示范企业。推进企业大宗货物通过清洁方式运输。到2025年，省属国有企业大宗货物清洁方式运输比例力争达到80%。（省国资委牵头，省发展改革委、省工业和信息化厅参与）</w:t>
                  </w:r>
                </w:p>
                <w:p w14:paraId="5893D07B">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企业深度治理。以钢铁、建材、工业涂装等行业企业为重点推进NOx和VOCs深度减排。到2025年，化工、制药、建材等企业完成深度治理，工业涂装企业完成低VOCs原辅材料替代。（省国资委牵头，省生态环境厅、省工业和信息化厅、省市场监管局参与）</w:t>
                  </w:r>
                </w:p>
                <w:p w14:paraId="045476CA">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企业环境绩效水平。全面开展清洁低碳化改造，推动提升企业环境绩效水平。到2025年，全面完成一轮清洁生产审核，重点行业中最低等级绩效水平企业全面清零，力争B（含B-）级及以上企业达到5家。（省国资委、省生态环境厅按职责分工负责）</w:t>
                  </w:r>
                </w:p>
              </w:tc>
              <w:tc>
                <w:tcPr>
                  <w:tcW w:w="1003" w:type="dxa"/>
                  <w:tcBorders>
                    <w:tl2br w:val="nil"/>
                    <w:tr2bl w:val="nil"/>
                  </w:tcBorders>
                  <w:vAlign w:val="center"/>
                </w:tcPr>
                <w:p w14:paraId="3F947CE7">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项目，位于湖南省岳阳市</w:t>
                  </w:r>
                  <w:r>
                    <w:rPr>
                      <w:rFonts w:hint="eastAsia" w:cs="Times New Roman"/>
                      <w:b w:val="0"/>
                      <w:bCs w:val="0"/>
                      <w:color w:val="auto"/>
                      <w:kern w:val="0"/>
                      <w:sz w:val="21"/>
                      <w:szCs w:val="21"/>
                      <w:highlight w:val="none"/>
                      <w:u w:val="none" w:color="auto"/>
                      <w:vertAlign w:val="baseline"/>
                      <w:lang w:val="en-US" w:eastAsia="zh-CN"/>
                    </w:rPr>
                    <w:t>岳阳县新墙镇燎原村沙河片二组</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，不属于国</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有企业</w:t>
                  </w:r>
                </w:p>
              </w:tc>
              <w:tc>
                <w:tcPr>
                  <w:tcW w:w="456" w:type="dxa"/>
                  <w:tcBorders>
                    <w:tl2br w:val="nil"/>
                    <w:tr2bl w:val="nil"/>
                  </w:tcBorders>
                  <w:vAlign w:val="center"/>
                </w:tcPr>
                <w:p w14:paraId="3326C396">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cs="Times New Roman"/>
                      <w:bCs/>
                      <w:color w:val="auto"/>
                      <w:sz w:val="21"/>
                      <w:szCs w:val="21"/>
                      <w:highlight w:val="none"/>
                      <w:u w:val="none" w:color="auto"/>
                      <w:vertAlign w:val="baseline"/>
                      <w:lang w:val="en-US" w:eastAsia="zh-CN"/>
                    </w:rPr>
                    <w:t>符合</w:t>
                  </w:r>
                </w:p>
              </w:tc>
            </w:tr>
            <w:tr w14:paraId="0FD9D5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0A82DE63">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10</w:t>
                  </w:r>
                </w:p>
              </w:tc>
              <w:tc>
                <w:tcPr>
                  <w:tcW w:w="4365" w:type="dxa"/>
                  <w:tcBorders>
                    <w:tl2br w:val="nil"/>
                    <w:tr2bl w:val="nil"/>
                  </w:tcBorders>
                  <w:vAlign w:val="center"/>
                </w:tcPr>
                <w:p w14:paraId="152E8F94">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（十）气象领域</w:t>
                  </w:r>
                </w:p>
                <w:p w14:paraId="408CC045">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1.完善基础能力，推进精密监测。完善大气污染监测网络，强化大气热力、动力垂直组网观测，构建</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空天地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一体化网格监测体系。推进气象大数据融合分析平台建设。（省气象局、省生态环境厅按职责分工负责）</w:t>
                  </w:r>
                </w:p>
                <w:p w14:paraId="481F1DA7">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提升精细化预测预报水平。健全环境气象预报服务体系，强化重污染天气应对等应急气象服务保障，提高污染过程预报准确率。到2025年，未来7天级别预报准确率达到75%以上。（省生态环境厅、省气象局按职责分工负责）</w:t>
                  </w:r>
                </w:p>
                <w:p w14:paraId="65FF8AF9">
                  <w:pPr>
                    <w:pStyle w:val="8"/>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3.科学开展人工增雨作业。建立飞机作业和局部地面作业相结合的作业布局，有效开展人工增雨降污协同作业。加强市县人工影响天气作业基地、基层标准化作业站点和作业队伍建设。（省气象局牵头）</w:t>
                  </w:r>
                </w:p>
              </w:tc>
              <w:tc>
                <w:tcPr>
                  <w:tcW w:w="1003" w:type="dxa"/>
                  <w:tcBorders>
                    <w:tl2br w:val="nil"/>
                    <w:tr2bl w:val="nil"/>
                  </w:tcBorders>
                  <w:vAlign w:val="center"/>
                </w:tcPr>
                <w:p w14:paraId="72E57C87">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w:t>
                  </w:r>
                  <w:r>
                    <w:rPr>
                      <w:rFonts w:hint="default" w:ascii="Times New Roman" w:hAnsi="Times New Roman" w:cs="Times New Roman"/>
                      <w:color w:val="auto"/>
                      <w:spacing w:val="0"/>
                      <w:kern w:val="0"/>
                      <w:position w:val="0"/>
                      <w:sz w:val="21"/>
                      <w:szCs w:val="21"/>
                      <w:highlight w:val="none"/>
                      <w:u w:val="none" w:color="auto"/>
                      <w:lang w:val="en-US" w:eastAsia="zh-CN" w:bidi="ar-SA"/>
                    </w:rPr>
                    <w:t>为</w:t>
                  </w:r>
                  <w:r>
                    <w:rPr>
                      <w:rFonts w:hint="eastAsia" w:cs="Times New Roman"/>
                      <w:color w:val="auto"/>
                      <w:spacing w:val="0"/>
                      <w:kern w:val="0"/>
                      <w:position w:val="0"/>
                      <w:sz w:val="21"/>
                      <w:szCs w:val="21"/>
                      <w:highlight w:val="none"/>
                      <w:u w:val="none" w:color="auto"/>
                      <w:lang w:val="en-US" w:eastAsia="zh-CN" w:bidi="ar-SA"/>
                    </w:rPr>
                    <w:t>其他非金属矿物制品制造</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项目，项目建成后会严格执</w:t>
                  </w:r>
                  <w:r>
                    <w:rPr>
                      <w:rFonts w:hint="default" w:ascii="Times New Roman" w:hAnsi="Times New Roman" w:eastAsia="宋体" w:cs="Times New Roman"/>
                      <w:color w:val="auto"/>
                      <w:sz w:val="21"/>
                      <w:szCs w:val="21"/>
                      <w:highlight w:val="none"/>
                      <w:u w:val="none" w:color="auto"/>
                      <w:lang w:val="en-US" w:eastAsia="zh-CN"/>
                    </w:rPr>
                    <w:t>行环评提出的监测计划</w:t>
                  </w:r>
                </w:p>
              </w:tc>
              <w:tc>
                <w:tcPr>
                  <w:tcW w:w="456" w:type="dxa"/>
                  <w:tcBorders>
                    <w:tl2br w:val="nil"/>
                    <w:tr2bl w:val="nil"/>
                  </w:tcBorders>
                  <w:vAlign w:val="center"/>
                </w:tcPr>
                <w:p w14:paraId="735A5CE5">
                  <w:pPr>
                    <w:pStyle w:val="8"/>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bl>
          <w:p w14:paraId="7C55B7E7">
            <w:pPr>
              <w:pStyle w:val="37"/>
              <w:bidi w:val="0"/>
              <w:rPr>
                <w:rFonts w:hint="default"/>
                <w:bCs/>
                <w:color w:val="auto"/>
                <w:sz w:val="24"/>
                <w:highlight w:val="none"/>
                <w:u w:val="none" w:color="auto"/>
                <w:lang w:val="en-US" w:eastAsia="zh-CN"/>
              </w:rPr>
            </w:pPr>
            <w:r>
              <w:rPr>
                <w:rFonts w:hint="eastAsia"/>
                <w:color w:val="auto"/>
                <w:highlight w:val="none"/>
                <w:u w:val="none" w:color="auto"/>
                <w:lang w:val="en-US" w:eastAsia="zh-CN"/>
              </w:rPr>
              <w:t>根据上表可知，</w:t>
            </w:r>
            <w:r>
              <w:rPr>
                <w:rFonts w:hint="eastAsia"/>
                <w:bCs/>
                <w:color w:val="auto"/>
                <w:sz w:val="24"/>
                <w:highlight w:val="none"/>
                <w:u w:val="none" w:color="auto"/>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《湖南省大气污染防治“守护蓝天”攻坚行动计划（2023—2025年）》的要</w:t>
            </w:r>
            <w:r>
              <w:rPr>
                <w:rFonts w:hint="eastAsia"/>
                <w:bCs/>
                <w:color w:val="auto"/>
                <w:sz w:val="24"/>
                <w:highlight w:val="none"/>
                <w:u w:val="none" w:color="auto"/>
              </w:rPr>
              <w:t>求相符。</w:t>
            </w:r>
          </w:p>
        </w:tc>
      </w:tr>
    </w:tbl>
    <w:p w14:paraId="69B01429">
      <w:pPr>
        <w:tabs>
          <w:tab w:val="left" w:pos="1021"/>
        </w:tabs>
        <w:rPr>
          <w:color w:val="auto"/>
          <w:highlight w:val="green"/>
          <w:u w:val="none" w:color="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91BD408">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11" w:name="_Toc3696"/>
      <w:bookmarkStart w:id="12" w:name="_Toc7079"/>
      <w:bookmarkStart w:id="13" w:name="_Toc25626"/>
      <w:bookmarkStart w:id="14" w:name="_Toc9723"/>
      <w:bookmarkStart w:id="15" w:name="_Toc15057"/>
      <w:bookmarkStart w:id="16" w:name="_Toc29910"/>
      <w:bookmarkStart w:id="17" w:name="_Toc28794"/>
      <w:bookmarkStart w:id="18" w:name="_Toc1717"/>
      <w:r>
        <w:rPr>
          <w:rFonts w:hint="default" w:ascii="Times New Roman" w:hAnsi="Times New Roman" w:eastAsia="宋体" w:cs="Times New Roman"/>
          <w:b/>
          <w:bCs/>
          <w:color w:val="auto"/>
          <w:highlight w:val="none"/>
          <w:u w:val="none" w:color="auto"/>
        </w:rPr>
        <w:t>二、建设项目工程分析</w:t>
      </w:r>
      <w:bookmarkEnd w:id="11"/>
      <w:bookmarkEnd w:id="12"/>
      <w:bookmarkEnd w:id="13"/>
      <w:bookmarkEnd w:id="14"/>
      <w:bookmarkEnd w:id="15"/>
      <w:bookmarkEnd w:id="16"/>
      <w:bookmarkEnd w:id="17"/>
      <w:bookmarkEnd w:id="18"/>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8068"/>
      </w:tblGrid>
      <w:tr w14:paraId="23C15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7" w:hRule="atLeast"/>
          <w:jc w:val="center"/>
        </w:trPr>
        <w:tc>
          <w:tcPr>
            <w:tcW w:w="235" w:type="pct"/>
            <w:tcBorders>
              <w:tl2br w:val="nil"/>
              <w:tr2bl w:val="nil"/>
            </w:tcBorders>
            <w:noWrap w:val="0"/>
            <w:vAlign w:val="center"/>
          </w:tcPr>
          <w:p w14:paraId="5A678634">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green"/>
                <w:u w:val="none" w:color="auto"/>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建设内容</w:t>
            </w:r>
          </w:p>
        </w:tc>
        <w:tc>
          <w:tcPr>
            <w:tcW w:w="4764" w:type="pct"/>
            <w:tcBorders>
              <w:tl2br w:val="nil"/>
              <w:tr2bl w:val="nil"/>
            </w:tcBorders>
            <w:noWrap w:val="0"/>
            <w:vAlign w:val="top"/>
          </w:tcPr>
          <w:p w14:paraId="7E79F48C">
            <w:pPr>
              <w:pStyle w:val="37"/>
              <w:numPr>
                <w:ilvl w:val="0"/>
                <w:numId w:val="0"/>
              </w:numPr>
              <w:bidi w:val="0"/>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pPr>
            <w:r>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t>1、项目由来</w:t>
            </w:r>
          </w:p>
          <w:p w14:paraId="6A1226B3">
            <w:pPr>
              <w:pStyle w:val="37"/>
              <w:bidi w:val="0"/>
              <w:rPr>
                <w:rFonts w:hint="default"/>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硅砂是重要的工业矿物原料，广泛用于玻璃工业，在玻璃工</w:t>
            </w:r>
            <w:r>
              <w:rPr>
                <w:rFonts w:hint="eastAsia"/>
                <w:color w:val="auto"/>
                <w:highlight w:val="none"/>
                <w:u w:val="none" w:color="auto"/>
                <w:lang w:val="en-US" w:eastAsia="zh-CN"/>
              </w:rPr>
              <w:t>业中</w:t>
            </w:r>
            <w:r>
              <w:rPr>
                <w:rFonts w:hint="eastAsia" w:ascii="Times New Roman" w:hAnsi="Times New Roman" w:cs="Times New Roman"/>
                <w:color w:val="auto"/>
                <w:highlight w:val="none"/>
                <w:u w:val="none" w:color="auto"/>
                <w:lang w:val="en-US" w:eastAsia="zh-CN"/>
              </w:rPr>
              <w:t>硅砂</w:t>
            </w:r>
            <w:r>
              <w:rPr>
                <w:rFonts w:hint="eastAsia"/>
                <w:color w:val="auto"/>
                <w:highlight w:val="none"/>
                <w:u w:val="none" w:color="auto"/>
                <w:lang w:val="en-US" w:eastAsia="zh-CN"/>
              </w:rPr>
              <w:t>作为关键原料使用量占据了玻璃生产原料总量的50%到60%。</w:t>
            </w:r>
            <w:r>
              <w:rPr>
                <w:color w:val="auto"/>
                <w:spacing w:val="-3"/>
              </w:rPr>
              <w:t>近年来，建筑市场对砂石的需求巨大，促进了砂石市场的快速发展。利用破碎机生产的砂石也以独特的优势逐渐取代市场，成为建筑材料的最好来源之一，具有较好的经济效益。</w:t>
            </w:r>
            <w:r>
              <w:rPr>
                <w:rFonts w:hint="eastAsia"/>
                <w:color w:val="auto"/>
                <w:highlight w:val="none"/>
                <w:u w:val="none" w:color="auto"/>
                <w:lang w:val="en-US" w:eastAsia="zh-CN"/>
              </w:rPr>
              <w:t>本项目成品硅砂用途主要为玻璃原材料。</w:t>
            </w:r>
            <w:r>
              <w:rPr>
                <w:rFonts w:hint="eastAsia"/>
                <w:color w:val="auto"/>
                <w:highlight w:val="none"/>
                <w:u w:val="none" w:color="auto"/>
                <w:lang w:eastAsia="zh-CN"/>
              </w:rPr>
              <w:t>岳阳市峰璟新材料科技有限公司</w:t>
            </w:r>
            <w:r>
              <w:rPr>
                <w:rFonts w:hint="default"/>
                <w:color w:val="auto"/>
                <w:highlight w:val="none"/>
                <w:u w:val="none" w:color="auto"/>
                <w:lang w:val="en-US" w:eastAsia="zh-CN"/>
              </w:rPr>
              <w:t>根据当地的资源优势和自身的发展规划，</w:t>
            </w:r>
            <w:r>
              <w:rPr>
                <w:rFonts w:hint="default" w:ascii="Times New Roman" w:hAnsi="Times New Roman" w:cs="Times New Roman"/>
                <w:color w:val="auto"/>
                <w:highlight w:val="none"/>
                <w:u w:val="none" w:color="auto"/>
                <w:lang w:val="en-US" w:eastAsia="zh-CN"/>
              </w:rPr>
              <w:t>主要从事非金属矿销售,制品销售,技术玻璃制品销售等业务</w:t>
            </w:r>
            <w:r>
              <w:rPr>
                <w:rFonts w:hint="eastAsia"/>
                <w:color w:val="auto"/>
                <w:highlight w:val="none"/>
                <w:u w:val="none" w:color="auto"/>
                <w:lang w:val="en-US" w:eastAsia="zh-CN"/>
              </w:rPr>
              <w:t>，</w:t>
            </w:r>
            <w:r>
              <w:rPr>
                <w:rFonts w:hint="default" w:ascii="Times New Roman" w:hAnsi="Times New Roman" w:cs="Times New Roman"/>
                <w:color w:val="auto"/>
                <w:highlight w:val="none"/>
                <w:u w:val="none" w:color="auto"/>
              </w:rPr>
              <w:t>总占地</w:t>
            </w:r>
            <w:r>
              <w:rPr>
                <w:rFonts w:hint="default" w:ascii="Times New Roman" w:hAnsi="Times New Roman" w:cs="Times New Roman"/>
                <w:color w:val="auto"/>
                <w:highlight w:val="none"/>
                <w:u w:val="none" w:color="auto"/>
                <w:lang w:val="en-US" w:eastAsia="zh-CN"/>
              </w:rPr>
              <w:t>面积为</w:t>
            </w:r>
            <w:r>
              <w:rPr>
                <w:rFonts w:hint="eastAsia" w:cs="Times New Roman"/>
                <w:color w:val="auto"/>
                <w:highlight w:val="none"/>
                <w:u w:val="none" w:color="auto"/>
                <w:lang w:val="en-US" w:eastAsia="zh-CN"/>
              </w:rPr>
              <w:t>4500</w:t>
            </w:r>
            <w:r>
              <w:rPr>
                <w:rFonts w:hint="default" w:ascii="Times New Roman" w:hAnsi="Times New Roman" w:cs="Times New Roman"/>
                <w:color w:val="auto"/>
                <w:highlight w:val="none"/>
                <w:u w:val="none" w:color="auto"/>
                <w:lang w:val="en-US" w:eastAsia="zh-CN"/>
              </w:rPr>
              <w:t>m</w:t>
            </w:r>
            <w:r>
              <w:rPr>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建设生产车间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原料贮存堆场</w:t>
            </w:r>
            <w:r>
              <w:rPr>
                <w:rFonts w:hint="default" w:ascii="Times New Roman" w:hAnsi="Times New Roman" w:cs="Times New Roman"/>
                <w:color w:val="auto"/>
                <w:highlight w:val="none"/>
                <w:u w:val="none" w:color="auto"/>
                <w:lang w:val="en-US" w:eastAsia="zh-CN"/>
              </w:rPr>
              <w:t>等区块</w:t>
            </w:r>
            <w:r>
              <w:rPr>
                <w:rFonts w:hint="default" w:ascii="Times New Roman" w:hAnsi="Times New Roman" w:cs="Times New Roman"/>
                <w:color w:val="auto"/>
                <w:highlight w:val="none"/>
                <w:u w:val="none" w:color="auto"/>
              </w:rPr>
              <w:t>。</w:t>
            </w:r>
            <w:r>
              <w:rPr>
                <w:rFonts w:hint="default"/>
                <w:color w:val="auto"/>
                <w:highlight w:val="none"/>
                <w:u w:val="none" w:color="auto"/>
                <w:lang w:val="en-US" w:eastAsia="zh-CN"/>
              </w:rPr>
              <w:t>拟投资</w:t>
            </w:r>
            <w:r>
              <w:rPr>
                <w:rFonts w:hint="eastAsia"/>
                <w:color w:val="auto"/>
                <w:highlight w:val="none"/>
                <w:u w:val="none" w:color="auto"/>
                <w:lang w:val="en-US" w:eastAsia="zh-CN"/>
              </w:rPr>
              <w:t>1000</w:t>
            </w:r>
            <w:r>
              <w:rPr>
                <w:rFonts w:hint="default"/>
                <w:color w:val="auto"/>
                <w:highlight w:val="none"/>
                <w:u w:val="none" w:color="auto"/>
                <w:lang w:val="en-US" w:eastAsia="zh-CN"/>
              </w:rPr>
              <w:t>万元，在</w:t>
            </w:r>
            <w:r>
              <w:rPr>
                <w:rFonts w:hint="eastAsia" w:cs="Times New Roman"/>
                <w:color w:val="auto"/>
                <w:highlight w:val="none"/>
                <w:u w:val="none" w:color="auto"/>
                <w:lang w:val="en-US" w:eastAsia="zh-CN"/>
              </w:rPr>
              <w:t>岳阳县新墙镇燎原村沙河片二组</w:t>
            </w:r>
            <w:r>
              <w:rPr>
                <w:rFonts w:hint="eastAsia"/>
                <w:color w:val="auto"/>
                <w:sz w:val="24"/>
                <w:highlight w:val="none"/>
                <w:u w:val="none" w:color="auto"/>
                <w:lang w:val="en-US" w:eastAsia="zh-CN"/>
              </w:rPr>
              <w:t>，</w:t>
            </w:r>
            <w:r>
              <w:rPr>
                <w:rFonts w:hint="default"/>
                <w:color w:val="auto"/>
                <w:highlight w:val="none"/>
                <w:u w:val="none" w:color="auto"/>
                <w:lang w:val="en-US" w:eastAsia="zh-CN"/>
              </w:rPr>
              <w:t>建设</w:t>
            </w:r>
            <w:r>
              <w:rPr>
                <w:rFonts w:hint="eastAsia"/>
                <w:color w:val="auto"/>
                <w:highlight w:val="none"/>
                <w:u w:val="none" w:color="auto"/>
                <w:lang w:val="en-US" w:eastAsia="zh-CN"/>
              </w:rPr>
              <w:t>年产硅砂（玻璃原材料）10万吨建设项目</w:t>
            </w:r>
            <w:r>
              <w:rPr>
                <w:rFonts w:hint="eastAsia" w:cs="Times New Roman"/>
                <w:color w:val="auto"/>
                <w:highlight w:val="none"/>
                <w:u w:val="none" w:color="auto"/>
                <w:lang w:val="en-US" w:eastAsia="zh-CN"/>
              </w:rPr>
              <w:t>(以下简称“本项目”)</w:t>
            </w:r>
            <w:r>
              <w:rPr>
                <w:rFonts w:hint="default"/>
                <w:color w:val="auto"/>
                <w:highlight w:val="none"/>
                <w:u w:val="none" w:color="auto"/>
                <w:lang w:val="en-US" w:eastAsia="zh-CN"/>
              </w:rPr>
              <w:t>。</w:t>
            </w:r>
          </w:p>
          <w:p w14:paraId="0E222549">
            <w:pPr>
              <w:pStyle w:val="3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eastAsia="zh-CN"/>
              </w:rPr>
              <w:t>本项目</w:t>
            </w:r>
            <w:r>
              <w:rPr>
                <w:rFonts w:hint="eastAsia" w:cs="Times New Roman"/>
                <w:color w:val="auto"/>
                <w:highlight w:val="none"/>
                <w:u w:val="none" w:color="auto"/>
                <w:lang w:val="en-US" w:eastAsia="zh-CN"/>
              </w:rPr>
              <w:t>于2024年12月</w:t>
            </w:r>
            <w:r>
              <w:rPr>
                <w:rFonts w:hint="eastAsia"/>
                <w:color w:val="auto"/>
                <w:lang w:val="en-US" w:eastAsia="zh-CN"/>
              </w:rPr>
              <w:t>建设了临时钢结构棚暂存设备，目前</w:t>
            </w:r>
            <w:r>
              <w:rPr>
                <w:rFonts w:hint="eastAsia" w:cs="Times New Roman"/>
                <w:color w:val="auto"/>
                <w:highlight w:val="none"/>
                <w:u w:val="none" w:color="auto"/>
                <w:lang w:val="en-US" w:eastAsia="zh-CN"/>
              </w:rPr>
              <w:t>滚筒筛、输送带</w:t>
            </w:r>
            <w:r>
              <w:rPr>
                <w:rFonts w:hint="eastAsia"/>
                <w:color w:val="auto"/>
                <w:lang w:val="en-US" w:eastAsia="zh-CN"/>
              </w:rPr>
              <w:t>设备已入场，未进行土建施工且未投入生产。</w:t>
            </w:r>
            <w:r>
              <w:rPr>
                <w:rFonts w:hint="eastAsia" w:cs="Times New Roman"/>
                <w:color w:val="auto"/>
                <w:highlight w:val="none"/>
                <w:u w:val="none" w:color="auto"/>
                <w:lang w:val="en-US" w:eastAsia="zh-CN"/>
              </w:rPr>
              <w:t>本项目</w:t>
            </w:r>
            <w:r>
              <w:rPr>
                <w:rFonts w:hint="eastAsia" w:eastAsia="宋体" w:cs="Times New Roman"/>
                <w:color w:val="auto"/>
                <w:sz w:val="24"/>
                <w:szCs w:val="24"/>
                <w:highlight w:val="none"/>
                <w:u w:val="none" w:color="auto"/>
                <w:lang w:val="en-US" w:eastAsia="zh-CN"/>
              </w:rPr>
              <w:t>现场存在的主要问题有①厂区设备未完全入棚；②循环水池未进行硬化。</w:t>
            </w:r>
          </w:p>
          <w:p w14:paraId="1DD8B86E">
            <w:pPr>
              <w:pStyle w:val="37"/>
              <w:bidi w:val="0"/>
              <w:rPr>
                <w:rFonts w:hint="default" w:ascii="Times New Roman" w:hAnsi="Times New Roman" w:cs="Times New Roman"/>
                <w:color w:val="auto"/>
                <w:highlight w:val="none"/>
                <w:u w:val="none" w:color="auto"/>
                <w:lang w:eastAsia="zh-CN"/>
              </w:rPr>
            </w:pPr>
            <w:r>
              <w:rPr>
                <w:rFonts w:hint="default" w:ascii="Times New Roman" w:hAnsi="Times New Roman" w:cs="Times New Roman"/>
                <w:color w:val="auto"/>
                <w:highlight w:val="none"/>
                <w:u w:val="none" w:color="auto"/>
                <w:lang w:eastAsia="zh-CN"/>
              </w:rPr>
              <w:t>根据《中华人民共和国环境影响评价法》（2018年修订版）、《建设项目环境保护管理条例》（2017</w:t>
            </w:r>
            <w:r>
              <w:rPr>
                <w:rFonts w:hint="default" w:ascii="Times New Roman" w:hAnsi="Times New Roman" w:cs="Times New Roman"/>
                <w:color w:val="auto"/>
                <w:highlight w:val="none"/>
                <w:u w:val="none" w:color="auto"/>
                <w:lang w:val="en-US" w:eastAsia="zh-CN"/>
              </w:rPr>
              <w:t>年</w:t>
            </w:r>
            <w:r>
              <w:rPr>
                <w:rFonts w:hint="default" w:ascii="Times New Roman" w:hAnsi="Times New Roman" w:cs="Times New Roman"/>
                <w:color w:val="auto"/>
                <w:highlight w:val="none"/>
                <w:u w:val="none" w:color="auto"/>
                <w:lang w:eastAsia="zh-CN"/>
              </w:rPr>
              <w:t>6月21日国务院第177次常务会议通过）、《建设项目环境影响评价分类管理名录》（2021年版）中有关规定的要求，本项目属于分类管理名录中的</w:t>
            </w:r>
            <w:r>
              <w:rPr>
                <w:color w:val="auto"/>
                <w:sz w:val="24"/>
                <w:highlight w:val="none"/>
                <w:u w:val="none" w:color="auto"/>
              </w:rPr>
              <w:t>二十七、非金属矿物制品业60石墨及其他非金属矿物制品中的</w:t>
            </w:r>
            <w:r>
              <w:rPr>
                <w:rFonts w:hint="eastAsia"/>
                <w:color w:val="auto"/>
                <w:sz w:val="24"/>
                <w:highlight w:val="none"/>
                <w:u w:val="none" w:color="auto"/>
                <w:lang w:eastAsia="zh-CN"/>
              </w:rPr>
              <w:t>“</w:t>
            </w:r>
            <w:r>
              <w:rPr>
                <w:color w:val="auto"/>
                <w:sz w:val="24"/>
                <w:highlight w:val="none"/>
                <w:u w:val="none" w:color="auto"/>
              </w:rPr>
              <w:t>其他</w:t>
            </w:r>
            <w:r>
              <w:rPr>
                <w:rFonts w:hint="eastAsia"/>
                <w:color w:val="auto"/>
                <w:sz w:val="24"/>
                <w:highlight w:val="none"/>
                <w:u w:val="none" w:color="auto"/>
                <w:lang w:eastAsia="zh-CN"/>
              </w:rPr>
              <w:t>”</w:t>
            </w:r>
            <w:r>
              <w:rPr>
                <w:color w:val="auto"/>
                <w:sz w:val="24"/>
                <w:highlight w:val="none"/>
                <w:u w:val="none" w:color="auto"/>
              </w:rPr>
              <w:t>类</w:t>
            </w:r>
            <w:r>
              <w:rPr>
                <w:rFonts w:hint="default" w:ascii="Times New Roman" w:hAnsi="Times New Roman" w:cs="Times New Roman"/>
                <w:color w:val="auto"/>
                <w:highlight w:val="none"/>
                <w:u w:val="none" w:color="auto"/>
                <w:lang w:eastAsia="zh-CN"/>
              </w:rPr>
              <w:t>，</w:t>
            </w:r>
            <w:r>
              <w:rPr>
                <w:rFonts w:hint="eastAsia"/>
                <w:lang w:val="en-US" w:eastAsia="zh-CN"/>
              </w:rPr>
              <w:t>应编制环境影响报告表。</w:t>
            </w:r>
            <w:r>
              <w:rPr>
                <w:rFonts w:hint="default" w:ascii="Times New Roman" w:hAnsi="Times New Roman" w:cs="Times New Roman"/>
                <w:color w:val="auto"/>
                <w:highlight w:val="none"/>
                <w:u w:val="none" w:color="auto"/>
                <w:lang w:val="en-US" w:eastAsia="zh-CN"/>
              </w:rPr>
              <w:t>据此，</w:t>
            </w:r>
            <w:r>
              <w:rPr>
                <w:rFonts w:hint="eastAsia"/>
                <w:color w:val="auto"/>
                <w:highlight w:val="none"/>
                <w:u w:val="none" w:color="auto"/>
                <w:lang w:eastAsia="zh-CN"/>
              </w:rPr>
              <w:t>岳阳市峰璟新材料科技有限公司</w:t>
            </w:r>
            <w:r>
              <w:rPr>
                <w:rFonts w:hint="default" w:ascii="Times New Roman" w:hAnsi="Times New Roman" w:cs="Times New Roman"/>
                <w:color w:val="auto"/>
                <w:highlight w:val="none"/>
                <w:u w:val="none" w:color="auto"/>
                <w:lang w:eastAsia="zh-CN"/>
              </w:rPr>
              <w:t>委托</w:t>
            </w:r>
            <w:r>
              <w:rPr>
                <w:rFonts w:hint="default" w:ascii="Times New Roman" w:hAnsi="Times New Roman" w:cs="Times New Roman"/>
                <w:color w:val="auto"/>
                <w:highlight w:val="none"/>
                <w:u w:val="none" w:color="auto"/>
                <w:lang w:val="en-US" w:eastAsia="zh-CN"/>
              </w:rPr>
              <w:t>湖南京帝</w:t>
            </w:r>
            <w:r>
              <w:rPr>
                <w:rFonts w:hint="default" w:ascii="Times New Roman" w:hAnsi="Times New Roman" w:cs="Times New Roman"/>
                <w:color w:val="auto"/>
                <w:highlight w:val="none"/>
                <w:u w:val="none" w:color="auto"/>
                <w:lang w:eastAsia="zh-CN"/>
              </w:rPr>
              <w:t>环保</w:t>
            </w:r>
            <w:r>
              <w:rPr>
                <w:rFonts w:hint="default" w:ascii="Times New Roman" w:hAnsi="Times New Roman" w:cs="Times New Roman"/>
                <w:color w:val="auto"/>
                <w:highlight w:val="none"/>
                <w:u w:val="none" w:color="auto"/>
                <w:lang w:val="en-US" w:eastAsia="zh-CN"/>
              </w:rPr>
              <w:t>科技研究院</w:t>
            </w:r>
            <w:r>
              <w:rPr>
                <w:rFonts w:hint="default" w:ascii="Times New Roman" w:hAnsi="Times New Roman" w:cs="Times New Roman"/>
                <w:color w:val="auto"/>
                <w:highlight w:val="none"/>
                <w:u w:val="none" w:color="auto"/>
                <w:lang w:eastAsia="zh-CN"/>
              </w:rPr>
              <w:t>有限公司于202</w:t>
            </w:r>
            <w:r>
              <w:rPr>
                <w:rFonts w:hint="default" w:ascii="Times New Roman" w:hAnsi="Times New Roman" w:cs="Times New Roman"/>
                <w:color w:val="auto"/>
                <w:highlight w:val="none"/>
                <w:u w:val="none" w:color="auto"/>
                <w:lang w:val="en-US" w:eastAsia="zh-CN"/>
              </w:rPr>
              <w:t>4</w:t>
            </w:r>
            <w:r>
              <w:rPr>
                <w:rFonts w:hint="default" w:ascii="Times New Roman" w:hAnsi="Times New Roman" w:cs="Times New Roman"/>
                <w:color w:val="auto"/>
                <w:highlight w:val="none"/>
                <w:u w:val="none" w:color="auto"/>
                <w:lang w:eastAsia="zh-CN"/>
              </w:rPr>
              <w:t>年</w:t>
            </w:r>
            <w:r>
              <w:rPr>
                <w:rFonts w:hint="eastAsia" w:cs="Times New Roman"/>
                <w:color w:val="auto"/>
                <w:highlight w:val="none"/>
                <w:u w:val="none" w:color="auto"/>
                <w:lang w:val="en-US" w:eastAsia="zh-CN"/>
              </w:rPr>
              <w:t>12</w:t>
            </w:r>
            <w:r>
              <w:rPr>
                <w:rFonts w:hint="default" w:ascii="Times New Roman" w:hAnsi="Times New Roman" w:cs="Times New Roman"/>
                <w:color w:val="auto"/>
                <w:highlight w:val="none"/>
                <w:u w:val="none" w:color="auto"/>
                <w:lang w:eastAsia="zh-CN"/>
              </w:rPr>
              <w:t>月承担该项目环境影响评价工作。通过现场踏勘调查、工程分析，依据《建设项目环境影响报告表编制技术指南》（</w:t>
            </w:r>
            <w:r>
              <w:rPr>
                <w:rFonts w:hint="default" w:ascii="Times New Roman" w:hAnsi="Times New Roman" w:cs="Times New Roman"/>
                <w:color w:val="auto"/>
                <w:highlight w:val="none"/>
                <w:u w:val="none" w:color="auto"/>
                <w:lang w:val="en-US" w:eastAsia="zh-CN"/>
              </w:rPr>
              <w:t>污染影响类</w:t>
            </w:r>
            <w:r>
              <w:rPr>
                <w:rFonts w:hint="default" w:ascii="Times New Roman" w:hAnsi="Times New Roman" w:cs="Times New Roman"/>
                <w:color w:val="auto"/>
                <w:highlight w:val="none"/>
                <w:u w:val="none" w:color="auto"/>
                <w:lang w:eastAsia="zh-CN"/>
              </w:rPr>
              <w:t>）要求编制了本建设项目的环境影响报告表，提请生态环境部门审批。</w:t>
            </w:r>
          </w:p>
          <w:p w14:paraId="779255C8">
            <w:pPr>
              <w:pStyle w:val="37"/>
              <w:keepNext w:val="0"/>
              <w:keepLines w:val="0"/>
              <w:pageBreakBefore w:val="0"/>
              <w:widowControl w:val="0"/>
              <w:numPr>
                <w:ilvl w:val="0"/>
                <w:numId w:val="0"/>
              </w:numPr>
              <w:kinsoku/>
              <w:overflowPunct/>
              <w:autoSpaceDE/>
              <w:autoSpaceDN/>
              <w:bidi w:val="0"/>
              <w:spacing w:line="360" w:lineRule="auto"/>
              <w:textAlignment w:val="auto"/>
              <w:rPr>
                <w:rFonts w:hint="default" w:ascii="Times New Roman" w:hAnsi="Times New Roman" w:cs="Times New Roman"/>
                <w:b/>
                <w:bCs/>
                <w:color w:val="auto"/>
                <w:sz w:val="24"/>
                <w:szCs w:val="24"/>
                <w:highlight w:val="none"/>
                <w:u w:val="none" w:color="auto"/>
                <w:lang w:val="en-US" w:eastAsia="zh-CN"/>
              </w:rPr>
            </w:pPr>
            <w:r>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t>2、建设工程内容及规模</w:t>
            </w:r>
          </w:p>
          <w:p w14:paraId="581C27A3">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b/>
                <w:bCs/>
                <w:color w:val="auto"/>
                <w:sz w:val="24"/>
              </w:rPr>
            </w:pPr>
            <w:r>
              <w:rPr>
                <w:rFonts w:hint="eastAsia"/>
                <w:b/>
                <w:bCs/>
                <w:color w:val="auto"/>
                <w:sz w:val="24"/>
              </w:rPr>
              <w:t>2.1项目名称及性质</w:t>
            </w:r>
          </w:p>
          <w:p w14:paraId="5E669BBD">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r>
              <w:rPr>
                <w:rFonts w:hint="eastAsia" w:cs="Times New Roman"/>
                <w:color w:val="auto"/>
                <w:sz w:val="24"/>
                <w:szCs w:val="24"/>
                <w:highlight w:val="none"/>
                <w:u w:val="none" w:color="auto"/>
                <w:lang w:eastAsia="zh-CN"/>
              </w:rPr>
              <w:t>年产硅砂（玻璃原材料）10万吨建设项目</w:t>
            </w:r>
          </w:p>
          <w:p w14:paraId="23C1EF7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highlight w:val="none"/>
              </w:rPr>
              <w:t>建设单位</w:t>
            </w:r>
            <w:r>
              <w:rPr>
                <w:rFonts w:hint="default" w:ascii="Times New Roman" w:hAnsi="Times New Roman" w:eastAsia="宋体"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岳阳市峰璟新材料科技有限公司</w:t>
            </w:r>
          </w:p>
          <w:p w14:paraId="2D20188C">
            <w:pPr>
              <w:adjustRightInd w:val="0"/>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建设地点：</w:t>
            </w:r>
            <w:r>
              <w:rPr>
                <w:rFonts w:hint="eastAsia" w:ascii="Times New Roman" w:hAnsi="Times New Roman" w:eastAsia="宋体" w:cs="Times New Roman"/>
                <w:color w:val="auto"/>
                <w:sz w:val="24"/>
                <w:szCs w:val="24"/>
                <w:highlight w:val="none"/>
                <w:u w:val="none" w:color="auto"/>
                <w:lang w:val="en-US" w:eastAsia="zh-CN"/>
              </w:rPr>
              <w:t>岳阳县新墙镇燎原村沙河片二组</w:t>
            </w:r>
          </w:p>
          <w:p w14:paraId="03EA5BE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具体坐标：东经</w:t>
            </w:r>
            <w:r>
              <w:rPr>
                <w:rFonts w:hint="default" w:ascii="Times New Roman" w:hAnsi="Times New Roman" w:cs="Times New Roman"/>
                <w:color w:val="auto"/>
                <w:sz w:val="24"/>
                <w:szCs w:val="24"/>
                <w:highlight w:val="none"/>
                <w:u w:val="none" w:color="auto"/>
                <w:lang w:val="en-US" w:eastAsia="zh-CN"/>
              </w:rPr>
              <w:t>113</w:t>
            </w:r>
            <w:r>
              <w:rPr>
                <w:rFonts w:hint="default" w:ascii="Times New Roman" w:hAnsi="Times New Roman" w:eastAsia="宋体" w:cs="Times New Roman"/>
                <w:color w:val="auto"/>
                <w:sz w:val="24"/>
                <w:szCs w:val="24"/>
                <w:highlight w:val="none"/>
                <w:u w:val="none" w:color="auto"/>
                <w:lang w:val="en-US" w:eastAsia="zh-CN"/>
              </w:rPr>
              <w:t>度</w:t>
            </w:r>
            <w:r>
              <w:rPr>
                <w:rFonts w:hint="eastAsia" w:cs="Times New Roman"/>
                <w:color w:val="auto"/>
                <w:sz w:val="24"/>
                <w:szCs w:val="24"/>
                <w:highlight w:val="none"/>
                <w:u w:val="none" w:color="auto"/>
                <w:lang w:val="en-US" w:eastAsia="zh-CN"/>
              </w:rPr>
              <w:t>10</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7.5972</w:t>
            </w:r>
            <w:r>
              <w:rPr>
                <w:rFonts w:hint="default" w:ascii="Times New Roman" w:hAnsi="Times New Roman" w:eastAsia="宋体" w:cs="Times New Roman"/>
                <w:color w:val="auto"/>
                <w:sz w:val="24"/>
                <w:szCs w:val="24"/>
                <w:highlight w:val="none"/>
                <w:u w:val="none" w:color="auto"/>
                <w:lang w:val="en-US" w:eastAsia="zh-CN"/>
              </w:rPr>
              <w:t>秒，</w:t>
            </w:r>
            <w:r>
              <w:rPr>
                <w:rFonts w:hint="eastAsia" w:ascii="Times New Roman" w:hAnsi="Times New Roman" w:cs="Times New Roman"/>
                <w:color w:val="auto"/>
                <w:sz w:val="24"/>
                <w:szCs w:val="24"/>
                <w:highlight w:val="none"/>
                <w:u w:val="none" w:color="auto"/>
                <w:lang w:val="en-US" w:eastAsia="zh-CN"/>
              </w:rPr>
              <w:t>北纬</w:t>
            </w:r>
            <w:r>
              <w:rPr>
                <w:rFonts w:hint="default" w:ascii="Times New Roman" w:hAnsi="Times New Roman" w:eastAsia="宋体" w:cs="Times New Roman"/>
                <w:color w:val="auto"/>
                <w:sz w:val="24"/>
                <w:szCs w:val="24"/>
                <w:highlight w:val="none"/>
                <w:u w:val="none" w:color="auto"/>
                <w:lang w:val="en-US" w:eastAsia="zh-CN"/>
              </w:rPr>
              <w:t>29度</w:t>
            </w:r>
            <w:r>
              <w:rPr>
                <w:rFonts w:hint="eastAsia"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10.106</w:t>
            </w:r>
            <w:r>
              <w:rPr>
                <w:rFonts w:hint="default" w:ascii="Times New Roman" w:hAnsi="Times New Roman" w:eastAsia="宋体" w:cs="Times New Roman"/>
                <w:color w:val="auto"/>
                <w:sz w:val="24"/>
                <w:szCs w:val="24"/>
                <w:highlight w:val="none"/>
                <w:u w:val="none" w:color="auto"/>
                <w:lang w:val="en-US" w:eastAsia="zh-CN"/>
              </w:rPr>
              <w:t>秒</w:t>
            </w:r>
          </w:p>
          <w:p w14:paraId="1CF7F6F2">
            <w:pPr>
              <w:adjustRightInd w:val="0"/>
              <w:snapToGrid w:val="0"/>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项目性质：</w:t>
            </w:r>
            <w:r>
              <w:rPr>
                <w:rFonts w:hint="eastAsia" w:cs="Times New Roman"/>
                <w:color w:val="auto"/>
                <w:sz w:val="24"/>
                <w:highlight w:val="none"/>
                <w:lang w:val="en-US" w:eastAsia="zh-CN"/>
              </w:rPr>
              <w:t>新建</w:t>
            </w:r>
          </w:p>
          <w:p w14:paraId="0A48283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占地面积：总占地面积约</w:t>
            </w:r>
            <w:r>
              <w:rPr>
                <w:rFonts w:hint="eastAsia" w:cs="Times New Roman"/>
                <w:color w:val="auto"/>
                <w:sz w:val="24"/>
                <w:highlight w:val="none"/>
                <w:lang w:val="en-US" w:eastAsia="zh-CN"/>
              </w:rPr>
              <w:t>4500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p>
          <w:p w14:paraId="3111C86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w:t>
            </w:r>
            <w:r>
              <w:rPr>
                <w:rFonts w:hint="eastAsia" w:cs="Times New Roman"/>
                <w:color w:val="auto"/>
                <w:sz w:val="24"/>
                <w:highlight w:val="none"/>
                <w:lang w:val="en-US" w:eastAsia="zh-CN"/>
              </w:rPr>
              <w:t>1000</w:t>
            </w:r>
            <w:r>
              <w:rPr>
                <w:rFonts w:hint="default" w:ascii="Times New Roman" w:hAnsi="Times New Roman" w:cs="Times New Roman"/>
                <w:color w:val="auto"/>
                <w:sz w:val="24"/>
                <w:highlight w:val="none"/>
              </w:rPr>
              <w:t>万元，其中环保投资</w:t>
            </w:r>
            <w:r>
              <w:rPr>
                <w:rFonts w:hint="eastAsia" w:cs="Times New Roman"/>
                <w:color w:val="auto"/>
                <w:sz w:val="24"/>
                <w:highlight w:val="none"/>
                <w:lang w:val="en-US" w:eastAsia="zh-CN"/>
              </w:rPr>
              <w:t>25.5</w:t>
            </w:r>
            <w:r>
              <w:rPr>
                <w:rFonts w:hint="default" w:ascii="Times New Roman" w:hAnsi="Times New Roman" w:cs="Times New Roman"/>
                <w:color w:val="auto"/>
                <w:sz w:val="24"/>
                <w:highlight w:val="none"/>
              </w:rPr>
              <w:t>万</w:t>
            </w:r>
            <w:r>
              <w:rPr>
                <w:rFonts w:hint="eastAsia" w:ascii="Times New Roman" w:hAnsi="Times New Roman" w:cs="Times New Roman"/>
                <w:color w:val="auto"/>
                <w:sz w:val="24"/>
                <w:highlight w:val="none"/>
                <w:lang w:eastAsia="zh-CN"/>
              </w:rPr>
              <w:t>，环保投资占比</w:t>
            </w:r>
            <w:r>
              <w:rPr>
                <w:rFonts w:hint="eastAsia" w:cs="Times New Roman"/>
                <w:color w:val="auto"/>
                <w:sz w:val="24"/>
                <w:highlight w:val="none"/>
                <w:lang w:val="en-US" w:eastAsia="zh-CN"/>
              </w:rPr>
              <w:t>2.55</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p>
          <w:p w14:paraId="54479F75">
            <w:pPr>
              <w:adjustRightInd w:val="0"/>
              <w:snapToGrid w:val="0"/>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劳动定员：劳动定员</w:t>
            </w:r>
            <w:r>
              <w:rPr>
                <w:rFonts w:hint="eastAsia" w:cs="Times New Roman"/>
                <w:color w:val="auto"/>
                <w:sz w:val="24"/>
                <w:highlight w:val="none"/>
                <w:lang w:val="en-US" w:eastAsia="zh-CN"/>
              </w:rPr>
              <w:t>15</w:t>
            </w:r>
            <w:r>
              <w:rPr>
                <w:rFonts w:hint="default" w:ascii="Times New Roman" w:hAnsi="Times New Roman" w:cs="Times New Roman"/>
                <w:color w:val="auto"/>
                <w:sz w:val="24"/>
                <w:highlight w:val="none"/>
                <w:lang w:val="en-US" w:eastAsia="zh-CN"/>
              </w:rPr>
              <w:t>人，采用</w:t>
            </w:r>
            <w:r>
              <w:rPr>
                <w:rFonts w:hint="eastAsia" w:cs="Times New Roman"/>
                <w:color w:val="auto"/>
                <w:sz w:val="24"/>
                <w:highlight w:val="none"/>
                <w:lang w:val="en-US" w:eastAsia="zh-CN"/>
              </w:rPr>
              <w:t>两</w:t>
            </w:r>
            <w:r>
              <w:rPr>
                <w:rFonts w:hint="default" w:ascii="Times New Roman" w:hAnsi="Times New Roman" w:cs="Times New Roman"/>
                <w:color w:val="auto"/>
                <w:sz w:val="24"/>
                <w:highlight w:val="none"/>
                <w:lang w:val="en-US" w:eastAsia="zh-CN"/>
              </w:rPr>
              <w:t>班制，每班8小时</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年工作300天</w:t>
            </w:r>
            <w:r>
              <w:rPr>
                <w:rFonts w:hint="eastAsia" w:ascii="Times New Roman" w:hAnsi="Times New Roman" w:cs="Times New Roman"/>
                <w:color w:val="auto"/>
                <w:sz w:val="24"/>
                <w:highlight w:val="none"/>
                <w:lang w:val="en-US" w:eastAsia="zh-CN"/>
              </w:rPr>
              <w:t>。</w:t>
            </w:r>
          </w:p>
          <w:p w14:paraId="719B6EE5">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sz w:val="24"/>
              </w:rPr>
            </w:pPr>
            <w:r>
              <w:rPr>
                <w:rFonts w:hint="eastAsia" w:ascii="Times New Roman" w:hAnsi="Times New Roman" w:cs="Times New Roman"/>
                <w:b/>
                <w:bCs/>
                <w:color w:val="auto"/>
                <w:sz w:val="24"/>
              </w:rPr>
              <w:t>2.2建设内容</w:t>
            </w:r>
          </w:p>
          <w:p w14:paraId="76BF958F">
            <w:pPr>
              <w:pStyle w:val="37"/>
              <w:keepNext w:val="0"/>
              <w:keepLines w:val="0"/>
              <w:pageBreakBefore w:val="0"/>
              <w:widowControl w:val="0"/>
              <w:kinsoku/>
              <w:overflowPunct/>
              <w:autoSpaceDE/>
              <w:autoSpaceDN/>
              <w:bidi w:val="0"/>
              <w:textAlignment w:val="auto"/>
              <w:rPr>
                <w:rFonts w:hint="default" w:ascii="Times New Roman" w:hAnsi="Times New Roman" w:cs="Times New Roman"/>
                <w:color w:val="auto"/>
                <w:highlight w:val="none"/>
                <w:u w:val="none" w:color="auto"/>
              </w:rPr>
            </w:pPr>
            <w:r>
              <w:rPr>
                <w:rFonts w:hint="default"/>
                <w:color w:val="auto"/>
                <w:highlight w:val="none"/>
                <w:u w:val="none" w:color="auto"/>
                <w:lang w:val="en-US" w:eastAsia="zh-CN"/>
              </w:rPr>
              <w:t>本项目</w:t>
            </w:r>
            <w:r>
              <w:rPr>
                <w:rFonts w:hint="eastAsia"/>
                <w:color w:val="auto"/>
                <w:highlight w:val="none"/>
                <w:u w:val="none" w:color="auto"/>
                <w:lang w:val="en-US" w:eastAsia="zh-CN"/>
              </w:rPr>
              <w:t>选址于</w:t>
            </w:r>
            <w:r>
              <w:rPr>
                <w:rStyle w:val="48"/>
                <w:rFonts w:hint="eastAsia"/>
                <w:color w:val="auto"/>
                <w:highlight w:val="none"/>
                <w:u w:val="none" w:color="auto"/>
                <w:lang w:val="en-US" w:eastAsia="zh-CN"/>
              </w:rPr>
              <w:t>岳阳县新墙镇燎原村沙河片二组</w:t>
            </w:r>
            <w:r>
              <w:rPr>
                <w:rFonts w:hint="eastAsia"/>
                <w:color w:val="auto"/>
                <w:highlight w:val="none"/>
                <w:u w:val="none" w:color="auto"/>
                <w:lang w:eastAsia="zh-CN"/>
              </w:rPr>
              <w:t>，</w:t>
            </w:r>
            <w:r>
              <w:rPr>
                <w:rFonts w:hint="default"/>
                <w:color w:val="auto"/>
                <w:highlight w:val="none"/>
                <w:u w:val="none" w:color="auto"/>
              </w:rPr>
              <w:t>总</w:t>
            </w:r>
            <w:r>
              <w:rPr>
                <w:rFonts w:hint="default"/>
                <w:color w:val="auto"/>
                <w:highlight w:val="none"/>
                <w:u w:val="none" w:color="auto"/>
                <w:lang w:val="en-US" w:eastAsia="zh-CN"/>
              </w:rPr>
              <w:t>占</w:t>
            </w:r>
            <w:r>
              <w:rPr>
                <w:rFonts w:hint="default"/>
                <w:color w:val="auto"/>
                <w:highlight w:val="none"/>
                <w:u w:val="none" w:color="auto"/>
              </w:rPr>
              <w:t>地面积为</w:t>
            </w:r>
            <w:r>
              <w:rPr>
                <w:rStyle w:val="48"/>
                <w:rFonts w:hint="eastAsia" w:cs="Times New Roman"/>
                <w:color w:val="auto"/>
                <w:highlight w:val="none"/>
                <w:u w:val="none" w:color="auto"/>
                <w:lang w:val="en-US" w:eastAsia="zh-CN"/>
              </w:rPr>
              <w:t>4500</w:t>
            </w:r>
            <w:r>
              <w:rPr>
                <w:rStyle w:val="48"/>
                <w:rFonts w:hint="default" w:ascii="Times New Roman" w:hAnsi="Times New Roman" w:cs="Times New Roman"/>
                <w:color w:val="auto"/>
                <w:highlight w:val="none"/>
                <w:u w:val="none" w:color="auto"/>
                <w:lang w:val="en-US" w:eastAsia="zh-CN"/>
              </w:rPr>
              <w:t>m</w:t>
            </w:r>
            <w:r>
              <w:rPr>
                <w:rStyle w:val="48"/>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rPr>
              <w:t>。</w:t>
            </w:r>
            <w:r>
              <w:rPr>
                <w:rFonts w:hint="eastAsia"/>
                <w:color w:val="auto"/>
                <w:highlight w:val="none"/>
                <w:u w:val="none" w:color="auto"/>
                <w:lang w:val="en-US" w:eastAsia="zh-CN"/>
              </w:rPr>
              <w:t>主要建设内容包括一条硅砂生产线，以及配套工程、环保工程、供配电、给排水等设施</w:t>
            </w:r>
            <w:r>
              <w:rPr>
                <w:rFonts w:hint="default"/>
                <w:color w:val="auto"/>
                <w:highlight w:val="none"/>
                <w:u w:val="none" w:color="auto"/>
                <w:lang w:val="en-US" w:eastAsia="zh-CN"/>
              </w:rPr>
              <w:t>。</w:t>
            </w:r>
            <w:r>
              <w:rPr>
                <w:rFonts w:hint="default" w:ascii="Times New Roman" w:hAnsi="Times New Roman" w:cs="Times New Roman"/>
                <w:color w:val="auto"/>
                <w:highlight w:val="none"/>
                <w:u w:val="none" w:color="auto"/>
              </w:rPr>
              <w:t>项目主要建设内容具体见下表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-1。</w:t>
            </w:r>
          </w:p>
          <w:p w14:paraId="75FE8604">
            <w:pPr>
              <w:adjustRightInd w:val="0"/>
              <w:snapToGrid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w:t>
            </w:r>
            <w:r>
              <w:rPr>
                <w:rFonts w:hint="default" w:ascii="Times New Roman" w:hAnsi="Times New Roman" w:cs="Times New Roman"/>
                <w:b/>
                <w:bCs/>
                <w:color w:val="auto"/>
                <w:sz w:val="21"/>
                <w:szCs w:val="21"/>
                <w:highlight w:val="none"/>
                <w:u w:val="none" w:color="auto"/>
                <w:lang w:val="en-US" w:eastAsia="zh-CN"/>
              </w:rPr>
              <w:t>2</w:t>
            </w:r>
            <w:r>
              <w:rPr>
                <w:rFonts w:hint="default" w:ascii="Times New Roman" w:hAnsi="Times New Roman" w:cs="Times New Roman"/>
                <w:b/>
                <w:bCs/>
                <w:color w:val="auto"/>
                <w:sz w:val="21"/>
                <w:szCs w:val="21"/>
                <w:highlight w:val="none"/>
                <w:u w:val="none" w:color="auto"/>
              </w:rPr>
              <w:t xml:space="preserve">-1 </w:t>
            </w:r>
            <w:r>
              <w:rPr>
                <w:rFonts w:hint="eastAsia" w:ascii="Times New Roman" w:hAnsi="Times New Roman" w:cs="Times New Roman"/>
                <w:b/>
                <w:bCs/>
                <w:color w:val="auto"/>
                <w:sz w:val="21"/>
                <w:szCs w:val="21"/>
                <w:highlight w:val="none"/>
                <w:u w:val="none" w:color="auto"/>
                <w:lang w:val="en-US" w:eastAsia="zh-CN"/>
              </w:rPr>
              <w:t xml:space="preserve">  </w:t>
            </w:r>
            <w:r>
              <w:rPr>
                <w:rFonts w:hint="default" w:ascii="Times New Roman" w:hAnsi="Times New Roman" w:cs="Times New Roman"/>
                <w:b/>
                <w:bCs/>
                <w:color w:val="auto"/>
                <w:sz w:val="21"/>
                <w:szCs w:val="21"/>
                <w:highlight w:val="none"/>
                <w:u w:val="none" w:color="auto"/>
              </w:rPr>
              <w:t>项目建设工程一览表</w:t>
            </w:r>
          </w:p>
          <w:tbl>
            <w:tblPr>
              <w:tblStyle w:val="24"/>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88"/>
              <w:gridCol w:w="1221"/>
              <w:gridCol w:w="4150"/>
              <w:gridCol w:w="1357"/>
            </w:tblGrid>
            <w:tr w14:paraId="2F710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696" w:type="pct"/>
                  <w:tcBorders>
                    <w:tl2br w:val="nil"/>
                    <w:tr2bl w:val="nil"/>
                  </w:tcBorders>
                  <w:noWrap w:val="0"/>
                  <w:vAlign w:val="center"/>
                </w:tcPr>
                <w:p w14:paraId="376FE200">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类别</w:t>
                  </w:r>
                </w:p>
              </w:tc>
              <w:tc>
                <w:tcPr>
                  <w:tcW w:w="781" w:type="pct"/>
                  <w:tcBorders>
                    <w:tl2br w:val="nil"/>
                    <w:tr2bl w:val="nil"/>
                  </w:tcBorders>
                  <w:noWrap w:val="0"/>
                  <w:vAlign w:val="center"/>
                </w:tcPr>
                <w:p w14:paraId="14218AF2">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名称</w:t>
                  </w:r>
                </w:p>
              </w:tc>
              <w:tc>
                <w:tcPr>
                  <w:tcW w:w="2654" w:type="pct"/>
                  <w:tcBorders>
                    <w:tl2br w:val="nil"/>
                    <w:tr2bl w:val="nil"/>
                  </w:tcBorders>
                  <w:noWrap w:val="0"/>
                  <w:vAlign w:val="center"/>
                </w:tcPr>
                <w:p w14:paraId="7B22BDC1">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建设内容与规模</w:t>
                  </w:r>
                </w:p>
              </w:tc>
              <w:tc>
                <w:tcPr>
                  <w:tcW w:w="867" w:type="pct"/>
                  <w:tcBorders>
                    <w:tl2br w:val="nil"/>
                    <w:tr2bl w:val="nil"/>
                  </w:tcBorders>
                  <w:noWrap w:val="0"/>
                  <w:vAlign w:val="center"/>
                </w:tcPr>
                <w:p w14:paraId="49844341">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备注</w:t>
                  </w:r>
                </w:p>
              </w:tc>
            </w:tr>
            <w:tr w14:paraId="00673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696" w:type="pct"/>
                  <w:tcBorders>
                    <w:tl2br w:val="nil"/>
                    <w:tr2bl w:val="nil"/>
                  </w:tcBorders>
                  <w:noWrap w:val="0"/>
                  <w:vAlign w:val="center"/>
                </w:tcPr>
                <w:p w14:paraId="1BA88966">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主体工程</w:t>
                  </w:r>
                </w:p>
              </w:tc>
              <w:tc>
                <w:tcPr>
                  <w:tcW w:w="781" w:type="pct"/>
                  <w:tcBorders>
                    <w:tl2br w:val="nil"/>
                    <w:tr2bl w:val="nil"/>
                  </w:tcBorders>
                  <w:noWrap w:val="0"/>
                  <w:vAlign w:val="center"/>
                </w:tcPr>
                <w:p w14:paraId="3B7D910A">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制砂</w:t>
                  </w:r>
                  <w:r>
                    <w:rPr>
                      <w:rFonts w:hint="default" w:ascii="Times New Roman" w:hAnsi="Times New Roman" w:eastAsia="宋体" w:cs="Times New Roman"/>
                      <w:color w:val="auto"/>
                      <w:highlight w:val="none"/>
                      <w:u w:val="none" w:color="auto"/>
                      <w:lang w:val="en-US" w:eastAsia="zh-CN"/>
                    </w:rPr>
                    <w:t>车间</w:t>
                  </w:r>
                </w:p>
              </w:tc>
              <w:tc>
                <w:tcPr>
                  <w:tcW w:w="2654" w:type="pct"/>
                  <w:tcBorders>
                    <w:tl2br w:val="nil"/>
                    <w:tr2bl w:val="nil"/>
                  </w:tcBorders>
                  <w:noWrap w:val="0"/>
                  <w:vAlign w:val="center"/>
                </w:tcPr>
                <w:p w14:paraId="019242FB">
                  <w:pPr>
                    <w:pStyle w:val="7"/>
                    <w:rPr>
                      <w:rFonts w:hint="default" w:ascii="Times New Roman" w:hAnsi="Times New Roman" w:cs="Times New Roman"/>
                      <w:color w:val="auto"/>
                      <w:highlight w:val="green"/>
                      <w:u w:val="none" w:color="auto"/>
                      <w:vertAlign w:val="baseline"/>
                      <w:lang w:val="en-US" w:eastAsia="zh-CN"/>
                    </w:rPr>
                  </w:pPr>
                  <w:r>
                    <w:rPr>
                      <w:rFonts w:hint="eastAsia" w:cs="Times New Roman"/>
                      <w:color w:val="auto"/>
                      <w:highlight w:val="none"/>
                      <w:u w:val="none" w:color="auto"/>
                      <w:lang w:val="en-US" w:eastAsia="zh-CN"/>
                    </w:rPr>
                    <w:t>1F轻钢结构，层高8m半</w:t>
                  </w:r>
                  <w:r>
                    <w:rPr>
                      <w:rFonts w:hint="eastAsia"/>
                      <w:color w:val="auto"/>
                      <w:lang w:val="en-US" w:eastAsia="zh-CN"/>
                    </w:rPr>
                    <w:t>封闭式</w:t>
                  </w:r>
                  <w:r>
                    <w:rPr>
                      <w:rFonts w:hint="eastAsia" w:cs="Times New Roman"/>
                      <w:color w:val="auto"/>
                      <w:highlight w:val="none"/>
                      <w:u w:val="none" w:color="auto"/>
                      <w:lang w:val="en-US" w:eastAsia="zh-CN"/>
                    </w:rPr>
                    <w:t>加盖顶棚</w:t>
                  </w:r>
                  <w:r>
                    <w:rPr>
                      <w:rFonts w:hint="eastAsia"/>
                      <w:color w:val="auto"/>
                      <w:lang w:val="en-US" w:eastAsia="zh-CN"/>
                    </w:rPr>
                    <w:t>厂房</w:t>
                  </w:r>
                  <w:r>
                    <w:rPr>
                      <w:rFonts w:hint="eastAsia" w:cs="Times New Roman"/>
                      <w:color w:val="auto"/>
                      <w:highlight w:val="none"/>
                      <w:u w:val="none" w:color="auto"/>
                      <w:lang w:val="en-US" w:eastAsia="zh-CN"/>
                    </w:rPr>
                    <w:t>，建筑面积为2000m²，位于厂区西侧。设置1条制砂生产线，主要为进料区、破碎区、制砂区、筛分区、洗砂区、脱水区。</w:t>
                  </w:r>
                </w:p>
              </w:tc>
              <w:tc>
                <w:tcPr>
                  <w:tcW w:w="867" w:type="pct"/>
                  <w:tcBorders>
                    <w:tl2br w:val="nil"/>
                    <w:tr2bl w:val="nil"/>
                  </w:tcBorders>
                  <w:noWrap w:val="0"/>
                  <w:vAlign w:val="center"/>
                </w:tcPr>
                <w:p w14:paraId="01F5F269">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F3CE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696" w:type="pct"/>
                  <w:vMerge w:val="restart"/>
                  <w:tcBorders>
                    <w:tl2br w:val="nil"/>
                    <w:tr2bl w:val="nil"/>
                  </w:tcBorders>
                  <w:noWrap w:val="0"/>
                  <w:vAlign w:val="center"/>
                </w:tcPr>
                <w:p w14:paraId="6D4B7807">
                  <w:pPr>
                    <w:bidi w:val="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辅助工程</w:t>
                  </w:r>
                </w:p>
              </w:tc>
              <w:tc>
                <w:tcPr>
                  <w:tcW w:w="781" w:type="pct"/>
                  <w:tcBorders>
                    <w:tl2br w:val="nil"/>
                    <w:tr2bl w:val="nil"/>
                  </w:tcBorders>
                  <w:noWrap w:val="0"/>
                  <w:vAlign w:val="center"/>
                </w:tcPr>
                <w:p w14:paraId="3ECF7311">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食堂住宿</w:t>
                  </w:r>
                </w:p>
              </w:tc>
              <w:tc>
                <w:tcPr>
                  <w:tcW w:w="2654" w:type="pct"/>
                  <w:tcBorders>
                    <w:tl2br w:val="nil"/>
                    <w:tr2bl w:val="nil"/>
                  </w:tcBorders>
                  <w:noWrap w:val="0"/>
                  <w:vAlign w:val="center"/>
                </w:tcPr>
                <w:p w14:paraId="552E881C">
                  <w:pPr>
                    <w:bidi w:val="0"/>
                    <w:jc w:val="center"/>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位于厂区东南侧，建筑面积为500</w:t>
                  </w:r>
                  <w:r>
                    <w:rPr>
                      <w:rFonts w:hint="eastAsia" w:cs="Times New Roman"/>
                      <w:color w:val="auto"/>
                      <w:highlight w:val="none"/>
                      <w:u w:val="none" w:color="auto"/>
                      <w:lang w:val="en-US" w:eastAsia="zh-CN"/>
                    </w:rPr>
                    <w:t>m²。</w:t>
                  </w:r>
                </w:p>
              </w:tc>
              <w:tc>
                <w:tcPr>
                  <w:tcW w:w="867" w:type="pct"/>
                  <w:tcBorders>
                    <w:tl2br w:val="nil"/>
                    <w:tr2bl w:val="nil"/>
                  </w:tcBorders>
                  <w:noWrap w:val="0"/>
                  <w:vAlign w:val="center"/>
                </w:tcPr>
                <w:p w14:paraId="0FDDC285">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3A1C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696" w:type="pct"/>
                  <w:vMerge w:val="continue"/>
                  <w:tcBorders>
                    <w:tl2br w:val="nil"/>
                    <w:tr2bl w:val="nil"/>
                  </w:tcBorders>
                  <w:noWrap w:val="0"/>
                  <w:vAlign w:val="center"/>
                </w:tcPr>
                <w:p w14:paraId="119DB74A">
                  <w:pPr>
                    <w:bidi w:val="0"/>
                    <w:jc w:val="center"/>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33E4022C">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办公楼</w:t>
                  </w:r>
                </w:p>
              </w:tc>
              <w:tc>
                <w:tcPr>
                  <w:tcW w:w="2654" w:type="pct"/>
                  <w:tcBorders>
                    <w:tl2br w:val="nil"/>
                    <w:tr2bl w:val="nil"/>
                  </w:tcBorders>
                  <w:noWrap w:val="0"/>
                  <w:vAlign w:val="center"/>
                </w:tcPr>
                <w:p w14:paraId="46C92776">
                  <w:pPr>
                    <w:bidi w:val="0"/>
                    <w:jc w:val="center"/>
                    <w:rPr>
                      <w:rFonts w:hint="eastAsia"/>
                      <w:color w:val="auto"/>
                      <w:highlight w:val="none"/>
                      <w:u w:val="none" w:color="auto"/>
                      <w:lang w:val="en-US" w:eastAsia="zh-CN"/>
                    </w:rPr>
                  </w:pPr>
                  <w:r>
                    <w:rPr>
                      <w:rFonts w:hint="eastAsia"/>
                      <w:color w:val="auto"/>
                      <w:highlight w:val="none"/>
                      <w:u w:val="none" w:color="auto"/>
                      <w:lang w:val="en-US" w:eastAsia="zh-CN"/>
                    </w:rPr>
                    <w:t>位于厂区东北侧，建筑面积为500</w:t>
                  </w:r>
                  <w:r>
                    <w:rPr>
                      <w:rFonts w:hint="eastAsia" w:cs="Times New Roman"/>
                      <w:color w:val="auto"/>
                      <w:highlight w:val="none"/>
                      <w:u w:val="none" w:color="auto"/>
                      <w:lang w:val="en-US" w:eastAsia="zh-CN"/>
                    </w:rPr>
                    <w:t>m²</w:t>
                  </w:r>
                </w:p>
              </w:tc>
              <w:tc>
                <w:tcPr>
                  <w:tcW w:w="867" w:type="pct"/>
                  <w:tcBorders>
                    <w:tl2br w:val="nil"/>
                    <w:tr2bl w:val="nil"/>
                  </w:tcBorders>
                  <w:noWrap w:val="0"/>
                  <w:vAlign w:val="center"/>
                </w:tcPr>
                <w:p w14:paraId="446126E1">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04956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96" w:type="pct"/>
                  <w:vMerge w:val="restart"/>
                  <w:tcBorders>
                    <w:tl2br w:val="nil"/>
                    <w:tr2bl w:val="nil"/>
                  </w:tcBorders>
                  <w:noWrap w:val="0"/>
                  <w:vAlign w:val="center"/>
                </w:tcPr>
                <w:p w14:paraId="73B4B7A7">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储运工程</w:t>
                  </w:r>
                </w:p>
              </w:tc>
              <w:tc>
                <w:tcPr>
                  <w:tcW w:w="781" w:type="pct"/>
                  <w:tcBorders>
                    <w:tl2br w:val="nil"/>
                    <w:tr2bl w:val="nil"/>
                  </w:tcBorders>
                  <w:noWrap w:val="0"/>
                  <w:vAlign w:val="center"/>
                </w:tcPr>
                <w:p w14:paraId="3AC59FEF">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成品仓库</w:t>
                  </w:r>
                </w:p>
              </w:tc>
              <w:tc>
                <w:tcPr>
                  <w:tcW w:w="2654" w:type="pct"/>
                  <w:tcBorders>
                    <w:tl2br w:val="nil"/>
                    <w:tr2bl w:val="nil"/>
                  </w:tcBorders>
                  <w:noWrap w:val="0"/>
                  <w:vAlign w:val="top"/>
                </w:tcPr>
                <w:p w14:paraId="0A07F304">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lang w:val="en-US" w:eastAsia="zh-CN"/>
                    </w:rPr>
                    <w:t>1F轻钢结构，</w:t>
                  </w:r>
                  <w:r>
                    <w:rPr>
                      <w:rFonts w:hint="default" w:eastAsia="宋体"/>
                      <w:color w:val="auto"/>
                      <w:highlight w:val="none"/>
                      <w:u w:val="none" w:color="auto"/>
                      <w:lang w:val="en-US" w:eastAsia="zh-CN"/>
                    </w:rPr>
                    <w:t>建筑面积为</w:t>
                  </w:r>
                  <w:r>
                    <w:rPr>
                      <w:rFonts w:hint="eastAsia"/>
                      <w:color w:val="auto"/>
                      <w:highlight w:val="none"/>
                      <w:u w:val="none" w:color="auto"/>
                      <w:lang w:val="en-US" w:eastAsia="zh-CN"/>
                    </w:rPr>
                    <w:t>1500</w:t>
                  </w:r>
                  <w:r>
                    <w:rPr>
                      <w:rFonts w:hint="default" w:eastAsia="宋体"/>
                      <w:color w:val="auto"/>
                      <w:highlight w:val="none"/>
                      <w:u w:val="none" w:color="auto"/>
                      <w:lang w:val="en-US" w:eastAsia="zh-CN"/>
                    </w:rPr>
                    <w:t>m</w:t>
                  </w:r>
                  <w:r>
                    <w:rPr>
                      <w:rFonts w:hint="default" w:eastAsia="宋体"/>
                      <w:color w:val="auto"/>
                      <w:highlight w:val="none"/>
                      <w:u w:val="none" w:color="auto"/>
                      <w:vertAlign w:val="superscript"/>
                      <w:lang w:val="en-US" w:eastAsia="zh-CN"/>
                    </w:rPr>
                    <w:t>2</w:t>
                  </w:r>
                  <w:r>
                    <w:rPr>
                      <w:rFonts w:hint="eastAsia" w:eastAsia="宋体"/>
                      <w:color w:val="auto"/>
                      <w:highlight w:val="none"/>
                      <w:u w:val="none" w:color="auto"/>
                      <w:lang w:val="en-US" w:eastAsia="zh-CN"/>
                    </w:rPr>
                    <w:t>，</w:t>
                  </w:r>
                  <w:r>
                    <w:rPr>
                      <w:rFonts w:hint="default" w:eastAsia="宋体"/>
                      <w:color w:val="auto"/>
                      <w:highlight w:val="none"/>
                      <w:u w:val="none" w:color="auto"/>
                      <w:lang w:val="en-US" w:eastAsia="zh-CN"/>
                    </w:rPr>
                    <w:t>位于</w:t>
                  </w:r>
                  <w:r>
                    <w:rPr>
                      <w:rFonts w:hint="eastAsia" w:eastAsia="宋体"/>
                      <w:color w:val="auto"/>
                      <w:highlight w:val="none"/>
                      <w:u w:val="none" w:color="auto"/>
                      <w:lang w:val="en-US" w:eastAsia="zh-CN"/>
                    </w:rPr>
                    <w:t>厂区</w:t>
                  </w:r>
                  <w:r>
                    <w:rPr>
                      <w:rFonts w:hint="eastAsia"/>
                      <w:color w:val="auto"/>
                      <w:highlight w:val="none"/>
                      <w:u w:val="none" w:color="auto"/>
                      <w:lang w:val="en-US" w:eastAsia="zh-CN"/>
                    </w:rPr>
                    <w:t>东</w:t>
                  </w:r>
                  <w:r>
                    <w:rPr>
                      <w:rFonts w:hint="eastAsia" w:eastAsia="宋体"/>
                      <w:color w:val="auto"/>
                      <w:highlight w:val="none"/>
                      <w:u w:val="none" w:color="auto"/>
                      <w:lang w:val="en-US" w:eastAsia="zh-CN"/>
                    </w:rPr>
                    <w:t>部</w:t>
                  </w:r>
                  <w:r>
                    <w:rPr>
                      <w:rFonts w:hint="default" w:eastAsia="宋体"/>
                      <w:color w:val="auto"/>
                      <w:highlight w:val="none"/>
                      <w:u w:val="none" w:color="auto"/>
                      <w:lang w:val="en-US" w:eastAsia="zh-CN"/>
                    </w:rPr>
                    <w:t>，</w:t>
                  </w:r>
                  <w:r>
                    <w:rPr>
                      <w:rFonts w:hint="eastAsia" w:cs="Times New Roman"/>
                      <w:color w:val="auto"/>
                      <w:highlight w:val="none"/>
                      <w:u w:val="none" w:color="auto"/>
                      <w:lang w:val="en-US" w:eastAsia="zh-CN"/>
                    </w:rPr>
                    <w:t>采用半封闭式加盖顶棚，</w:t>
                  </w:r>
                  <w:r>
                    <w:rPr>
                      <w:rFonts w:hint="default" w:eastAsia="宋体"/>
                      <w:color w:val="auto"/>
                      <w:highlight w:val="none"/>
                      <w:u w:val="none" w:color="auto"/>
                      <w:lang w:val="en-US" w:eastAsia="zh-CN"/>
                    </w:rPr>
                    <w:t>用于堆放成品</w:t>
                  </w:r>
                  <w:r>
                    <w:rPr>
                      <w:rFonts w:hint="eastAsia"/>
                      <w:color w:val="auto"/>
                      <w:highlight w:val="none"/>
                      <w:u w:val="none" w:color="auto"/>
                      <w:lang w:val="en-US" w:eastAsia="zh-CN"/>
                    </w:rPr>
                    <w:t>。</w:t>
                  </w:r>
                </w:p>
              </w:tc>
              <w:tc>
                <w:tcPr>
                  <w:tcW w:w="867" w:type="pct"/>
                  <w:tcBorders>
                    <w:tl2br w:val="nil"/>
                    <w:tr2bl w:val="nil"/>
                  </w:tcBorders>
                  <w:noWrap w:val="0"/>
                  <w:vAlign w:val="center"/>
                </w:tcPr>
                <w:p w14:paraId="0D079986">
                  <w:pPr>
                    <w:keepNext w:val="0"/>
                    <w:keepLines w:val="0"/>
                    <w:widowControl/>
                    <w:suppressLineNumbers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53B5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6" w:type="pct"/>
                  <w:vMerge w:val="continue"/>
                  <w:tcBorders>
                    <w:tl2br w:val="nil"/>
                    <w:tr2bl w:val="nil"/>
                  </w:tcBorders>
                  <w:noWrap w:val="0"/>
                  <w:vAlign w:val="center"/>
                </w:tcPr>
                <w:p w14:paraId="742C26DE">
                  <w:pPr>
                    <w:bidi w:val="0"/>
                    <w:jc w:val="center"/>
                    <w:rPr>
                      <w:rFonts w:hint="default" w:ascii="Times New Roman" w:hAnsi="Times New Roman" w:cs="Times New Roman"/>
                      <w:color w:val="auto"/>
                      <w:highlight w:val="green"/>
                      <w:u w:val="none" w:color="auto"/>
                    </w:rPr>
                  </w:pPr>
                </w:p>
              </w:tc>
              <w:tc>
                <w:tcPr>
                  <w:tcW w:w="781" w:type="pct"/>
                  <w:tcBorders>
                    <w:tl2br w:val="nil"/>
                    <w:tr2bl w:val="nil"/>
                  </w:tcBorders>
                  <w:noWrap w:val="0"/>
                  <w:vAlign w:val="center"/>
                </w:tcPr>
                <w:p w14:paraId="4867D7DC">
                  <w:pPr>
                    <w:bidi w:val="0"/>
                    <w:jc w:val="center"/>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2654" w:type="pct"/>
                  <w:tcBorders>
                    <w:tl2br w:val="nil"/>
                    <w:tr2bl w:val="nil"/>
                  </w:tcBorders>
                  <w:noWrap w:val="0"/>
                  <w:vAlign w:val="center"/>
                </w:tcPr>
                <w:p w14:paraId="5182CFFF">
                  <w:pPr>
                    <w:bidi w:val="0"/>
                    <w:jc w:val="both"/>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1F轻钢结构，</w:t>
                  </w:r>
                  <w:r>
                    <w:rPr>
                      <w:rFonts w:hint="default" w:ascii="Times New Roman" w:hAnsi="Times New Roman" w:cs="Times New Roman"/>
                      <w:color w:val="auto"/>
                      <w:highlight w:val="none"/>
                      <w:u w:val="none" w:color="auto"/>
                      <w:lang w:val="en-US" w:eastAsia="zh-CN"/>
                    </w:rPr>
                    <w:t>建筑</w:t>
                  </w:r>
                  <w:r>
                    <w:rPr>
                      <w:rFonts w:hint="default" w:ascii="Times New Roman" w:hAnsi="Times New Roman" w:eastAsia="宋体" w:cs="Times New Roman"/>
                      <w:color w:val="auto"/>
                      <w:highlight w:val="none"/>
                      <w:u w:val="none" w:color="auto"/>
                      <w:lang w:val="en-US" w:eastAsia="zh-CN"/>
                    </w:rPr>
                    <w:t>面积为</w:t>
                  </w:r>
                  <w:r>
                    <w:rPr>
                      <w:rFonts w:hint="eastAsia" w:cs="Times New Roman"/>
                      <w:color w:val="auto"/>
                      <w:highlight w:val="none"/>
                      <w:u w:val="none" w:color="auto"/>
                      <w:lang w:val="en-US" w:eastAsia="zh-CN"/>
                    </w:rPr>
                    <w:t>1500</w:t>
                  </w:r>
                  <w:r>
                    <w:rPr>
                      <w:rFonts w:hint="default" w:ascii="Times New Roman" w:hAnsi="Times New Roman" w:eastAsia="宋体" w:cs="Times New Roman"/>
                      <w:color w:val="auto"/>
                      <w:highlight w:val="none"/>
                      <w:u w:val="none" w:color="auto"/>
                      <w:lang w:val="en-US" w:eastAsia="zh-CN"/>
                    </w:rPr>
                    <w:t>m</w:t>
                  </w:r>
                  <w:r>
                    <w:rPr>
                      <w:rFonts w:hint="default" w:ascii="Times New Roman" w:hAnsi="Times New Roman" w:eastAsia="宋体"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，位于厂区</w:t>
                  </w:r>
                  <w:r>
                    <w:rPr>
                      <w:rFonts w:hint="eastAsia" w:cs="Times New Roman"/>
                      <w:color w:val="auto"/>
                      <w:highlight w:val="none"/>
                      <w:u w:val="none" w:color="auto"/>
                      <w:lang w:val="en-US" w:eastAsia="zh-CN"/>
                    </w:rPr>
                    <w:t>西</w:t>
                  </w:r>
                  <w:r>
                    <w:rPr>
                      <w:rFonts w:hint="default" w:ascii="Times New Roman" w:hAnsi="Times New Roman" w:cs="Times New Roman"/>
                      <w:color w:val="auto"/>
                      <w:highlight w:val="none"/>
                      <w:u w:val="none" w:color="auto"/>
                      <w:lang w:val="en-US" w:eastAsia="zh-CN"/>
                    </w:rPr>
                    <w:t>侧</w:t>
                  </w:r>
                  <w:r>
                    <w:rPr>
                      <w:rFonts w:hint="eastAsia" w:cs="Times New Roman"/>
                      <w:color w:val="auto"/>
                      <w:highlight w:val="none"/>
                      <w:u w:val="none" w:color="auto"/>
                      <w:lang w:val="en-US" w:eastAsia="zh-CN"/>
                    </w:rPr>
                    <w:t>，采用半封闭式加盖顶棚，并配备防风抑尘网等措施，</w:t>
                  </w:r>
                  <w:r>
                    <w:rPr>
                      <w:rFonts w:hint="default" w:ascii="Times New Roman" w:hAnsi="Times New Roman" w:cs="Times New Roman"/>
                      <w:color w:val="auto"/>
                      <w:highlight w:val="none"/>
                      <w:u w:val="none" w:color="auto"/>
                      <w:lang w:val="en-US" w:eastAsia="zh-CN"/>
                    </w:rPr>
                    <w:t>用于堆放</w:t>
                  </w:r>
                  <w:r>
                    <w:rPr>
                      <w:rFonts w:hint="eastAsia" w:ascii="Times New Roman" w:hAnsi="Times New Roman" w:cs="Times New Roman"/>
                      <w:color w:val="auto"/>
                      <w:highlight w:val="none"/>
                      <w:u w:val="none" w:color="auto"/>
                      <w:lang w:val="en-US" w:eastAsia="zh-CN"/>
                    </w:rPr>
                    <w:t>原辅材料</w:t>
                  </w:r>
                  <w:r>
                    <w:rPr>
                      <w:rFonts w:hint="eastAsia" w:cs="Times New Roman"/>
                      <w:color w:val="auto"/>
                      <w:highlight w:val="none"/>
                      <w:u w:val="none" w:color="auto"/>
                      <w:lang w:val="en-US" w:eastAsia="zh-CN"/>
                    </w:rPr>
                    <w:t>。</w:t>
                  </w:r>
                </w:p>
              </w:tc>
              <w:tc>
                <w:tcPr>
                  <w:tcW w:w="867" w:type="pct"/>
                  <w:tcBorders>
                    <w:tl2br w:val="nil"/>
                    <w:tr2bl w:val="nil"/>
                  </w:tcBorders>
                  <w:noWrap w:val="0"/>
                  <w:vAlign w:val="center"/>
                </w:tcPr>
                <w:p w14:paraId="5EBD06D9">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2579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696" w:type="pct"/>
                  <w:vMerge w:val="restart"/>
                  <w:tcBorders>
                    <w:tl2br w:val="nil"/>
                    <w:tr2bl w:val="nil"/>
                  </w:tcBorders>
                  <w:noWrap w:val="0"/>
                  <w:vAlign w:val="center"/>
                </w:tcPr>
                <w:p w14:paraId="62E96763">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公用工程</w:t>
                  </w:r>
                </w:p>
              </w:tc>
              <w:tc>
                <w:tcPr>
                  <w:tcW w:w="781" w:type="pct"/>
                  <w:tcBorders>
                    <w:tl2br w:val="nil"/>
                    <w:tr2bl w:val="nil"/>
                  </w:tcBorders>
                  <w:noWrap w:val="0"/>
                  <w:vAlign w:val="center"/>
                </w:tcPr>
                <w:p w14:paraId="6C29EAD1">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排水</w:t>
                  </w:r>
                </w:p>
              </w:tc>
              <w:tc>
                <w:tcPr>
                  <w:tcW w:w="2654" w:type="pct"/>
                  <w:tcBorders>
                    <w:tl2br w:val="nil"/>
                    <w:tr2bl w:val="nil"/>
                  </w:tcBorders>
                  <w:noWrap w:val="0"/>
                  <w:vAlign w:val="center"/>
                </w:tcPr>
                <w:p w14:paraId="57FE7CF7">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eastAsia="宋体" w:cs="Times New Roman"/>
                      <w:color w:val="auto"/>
                      <w:spacing w:val="-10"/>
                      <w:sz w:val="21"/>
                      <w:szCs w:val="21"/>
                      <w:u w:val="none"/>
                    </w:rPr>
                    <w:t>排水采用“雨污分流”制</w:t>
                  </w:r>
                </w:p>
              </w:tc>
              <w:tc>
                <w:tcPr>
                  <w:tcW w:w="867" w:type="pct"/>
                  <w:vMerge w:val="restart"/>
                  <w:tcBorders>
                    <w:tl2br w:val="nil"/>
                    <w:tr2bl w:val="nil"/>
                  </w:tcBorders>
                  <w:noWrap w:val="0"/>
                  <w:vAlign w:val="center"/>
                </w:tcPr>
                <w:p w14:paraId="2DBDE5D1">
                  <w:pPr>
                    <w:keepNext w:val="0"/>
                    <w:keepLines w:val="0"/>
                    <w:widowControl/>
                    <w:suppressLineNumbers w:val="0"/>
                    <w:jc w:val="center"/>
                    <w:rPr>
                      <w:rFonts w:hint="default"/>
                      <w:color w:val="auto"/>
                      <w:highlight w:val="none"/>
                      <w:lang w:val="en-US" w:eastAsia="zh-CN"/>
                    </w:rPr>
                  </w:pPr>
                  <w:r>
                    <w:rPr>
                      <w:rFonts w:hint="eastAsia" w:cs="Times New Roman"/>
                      <w:color w:val="auto"/>
                      <w:highlight w:val="none"/>
                      <w:u w:val="none" w:color="auto"/>
                      <w:lang w:val="en-US" w:eastAsia="zh-CN"/>
                    </w:rPr>
                    <w:t>新建</w:t>
                  </w:r>
                </w:p>
              </w:tc>
            </w:tr>
            <w:tr w14:paraId="20ABA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696" w:type="pct"/>
                  <w:vMerge w:val="continue"/>
                  <w:tcBorders>
                    <w:tl2br w:val="nil"/>
                    <w:tr2bl w:val="nil"/>
                  </w:tcBorders>
                  <w:noWrap w:val="0"/>
                  <w:vAlign w:val="top"/>
                </w:tcPr>
                <w:p w14:paraId="791994DD">
                  <w:pPr>
                    <w:bidi w:val="0"/>
                    <w:jc w:val="left"/>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0B920456">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供电</w:t>
                  </w:r>
                </w:p>
              </w:tc>
              <w:tc>
                <w:tcPr>
                  <w:tcW w:w="2654" w:type="pct"/>
                  <w:tcBorders>
                    <w:tl2br w:val="nil"/>
                    <w:tr2bl w:val="nil"/>
                  </w:tcBorders>
                  <w:noWrap w:val="0"/>
                  <w:vAlign w:val="center"/>
                </w:tcPr>
                <w:p w14:paraId="3ABC4BBA">
                  <w:pPr>
                    <w:bidi w:val="0"/>
                    <w:jc w:val="center"/>
                    <w:rPr>
                      <w:rFonts w:hint="default" w:eastAsia="宋体"/>
                      <w:color w:val="auto"/>
                      <w:highlight w:val="none"/>
                      <w:u w:val="none" w:color="auto"/>
                      <w:lang w:val="en-US" w:eastAsia="zh-CN"/>
                    </w:rPr>
                  </w:pPr>
                  <w:r>
                    <w:rPr>
                      <w:rFonts w:hint="default" w:ascii="Times New Roman" w:hAnsi="Times New Roman" w:eastAsia="宋体" w:cs="Times New Roman"/>
                      <w:color w:val="auto"/>
                      <w:spacing w:val="-9"/>
                      <w:sz w:val="21"/>
                      <w:szCs w:val="21"/>
                      <w:u w:val="none"/>
                    </w:rPr>
                    <w:t>依托</w:t>
                  </w:r>
                  <w:r>
                    <w:rPr>
                      <w:rFonts w:hint="default" w:ascii="Times New Roman" w:hAnsi="Times New Roman" w:eastAsia="宋体" w:cs="Times New Roman"/>
                      <w:color w:val="auto"/>
                      <w:spacing w:val="-9"/>
                      <w:sz w:val="21"/>
                      <w:szCs w:val="21"/>
                      <w:u w:val="none"/>
                      <w:lang w:val="en-US" w:eastAsia="zh-CN"/>
                    </w:rPr>
                    <w:t>国家</w:t>
                  </w:r>
                  <w:r>
                    <w:rPr>
                      <w:rFonts w:hint="default" w:ascii="Times New Roman" w:hAnsi="Times New Roman" w:eastAsia="宋体" w:cs="Times New Roman"/>
                      <w:color w:val="auto"/>
                      <w:spacing w:val="-9"/>
                      <w:sz w:val="21"/>
                      <w:szCs w:val="21"/>
                      <w:u w:val="none"/>
                    </w:rPr>
                    <w:t>电网</w:t>
                  </w:r>
                  <w:r>
                    <w:rPr>
                      <w:rFonts w:hint="default" w:ascii="Times New Roman" w:hAnsi="Times New Roman" w:eastAsia="宋体" w:cs="Times New Roman"/>
                      <w:color w:val="auto"/>
                      <w:spacing w:val="-9"/>
                      <w:sz w:val="21"/>
                      <w:szCs w:val="21"/>
                      <w:highlight w:val="none"/>
                      <w:u w:val="none"/>
                      <w:lang w:val="en-US" w:eastAsia="zh-CN"/>
                    </w:rPr>
                    <w:t>供电</w:t>
                  </w:r>
                  <w:r>
                    <w:rPr>
                      <w:rFonts w:hint="eastAsia"/>
                      <w:color w:val="auto"/>
                      <w:lang w:eastAsia="zh-CN"/>
                    </w:rPr>
                    <w:t>，</w:t>
                  </w:r>
                  <w:r>
                    <w:rPr>
                      <w:rFonts w:hint="eastAsia"/>
                      <w:color w:val="auto"/>
                      <w:lang w:val="en-US" w:eastAsia="zh-CN"/>
                    </w:rPr>
                    <w:t>不设置备用柴油发电机</w:t>
                  </w:r>
                </w:p>
              </w:tc>
              <w:tc>
                <w:tcPr>
                  <w:tcW w:w="867" w:type="pct"/>
                  <w:vMerge w:val="continue"/>
                  <w:tcBorders>
                    <w:tl2br w:val="nil"/>
                    <w:tr2bl w:val="nil"/>
                  </w:tcBorders>
                  <w:noWrap w:val="0"/>
                  <w:vAlign w:val="center"/>
                </w:tcPr>
                <w:p w14:paraId="72F1B3B7">
                  <w:pPr>
                    <w:bidi w:val="0"/>
                    <w:jc w:val="both"/>
                    <w:rPr>
                      <w:rFonts w:hint="default" w:ascii="Times New Roman" w:hAnsi="Times New Roman" w:eastAsia="宋体" w:cs="Times New Roman"/>
                      <w:color w:val="auto"/>
                      <w:highlight w:val="none"/>
                      <w:u w:val="none" w:color="auto"/>
                      <w:lang w:val="en-US" w:eastAsia="zh-CN"/>
                    </w:rPr>
                  </w:pPr>
                </w:p>
              </w:tc>
            </w:tr>
            <w:tr w14:paraId="2FB52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96" w:type="pct"/>
                  <w:vMerge w:val="continue"/>
                  <w:tcBorders>
                    <w:tl2br w:val="nil"/>
                    <w:tr2bl w:val="nil"/>
                  </w:tcBorders>
                  <w:noWrap w:val="0"/>
                  <w:vAlign w:val="top"/>
                </w:tcPr>
                <w:p w14:paraId="6C3B4EB6">
                  <w:pPr>
                    <w:bidi w:val="0"/>
                    <w:jc w:val="left"/>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532CA40C">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供水</w:t>
                  </w:r>
                </w:p>
              </w:tc>
              <w:tc>
                <w:tcPr>
                  <w:tcW w:w="2654" w:type="pct"/>
                  <w:tcBorders>
                    <w:tl2br w:val="nil"/>
                    <w:tr2bl w:val="nil"/>
                  </w:tcBorders>
                  <w:noWrap w:val="0"/>
                  <w:vAlign w:val="center"/>
                </w:tcPr>
                <w:p w14:paraId="643B4B50">
                  <w:pPr>
                    <w:bidi w:val="0"/>
                    <w:jc w:val="center"/>
                    <w:rPr>
                      <w:rFonts w:hint="default" w:eastAsia="宋体"/>
                      <w:color w:val="auto"/>
                      <w:highlight w:val="none"/>
                      <w:u w:val="none" w:color="auto"/>
                      <w:lang w:val="en-US" w:eastAsia="zh-CN"/>
                    </w:rPr>
                  </w:pPr>
                  <w:r>
                    <w:rPr>
                      <w:rFonts w:hint="default" w:ascii="Times New Roman" w:hAnsi="Times New Roman" w:eastAsia="宋体" w:cs="Times New Roman"/>
                      <w:color w:val="auto"/>
                      <w:spacing w:val="-12"/>
                      <w:sz w:val="21"/>
                      <w:szCs w:val="21"/>
                      <w:u w:val="none"/>
                    </w:rPr>
                    <w:t>依托</w:t>
                  </w:r>
                  <w:r>
                    <w:rPr>
                      <w:rFonts w:hint="default" w:ascii="Times New Roman" w:hAnsi="Times New Roman" w:eastAsia="宋体" w:cs="Times New Roman"/>
                      <w:color w:val="auto"/>
                      <w:spacing w:val="-12"/>
                      <w:sz w:val="21"/>
                      <w:szCs w:val="21"/>
                      <w:u w:val="none"/>
                      <w:lang w:val="en-US" w:eastAsia="zh-CN"/>
                    </w:rPr>
                    <w:t>市政</w:t>
                  </w:r>
                  <w:r>
                    <w:rPr>
                      <w:rFonts w:hint="default" w:ascii="Times New Roman" w:hAnsi="Times New Roman" w:eastAsia="宋体" w:cs="Times New Roman"/>
                      <w:color w:val="auto"/>
                      <w:spacing w:val="-12"/>
                      <w:sz w:val="21"/>
                      <w:szCs w:val="21"/>
                      <w:u w:val="none"/>
                    </w:rPr>
                    <w:t>供水管网，由岳阳县自来水公司供应</w:t>
                  </w:r>
                </w:p>
              </w:tc>
              <w:tc>
                <w:tcPr>
                  <w:tcW w:w="867" w:type="pct"/>
                  <w:vMerge w:val="continue"/>
                  <w:tcBorders>
                    <w:tl2br w:val="nil"/>
                    <w:tr2bl w:val="nil"/>
                  </w:tcBorders>
                  <w:noWrap w:val="0"/>
                  <w:vAlign w:val="center"/>
                </w:tcPr>
                <w:p w14:paraId="0358C760">
                  <w:pPr>
                    <w:bidi w:val="0"/>
                    <w:jc w:val="both"/>
                    <w:rPr>
                      <w:rFonts w:hint="default" w:ascii="Times New Roman" w:hAnsi="Times New Roman" w:eastAsia="宋体" w:cs="Times New Roman"/>
                      <w:color w:val="auto"/>
                      <w:highlight w:val="none"/>
                      <w:u w:val="none" w:color="auto"/>
                      <w:lang w:val="en-US" w:eastAsia="zh-CN"/>
                    </w:rPr>
                  </w:pPr>
                </w:p>
              </w:tc>
            </w:tr>
            <w:tr w14:paraId="77D07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696" w:type="pct"/>
                  <w:vMerge w:val="restart"/>
                  <w:tcBorders>
                    <w:tl2br w:val="nil"/>
                    <w:tr2bl w:val="nil"/>
                  </w:tcBorders>
                  <w:noWrap w:val="0"/>
                  <w:vAlign w:val="center"/>
                </w:tcPr>
                <w:p w14:paraId="2FA7DB1E">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环保工程</w:t>
                  </w:r>
                </w:p>
              </w:tc>
              <w:tc>
                <w:tcPr>
                  <w:tcW w:w="781" w:type="pct"/>
                  <w:tcBorders>
                    <w:tl2br w:val="nil"/>
                    <w:tr2bl w:val="nil"/>
                  </w:tcBorders>
                  <w:noWrap w:val="0"/>
                  <w:vAlign w:val="center"/>
                </w:tcPr>
                <w:p w14:paraId="6E80C333">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废气治理</w:t>
                  </w:r>
                </w:p>
              </w:tc>
              <w:tc>
                <w:tcPr>
                  <w:tcW w:w="2654" w:type="pct"/>
                  <w:tcBorders>
                    <w:tl2br w:val="nil"/>
                    <w:tr2bl w:val="nil"/>
                  </w:tcBorders>
                  <w:noWrap w:val="0"/>
                  <w:vAlign w:val="center"/>
                </w:tcPr>
                <w:p w14:paraId="7C217B59">
                  <w:pPr>
                    <w:pStyle w:val="50"/>
                    <w:spacing w:before="25" w:line="228" w:lineRule="auto"/>
                    <w:jc w:val="center"/>
                    <w:rPr>
                      <w:rFonts w:hint="default" w:ascii="Times New Roman" w:hAnsi="Times New Roman" w:eastAsia="宋体" w:cs="Times New Roman"/>
                      <w:color w:val="auto"/>
                      <w:kern w:val="2"/>
                      <w:sz w:val="21"/>
                      <w:szCs w:val="24"/>
                      <w:highlight w:val="none"/>
                      <w:u w:val="none"/>
                      <w:lang w:val="en-US" w:eastAsia="zh-CN" w:bidi="ar-SA"/>
                    </w:rPr>
                  </w:pPr>
                  <w:r>
                    <w:rPr>
                      <w:rFonts w:hint="default" w:ascii="Times New Roman" w:hAnsi="Times New Roman" w:eastAsia="宋体" w:cs="Times New Roman"/>
                      <w:color w:val="auto"/>
                      <w:kern w:val="2"/>
                      <w:sz w:val="21"/>
                      <w:szCs w:val="24"/>
                      <w:highlight w:val="none"/>
                      <w:u w:val="none"/>
                      <w:lang w:val="en-US" w:eastAsia="zh-CN" w:bidi="ar-SA"/>
                    </w:rPr>
                    <w:t>本项目</w:t>
                  </w:r>
                  <w:r>
                    <w:rPr>
                      <w:rFonts w:hint="eastAsia" w:ascii="Times New Roman" w:hAnsi="Times New Roman" w:eastAsia="宋体" w:cs="Times New Roman"/>
                      <w:color w:val="auto"/>
                      <w:kern w:val="2"/>
                      <w:sz w:val="21"/>
                      <w:szCs w:val="24"/>
                      <w:highlight w:val="none"/>
                      <w:u w:val="none"/>
                      <w:lang w:val="en-US" w:eastAsia="zh-CN" w:bidi="ar-SA"/>
                    </w:rPr>
                    <w:t>装卸、喂料、筛选、破碎、堆场及运输过程中产生的粉尘采用定期清扫、喷淋洒水抑尘处理后无组织排放；食堂油烟</w:t>
                  </w:r>
                  <w:r>
                    <w:rPr>
                      <w:rFonts w:hint="eastAsia" w:ascii="Times New Roman" w:hAnsi="Times New Roman" w:cs="Times New Roman"/>
                      <w:color w:val="auto"/>
                      <w:kern w:val="2"/>
                      <w:sz w:val="21"/>
                      <w:szCs w:val="24"/>
                      <w:highlight w:val="none"/>
                      <w:u w:val="none"/>
                      <w:lang w:val="en-US" w:eastAsia="zh-CN" w:bidi="ar-SA"/>
                    </w:rPr>
                    <w:t>通过</w:t>
                  </w:r>
                  <w:r>
                    <w:rPr>
                      <w:bCs/>
                      <w:color w:val="auto"/>
                      <w:spacing w:val="-10"/>
                      <w:sz w:val="21"/>
                      <w:szCs w:val="21"/>
                      <w:highlight w:val="none"/>
                      <w:u w:val="none" w:color="auto"/>
                    </w:rPr>
                    <w:t>抽油烟机收集后由管</w:t>
                  </w:r>
                  <w:r>
                    <w:rPr>
                      <w:rFonts w:hint="eastAsia"/>
                      <w:bCs/>
                      <w:color w:val="auto"/>
                      <w:spacing w:val="-10"/>
                      <w:sz w:val="21"/>
                      <w:szCs w:val="21"/>
                      <w:highlight w:val="none"/>
                      <w:u w:val="none" w:color="auto"/>
                      <w:lang w:val="en-US" w:eastAsia="zh-CN"/>
                    </w:rPr>
                    <w:t>道</w:t>
                  </w:r>
                  <w:r>
                    <w:rPr>
                      <w:bCs/>
                      <w:color w:val="auto"/>
                      <w:spacing w:val="-10"/>
                      <w:sz w:val="21"/>
                      <w:szCs w:val="21"/>
                      <w:highlight w:val="none"/>
                      <w:u w:val="none" w:color="auto"/>
                    </w:rPr>
                    <w:t>引至屋外排放</w:t>
                  </w:r>
                </w:p>
              </w:tc>
              <w:tc>
                <w:tcPr>
                  <w:tcW w:w="867" w:type="pct"/>
                  <w:tcBorders>
                    <w:tl2br w:val="nil"/>
                    <w:tr2bl w:val="nil"/>
                  </w:tcBorders>
                  <w:noWrap w:val="0"/>
                  <w:vAlign w:val="center"/>
                </w:tcPr>
                <w:p w14:paraId="310D1DBA">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A5F1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96" w:type="pct"/>
                  <w:vMerge w:val="continue"/>
                  <w:tcBorders>
                    <w:tl2br w:val="nil"/>
                    <w:tr2bl w:val="nil"/>
                  </w:tcBorders>
                  <w:noWrap w:val="0"/>
                  <w:vAlign w:val="top"/>
                </w:tcPr>
                <w:p w14:paraId="6F6C7B03">
                  <w:pPr>
                    <w:bidi w:val="0"/>
                    <w:jc w:val="center"/>
                    <w:rPr>
                      <w:rFonts w:hint="default" w:ascii="Times New Roman" w:hAnsi="Times New Roman" w:cs="Times New Roman"/>
                      <w:color w:val="auto"/>
                      <w:highlight w:val="none"/>
                      <w:u w:val="none" w:color="auto"/>
                      <w:lang w:val="en-US" w:eastAsia="zh-CN"/>
                    </w:rPr>
                  </w:pPr>
                </w:p>
              </w:tc>
              <w:tc>
                <w:tcPr>
                  <w:tcW w:w="781" w:type="pct"/>
                  <w:vMerge w:val="restart"/>
                  <w:tcBorders>
                    <w:tl2br w:val="nil"/>
                    <w:tr2bl w:val="nil"/>
                  </w:tcBorders>
                  <w:noWrap w:val="0"/>
                  <w:vAlign w:val="center"/>
                </w:tcPr>
                <w:p w14:paraId="26BC9765">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废水治理</w:t>
                  </w:r>
                </w:p>
              </w:tc>
              <w:tc>
                <w:tcPr>
                  <w:tcW w:w="2654" w:type="pct"/>
                  <w:tcBorders>
                    <w:tl2br w:val="nil"/>
                    <w:tr2bl w:val="nil"/>
                  </w:tcBorders>
                  <w:noWrap w:val="0"/>
                  <w:vAlign w:val="center"/>
                </w:tcPr>
                <w:p w14:paraId="43E1133A">
                  <w:pPr>
                    <w:bidi w:val="0"/>
                    <w:jc w:val="center"/>
                    <w:rPr>
                      <w:rFonts w:hint="default" w:ascii="Times New Roman" w:hAnsi="Times New Roman" w:eastAsia="宋体" w:cs="Times New Roman"/>
                      <w:color w:val="auto"/>
                      <w:kern w:val="2"/>
                      <w:sz w:val="21"/>
                      <w:szCs w:val="24"/>
                      <w:highlight w:val="none"/>
                      <w:u w:val="none"/>
                      <w:lang w:val="en-US" w:eastAsia="zh-CN" w:bidi="ar-SA"/>
                    </w:rPr>
                  </w:pPr>
                  <w:r>
                    <w:rPr>
                      <w:rFonts w:hint="default" w:ascii="Times New Roman" w:hAnsi="Times New Roman" w:eastAsia="宋体" w:cs="Times New Roman"/>
                      <w:color w:val="auto"/>
                      <w:kern w:val="2"/>
                      <w:sz w:val="21"/>
                      <w:szCs w:val="24"/>
                      <w:highlight w:val="none"/>
                      <w:u w:val="none"/>
                      <w:lang w:val="en-US" w:eastAsia="zh-CN" w:bidi="ar-SA"/>
                    </w:rPr>
                    <w:t>项目实行雨污分流制。设雨水导流沟，</w:t>
                  </w:r>
                  <w:r>
                    <w:rPr>
                      <w:rFonts w:hint="eastAsia" w:ascii="Times New Roman" w:hAnsi="Times New Roman" w:eastAsia="宋体" w:cs="Times New Roman"/>
                      <w:color w:val="auto"/>
                      <w:kern w:val="2"/>
                      <w:sz w:val="21"/>
                      <w:szCs w:val="24"/>
                      <w:highlight w:val="none"/>
                      <w:u w:val="none"/>
                      <w:lang w:val="en-US" w:eastAsia="zh-CN" w:bidi="ar-SA"/>
                    </w:rPr>
                    <w:t>初期</w:t>
                  </w:r>
                  <w:r>
                    <w:rPr>
                      <w:rFonts w:hint="default" w:ascii="Times New Roman" w:hAnsi="Times New Roman" w:eastAsia="宋体" w:cs="Times New Roman"/>
                      <w:color w:val="auto"/>
                      <w:kern w:val="2"/>
                      <w:sz w:val="21"/>
                      <w:szCs w:val="24"/>
                      <w:highlight w:val="none"/>
                      <w:u w:val="none"/>
                      <w:lang w:val="en-US" w:eastAsia="zh-CN" w:bidi="ar-SA"/>
                    </w:rPr>
                    <w:t>雨水</w:t>
                  </w:r>
                  <w:r>
                    <w:rPr>
                      <w:rFonts w:hint="eastAsia" w:ascii="Times New Roman" w:hAnsi="Times New Roman" w:eastAsia="宋体" w:cs="Times New Roman"/>
                      <w:color w:val="auto"/>
                      <w:kern w:val="2"/>
                      <w:sz w:val="21"/>
                      <w:szCs w:val="24"/>
                      <w:highlight w:val="none"/>
                      <w:u w:val="none"/>
                      <w:lang w:val="en-US" w:eastAsia="zh-CN" w:bidi="ar-SA"/>
                    </w:rPr>
                    <w:t>通过管道入污水处理系统处理后回用于生产，</w:t>
                  </w:r>
                  <w:r>
                    <w:rPr>
                      <w:rFonts w:hint="default" w:ascii="Times New Roman" w:hAnsi="Times New Roman" w:eastAsia="宋体" w:cs="Times New Roman"/>
                      <w:color w:val="auto"/>
                      <w:kern w:val="2"/>
                      <w:sz w:val="21"/>
                      <w:szCs w:val="24"/>
                      <w:highlight w:val="none"/>
                      <w:u w:val="none"/>
                      <w:lang w:val="en-US" w:eastAsia="zh-CN" w:bidi="ar-SA"/>
                    </w:rPr>
                    <w:t>后期雨水进入</w:t>
                  </w:r>
                  <w:r>
                    <w:rPr>
                      <w:rFonts w:hint="eastAsia" w:ascii="Times New Roman" w:hAnsi="Times New Roman" w:eastAsia="宋体" w:cs="Times New Roman"/>
                      <w:color w:val="auto"/>
                      <w:kern w:val="2"/>
                      <w:sz w:val="21"/>
                      <w:szCs w:val="24"/>
                      <w:highlight w:val="none"/>
                      <w:u w:val="none"/>
                      <w:lang w:val="en-US" w:eastAsia="zh-CN" w:bidi="ar-SA"/>
                    </w:rPr>
                    <w:t>南侧兴荣东路</w:t>
                  </w:r>
                  <w:r>
                    <w:rPr>
                      <w:rFonts w:hint="default" w:ascii="Times New Roman" w:hAnsi="Times New Roman" w:eastAsia="宋体" w:cs="Times New Roman"/>
                      <w:color w:val="auto"/>
                      <w:kern w:val="2"/>
                      <w:sz w:val="21"/>
                      <w:szCs w:val="24"/>
                      <w:highlight w:val="none"/>
                      <w:u w:val="none"/>
                      <w:lang w:val="en-US" w:eastAsia="zh-CN" w:bidi="ar-SA"/>
                    </w:rPr>
                    <w:t>雨水沟</w:t>
                  </w:r>
                </w:p>
              </w:tc>
              <w:tc>
                <w:tcPr>
                  <w:tcW w:w="867" w:type="pct"/>
                  <w:tcBorders>
                    <w:tl2br w:val="nil"/>
                    <w:tr2bl w:val="nil"/>
                  </w:tcBorders>
                  <w:noWrap w:val="0"/>
                  <w:vAlign w:val="center"/>
                </w:tcPr>
                <w:p w14:paraId="43138062">
                  <w:pPr>
                    <w:bidi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highlight w:val="none"/>
                      <w:u w:val="none" w:color="auto"/>
                      <w:lang w:val="en-US" w:eastAsia="zh-CN"/>
                    </w:rPr>
                    <w:t>新建</w:t>
                  </w:r>
                </w:p>
              </w:tc>
            </w:tr>
            <w:tr w14:paraId="70021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6" w:type="pct"/>
                  <w:vMerge w:val="continue"/>
                  <w:tcBorders>
                    <w:tl2br w:val="nil"/>
                    <w:tr2bl w:val="nil"/>
                  </w:tcBorders>
                  <w:noWrap w:val="0"/>
                  <w:vAlign w:val="top"/>
                </w:tcPr>
                <w:p w14:paraId="48A24517">
                  <w:pPr>
                    <w:bidi w:val="0"/>
                    <w:jc w:val="center"/>
                    <w:rPr>
                      <w:color w:val="auto"/>
                      <w:highlight w:val="none"/>
                    </w:rPr>
                  </w:pPr>
                </w:p>
              </w:tc>
              <w:tc>
                <w:tcPr>
                  <w:tcW w:w="781" w:type="pct"/>
                  <w:vMerge w:val="continue"/>
                  <w:tcBorders>
                    <w:tl2br w:val="nil"/>
                    <w:tr2bl w:val="nil"/>
                  </w:tcBorders>
                  <w:noWrap w:val="0"/>
                  <w:vAlign w:val="center"/>
                </w:tcPr>
                <w:p w14:paraId="2402CE94">
                  <w:pPr>
                    <w:bidi w:val="0"/>
                    <w:jc w:val="center"/>
                    <w:rPr>
                      <w:color w:val="auto"/>
                      <w:highlight w:val="none"/>
                    </w:rPr>
                  </w:pPr>
                </w:p>
              </w:tc>
              <w:tc>
                <w:tcPr>
                  <w:tcW w:w="2654" w:type="pct"/>
                  <w:tcBorders>
                    <w:tl2br w:val="nil"/>
                    <w:tr2bl w:val="nil"/>
                  </w:tcBorders>
                  <w:noWrap w:val="0"/>
                  <w:vAlign w:val="center"/>
                </w:tcPr>
                <w:p w14:paraId="3C0088DC">
                  <w:pPr>
                    <w:bidi w:val="0"/>
                    <w:jc w:val="center"/>
                    <w:rPr>
                      <w:rFonts w:hint="default" w:ascii="Times New Roman" w:hAnsi="Times New Roman" w:cs="Times New Roman"/>
                      <w:color w:val="auto"/>
                      <w:kern w:val="0"/>
                      <w:sz w:val="21"/>
                      <w:szCs w:val="21"/>
                      <w:highlight w:val="none"/>
                      <w:u w:val="none" w:color="auto"/>
                      <w:vertAlign w:val="baseline"/>
                      <w:lang w:val="en-US" w:eastAsia="zh-CN"/>
                    </w:rPr>
                  </w:pPr>
                  <w:r>
                    <w:rPr>
                      <w:rFonts w:hint="default" w:ascii="Times New Roman" w:hAnsi="Times New Roman" w:cs="Times New Roman"/>
                      <w:color w:val="auto"/>
                      <w:kern w:val="0"/>
                      <w:sz w:val="21"/>
                      <w:szCs w:val="21"/>
                      <w:highlight w:val="none"/>
                      <w:u w:val="none" w:color="auto"/>
                      <w:vertAlign w:val="baseline"/>
                      <w:lang w:eastAsia="zh-CN"/>
                    </w:rPr>
                    <w:t>项目废水</w:t>
                  </w:r>
                  <w:r>
                    <w:rPr>
                      <w:rFonts w:hint="default" w:ascii="Times New Roman" w:hAnsi="Times New Roman" w:cs="Times New Roman"/>
                      <w:color w:val="auto"/>
                      <w:kern w:val="0"/>
                      <w:sz w:val="21"/>
                      <w:szCs w:val="21"/>
                      <w:highlight w:val="none"/>
                      <w:u w:val="none" w:color="auto"/>
                      <w:vertAlign w:val="baseline"/>
                      <w:lang w:val="en-US" w:eastAsia="zh-CN"/>
                    </w:rPr>
                    <w:t>主要为生活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default" w:ascii="Times New Roman" w:hAnsi="Times New Roman" w:cs="Times New Roman"/>
                      <w:color w:val="auto"/>
                      <w:kern w:val="0"/>
                      <w:sz w:val="21"/>
                      <w:szCs w:val="21"/>
                      <w:highlight w:val="none"/>
                      <w:u w:val="none" w:color="auto"/>
                      <w:vertAlign w:val="baseline"/>
                      <w:lang w:val="en-US" w:eastAsia="zh-CN"/>
                    </w:rPr>
                    <w:t>，生活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eastAsia" w:cs="Times New Roman"/>
                      <w:color w:val="auto"/>
                      <w:kern w:val="0"/>
                      <w:sz w:val="21"/>
                      <w:szCs w:val="21"/>
                      <w:highlight w:val="none"/>
                      <w:u w:val="none" w:color="auto"/>
                      <w:vertAlign w:val="baseline"/>
                      <w:lang w:val="en-US" w:eastAsia="zh-CN"/>
                    </w:rPr>
                    <w:t>经化粪池预处理后用作农肥；生产废水经自建污水处理站（絮凝沉淀）处理后不外排，回用于生产，</w:t>
                  </w:r>
                  <w:r>
                    <w:rPr>
                      <w:rFonts w:hint="eastAsia" w:cs="Times New Roman"/>
                      <w:color w:val="auto"/>
                      <w:highlight w:val="none"/>
                      <w:u w:val="none"/>
                      <w:lang w:eastAsia="zh-CN"/>
                    </w:rPr>
                    <w:t>设置</w:t>
                  </w:r>
                  <w:r>
                    <w:rPr>
                      <w:rFonts w:hint="eastAsia" w:cs="Times New Roman"/>
                      <w:color w:val="auto"/>
                      <w:highlight w:val="none"/>
                      <w:u w:val="none"/>
                      <w:lang w:val="en-US" w:eastAsia="zh-CN"/>
                    </w:rPr>
                    <w:t>絮凝罐（200</w:t>
                  </w:r>
                  <w:r>
                    <w:rPr>
                      <w:rFonts w:hint="eastAsia" w:ascii="Times New Roman" w:hAnsi="Times New Roman" w:cs="Times New Roman"/>
                      <w:color w:val="auto"/>
                      <w:kern w:val="0"/>
                      <w:sz w:val="21"/>
                      <w:szCs w:val="21"/>
                      <w:highlight w:val="none"/>
                      <w:u w:val="none" w:color="auto"/>
                      <w:vertAlign w:val="baseline"/>
                      <w:lang w:val="en-US" w:eastAsia="zh-CN"/>
                    </w:rPr>
                    <w:t>m</w:t>
                  </w:r>
                  <w:r>
                    <w:rPr>
                      <w:rFonts w:hint="eastAsia" w:ascii="Times New Roman" w:hAnsi="Times New Roman" w:cs="Times New Roman"/>
                      <w:color w:val="auto"/>
                      <w:kern w:val="0"/>
                      <w:sz w:val="21"/>
                      <w:szCs w:val="21"/>
                      <w:highlight w:val="none"/>
                      <w:u w:val="none" w:color="auto"/>
                      <w:vertAlign w:val="superscript"/>
                      <w:lang w:val="en-US" w:eastAsia="zh-CN"/>
                    </w:rPr>
                    <w:t>3</w:t>
                  </w:r>
                  <w:r>
                    <w:rPr>
                      <w:rFonts w:hint="eastAsia" w:ascii="Times New Roman" w:hAnsi="Times New Roman" w:cs="Times New Roman"/>
                      <w:color w:val="auto"/>
                      <w:kern w:val="0"/>
                      <w:sz w:val="21"/>
                      <w:szCs w:val="21"/>
                      <w:highlight w:val="none"/>
                      <w:u w:val="none" w:color="auto"/>
                      <w:vertAlign w:val="baseline"/>
                      <w:lang w:val="en-US" w:eastAsia="zh-CN"/>
                    </w:rPr>
                    <w:t>）+</w:t>
                  </w:r>
                  <w:r>
                    <w:rPr>
                      <w:rFonts w:hint="eastAsia" w:cs="Times New Roman"/>
                      <w:color w:val="auto"/>
                      <w:highlight w:val="none"/>
                      <w:u w:val="none"/>
                      <w:lang w:eastAsia="zh-CN"/>
                    </w:rPr>
                    <w:t>循环水池</w:t>
                  </w:r>
                  <w:r>
                    <w:rPr>
                      <w:rFonts w:hint="eastAsia" w:ascii="Times New Roman" w:hAnsi="Times New Roman" w:cs="Times New Roman"/>
                      <w:color w:val="auto"/>
                      <w:kern w:val="0"/>
                      <w:sz w:val="21"/>
                      <w:szCs w:val="21"/>
                      <w:highlight w:val="none"/>
                      <w:u w:val="none" w:color="auto"/>
                      <w:vertAlign w:val="baseline"/>
                      <w:lang w:val="en-US" w:eastAsia="zh-CN"/>
                    </w:rPr>
                    <w:t>容积约</w:t>
                  </w:r>
                  <w:r>
                    <w:rPr>
                      <w:rFonts w:hint="eastAsia" w:cs="Times New Roman"/>
                      <w:color w:val="auto"/>
                      <w:kern w:val="0"/>
                      <w:sz w:val="21"/>
                      <w:szCs w:val="21"/>
                      <w:highlight w:val="none"/>
                      <w:u w:val="none" w:color="auto"/>
                      <w:vertAlign w:val="baseline"/>
                      <w:lang w:val="en-US" w:eastAsia="zh-CN"/>
                    </w:rPr>
                    <w:t>（1000</w:t>
                  </w:r>
                  <w:r>
                    <w:rPr>
                      <w:rFonts w:hint="eastAsia" w:ascii="Times New Roman" w:hAnsi="Times New Roman" w:cs="Times New Roman"/>
                      <w:color w:val="auto"/>
                      <w:kern w:val="0"/>
                      <w:sz w:val="21"/>
                      <w:szCs w:val="21"/>
                      <w:highlight w:val="none"/>
                      <w:u w:val="none" w:color="auto"/>
                      <w:vertAlign w:val="baseline"/>
                      <w:lang w:val="en-US" w:eastAsia="zh-CN"/>
                    </w:rPr>
                    <w:t>m</w:t>
                  </w:r>
                  <w:r>
                    <w:rPr>
                      <w:rFonts w:hint="eastAsia" w:ascii="Times New Roman" w:hAnsi="Times New Roman" w:cs="Times New Roman"/>
                      <w:color w:val="auto"/>
                      <w:kern w:val="0"/>
                      <w:sz w:val="21"/>
                      <w:szCs w:val="21"/>
                      <w:highlight w:val="none"/>
                      <w:u w:val="none" w:color="auto"/>
                      <w:vertAlign w:val="superscript"/>
                      <w:lang w:val="en-US" w:eastAsia="zh-CN"/>
                    </w:rPr>
                    <w:t>3</w:t>
                  </w:r>
                  <w:r>
                    <w:rPr>
                      <w:rFonts w:hint="eastAsia" w:cs="Times New Roman"/>
                      <w:color w:val="auto"/>
                      <w:kern w:val="0"/>
                      <w:sz w:val="21"/>
                      <w:szCs w:val="21"/>
                      <w:highlight w:val="none"/>
                      <w:u w:val="none" w:color="auto"/>
                      <w:vertAlign w:val="baseline"/>
                      <w:lang w:val="en-US" w:eastAsia="zh-CN"/>
                    </w:rPr>
                    <w:t>）</w:t>
                  </w:r>
                </w:p>
              </w:tc>
              <w:tc>
                <w:tcPr>
                  <w:tcW w:w="867" w:type="pct"/>
                  <w:tcBorders>
                    <w:tl2br w:val="nil"/>
                    <w:tr2bl w:val="nil"/>
                  </w:tcBorders>
                  <w:noWrap w:val="0"/>
                  <w:vAlign w:val="center"/>
                </w:tcPr>
                <w:p w14:paraId="4EC76EF2">
                  <w:pPr>
                    <w:bidi w:val="0"/>
                    <w:jc w:val="center"/>
                    <w:rPr>
                      <w:rFonts w:hint="default" w:ascii="Times New Roman" w:hAnsi="Times New Roman" w:cs="Times New Roman"/>
                      <w:color w:val="auto"/>
                      <w:kern w:val="0"/>
                      <w:sz w:val="21"/>
                      <w:szCs w:val="21"/>
                      <w:highlight w:val="none"/>
                      <w:u w:val="none" w:color="auto"/>
                      <w:vertAlign w:val="baseline"/>
                      <w:lang w:eastAsia="zh-CN"/>
                    </w:rPr>
                  </w:pPr>
                  <w:r>
                    <w:rPr>
                      <w:rFonts w:hint="eastAsia" w:cs="Times New Roman"/>
                      <w:color w:val="auto"/>
                      <w:highlight w:val="none"/>
                      <w:u w:val="none" w:color="auto"/>
                      <w:lang w:val="en-US" w:eastAsia="zh-CN"/>
                    </w:rPr>
                    <w:t>新建</w:t>
                  </w:r>
                </w:p>
              </w:tc>
            </w:tr>
            <w:tr w14:paraId="72C81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6" w:type="pct"/>
                  <w:vMerge w:val="continue"/>
                  <w:tcBorders>
                    <w:tl2br w:val="nil"/>
                    <w:tr2bl w:val="nil"/>
                  </w:tcBorders>
                  <w:noWrap w:val="0"/>
                  <w:vAlign w:val="top"/>
                </w:tcPr>
                <w:p w14:paraId="34BB9BD6">
                  <w:pPr>
                    <w:bidi w:val="0"/>
                    <w:jc w:val="center"/>
                    <w:rPr>
                      <w:color w:val="auto"/>
                      <w:highlight w:val="none"/>
                    </w:rPr>
                  </w:pPr>
                </w:p>
              </w:tc>
              <w:tc>
                <w:tcPr>
                  <w:tcW w:w="781" w:type="pct"/>
                  <w:vMerge w:val="continue"/>
                  <w:tcBorders>
                    <w:tl2br w:val="nil"/>
                    <w:tr2bl w:val="nil"/>
                  </w:tcBorders>
                  <w:noWrap w:val="0"/>
                  <w:vAlign w:val="center"/>
                </w:tcPr>
                <w:p w14:paraId="2EE28861">
                  <w:pPr>
                    <w:bidi w:val="0"/>
                    <w:jc w:val="center"/>
                    <w:rPr>
                      <w:color w:val="auto"/>
                      <w:highlight w:val="none"/>
                    </w:rPr>
                  </w:pPr>
                </w:p>
              </w:tc>
              <w:tc>
                <w:tcPr>
                  <w:tcW w:w="4150" w:type="dxa"/>
                  <w:tcBorders>
                    <w:tl2br w:val="nil"/>
                    <w:tr2bl w:val="nil"/>
                  </w:tcBorders>
                  <w:noWrap w:val="0"/>
                  <w:vAlign w:val="center"/>
                </w:tcPr>
                <w:p w14:paraId="1496758E">
                  <w:pPr>
                    <w:bidi w:val="0"/>
                    <w:jc w:val="center"/>
                    <w:rPr>
                      <w:rFonts w:hint="default" w:ascii="Times New Roman" w:hAnsi="Times New Roman" w:cs="Times New Roman"/>
                      <w:color w:val="auto"/>
                      <w:kern w:val="0"/>
                      <w:sz w:val="21"/>
                      <w:szCs w:val="21"/>
                      <w:highlight w:val="none"/>
                      <w:u w:val="none" w:color="auto"/>
                      <w:vertAlign w:val="baseline"/>
                      <w:lang w:eastAsia="zh-CN"/>
                    </w:rPr>
                  </w:pPr>
                  <w:r>
                    <w:rPr>
                      <w:rFonts w:hint="default" w:ascii="Times New Roman" w:hAnsi="Times New Roman" w:cs="Times New Roman"/>
                      <w:color w:val="auto"/>
                      <w:szCs w:val="21"/>
                      <w:u w:val="none"/>
                    </w:rPr>
                    <w:t>设容积约1</w:t>
                  </w:r>
                  <w:r>
                    <w:rPr>
                      <w:rFonts w:hint="default" w:ascii="Times New Roman" w:hAnsi="Times New Roman" w:cs="Times New Roman"/>
                      <w:color w:val="auto"/>
                      <w:szCs w:val="21"/>
                      <w:u w:val="none"/>
                      <w:lang w:val="en-US" w:eastAsia="zh-CN"/>
                    </w:rPr>
                    <w:t>5</w:t>
                  </w:r>
                  <w:r>
                    <w:rPr>
                      <w:rFonts w:hint="default" w:ascii="Times New Roman" w:hAnsi="Times New Roman" w:cs="Times New Roman"/>
                      <w:color w:val="auto"/>
                      <w:szCs w:val="21"/>
                      <w:u w:val="none"/>
                    </w:rPr>
                    <w:t>m</w:t>
                  </w:r>
                  <w:r>
                    <w:rPr>
                      <w:rFonts w:hint="default" w:ascii="Times New Roman" w:hAnsi="Times New Roman" w:cs="Times New Roman"/>
                      <w:color w:val="auto"/>
                      <w:szCs w:val="21"/>
                      <w:u w:val="none"/>
                      <w:vertAlign w:val="superscript"/>
                    </w:rPr>
                    <w:t>3</w:t>
                  </w:r>
                  <w:r>
                    <w:rPr>
                      <w:rFonts w:hint="default" w:ascii="Times New Roman" w:hAnsi="Times New Roman" w:cs="Times New Roman"/>
                      <w:color w:val="auto"/>
                      <w:szCs w:val="21"/>
                      <w:u w:val="none"/>
                    </w:rPr>
                    <w:t>洗车槽，场地清洗废水、洗车废水一同利用</w:t>
                  </w:r>
                  <w:r>
                    <w:rPr>
                      <w:rFonts w:hint="eastAsia" w:ascii="Times New Roman" w:hAnsi="Times New Roman" w:cs="Times New Roman"/>
                      <w:color w:val="auto"/>
                      <w:szCs w:val="21"/>
                      <w:u w:val="none"/>
                      <w:lang w:eastAsia="zh-CN"/>
                    </w:rPr>
                    <w:t>洗车槽沉淀处理</w:t>
                  </w:r>
                </w:p>
              </w:tc>
              <w:tc>
                <w:tcPr>
                  <w:tcW w:w="1357" w:type="dxa"/>
                  <w:tcBorders>
                    <w:tl2br w:val="nil"/>
                    <w:tr2bl w:val="nil"/>
                  </w:tcBorders>
                  <w:noWrap w:val="0"/>
                  <w:vAlign w:val="center"/>
                </w:tcPr>
                <w:p w14:paraId="1D93D3EC">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5D87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696" w:type="pct"/>
                  <w:vMerge w:val="continue"/>
                  <w:tcBorders>
                    <w:tl2br w:val="nil"/>
                    <w:tr2bl w:val="nil"/>
                  </w:tcBorders>
                  <w:noWrap w:val="0"/>
                  <w:vAlign w:val="top"/>
                </w:tcPr>
                <w:p w14:paraId="1F7FCC56">
                  <w:pPr>
                    <w:bidi w:val="0"/>
                    <w:jc w:val="center"/>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41B27E0D">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噪声治理</w:t>
                  </w:r>
                </w:p>
              </w:tc>
              <w:tc>
                <w:tcPr>
                  <w:tcW w:w="2654" w:type="pct"/>
                  <w:tcBorders>
                    <w:tl2br w:val="nil"/>
                    <w:tr2bl w:val="nil"/>
                  </w:tcBorders>
                  <w:noWrap w:val="0"/>
                  <w:vAlign w:val="center"/>
                </w:tcPr>
                <w:p w14:paraId="7ED114E7">
                  <w:pPr>
                    <w:bidi w:val="0"/>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隔声、减震、降噪</w:t>
                  </w:r>
                </w:p>
              </w:tc>
              <w:tc>
                <w:tcPr>
                  <w:tcW w:w="867" w:type="pct"/>
                  <w:tcBorders>
                    <w:tl2br w:val="nil"/>
                    <w:tr2bl w:val="nil"/>
                  </w:tcBorders>
                  <w:noWrap w:val="0"/>
                  <w:vAlign w:val="center"/>
                </w:tcPr>
                <w:p w14:paraId="5F0BAC1F">
                  <w:pPr>
                    <w:bidi w:val="0"/>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color w:val="auto"/>
                      <w:highlight w:val="none"/>
                      <w:u w:val="none" w:color="auto"/>
                      <w:lang w:val="en-US" w:eastAsia="zh-CN"/>
                    </w:rPr>
                    <w:t>新建</w:t>
                  </w:r>
                </w:p>
              </w:tc>
            </w:tr>
            <w:tr w14:paraId="46231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696" w:type="pct"/>
                  <w:vMerge w:val="continue"/>
                  <w:tcBorders>
                    <w:tl2br w:val="nil"/>
                    <w:tr2bl w:val="nil"/>
                  </w:tcBorders>
                  <w:noWrap w:val="0"/>
                  <w:vAlign w:val="top"/>
                </w:tcPr>
                <w:p w14:paraId="3328D7A4">
                  <w:pPr>
                    <w:bidi w:val="0"/>
                    <w:jc w:val="center"/>
                    <w:rPr>
                      <w:rFonts w:hint="default" w:ascii="Times New Roman" w:hAnsi="Times New Roman" w:cs="Times New Roman"/>
                      <w:color w:val="auto"/>
                      <w:highlight w:val="none"/>
                      <w:u w:val="none" w:color="auto"/>
                      <w:lang w:val="en-US" w:eastAsia="zh-CN"/>
                    </w:rPr>
                  </w:pPr>
                </w:p>
              </w:tc>
              <w:tc>
                <w:tcPr>
                  <w:tcW w:w="781" w:type="pct"/>
                  <w:vMerge w:val="restart"/>
                  <w:tcBorders>
                    <w:tl2br w:val="nil"/>
                    <w:tr2bl w:val="nil"/>
                  </w:tcBorders>
                  <w:noWrap w:val="0"/>
                  <w:vAlign w:val="center"/>
                </w:tcPr>
                <w:p w14:paraId="015875B4">
                  <w:pPr>
                    <w:pStyle w:val="50"/>
                    <w:spacing w:before="39" w:line="228" w:lineRule="auto"/>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2"/>
                      <w:sz w:val="21"/>
                      <w:szCs w:val="24"/>
                      <w:highlight w:val="none"/>
                      <w:u w:val="none" w:color="auto"/>
                      <w:lang w:val="en-US" w:eastAsia="zh-CN" w:bidi="ar-SA"/>
                    </w:rPr>
                    <w:t>固废治理</w:t>
                  </w:r>
                </w:p>
              </w:tc>
              <w:tc>
                <w:tcPr>
                  <w:tcW w:w="2654" w:type="pct"/>
                  <w:tcBorders>
                    <w:tl2br w:val="nil"/>
                    <w:tr2bl w:val="nil"/>
                  </w:tcBorders>
                  <w:noWrap w:val="0"/>
                  <w:vAlign w:val="top"/>
                </w:tcPr>
                <w:p w14:paraId="45228CB2">
                  <w:pPr>
                    <w:pStyle w:val="50"/>
                    <w:spacing w:before="38" w:line="211" w:lineRule="auto"/>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t>生活垃圾分类收集，由环卫部门统一清运；</w:t>
                  </w:r>
                </w:p>
              </w:tc>
              <w:tc>
                <w:tcPr>
                  <w:tcW w:w="867" w:type="pct"/>
                  <w:tcBorders>
                    <w:tl2br w:val="nil"/>
                    <w:tr2bl w:val="nil"/>
                  </w:tcBorders>
                  <w:noWrap w:val="0"/>
                  <w:vAlign w:val="center"/>
                </w:tcPr>
                <w:p w14:paraId="2EF1781C">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E41C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6" w:type="pct"/>
                  <w:vMerge w:val="continue"/>
                  <w:noWrap w:val="0"/>
                  <w:vAlign w:val="top"/>
                </w:tcPr>
                <w:p w14:paraId="19F5E6B7">
                  <w:pPr>
                    <w:bidi w:val="0"/>
                    <w:jc w:val="center"/>
                    <w:rPr>
                      <w:rFonts w:hint="default" w:ascii="Times New Roman" w:hAnsi="Times New Roman" w:cs="Times New Roman"/>
                      <w:color w:val="auto"/>
                      <w:highlight w:val="none"/>
                      <w:u w:val="none" w:color="auto"/>
                      <w:lang w:val="en-US" w:eastAsia="zh-CN"/>
                    </w:rPr>
                  </w:pPr>
                </w:p>
              </w:tc>
              <w:tc>
                <w:tcPr>
                  <w:tcW w:w="781" w:type="pct"/>
                  <w:vMerge w:val="continue"/>
                  <w:noWrap w:val="0"/>
                  <w:vAlign w:val="top"/>
                </w:tcPr>
                <w:p w14:paraId="4628B612">
                  <w:pPr>
                    <w:bidi w:val="0"/>
                    <w:jc w:val="center"/>
                    <w:rPr>
                      <w:rFonts w:hint="default" w:ascii="Times New Roman" w:hAnsi="Times New Roman" w:cs="Times New Roman"/>
                      <w:color w:val="auto"/>
                      <w:highlight w:val="none"/>
                      <w:u w:val="none" w:color="auto"/>
                    </w:rPr>
                  </w:pPr>
                </w:p>
              </w:tc>
              <w:tc>
                <w:tcPr>
                  <w:tcW w:w="2654" w:type="pct"/>
                  <w:noWrap w:val="0"/>
                  <w:vAlign w:val="top"/>
                </w:tcPr>
                <w:p w14:paraId="38FD8C7A">
                  <w:pPr>
                    <w:pStyle w:val="7"/>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cs="Times New Roman"/>
                      <w:color w:val="auto"/>
                      <w:sz w:val="21"/>
                      <w:szCs w:val="21"/>
                      <w:highlight w:val="none"/>
                      <w:u w:val="none" w:color="auto"/>
                      <w:lang w:val="en-US" w:eastAsia="zh-CN"/>
                    </w:rPr>
                    <w:t>一般工业固废暂存间位于</w:t>
                  </w:r>
                  <w:r>
                    <w:rPr>
                      <w:rFonts w:hint="eastAsia" w:cs="Times New Roman"/>
                      <w:color w:val="auto"/>
                      <w:sz w:val="21"/>
                      <w:szCs w:val="21"/>
                      <w:highlight w:val="none"/>
                      <w:u w:val="none" w:color="auto"/>
                      <w:lang w:val="en-US" w:eastAsia="zh-CN"/>
                    </w:rPr>
                    <w:t>厂区东南侧</w:t>
                  </w:r>
                  <w:r>
                    <w:rPr>
                      <w:rFonts w:hint="default" w:ascii="Times New Roman" w:hAnsi="Times New Roman" w:cs="Times New Roman"/>
                      <w:color w:val="auto"/>
                      <w:sz w:val="21"/>
                      <w:szCs w:val="21"/>
                      <w:highlight w:val="none"/>
                      <w:u w:val="none" w:color="auto"/>
                      <w:lang w:val="en-US" w:eastAsia="zh-CN"/>
                    </w:rPr>
                    <w:t>，面积为</w:t>
                  </w:r>
                  <w:r>
                    <w:rPr>
                      <w:rFonts w:hint="eastAsia" w:ascii="Times New Roman" w:hAnsi="Times New Roman"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c>
                <w:tcPr>
                  <w:tcW w:w="867" w:type="pct"/>
                  <w:noWrap w:val="0"/>
                  <w:vAlign w:val="center"/>
                </w:tcPr>
                <w:p w14:paraId="45CB0FB4">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AE31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6" w:type="pct"/>
                  <w:vMerge w:val="continue"/>
                  <w:noWrap w:val="0"/>
                  <w:vAlign w:val="top"/>
                </w:tcPr>
                <w:p w14:paraId="00BDAEE9">
                  <w:pPr>
                    <w:bidi w:val="0"/>
                    <w:jc w:val="center"/>
                    <w:rPr>
                      <w:rFonts w:hint="default" w:ascii="Times New Roman" w:hAnsi="Times New Roman" w:cs="Times New Roman"/>
                      <w:color w:val="auto"/>
                      <w:highlight w:val="green"/>
                      <w:u w:val="none" w:color="auto"/>
                      <w:lang w:val="en-US" w:eastAsia="zh-CN"/>
                    </w:rPr>
                  </w:pPr>
                </w:p>
              </w:tc>
              <w:tc>
                <w:tcPr>
                  <w:tcW w:w="781" w:type="pct"/>
                  <w:vMerge w:val="continue"/>
                  <w:noWrap w:val="0"/>
                  <w:vAlign w:val="top"/>
                </w:tcPr>
                <w:p w14:paraId="17755063">
                  <w:pPr>
                    <w:bidi w:val="0"/>
                    <w:jc w:val="center"/>
                    <w:rPr>
                      <w:rFonts w:hint="default" w:ascii="Times New Roman" w:hAnsi="Times New Roman" w:cs="Times New Roman"/>
                      <w:color w:val="auto"/>
                      <w:highlight w:val="none"/>
                      <w:u w:val="none" w:color="auto"/>
                    </w:rPr>
                  </w:pPr>
                </w:p>
              </w:tc>
              <w:tc>
                <w:tcPr>
                  <w:tcW w:w="2654" w:type="pct"/>
                  <w:noWrap w:val="0"/>
                  <w:vAlign w:val="top"/>
                </w:tcPr>
                <w:p w14:paraId="058DE5B5">
                  <w:pPr>
                    <w:pStyle w:val="50"/>
                    <w:spacing w:before="39" w:line="228" w:lineRule="auto"/>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危险废物暂存间位于厂区东南侧，面积为15m</w:t>
                  </w:r>
                  <w:r>
                    <w:rPr>
                      <w:rFonts w:hint="eastAsia" w:ascii="Times New Roman" w:hAnsi="Times New Roman" w:cs="Times New Roman"/>
                      <w:color w:val="auto"/>
                      <w:sz w:val="21"/>
                      <w:szCs w:val="21"/>
                      <w:highlight w:val="none"/>
                      <w:u w:val="none" w:color="auto"/>
                      <w:vertAlign w:val="superscript"/>
                      <w:lang w:val="en-US" w:eastAsia="zh-CN"/>
                    </w:rPr>
                    <w:t>2</w:t>
                  </w:r>
                  <w:r>
                    <w:rPr>
                      <w:rFonts w:hint="eastAsia" w:ascii="Times New Roman" w:hAnsi="Times New Roman" w:cs="Times New Roman"/>
                      <w:color w:val="auto"/>
                      <w:sz w:val="21"/>
                      <w:szCs w:val="21"/>
                      <w:highlight w:val="none"/>
                      <w:u w:val="none" w:color="auto"/>
                      <w:vertAlign w:val="baseline"/>
                      <w:lang w:val="en-US" w:eastAsia="zh-CN"/>
                    </w:rPr>
                    <w:t>，</w:t>
                  </w:r>
                  <w:r>
                    <w:rPr>
                      <w:rFonts w:hint="eastAsia" w:ascii="Times New Roman" w:hAnsi="Times New Roman" w:cs="Times New Roman"/>
                      <w:color w:val="auto"/>
                      <w:sz w:val="21"/>
                      <w:szCs w:val="21"/>
                      <w:highlight w:val="none"/>
                      <w:u w:val="none" w:color="auto"/>
                      <w:lang w:val="en-US" w:eastAsia="zh-CN"/>
                    </w:rPr>
                    <w:t>废机油和含油废手套属于存放至危废暂存间，定期交由有资质单位进行处理</w:t>
                  </w:r>
                </w:p>
              </w:tc>
              <w:tc>
                <w:tcPr>
                  <w:tcW w:w="867" w:type="pct"/>
                  <w:noWrap w:val="0"/>
                  <w:vAlign w:val="center"/>
                </w:tcPr>
                <w:p w14:paraId="0DF4DF83">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bl>
          <w:p w14:paraId="42A7531A">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3、产品方案</w:t>
            </w:r>
          </w:p>
          <w:p w14:paraId="5A9CA486">
            <w:pPr>
              <w:pStyle w:val="3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本项目主要产品方案详见下表2-2。</w:t>
            </w:r>
          </w:p>
          <w:p w14:paraId="33704FC1">
            <w:pPr>
              <w:pStyle w:val="4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表2-2</w:t>
            </w:r>
            <w:r>
              <w:rPr>
                <w:rFonts w:hint="eastAsia"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主要产品及生产规模一览表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1"/>
              <w:gridCol w:w="1613"/>
              <w:gridCol w:w="1613"/>
              <w:gridCol w:w="1613"/>
              <w:gridCol w:w="1617"/>
            </w:tblGrid>
            <w:tr w14:paraId="47956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70" w:type="pct"/>
                  <w:tcBorders>
                    <w:tl2br w:val="nil"/>
                    <w:tr2bl w:val="nil"/>
                  </w:tcBorders>
                  <w:noWrap w:val="0"/>
                  <w:vAlign w:val="center"/>
                </w:tcPr>
                <w:p w14:paraId="60781872">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产品名称</w:t>
                  </w:r>
                </w:p>
              </w:tc>
              <w:tc>
                <w:tcPr>
                  <w:tcW w:w="1031" w:type="pct"/>
                  <w:tcBorders>
                    <w:tl2br w:val="nil"/>
                    <w:tr2bl w:val="nil"/>
                  </w:tcBorders>
                  <w:noWrap w:val="0"/>
                  <w:vAlign w:val="center"/>
                </w:tcPr>
                <w:p w14:paraId="0470532C">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规格</w:t>
                  </w:r>
                </w:p>
              </w:tc>
              <w:tc>
                <w:tcPr>
                  <w:tcW w:w="1031" w:type="pct"/>
                  <w:tcBorders>
                    <w:tl2br w:val="nil"/>
                    <w:tr2bl w:val="nil"/>
                  </w:tcBorders>
                  <w:noWrap w:val="0"/>
                  <w:vAlign w:val="center"/>
                </w:tcPr>
                <w:p w14:paraId="66FB10F0">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年产量</w:t>
                  </w:r>
                </w:p>
              </w:tc>
              <w:tc>
                <w:tcPr>
                  <w:tcW w:w="1031" w:type="pct"/>
                  <w:tcBorders>
                    <w:tl2br w:val="nil"/>
                    <w:tr2bl w:val="nil"/>
                  </w:tcBorders>
                  <w:noWrap w:val="0"/>
                  <w:vAlign w:val="center"/>
                </w:tcPr>
                <w:p w14:paraId="072EBD34">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最大存储量</w:t>
                  </w:r>
                </w:p>
              </w:tc>
              <w:tc>
                <w:tcPr>
                  <w:tcW w:w="1033" w:type="pct"/>
                  <w:tcBorders>
                    <w:tl2br w:val="nil"/>
                    <w:tr2bl w:val="nil"/>
                  </w:tcBorders>
                  <w:noWrap w:val="0"/>
                  <w:vAlign w:val="center"/>
                </w:tcPr>
                <w:p w14:paraId="1805C04D">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储存方式</w:t>
                  </w:r>
                </w:p>
              </w:tc>
            </w:tr>
            <w:tr w14:paraId="6D772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70" w:type="pct"/>
                  <w:tcBorders>
                    <w:tl2br w:val="nil"/>
                    <w:tr2bl w:val="nil"/>
                  </w:tcBorders>
                  <w:noWrap w:val="0"/>
                  <w:vAlign w:val="center"/>
                </w:tcPr>
                <w:p w14:paraId="47CA2681">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硅砂</w:t>
                  </w:r>
                </w:p>
              </w:tc>
              <w:tc>
                <w:tcPr>
                  <w:tcW w:w="1031" w:type="pct"/>
                  <w:tcBorders>
                    <w:tl2br w:val="nil"/>
                    <w:tr2bl w:val="nil"/>
                  </w:tcBorders>
                  <w:noWrap w:val="0"/>
                  <w:vAlign w:val="center"/>
                </w:tcPr>
                <w:p w14:paraId="7EEBC9BE">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40~300</w:t>
                  </w:r>
                  <w:r>
                    <w:rPr>
                      <w:rFonts w:ascii="Times New Roman" w:hAnsi="Times New Roman" w:eastAsia="Times New Roman" w:cs="Times New Roman"/>
                      <w:color w:val="auto"/>
                      <w:sz w:val="20"/>
                      <w:szCs w:val="20"/>
                    </w:rPr>
                    <w:t>mm</w:t>
                  </w:r>
                </w:p>
              </w:tc>
              <w:tc>
                <w:tcPr>
                  <w:tcW w:w="1031" w:type="pct"/>
                  <w:tcBorders>
                    <w:tl2br w:val="nil"/>
                    <w:tr2bl w:val="nil"/>
                  </w:tcBorders>
                  <w:noWrap w:val="0"/>
                  <w:vAlign w:val="center"/>
                </w:tcPr>
                <w:p w14:paraId="14AE8D66">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10</w:t>
                  </w:r>
                  <w:r>
                    <w:rPr>
                      <w:rFonts w:hint="default" w:ascii="Times New Roman" w:hAnsi="Times New Roman" w:eastAsia="宋体" w:cs="Times New Roman"/>
                      <w:color w:val="auto"/>
                      <w:highlight w:val="none"/>
                      <w:u w:val="none" w:color="auto"/>
                      <w:vertAlign w:val="baseline"/>
                      <w:lang w:val="en-US" w:eastAsia="zh-CN"/>
                    </w:rPr>
                    <w:t>万吨</w:t>
                  </w:r>
                </w:p>
              </w:tc>
              <w:tc>
                <w:tcPr>
                  <w:tcW w:w="1031" w:type="pct"/>
                  <w:tcBorders>
                    <w:tl2br w:val="nil"/>
                    <w:tr2bl w:val="nil"/>
                  </w:tcBorders>
                  <w:noWrap w:val="0"/>
                  <w:vAlign w:val="center"/>
                </w:tcPr>
                <w:p w14:paraId="5F65CC59">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1万吨</w:t>
                  </w:r>
                </w:p>
              </w:tc>
              <w:tc>
                <w:tcPr>
                  <w:tcW w:w="1033" w:type="pct"/>
                  <w:tcBorders>
                    <w:tl2br w:val="nil"/>
                    <w:tr2bl w:val="nil"/>
                  </w:tcBorders>
                  <w:noWrap w:val="0"/>
                  <w:vAlign w:val="center"/>
                </w:tcPr>
                <w:p w14:paraId="283F9764">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成品仓库</w:t>
                  </w:r>
                </w:p>
              </w:tc>
            </w:tr>
          </w:tbl>
          <w:p w14:paraId="42650A13">
            <w:pPr>
              <w:pStyle w:val="5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b/>
                <w:bCs/>
                <w:color w:val="auto"/>
                <w:kern w:val="2"/>
                <w:sz w:val="24"/>
                <w:szCs w:val="24"/>
                <w:highlight w:val="none"/>
                <w:u w:val="none" w:color="auto"/>
                <w:lang w:val="en-US" w:eastAsia="zh-CN" w:bidi="ar-SA"/>
              </w:rPr>
              <w:t>4</w:t>
            </w:r>
            <w:r>
              <w:rPr>
                <w:rFonts w:hint="default" w:ascii="Times New Roman" w:hAnsi="Times New Roman" w:eastAsia="宋体" w:cs="Times New Roman"/>
                <w:b/>
                <w:bCs/>
                <w:color w:val="auto"/>
                <w:kern w:val="2"/>
                <w:sz w:val="24"/>
                <w:szCs w:val="24"/>
                <w:highlight w:val="none"/>
                <w:u w:val="none" w:color="auto"/>
                <w:lang w:val="en-US" w:eastAsia="zh-CN" w:bidi="ar-SA"/>
              </w:rPr>
              <w:t>、主要生</w:t>
            </w:r>
            <w:r>
              <w:rPr>
                <w:rFonts w:hint="default" w:ascii="Times New Roman" w:hAnsi="Times New Roman" w:cs="Times New Roman"/>
                <w:color w:val="auto"/>
                <w:highlight w:val="none"/>
                <w:u w:val="none" w:color="auto"/>
                <w:lang w:val="en-US" w:eastAsia="zh-CN"/>
              </w:rPr>
              <w:t>产设备</w:t>
            </w:r>
          </w:p>
          <w:p w14:paraId="4E775EED">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本项目主要生产设备见表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w:t>
            </w:r>
          </w:p>
          <w:p w14:paraId="075C253F">
            <w:pPr>
              <w:jc w:val="center"/>
              <w:rPr>
                <w:rFonts w:hint="default" w:ascii="Times New Roman" w:hAnsi="Times New Roman" w:cs="Times New Roman"/>
                <w:color w:val="auto"/>
                <w:sz w:val="21"/>
                <w:szCs w:val="21"/>
                <w:highlight w:val="green"/>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表2-</w:t>
            </w:r>
            <w:r>
              <w:rPr>
                <w:rFonts w:hint="eastAsia" w:cs="Times New Roman"/>
                <w:b/>
                <w:bCs/>
                <w:color w:val="auto"/>
                <w:sz w:val="21"/>
                <w:szCs w:val="21"/>
                <w:highlight w:val="none"/>
                <w:u w:val="none" w:color="auto"/>
                <w:lang w:val="en-US" w:eastAsia="zh-CN"/>
              </w:rPr>
              <w:t xml:space="preserve">3  </w:t>
            </w:r>
            <w:r>
              <w:rPr>
                <w:rFonts w:hint="default" w:ascii="Times New Roman" w:hAnsi="Times New Roman" w:cs="Times New Roman"/>
                <w:b/>
                <w:bCs/>
                <w:color w:val="auto"/>
                <w:sz w:val="21"/>
                <w:szCs w:val="21"/>
                <w:highlight w:val="none"/>
                <w:u w:val="none" w:color="auto"/>
                <w:lang w:val="en-US" w:eastAsia="zh-CN"/>
              </w:rPr>
              <w:t xml:space="preserve"> 项目主要设备一览表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71"/>
              <w:gridCol w:w="1660"/>
              <w:gridCol w:w="1042"/>
              <w:gridCol w:w="1086"/>
              <w:gridCol w:w="1745"/>
              <w:gridCol w:w="1715"/>
            </w:tblGrid>
            <w:tr w14:paraId="56756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65" w:type="pct"/>
                  <w:tcBorders>
                    <w:tl2br w:val="nil"/>
                    <w:tr2bl w:val="nil"/>
                  </w:tcBorders>
                  <w:noWrap w:val="0"/>
                  <w:tcMar>
                    <w:top w:w="15" w:type="dxa"/>
                    <w:left w:w="15" w:type="dxa"/>
                    <w:right w:w="15" w:type="dxa"/>
                  </w:tcMar>
                  <w:vAlign w:val="center"/>
                </w:tcPr>
                <w:p w14:paraId="13AD1E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序号</w:t>
                  </w:r>
                </w:p>
              </w:tc>
              <w:tc>
                <w:tcPr>
                  <w:tcW w:w="1061" w:type="pct"/>
                  <w:tcBorders>
                    <w:tl2br w:val="nil"/>
                    <w:tr2bl w:val="nil"/>
                  </w:tcBorders>
                  <w:noWrap w:val="0"/>
                  <w:tcMar>
                    <w:top w:w="15" w:type="dxa"/>
                    <w:left w:w="15" w:type="dxa"/>
                    <w:right w:w="15" w:type="dxa"/>
                  </w:tcMar>
                  <w:vAlign w:val="center"/>
                </w:tcPr>
                <w:p w14:paraId="3F47FB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设备名称</w:t>
                  </w:r>
                </w:p>
              </w:tc>
              <w:tc>
                <w:tcPr>
                  <w:tcW w:w="666" w:type="pct"/>
                  <w:tcBorders>
                    <w:tl2br w:val="nil"/>
                    <w:tr2bl w:val="nil"/>
                  </w:tcBorders>
                  <w:noWrap w:val="0"/>
                  <w:tcMar>
                    <w:top w:w="15" w:type="dxa"/>
                    <w:left w:w="15" w:type="dxa"/>
                    <w:right w:w="15" w:type="dxa"/>
                  </w:tcMar>
                  <w:vAlign w:val="center"/>
                </w:tcPr>
                <w:p w14:paraId="021DDB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数量</w:t>
                  </w:r>
                </w:p>
              </w:tc>
              <w:tc>
                <w:tcPr>
                  <w:tcW w:w="694" w:type="pct"/>
                  <w:tcBorders>
                    <w:tl2br w:val="nil"/>
                    <w:tr2bl w:val="nil"/>
                  </w:tcBorders>
                  <w:noWrap w:val="0"/>
                  <w:tcMar>
                    <w:top w:w="15" w:type="dxa"/>
                    <w:left w:w="15" w:type="dxa"/>
                    <w:right w:w="15" w:type="dxa"/>
                  </w:tcMar>
                  <w:vAlign w:val="center"/>
                </w:tcPr>
                <w:p w14:paraId="6F9473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单位</w:t>
                  </w:r>
                </w:p>
              </w:tc>
              <w:tc>
                <w:tcPr>
                  <w:tcW w:w="1115" w:type="pct"/>
                  <w:tcBorders>
                    <w:tl2br w:val="nil"/>
                    <w:tr2bl w:val="nil"/>
                  </w:tcBorders>
                  <w:noWrap w:val="0"/>
                  <w:tcMar>
                    <w:top w:w="15" w:type="dxa"/>
                    <w:left w:w="15" w:type="dxa"/>
                    <w:right w:w="15" w:type="dxa"/>
                  </w:tcMar>
                  <w:vAlign w:val="center"/>
                </w:tcPr>
                <w:p w14:paraId="4196B4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规格</w:t>
                  </w:r>
                </w:p>
              </w:tc>
              <w:tc>
                <w:tcPr>
                  <w:tcW w:w="1095" w:type="pct"/>
                  <w:tcBorders>
                    <w:tl2br w:val="nil"/>
                    <w:tr2bl w:val="nil"/>
                  </w:tcBorders>
                  <w:noWrap w:val="0"/>
                  <w:tcMar>
                    <w:top w:w="15" w:type="dxa"/>
                    <w:left w:w="15" w:type="dxa"/>
                    <w:right w:w="15" w:type="dxa"/>
                  </w:tcMar>
                  <w:vAlign w:val="center"/>
                </w:tcPr>
                <w:p w14:paraId="022BBF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对应工艺</w:t>
                  </w:r>
                </w:p>
              </w:tc>
            </w:tr>
            <w:tr w14:paraId="1DE21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365" w:type="pct"/>
                  <w:tcBorders>
                    <w:tl2br w:val="nil"/>
                    <w:tr2bl w:val="nil"/>
                  </w:tcBorders>
                  <w:noWrap w:val="0"/>
                  <w:tcMar>
                    <w:top w:w="15" w:type="dxa"/>
                    <w:left w:w="15" w:type="dxa"/>
                    <w:right w:w="15" w:type="dxa"/>
                  </w:tcMar>
                  <w:vAlign w:val="center"/>
                </w:tcPr>
                <w:p w14:paraId="3BBBA5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1</w:t>
                  </w:r>
                </w:p>
              </w:tc>
              <w:tc>
                <w:tcPr>
                  <w:tcW w:w="1061" w:type="pct"/>
                  <w:tcBorders>
                    <w:tl2br w:val="nil"/>
                    <w:tr2bl w:val="nil"/>
                  </w:tcBorders>
                  <w:noWrap w:val="0"/>
                  <w:tcMar>
                    <w:top w:w="15" w:type="dxa"/>
                    <w:left w:w="15" w:type="dxa"/>
                    <w:right w:w="15" w:type="dxa"/>
                  </w:tcMar>
                  <w:vAlign w:val="center"/>
                </w:tcPr>
                <w:p w14:paraId="31F17B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板式压滤机</w:t>
                  </w:r>
                </w:p>
              </w:tc>
              <w:tc>
                <w:tcPr>
                  <w:tcW w:w="666" w:type="pct"/>
                  <w:tcBorders>
                    <w:tl2br w:val="nil"/>
                    <w:tr2bl w:val="nil"/>
                  </w:tcBorders>
                  <w:noWrap w:val="0"/>
                  <w:tcMar>
                    <w:top w:w="15" w:type="dxa"/>
                    <w:left w:w="15" w:type="dxa"/>
                    <w:right w:w="15" w:type="dxa"/>
                  </w:tcMar>
                  <w:vAlign w:val="center"/>
                </w:tcPr>
                <w:p w14:paraId="4FBB71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4</w:t>
                  </w:r>
                </w:p>
              </w:tc>
              <w:tc>
                <w:tcPr>
                  <w:tcW w:w="694" w:type="pct"/>
                  <w:tcBorders>
                    <w:tl2br w:val="nil"/>
                    <w:tr2bl w:val="nil"/>
                  </w:tcBorders>
                  <w:noWrap w:val="0"/>
                  <w:tcMar>
                    <w:top w:w="15" w:type="dxa"/>
                    <w:left w:w="15" w:type="dxa"/>
                    <w:right w:w="15" w:type="dxa"/>
                  </w:tcMar>
                  <w:vAlign w:val="center"/>
                </w:tcPr>
                <w:p w14:paraId="2144EF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2A8A34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tcBorders>
                    <w:tl2br w:val="nil"/>
                    <w:tr2bl w:val="nil"/>
                  </w:tcBorders>
                  <w:noWrap w:val="0"/>
                  <w:tcMar>
                    <w:top w:w="15" w:type="dxa"/>
                    <w:left w:w="15" w:type="dxa"/>
                    <w:right w:w="15" w:type="dxa"/>
                  </w:tcMar>
                  <w:vAlign w:val="center"/>
                </w:tcPr>
                <w:p w14:paraId="15B34F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r w14:paraId="64AF3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365" w:type="pct"/>
                  <w:tcBorders>
                    <w:tl2br w:val="nil"/>
                    <w:tr2bl w:val="nil"/>
                  </w:tcBorders>
                  <w:noWrap w:val="0"/>
                  <w:tcMar>
                    <w:top w:w="15" w:type="dxa"/>
                    <w:left w:w="15" w:type="dxa"/>
                    <w:right w:w="15" w:type="dxa"/>
                  </w:tcMar>
                  <w:vAlign w:val="center"/>
                </w:tcPr>
                <w:p w14:paraId="246442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2</w:t>
                  </w:r>
                </w:p>
              </w:tc>
              <w:tc>
                <w:tcPr>
                  <w:tcW w:w="1061" w:type="pct"/>
                  <w:tcBorders>
                    <w:tl2br w:val="nil"/>
                    <w:tr2bl w:val="nil"/>
                  </w:tcBorders>
                  <w:noWrap w:val="0"/>
                  <w:tcMar>
                    <w:top w:w="15" w:type="dxa"/>
                    <w:left w:w="15" w:type="dxa"/>
                    <w:right w:w="15" w:type="dxa"/>
                  </w:tcMar>
                  <w:vAlign w:val="center"/>
                </w:tcPr>
                <w:p w14:paraId="7B1AC5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脱水筛</w:t>
                  </w:r>
                </w:p>
              </w:tc>
              <w:tc>
                <w:tcPr>
                  <w:tcW w:w="666" w:type="pct"/>
                  <w:tcBorders>
                    <w:tl2br w:val="nil"/>
                    <w:tr2bl w:val="nil"/>
                  </w:tcBorders>
                  <w:noWrap w:val="0"/>
                  <w:tcMar>
                    <w:top w:w="15" w:type="dxa"/>
                    <w:left w:w="15" w:type="dxa"/>
                    <w:right w:w="15" w:type="dxa"/>
                  </w:tcMar>
                  <w:vAlign w:val="center"/>
                </w:tcPr>
                <w:p w14:paraId="23C911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2FE537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3D6CDB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秀洋2440型</w:t>
                  </w:r>
                </w:p>
              </w:tc>
              <w:tc>
                <w:tcPr>
                  <w:tcW w:w="1095" w:type="pct"/>
                  <w:tcBorders>
                    <w:tl2br w:val="nil"/>
                    <w:tr2bl w:val="nil"/>
                  </w:tcBorders>
                  <w:noWrap w:val="0"/>
                  <w:tcMar>
                    <w:top w:w="15" w:type="dxa"/>
                    <w:left w:w="15" w:type="dxa"/>
                    <w:right w:w="15" w:type="dxa"/>
                  </w:tcMar>
                  <w:vAlign w:val="center"/>
                </w:tcPr>
                <w:p w14:paraId="6C7E3C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脱水</w:t>
                  </w:r>
                </w:p>
              </w:tc>
            </w:tr>
            <w:tr w14:paraId="49C602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365" w:type="pct"/>
                  <w:tcBorders>
                    <w:tl2br w:val="nil"/>
                    <w:tr2bl w:val="nil"/>
                  </w:tcBorders>
                  <w:noWrap w:val="0"/>
                  <w:tcMar>
                    <w:top w:w="15" w:type="dxa"/>
                    <w:left w:w="15" w:type="dxa"/>
                    <w:right w:w="15" w:type="dxa"/>
                  </w:tcMar>
                  <w:vAlign w:val="center"/>
                </w:tcPr>
                <w:p w14:paraId="4D954C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3</w:t>
                  </w:r>
                </w:p>
              </w:tc>
              <w:tc>
                <w:tcPr>
                  <w:tcW w:w="1061" w:type="pct"/>
                  <w:tcBorders>
                    <w:tl2br w:val="nil"/>
                    <w:tr2bl w:val="nil"/>
                  </w:tcBorders>
                  <w:noWrap w:val="0"/>
                  <w:tcMar>
                    <w:top w:w="15" w:type="dxa"/>
                    <w:left w:w="15" w:type="dxa"/>
                    <w:right w:w="15" w:type="dxa"/>
                  </w:tcMar>
                  <w:vAlign w:val="center"/>
                </w:tcPr>
                <w:p w14:paraId="62F814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喂料机</w:t>
                  </w:r>
                </w:p>
              </w:tc>
              <w:tc>
                <w:tcPr>
                  <w:tcW w:w="666" w:type="pct"/>
                  <w:tcBorders>
                    <w:tl2br w:val="nil"/>
                    <w:tr2bl w:val="nil"/>
                  </w:tcBorders>
                  <w:noWrap w:val="0"/>
                  <w:tcMar>
                    <w:top w:w="15" w:type="dxa"/>
                    <w:left w:w="15" w:type="dxa"/>
                    <w:right w:w="15" w:type="dxa"/>
                  </w:tcMar>
                  <w:vAlign w:val="center"/>
                </w:tcPr>
                <w:p w14:paraId="48E0D2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40C42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1412D5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秀洋1550链式</w:t>
                  </w:r>
                </w:p>
              </w:tc>
              <w:tc>
                <w:tcPr>
                  <w:tcW w:w="1095" w:type="pct"/>
                  <w:tcBorders>
                    <w:tl2br w:val="nil"/>
                    <w:tr2bl w:val="nil"/>
                  </w:tcBorders>
                  <w:noWrap w:val="0"/>
                  <w:tcMar>
                    <w:top w:w="15" w:type="dxa"/>
                    <w:left w:w="15" w:type="dxa"/>
                    <w:right w:w="15" w:type="dxa"/>
                  </w:tcMar>
                  <w:vAlign w:val="center"/>
                </w:tcPr>
                <w:p w14:paraId="0D93C3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喂料</w:t>
                  </w:r>
                </w:p>
              </w:tc>
            </w:tr>
            <w:tr w14:paraId="2E0CB4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754AAA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4</w:t>
                  </w:r>
                </w:p>
              </w:tc>
              <w:tc>
                <w:tcPr>
                  <w:tcW w:w="1061" w:type="pct"/>
                  <w:tcBorders>
                    <w:tl2br w:val="nil"/>
                    <w:tr2bl w:val="nil"/>
                  </w:tcBorders>
                  <w:noWrap w:val="0"/>
                  <w:tcMar>
                    <w:top w:w="15" w:type="dxa"/>
                    <w:left w:w="15" w:type="dxa"/>
                    <w:right w:w="15" w:type="dxa"/>
                  </w:tcMar>
                  <w:vAlign w:val="center"/>
                </w:tcPr>
                <w:p w14:paraId="2F7ECE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滚筒洗石机</w:t>
                  </w:r>
                </w:p>
              </w:tc>
              <w:tc>
                <w:tcPr>
                  <w:tcW w:w="666" w:type="pct"/>
                  <w:tcBorders>
                    <w:tl2br w:val="nil"/>
                    <w:tr2bl w:val="nil"/>
                  </w:tcBorders>
                  <w:noWrap w:val="0"/>
                  <w:tcMar>
                    <w:top w:w="15" w:type="dxa"/>
                    <w:left w:w="15" w:type="dxa"/>
                    <w:right w:w="15" w:type="dxa"/>
                  </w:tcMar>
                  <w:vAlign w:val="center"/>
                </w:tcPr>
                <w:p w14:paraId="4DDCBE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05A087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A0FAA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秀洋2016型</w:t>
                  </w:r>
                </w:p>
              </w:tc>
              <w:tc>
                <w:tcPr>
                  <w:tcW w:w="1095" w:type="pct"/>
                  <w:tcBorders>
                    <w:tl2br w:val="nil"/>
                    <w:tr2bl w:val="nil"/>
                  </w:tcBorders>
                  <w:noWrap w:val="0"/>
                  <w:tcMar>
                    <w:top w:w="15" w:type="dxa"/>
                    <w:left w:w="15" w:type="dxa"/>
                    <w:right w:w="15" w:type="dxa"/>
                  </w:tcMar>
                  <w:vAlign w:val="center"/>
                </w:tcPr>
                <w:p w14:paraId="2A8B5D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一次</w:t>
                  </w:r>
                  <w:r>
                    <w:rPr>
                      <w:rFonts w:hint="eastAsia" w:ascii="Times New Roman" w:hAnsi="Times New Roman" w:cs="Times New Roman"/>
                      <w:bCs/>
                      <w:color w:val="auto"/>
                      <w:sz w:val="21"/>
                      <w:szCs w:val="21"/>
                      <w:highlight w:val="none"/>
                      <w:u w:val="none" w:color="auto"/>
                      <w:lang w:val="en-US" w:eastAsia="zh-CN"/>
                    </w:rPr>
                    <w:t>清洗</w:t>
                  </w:r>
                </w:p>
              </w:tc>
            </w:tr>
            <w:tr w14:paraId="34652B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0C81D6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5</w:t>
                  </w:r>
                </w:p>
              </w:tc>
              <w:tc>
                <w:tcPr>
                  <w:tcW w:w="1061" w:type="pct"/>
                  <w:tcBorders>
                    <w:tl2br w:val="nil"/>
                    <w:tr2bl w:val="nil"/>
                  </w:tcBorders>
                  <w:noWrap w:val="0"/>
                  <w:tcMar>
                    <w:top w:w="15" w:type="dxa"/>
                    <w:left w:w="15" w:type="dxa"/>
                    <w:right w:w="15" w:type="dxa"/>
                  </w:tcMar>
                  <w:vAlign w:val="center"/>
                </w:tcPr>
                <w:p w14:paraId="0EE43D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双叉洗石机</w:t>
                  </w:r>
                </w:p>
              </w:tc>
              <w:tc>
                <w:tcPr>
                  <w:tcW w:w="666" w:type="pct"/>
                  <w:tcBorders>
                    <w:tl2br w:val="nil"/>
                    <w:tr2bl w:val="nil"/>
                  </w:tcBorders>
                  <w:noWrap w:val="0"/>
                  <w:tcMar>
                    <w:top w:w="15" w:type="dxa"/>
                    <w:left w:w="15" w:type="dxa"/>
                    <w:right w:w="15" w:type="dxa"/>
                  </w:tcMar>
                  <w:vAlign w:val="center"/>
                </w:tcPr>
                <w:p w14:paraId="526953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3</w:t>
                  </w:r>
                </w:p>
              </w:tc>
              <w:tc>
                <w:tcPr>
                  <w:tcW w:w="694" w:type="pct"/>
                  <w:tcBorders>
                    <w:tl2br w:val="nil"/>
                    <w:tr2bl w:val="nil"/>
                  </w:tcBorders>
                  <w:noWrap w:val="0"/>
                  <w:tcMar>
                    <w:top w:w="15" w:type="dxa"/>
                    <w:left w:w="15" w:type="dxa"/>
                    <w:right w:w="15" w:type="dxa"/>
                  </w:tcMar>
                  <w:vAlign w:val="center"/>
                </w:tcPr>
                <w:p w14:paraId="52A814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152DA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秀洋1514型</w:t>
                  </w:r>
                </w:p>
              </w:tc>
              <w:tc>
                <w:tcPr>
                  <w:tcW w:w="1095" w:type="pct"/>
                  <w:tcBorders>
                    <w:tl2br w:val="nil"/>
                    <w:tr2bl w:val="nil"/>
                  </w:tcBorders>
                  <w:noWrap w:val="0"/>
                  <w:tcMar>
                    <w:top w:w="15" w:type="dxa"/>
                    <w:left w:w="15" w:type="dxa"/>
                    <w:right w:w="15" w:type="dxa"/>
                  </w:tcMar>
                  <w:vAlign w:val="center"/>
                </w:tcPr>
                <w:p w14:paraId="0056AE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二次清洗</w:t>
                  </w:r>
                </w:p>
              </w:tc>
            </w:tr>
            <w:tr w14:paraId="59C842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6F5500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6</w:t>
                  </w:r>
                </w:p>
              </w:tc>
              <w:tc>
                <w:tcPr>
                  <w:tcW w:w="1061" w:type="pct"/>
                  <w:tcBorders>
                    <w:tl2br w:val="nil"/>
                    <w:tr2bl w:val="nil"/>
                  </w:tcBorders>
                  <w:noWrap w:val="0"/>
                  <w:tcMar>
                    <w:top w:w="15" w:type="dxa"/>
                    <w:left w:w="15" w:type="dxa"/>
                    <w:right w:w="15" w:type="dxa"/>
                  </w:tcMar>
                  <w:vAlign w:val="center"/>
                </w:tcPr>
                <w:p w14:paraId="22C088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滚筒分筛</w:t>
                  </w:r>
                </w:p>
              </w:tc>
              <w:tc>
                <w:tcPr>
                  <w:tcW w:w="666" w:type="pct"/>
                  <w:tcBorders>
                    <w:tl2br w:val="nil"/>
                    <w:tr2bl w:val="nil"/>
                  </w:tcBorders>
                  <w:noWrap w:val="0"/>
                  <w:tcMar>
                    <w:top w:w="15" w:type="dxa"/>
                    <w:left w:w="15" w:type="dxa"/>
                    <w:right w:w="15" w:type="dxa"/>
                  </w:tcMar>
                  <w:vAlign w:val="center"/>
                </w:tcPr>
                <w:p w14:paraId="630BF6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7C1D77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2F8BF6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default" w:cs="Times New Roman"/>
                      <w:bCs/>
                      <w:color w:val="auto"/>
                      <w:sz w:val="21"/>
                      <w:szCs w:val="21"/>
                      <w:highlight w:val="none"/>
                      <w:u w:val="none" w:color="auto"/>
                      <w:lang w:val="en-US" w:eastAsia="zh-CN"/>
                    </w:rPr>
                    <w:t>秀洋2560型</w:t>
                  </w:r>
                </w:p>
              </w:tc>
              <w:tc>
                <w:tcPr>
                  <w:tcW w:w="1095" w:type="pct"/>
                  <w:tcBorders>
                    <w:tl2br w:val="nil"/>
                    <w:tr2bl w:val="nil"/>
                  </w:tcBorders>
                  <w:noWrap w:val="0"/>
                  <w:tcMar>
                    <w:top w:w="15" w:type="dxa"/>
                    <w:left w:w="15" w:type="dxa"/>
                    <w:right w:w="15" w:type="dxa"/>
                  </w:tcMar>
                  <w:vAlign w:val="center"/>
                </w:tcPr>
                <w:p w14:paraId="72A7D7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筛分</w:t>
                  </w:r>
                </w:p>
              </w:tc>
            </w:tr>
            <w:tr w14:paraId="06E27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3E50DE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7</w:t>
                  </w:r>
                </w:p>
              </w:tc>
              <w:tc>
                <w:tcPr>
                  <w:tcW w:w="1061" w:type="pct"/>
                  <w:tcBorders>
                    <w:tl2br w:val="nil"/>
                    <w:tr2bl w:val="nil"/>
                  </w:tcBorders>
                  <w:noWrap w:val="0"/>
                  <w:tcMar>
                    <w:top w:w="15" w:type="dxa"/>
                    <w:left w:w="15" w:type="dxa"/>
                    <w:right w:w="15" w:type="dxa"/>
                  </w:tcMar>
                  <w:vAlign w:val="center"/>
                </w:tcPr>
                <w:p w14:paraId="6816A6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破碎机</w:t>
                  </w:r>
                </w:p>
              </w:tc>
              <w:tc>
                <w:tcPr>
                  <w:tcW w:w="666" w:type="pct"/>
                  <w:tcBorders>
                    <w:tl2br w:val="nil"/>
                    <w:tr2bl w:val="nil"/>
                  </w:tcBorders>
                  <w:noWrap w:val="0"/>
                  <w:tcMar>
                    <w:top w:w="15" w:type="dxa"/>
                    <w:left w:w="15" w:type="dxa"/>
                    <w:right w:w="15" w:type="dxa"/>
                  </w:tcMar>
                  <w:vAlign w:val="center"/>
                </w:tcPr>
                <w:p w14:paraId="162EA8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3E84C6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043693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上海路桥箱式1012型</w:t>
                  </w:r>
                </w:p>
              </w:tc>
              <w:tc>
                <w:tcPr>
                  <w:tcW w:w="1095" w:type="pct"/>
                  <w:tcBorders>
                    <w:tl2br w:val="nil"/>
                    <w:tr2bl w:val="nil"/>
                  </w:tcBorders>
                  <w:noWrap w:val="0"/>
                  <w:tcMar>
                    <w:top w:w="15" w:type="dxa"/>
                    <w:left w:w="15" w:type="dxa"/>
                    <w:right w:w="15" w:type="dxa"/>
                  </w:tcMar>
                  <w:vAlign w:val="center"/>
                </w:tcPr>
                <w:p w14:paraId="13F7EA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破碎</w:t>
                  </w:r>
                </w:p>
              </w:tc>
            </w:tr>
            <w:tr w14:paraId="25AE32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365" w:type="pct"/>
                  <w:tcBorders>
                    <w:tl2br w:val="nil"/>
                    <w:tr2bl w:val="nil"/>
                  </w:tcBorders>
                  <w:noWrap w:val="0"/>
                  <w:tcMar>
                    <w:top w:w="15" w:type="dxa"/>
                    <w:left w:w="15" w:type="dxa"/>
                    <w:right w:w="15" w:type="dxa"/>
                  </w:tcMar>
                  <w:vAlign w:val="center"/>
                </w:tcPr>
                <w:p w14:paraId="6ED3CC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8</w:t>
                  </w:r>
                </w:p>
              </w:tc>
              <w:tc>
                <w:tcPr>
                  <w:tcW w:w="1061" w:type="pct"/>
                  <w:tcBorders>
                    <w:tl2br w:val="nil"/>
                    <w:tr2bl w:val="nil"/>
                  </w:tcBorders>
                  <w:noWrap w:val="0"/>
                  <w:tcMar>
                    <w:top w:w="15" w:type="dxa"/>
                    <w:left w:w="15" w:type="dxa"/>
                    <w:right w:w="15" w:type="dxa"/>
                  </w:tcMar>
                  <w:vAlign w:val="center"/>
                </w:tcPr>
                <w:p w14:paraId="2CD00B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水洗轮</w:t>
                  </w:r>
                </w:p>
              </w:tc>
              <w:tc>
                <w:tcPr>
                  <w:tcW w:w="666" w:type="pct"/>
                  <w:tcBorders>
                    <w:tl2br w:val="nil"/>
                    <w:tr2bl w:val="nil"/>
                  </w:tcBorders>
                  <w:noWrap w:val="0"/>
                  <w:tcMar>
                    <w:top w:w="15" w:type="dxa"/>
                    <w:left w:w="15" w:type="dxa"/>
                    <w:right w:w="15" w:type="dxa"/>
                  </w:tcMar>
                  <w:vAlign w:val="center"/>
                </w:tcPr>
                <w:p w14:paraId="570337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50DD4E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AAA6C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秀洋2428型</w:t>
                  </w:r>
                </w:p>
              </w:tc>
              <w:tc>
                <w:tcPr>
                  <w:tcW w:w="1095" w:type="pct"/>
                  <w:tcBorders>
                    <w:tl2br w:val="nil"/>
                    <w:tr2bl w:val="nil"/>
                  </w:tcBorders>
                  <w:noWrap w:val="0"/>
                  <w:tcMar>
                    <w:top w:w="15" w:type="dxa"/>
                    <w:left w:w="15" w:type="dxa"/>
                    <w:right w:w="15" w:type="dxa"/>
                  </w:tcMar>
                  <w:vAlign w:val="center"/>
                </w:tcPr>
                <w:p w14:paraId="198348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二次清洗</w:t>
                  </w:r>
                </w:p>
              </w:tc>
            </w:tr>
            <w:tr w14:paraId="7DEC64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0D9E8B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9</w:t>
                  </w:r>
                </w:p>
              </w:tc>
              <w:tc>
                <w:tcPr>
                  <w:tcW w:w="1061" w:type="pct"/>
                  <w:tcBorders>
                    <w:tl2br w:val="nil"/>
                    <w:tr2bl w:val="nil"/>
                  </w:tcBorders>
                  <w:noWrap w:val="0"/>
                  <w:tcMar>
                    <w:top w:w="15" w:type="dxa"/>
                    <w:left w:w="15" w:type="dxa"/>
                    <w:right w:w="15" w:type="dxa"/>
                  </w:tcMar>
                  <w:vAlign w:val="center"/>
                </w:tcPr>
                <w:p w14:paraId="4BB843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絮凝罐</w:t>
                  </w:r>
                </w:p>
              </w:tc>
              <w:tc>
                <w:tcPr>
                  <w:tcW w:w="666" w:type="pct"/>
                  <w:tcBorders>
                    <w:tl2br w:val="nil"/>
                    <w:tr2bl w:val="nil"/>
                  </w:tcBorders>
                  <w:noWrap w:val="0"/>
                  <w:tcMar>
                    <w:top w:w="15" w:type="dxa"/>
                    <w:left w:w="15" w:type="dxa"/>
                    <w:right w:w="15" w:type="dxa"/>
                  </w:tcMar>
                  <w:vAlign w:val="center"/>
                </w:tcPr>
                <w:p w14:paraId="19DE72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768D31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3FC92C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200m</w:t>
                  </w:r>
                  <w:r>
                    <w:rPr>
                      <w:rFonts w:hint="eastAsia" w:cs="Times New Roman"/>
                      <w:bCs/>
                      <w:color w:val="auto"/>
                      <w:sz w:val="21"/>
                      <w:szCs w:val="21"/>
                      <w:highlight w:val="none"/>
                      <w:u w:val="none" w:color="auto"/>
                      <w:vertAlign w:val="superscript"/>
                      <w:lang w:val="en-US" w:eastAsia="zh-CN"/>
                    </w:rPr>
                    <w:t>3</w:t>
                  </w:r>
                </w:p>
              </w:tc>
              <w:tc>
                <w:tcPr>
                  <w:tcW w:w="1095" w:type="pct"/>
                  <w:tcBorders>
                    <w:tl2br w:val="nil"/>
                    <w:tr2bl w:val="nil"/>
                  </w:tcBorders>
                  <w:noWrap w:val="0"/>
                  <w:tcMar>
                    <w:top w:w="15" w:type="dxa"/>
                    <w:left w:w="15" w:type="dxa"/>
                    <w:right w:w="15" w:type="dxa"/>
                  </w:tcMar>
                  <w:vAlign w:val="center"/>
                </w:tcPr>
                <w:p w14:paraId="7F137D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r w14:paraId="0BB41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5330BB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10</w:t>
                  </w:r>
                </w:p>
              </w:tc>
              <w:tc>
                <w:tcPr>
                  <w:tcW w:w="1061" w:type="pct"/>
                  <w:tcBorders>
                    <w:tl2br w:val="nil"/>
                    <w:tr2bl w:val="nil"/>
                  </w:tcBorders>
                  <w:noWrap w:val="0"/>
                  <w:tcMar>
                    <w:top w:w="15" w:type="dxa"/>
                    <w:left w:w="15" w:type="dxa"/>
                    <w:right w:w="15" w:type="dxa"/>
                  </w:tcMar>
                  <w:vAlign w:val="center"/>
                </w:tcPr>
                <w:p w14:paraId="4D517B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循环水池</w:t>
                  </w:r>
                </w:p>
              </w:tc>
              <w:tc>
                <w:tcPr>
                  <w:tcW w:w="666" w:type="pct"/>
                  <w:tcBorders>
                    <w:tl2br w:val="nil"/>
                    <w:tr2bl w:val="nil"/>
                  </w:tcBorders>
                  <w:noWrap w:val="0"/>
                  <w:tcMar>
                    <w:top w:w="15" w:type="dxa"/>
                    <w:left w:w="15" w:type="dxa"/>
                    <w:right w:w="15" w:type="dxa"/>
                  </w:tcMar>
                  <w:vAlign w:val="center"/>
                </w:tcPr>
                <w:p w14:paraId="2500B4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3AF261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座</w:t>
                  </w:r>
                </w:p>
              </w:tc>
              <w:tc>
                <w:tcPr>
                  <w:tcW w:w="1115" w:type="pct"/>
                  <w:tcBorders>
                    <w:tl2br w:val="nil"/>
                    <w:tr2bl w:val="nil"/>
                  </w:tcBorders>
                  <w:noWrap w:val="0"/>
                  <w:tcMar>
                    <w:top w:w="15" w:type="dxa"/>
                    <w:left w:w="15" w:type="dxa"/>
                    <w:right w:w="15" w:type="dxa"/>
                  </w:tcMar>
                  <w:vAlign w:val="center"/>
                </w:tcPr>
                <w:p w14:paraId="754D64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1000m</w:t>
                  </w:r>
                  <w:r>
                    <w:rPr>
                      <w:rFonts w:hint="eastAsia" w:cs="Times New Roman"/>
                      <w:bCs/>
                      <w:color w:val="auto"/>
                      <w:sz w:val="21"/>
                      <w:szCs w:val="21"/>
                      <w:highlight w:val="none"/>
                      <w:u w:val="none" w:color="auto"/>
                      <w:vertAlign w:val="superscript"/>
                      <w:lang w:val="en-US" w:eastAsia="zh-CN"/>
                    </w:rPr>
                    <w:t>3</w:t>
                  </w:r>
                </w:p>
              </w:tc>
              <w:tc>
                <w:tcPr>
                  <w:tcW w:w="1095" w:type="pct"/>
                  <w:tcBorders>
                    <w:tl2br w:val="nil"/>
                    <w:tr2bl w:val="nil"/>
                  </w:tcBorders>
                  <w:noWrap w:val="0"/>
                  <w:tcMar>
                    <w:top w:w="15" w:type="dxa"/>
                    <w:left w:w="15" w:type="dxa"/>
                    <w:right w:w="15" w:type="dxa"/>
                  </w:tcMar>
                  <w:vAlign w:val="center"/>
                </w:tcPr>
                <w:p w14:paraId="6F3913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r w14:paraId="401C33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2C2063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11</w:t>
                  </w:r>
                </w:p>
              </w:tc>
              <w:tc>
                <w:tcPr>
                  <w:tcW w:w="1061" w:type="pct"/>
                  <w:tcBorders>
                    <w:tl2br w:val="nil"/>
                    <w:tr2bl w:val="nil"/>
                  </w:tcBorders>
                  <w:noWrap w:val="0"/>
                  <w:tcMar>
                    <w:top w:w="15" w:type="dxa"/>
                    <w:left w:w="15" w:type="dxa"/>
                    <w:right w:w="15" w:type="dxa"/>
                  </w:tcMar>
                  <w:vAlign w:val="center"/>
                </w:tcPr>
                <w:p w14:paraId="3113BD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输送带</w:t>
                  </w:r>
                </w:p>
              </w:tc>
              <w:tc>
                <w:tcPr>
                  <w:tcW w:w="666" w:type="pct"/>
                  <w:tcBorders>
                    <w:tl2br w:val="nil"/>
                    <w:tr2bl w:val="nil"/>
                  </w:tcBorders>
                  <w:noWrap w:val="0"/>
                  <w:tcMar>
                    <w:top w:w="15" w:type="dxa"/>
                    <w:left w:w="15" w:type="dxa"/>
                    <w:right w:w="15" w:type="dxa"/>
                  </w:tcMar>
                  <w:vAlign w:val="center"/>
                </w:tcPr>
                <w:p w14:paraId="30BD24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7A8FE8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套</w:t>
                  </w:r>
                </w:p>
              </w:tc>
              <w:tc>
                <w:tcPr>
                  <w:tcW w:w="1115" w:type="pct"/>
                  <w:tcBorders>
                    <w:tl2br w:val="nil"/>
                    <w:tr2bl w:val="nil"/>
                  </w:tcBorders>
                  <w:noWrap w:val="0"/>
                  <w:tcMar>
                    <w:top w:w="15" w:type="dxa"/>
                    <w:left w:w="15" w:type="dxa"/>
                    <w:right w:w="15" w:type="dxa"/>
                  </w:tcMar>
                  <w:vAlign w:val="center"/>
                </w:tcPr>
                <w:p w14:paraId="3306D5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tcBorders>
                    <w:tl2br w:val="nil"/>
                    <w:tr2bl w:val="nil"/>
                  </w:tcBorders>
                  <w:noWrap w:val="0"/>
                  <w:tcMar>
                    <w:top w:w="15" w:type="dxa"/>
                    <w:left w:w="15" w:type="dxa"/>
                    <w:right w:w="15" w:type="dxa"/>
                  </w:tcMar>
                  <w:vAlign w:val="center"/>
                </w:tcPr>
                <w:p w14:paraId="78F234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运输</w:t>
                  </w:r>
                </w:p>
              </w:tc>
            </w:tr>
          </w:tbl>
          <w:p w14:paraId="4E0ECB01">
            <w:pPr>
              <w:pStyle w:val="37"/>
              <w:bidi w:val="0"/>
              <w:rPr>
                <w:rFonts w:hint="eastAsia"/>
                <w:b/>
                <w:bCs/>
                <w:color w:val="auto"/>
                <w:highlight w:val="green"/>
                <w:u w:val="none" w:color="auto"/>
                <w:lang w:val="en-US" w:eastAsia="zh-CN"/>
              </w:rPr>
            </w:pPr>
            <w:r>
              <w:rPr>
                <w:rFonts w:hint="eastAsia"/>
                <w:b/>
                <w:bCs/>
                <w:color w:val="auto"/>
                <w:highlight w:val="none"/>
                <w:u w:val="none" w:color="auto"/>
                <w:lang w:val="en-US" w:eastAsia="zh-CN"/>
              </w:rPr>
              <w:t>产能匹配性分析：</w:t>
            </w:r>
          </w:p>
          <w:p w14:paraId="49543FE9">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本项目</w:t>
            </w:r>
            <w:r>
              <w:rPr>
                <w:color w:val="auto"/>
                <w:highlight w:val="none"/>
                <w:u w:val="none" w:color="auto"/>
              </w:rPr>
              <w:t>与</w:t>
            </w:r>
            <w:r>
              <w:rPr>
                <w:rFonts w:hint="eastAsia"/>
                <w:color w:val="auto"/>
                <w:highlight w:val="none"/>
                <w:u w:val="none" w:color="auto"/>
                <w:lang w:val="en-US" w:eastAsia="zh-CN"/>
              </w:rPr>
              <w:t>硅砂</w:t>
            </w:r>
            <w:r>
              <w:rPr>
                <w:color w:val="auto"/>
                <w:highlight w:val="none"/>
                <w:u w:val="none" w:color="auto"/>
              </w:rPr>
              <w:t>产能相关的主要设备为：</w:t>
            </w:r>
            <w:r>
              <w:rPr>
                <w:rFonts w:hint="eastAsia" w:ascii="Times New Roman" w:hAnsi="Times New Roman" w:eastAsia="宋体" w:cs="Times New Roman"/>
                <w:color w:val="auto"/>
                <w:highlight w:val="none"/>
                <w:u w:val="none" w:color="auto"/>
                <w:lang w:val="en-US" w:eastAsia="zh-CN"/>
              </w:rPr>
              <w:t>破碎机</w:t>
            </w:r>
            <w:r>
              <w:rPr>
                <w:rFonts w:ascii="Times New Roman" w:hAnsi="Times New Roman" w:eastAsia="宋体" w:cs="Times New Roman"/>
                <w:color w:val="auto"/>
                <w:highlight w:val="none"/>
                <w:u w:val="none" w:color="auto"/>
              </w:rPr>
              <w:t>。</w:t>
            </w:r>
            <w:r>
              <w:rPr>
                <w:color w:val="auto"/>
                <w:highlight w:val="none"/>
                <w:u w:val="none" w:color="auto"/>
              </w:rPr>
              <w:t>具体见</w:t>
            </w:r>
            <w:r>
              <w:rPr>
                <w:rFonts w:hint="eastAsia"/>
                <w:color w:val="auto"/>
                <w:highlight w:val="none"/>
                <w:u w:val="none" w:color="auto"/>
                <w:lang w:val="en-US" w:eastAsia="zh-CN"/>
              </w:rPr>
              <w:t>下</w:t>
            </w:r>
            <w:r>
              <w:rPr>
                <w:color w:val="auto"/>
                <w:highlight w:val="none"/>
                <w:u w:val="none" w:color="auto"/>
              </w:rPr>
              <w:t>表。</w:t>
            </w:r>
          </w:p>
          <w:p w14:paraId="7D54E016">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表2-</w:t>
            </w:r>
            <w:r>
              <w:rPr>
                <w:rFonts w:hint="eastAsia"/>
                <w:b/>
                <w:bCs/>
                <w:color w:val="auto"/>
                <w:highlight w:val="none"/>
                <w:u w:val="none" w:color="auto"/>
                <w:lang w:val="en-US" w:eastAsia="zh-CN"/>
              </w:rPr>
              <w:t>4   生产设备与产能匹配性分析一览表</w:t>
            </w:r>
          </w:p>
          <w:tbl>
            <w:tblPr>
              <w:tblStyle w:val="24"/>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500"/>
              <w:gridCol w:w="785"/>
              <w:gridCol w:w="1064"/>
              <w:gridCol w:w="1175"/>
              <w:gridCol w:w="1284"/>
              <w:gridCol w:w="982"/>
            </w:tblGrid>
            <w:tr w14:paraId="36B95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55" w:type="pct"/>
                  <w:tcBorders>
                    <w:tl2br w:val="nil"/>
                    <w:tr2bl w:val="nil"/>
                  </w:tcBorders>
                  <w:vAlign w:val="center"/>
                </w:tcPr>
                <w:p w14:paraId="3708052C">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产品</w:t>
                  </w:r>
                </w:p>
              </w:tc>
              <w:tc>
                <w:tcPr>
                  <w:tcW w:w="959" w:type="pct"/>
                  <w:tcBorders>
                    <w:tl2br w:val="nil"/>
                    <w:tr2bl w:val="nil"/>
                  </w:tcBorders>
                  <w:vAlign w:val="center"/>
                </w:tcPr>
                <w:p w14:paraId="4D3012C5">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主要生产设备</w:t>
                  </w:r>
                </w:p>
              </w:tc>
              <w:tc>
                <w:tcPr>
                  <w:tcW w:w="502" w:type="pct"/>
                  <w:tcBorders>
                    <w:tl2br w:val="nil"/>
                    <w:tr2bl w:val="nil"/>
                  </w:tcBorders>
                  <w:vAlign w:val="center"/>
                </w:tcPr>
                <w:p w14:paraId="7ADC7E05">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台数</w:t>
                  </w:r>
                </w:p>
              </w:tc>
              <w:tc>
                <w:tcPr>
                  <w:tcW w:w="680" w:type="pct"/>
                  <w:tcBorders>
                    <w:tl2br w:val="nil"/>
                    <w:tr2bl w:val="nil"/>
                  </w:tcBorders>
                  <w:vAlign w:val="center"/>
                </w:tcPr>
                <w:p w14:paraId="254AB007">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单台生产能力（</w:t>
                  </w:r>
                  <w:r>
                    <w:rPr>
                      <w:rFonts w:hint="eastAsia"/>
                      <w:color w:val="auto"/>
                      <w:highlight w:val="none"/>
                      <w:u w:val="none" w:color="auto"/>
                      <w:vertAlign w:val="baseline"/>
                      <w:lang w:val="en-US" w:eastAsia="zh-CN"/>
                    </w:rPr>
                    <w:t>t/h</w:t>
                  </w:r>
                  <w:r>
                    <w:rPr>
                      <w:rFonts w:hint="eastAsia"/>
                      <w:b/>
                      <w:bCs/>
                      <w:color w:val="auto"/>
                      <w:highlight w:val="none"/>
                      <w:u w:val="none" w:color="auto"/>
                      <w:vertAlign w:val="baseline"/>
                      <w:lang w:val="en-US" w:eastAsia="zh-CN"/>
                    </w:rPr>
                    <w:t>）</w:t>
                  </w:r>
                </w:p>
              </w:tc>
              <w:tc>
                <w:tcPr>
                  <w:tcW w:w="751" w:type="pct"/>
                  <w:tcBorders>
                    <w:tl2br w:val="nil"/>
                    <w:tr2bl w:val="nil"/>
                  </w:tcBorders>
                  <w:vAlign w:val="center"/>
                </w:tcPr>
                <w:p w14:paraId="0B1B66A1">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年生产时间（h）</w:t>
                  </w:r>
                </w:p>
              </w:tc>
              <w:tc>
                <w:tcPr>
                  <w:tcW w:w="821" w:type="pct"/>
                  <w:tcBorders>
                    <w:tl2br w:val="nil"/>
                    <w:tr2bl w:val="nil"/>
                  </w:tcBorders>
                  <w:vAlign w:val="center"/>
                </w:tcPr>
                <w:p w14:paraId="25990513">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设备可生产能力（t/a）</w:t>
                  </w:r>
                </w:p>
              </w:tc>
              <w:tc>
                <w:tcPr>
                  <w:tcW w:w="628" w:type="pct"/>
                  <w:tcBorders>
                    <w:tl2br w:val="nil"/>
                    <w:tr2bl w:val="nil"/>
                  </w:tcBorders>
                  <w:vAlign w:val="center"/>
                </w:tcPr>
                <w:p w14:paraId="52CE6A4B">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匹配性</w:t>
                  </w:r>
                </w:p>
              </w:tc>
            </w:tr>
            <w:tr w14:paraId="22A1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pct"/>
                  <w:tcBorders>
                    <w:tl2br w:val="nil"/>
                    <w:tr2bl w:val="nil"/>
                  </w:tcBorders>
                  <w:vAlign w:val="center"/>
                </w:tcPr>
                <w:p w14:paraId="613B988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硅砂</w:t>
                  </w:r>
                </w:p>
              </w:tc>
              <w:tc>
                <w:tcPr>
                  <w:tcW w:w="959" w:type="pct"/>
                  <w:tcBorders>
                    <w:tl2br w:val="nil"/>
                    <w:tr2bl w:val="nil"/>
                  </w:tcBorders>
                  <w:vAlign w:val="center"/>
                </w:tcPr>
                <w:p w14:paraId="1BDB76C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highlight w:val="none"/>
                      <w:u w:val="none" w:color="auto"/>
                      <w:vertAlign w:val="baseline"/>
                      <w:lang w:val="en-US" w:eastAsia="zh-CN"/>
                    </w:rPr>
                  </w:pPr>
                  <w:r>
                    <w:rPr>
                      <w:rFonts w:hint="eastAsia" w:cs="Times New Roman"/>
                      <w:bCs/>
                      <w:color w:val="auto"/>
                      <w:sz w:val="21"/>
                      <w:szCs w:val="21"/>
                      <w:highlight w:val="none"/>
                      <w:u w:val="none" w:color="auto"/>
                      <w:lang w:val="en-US" w:eastAsia="zh-CN"/>
                    </w:rPr>
                    <w:t>破碎机</w:t>
                  </w:r>
                </w:p>
              </w:tc>
              <w:tc>
                <w:tcPr>
                  <w:tcW w:w="502" w:type="pct"/>
                  <w:tcBorders>
                    <w:tl2br w:val="nil"/>
                    <w:tr2bl w:val="nil"/>
                  </w:tcBorders>
                  <w:vAlign w:val="center"/>
                </w:tcPr>
                <w:p w14:paraId="263B8415">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green"/>
                      <w:u w:val="none" w:color="auto"/>
                      <w:vertAlign w:val="baseline"/>
                      <w:lang w:val="en-US" w:eastAsia="zh-CN"/>
                    </w:rPr>
                  </w:pPr>
                  <w:r>
                    <w:rPr>
                      <w:rFonts w:hint="eastAsia"/>
                      <w:color w:val="auto"/>
                      <w:highlight w:val="none"/>
                      <w:u w:val="none" w:color="auto"/>
                      <w:vertAlign w:val="baseline"/>
                      <w:lang w:val="en-US" w:eastAsia="zh-CN"/>
                    </w:rPr>
                    <w:t>1</w:t>
                  </w:r>
                </w:p>
              </w:tc>
              <w:tc>
                <w:tcPr>
                  <w:tcW w:w="680" w:type="pct"/>
                  <w:tcBorders>
                    <w:tl2br w:val="nil"/>
                    <w:tr2bl w:val="nil"/>
                  </w:tcBorders>
                  <w:vAlign w:val="center"/>
                </w:tcPr>
                <w:p w14:paraId="57811EBE">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green"/>
                      <w:u w:val="none" w:color="auto"/>
                      <w:vertAlign w:val="baseline"/>
                      <w:lang w:val="en-US" w:eastAsia="zh-CN"/>
                    </w:rPr>
                  </w:pPr>
                  <w:r>
                    <w:rPr>
                      <w:rFonts w:hint="eastAsia"/>
                      <w:color w:val="auto"/>
                      <w:highlight w:val="none"/>
                      <w:u w:val="none" w:color="auto"/>
                      <w:vertAlign w:val="baseline"/>
                      <w:lang w:val="en-US" w:eastAsia="zh-CN"/>
                    </w:rPr>
                    <w:t>21</w:t>
                  </w:r>
                </w:p>
              </w:tc>
              <w:tc>
                <w:tcPr>
                  <w:tcW w:w="751" w:type="pct"/>
                  <w:tcBorders>
                    <w:tl2br w:val="nil"/>
                    <w:tr2bl w:val="nil"/>
                  </w:tcBorders>
                  <w:vAlign w:val="center"/>
                </w:tcPr>
                <w:p w14:paraId="3B80CD5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4800</w:t>
                  </w:r>
                </w:p>
              </w:tc>
              <w:tc>
                <w:tcPr>
                  <w:tcW w:w="821" w:type="pct"/>
                  <w:tcBorders>
                    <w:tl2br w:val="nil"/>
                    <w:tr2bl w:val="nil"/>
                  </w:tcBorders>
                  <w:vAlign w:val="center"/>
                </w:tcPr>
                <w:p w14:paraId="40DDB082">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100800</w:t>
                  </w:r>
                </w:p>
              </w:tc>
              <w:tc>
                <w:tcPr>
                  <w:tcW w:w="628" w:type="pct"/>
                  <w:tcBorders>
                    <w:tl2br w:val="nil"/>
                    <w:tr2bl w:val="nil"/>
                  </w:tcBorders>
                  <w:vAlign w:val="center"/>
                </w:tcPr>
                <w:p w14:paraId="7E5FCE31">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bl>
          <w:p w14:paraId="689E0956">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由上表可知，破碎机</w:t>
            </w:r>
            <w:r>
              <w:rPr>
                <w:rFonts w:eastAsia="宋体"/>
                <w:color w:val="auto"/>
                <w:highlight w:val="none"/>
                <w:u w:val="none" w:color="auto"/>
              </w:rPr>
              <w:t>生</w:t>
            </w:r>
            <w:r>
              <w:rPr>
                <w:color w:val="auto"/>
                <w:highlight w:val="none"/>
                <w:u w:val="none" w:color="auto"/>
              </w:rPr>
              <w:t>产能力满足项目生产需求。</w:t>
            </w:r>
          </w:p>
          <w:p w14:paraId="60502CFC">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5、项目原辅材料</w:t>
            </w:r>
            <w:r>
              <w:rPr>
                <w:rFonts w:hint="eastAsia" w:cs="Times New Roman"/>
                <w:b/>
                <w:bCs/>
                <w:color w:val="auto"/>
                <w:highlight w:val="none"/>
                <w:u w:val="none" w:color="auto"/>
                <w:lang w:val="en-US" w:eastAsia="zh-CN"/>
              </w:rPr>
              <w:t>及能源</w:t>
            </w:r>
            <w:r>
              <w:rPr>
                <w:rFonts w:hint="default" w:ascii="Times New Roman" w:hAnsi="Times New Roman" w:cs="Times New Roman"/>
                <w:b/>
                <w:bCs/>
                <w:color w:val="auto"/>
                <w:highlight w:val="none"/>
                <w:u w:val="none" w:color="auto"/>
                <w:lang w:val="en-US" w:eastAsia="zh-CN"/>
              </w:rPr>
              <w:t>消耗情况</w:t>
            </w:r>
          </w:p>
          <w:p w14:paraId="25094C30">
            <w:pPr>
              <w:pStyle w:val="37"/>
              <w:bidi w:val="0"/>
              <w:rPr>
                <w:rFonts w:hint="default"/>
                <w:color w:val="auto"/>
                <w:highlight w:val="none"/>
                <w:u w:val="none" w:color="auto"/>
                <w:lang w:eastAsia="zh-CN"/>
              </w:rPr>
            </w:pPr>
            <w:r>
              <w:rPr>
                <w:rFonts w:hint="default"/>
                <w:color w:val="auto"/>
                <w:highlight w:val="none"/>
                <w:u w:val="none" w:color="auto"/>
              </w:rPr>
              <w:t>按照本项目的生产规模，本项目</w:t>
            </w:r>
            <w:r>
              <w:rPr>
                <w:rFonts w:hint="eastAsia"/>
                <w:color w:val="auto"/>
                <w:highlight w:val="none"/>
                <w:u w:val="none" w:color="auto"/>
                <w:lang w:val="en-US" w:eastAsia="zh-CN"/>
              </w:rPr>
              <w:t>主要原辅材料用量详见表2-5</w:t>
            </w:r>
            <w:r>
              <w:rPr>
                <w:rFonts w:hint="default"/>
                <w:color w:val="auto"/>
                <w:highlight w:val="none"/>
                <w:u w:val="none" w:color="auto"/>
                <w:lang w:eastAsia="zh-CN"/>
              </w:rPr>
              <w:t>。</w:t>
            </w:r>
          </w:p>
          <w:p w14:paraId="62C45AC0">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w:t>
            </w:r>
            <w:r>
              <w:rPr>
                <w:rFonts w:hint="eastAsia" w:cs="Times New Roman"/>
                <w:b/>
                <w:bCs/>
                <w:color w:val="auto"/>
                <w:highlight w:val="none"/>
                <w:u w:val="none" w:color="auto"/>
                <w:lang w:val="en-US" w:eastAsia="zh-CN"/>
              </w:rPr>
              <w:t>5</w:t>
            </w:r>
            <w:r>
              <w:rPr>
                <w:rFonts w:hint="default" w:ascii="Times New Roman" w:hAnsi="Times New Roman" w:cs="Times New Roman"/>
                <w:b/>
                <w:bCs/>
                <w:color w:val="auto"/>
                <w:highlight w:val="none"/>
                <w:u w:val="none" w:color="auto"/>
                <w:lang w:val="en-US" w:eastAsia="zh-CN"/>
              </w:rPr>
              <w:t xml:space="preserve"> </w:t>
            </w:r>
            <w:r>
              <w:rPr>
                <w:rFonts w:hint="eastAsia"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项目</w:t>
            </w:r>
            <w:r>
              <w:rPr>
                <w:rFonts w:hint="default" w:ascii="Times New Roman" w:hAnsi="Times New Roman" w:cs="Times New Roman"/>
                <w:b/>
                <w:bCs/>
                <w:color w:val="auto"/>
                <w:highlight w:val="none"/>
                <w:u w:val="none" w:color="auto"/>
              </w:rPr>
              <w:t>原辅材料</w:t>
            </w:r>
            <w:r>
              <w:rPr>
                <w:rFonts w:hint="default" w:ascii="Times New Roman" w:hAnsi="Times New Roman" w:cs="Times New Roman"/>
                <w:b/>
                <w:bCs/>
                <w:color w:val="auto"/>
                <w:highlight w:val="none"/>
                <w:u w:val="none" w:color="auto"/>
                <w:lang w:val="en-US" w:eastAsia="zh-CN"/>
              </w:rPr>
              <w:t>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19"/>
              <w:gridCol w:w="1536"/>
              <w:gridCol w:w="1436"/>
              <w:gridCol w:w="1286"/>
              <w:gridCol w:w="2042"/>
            </w:tblGrid>
            <w:tr w14:paraId="2E02D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1196B7CC">
                  <w:pPr>
                    <w:bidi w:val="0"/>
                    <w:jc w:val="center"/>
                    <w:rPr>
                      <w:rFonts w:hint="eastAsia" w:ascii="Times New Roman" w:hAnsi="Times New Roman" w:eastAsia="宋体" w:cs="Times New Roman"/>
                      <w:b/>
                      <w:bCs/>
                      <w:color w:val="auto"/>
                      <w:highlight w:val="none"/>
                      <w:u w:val="none" w:color="auto"/>
                      <w:lang w:eastAsia="zh-CN"/>
                    </w:rPr>
                  </w:pPr>
                  <w:r>
                    <w:rPr>
                      <w:rFonts w:hint="eastAsia" w:cs="Times New Roman"/>
                      <w:b/>
                      <w:bCs/>
                      <w:color w:val="auto"/>
                      <w:highlight w:val="none"/>
                      <w:u w:val="none" w:color="auto"/>
                      <w:lang w:val="en-US" w:eastAsia="zh-CN"/>
                    </w:rPr>
                    <w:t>原材料</w:t>
                  </w:r>
                </w:p>
              </w:tc>
              <w:tc>
                <w:tcPr>
                  <w:tcW w:w="982" w:type="pct"/>
                  <w:tcBorders>
                    <w:tl2br w:val="nil"/>
                    <w:tr2bl w:val="nil"/>
                  </w:tcBorders>
                  <w:noWrap w:val="0"/>
                  <w:vAlign w:val="center"/>
                </w:tcPr>
                <w:p w14:paraId="65160B7F">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年用量</w:t>
                  </w:r>
                </w:p>
              </w:tc>
              <w:tc>
                <w:tcPr>
                  <w:tcW w:w="918" w:type="pct"/>
                  <w:tcBorders>
                    <w:tl2br w:val="nil"/>
                    <w:tr2bl w:val="nil"/>
                  </w:tcBorders>
                  <w:noWrap w:val="0"/>
                  <w:vAlign w:val="center"/>
                </w:tcPr>
                <w:p w14:paraId="5BE24E49">
                  <w:pPr>
                    <w:bidi w:val="0"/>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储存</w:t>
                  </w:r>
                  <w:r>
                    <w:rPr>
                      <w:rFonts w:hint="default" w:ascii="Times New Roman" w:hAnsi="Times New Roman" w:cs="Times New Roman"/>
                      <w:b/>
                      <w:bCs/>
                      <w:color w:val="auto"/>
                      <w:highlight w:val="none"/>
                      <w:u w:val="none" w:color="auto"/>
                      <w:lang w:val="en-US" w:eastAsia="zh-CN"/>
                    </w:rPr>
                    <w:t>位置</w:t>
                  </w:r>
                </w:p>
              </w:tc>
              <w:tc>
                <w:tcPr>
                  <w:tcW w:w="822" w:type="pct"/>
                  <w:tcBorders>
                    <w:tl2br w:val="nil"/>
                    <w:tr2bl w:val="nil"/>
                  </w:tcBorders>
                  <w:noWrap w:val="0"/>
                  <w:vAlign w:val="center"/>
                </w:tcPr>
                <w:p w14:paraId="63A722D7">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最大</w:t>
                  </w:r>
                  <w:r>
                    <w:rPr>
                      <w:rFonts w:hint="default" w:ascii="Times New Roman" w:hAnsi="Times New Roman" w:cs="Times New Roman"/>
                      <w:b/>
                      <w:bCs/>
                      <w:color w:val="auto"/>
                      <w:highlight w:val="none"/>
                      <w:u w:val="none" w:color="auto"/>
                    </w:rPr>
                    <w:t>储存量</w:t>
                  </w:r>
                </w:p>
              </w:tc>
              <w:tc>
                <w:tcPr>
                  <w:tcW w:w="1305" w:type="pct"/>
                  <w:tcBorders>
                    <w:tl2br w:val="nil"/>
                    <w:tr2bl w:val="nil"/>
                  </w:tcBorders>
                  <w:noWrap w:val="0"/>
                  <w:vAlign w:val="center"/>
                </w:tcPr>
                <w:p w14:paraId="213A6C4C">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备注</w:t>
                  </w:r>
                </w:p>
              </w:tc>
            </w:tr>
            <w:tr w14:paraId="0E52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671F0E70">
                  <w:pPr>
                    <w:bidi w:val="0"/>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val="en-US" w:eastAsia="zh-CN"/>
                    </w:rPr>
                    <w:t>硅砂</w:t>
                  </w:r>
                </w:p>
              </w:tc>
              <w:tc>
                <w:tcPr>
                  <w:tcW w:w="982" w:type="pct"/>
                  <w:tcBorders>
                    <w:tl2br w:val="nil"/>
                    <w:tr2bl w:val="nil"/>
                  </w:tcBorders>
                  <w:noWrap w:val="0"/>
                  <w:vAlign w:val="center"/>
                </w:tcPr>
                <w:p w14:paraId="27D6747E">
                  <w:pPr>
                    <w:bidi w:val="0"/>
                    <w:jc w:val="center"/>
                    <w:rPr>
                      <w:rFonts w:hint="default" w:ascii="Times New Roman" w:hAnsi="Times New Roman" w:eastAsia="宋体" w:cs="Times New Roman"/>
                      <w:color w:val="auto"/>
                      <w:highlight w:val="none"/>
                      <w:u w:val="none" w:color="auto"/>
                      <w:lang w:val="en-US" w:eastAsia="zh-CN"/>
                    </w:rPr>
                  </w:pPr>
                  <w:r>
                    <w:rPr>
                      <w:rFonts w:hint="eastAsia" w:eastAsia="宋体" w:cs="Times New Roman"/>
                      <w:color w:val="auto"/>
                      <w:highlight w:val="none"/>
                      <w:u w:val="none" w:color="auto"/>
                      <w:lang w:val="en-US" w:eastAsia="zh-CN"/>
                    </w:rPr>
                    <w:t>约</w:t>
                  </w:r>
                  <w:r>
                    <w:rPr>
                      <w:rFonts w:hint="eastAsia" w:cs="Times New Roman"/>
                      <w:color w:val="auto"/>
                      <w:highlight w:val="none"/>
                      <w:u w:val="none" w:color="auto"/>
                      <w:lang w:val="en-US" w:eastAsia="zh-CN"/>
                    </w:rPr>
                    <w:t>10.2</w:t>
                  </w:r>
                  <w:r>
                    <w:rPr>
                      <w:rFonts w:hint="eastAsia" w:eastAsia="宋体" w:cs="Times New Roman"/>
                      <w:color w:val="auto"/>
                      <w:highlight w:val="none"/>
                      <w:u w:val="none" w:color="auto"/>
                      <w:lang w:val="en-US" w:eastAsia="zh-CN"/>
                    </w:rPr>
                    <w:t>万</w:t>
                  </w:r>
                  <w:r>
                    <w:rPr>
                      <w:rFonts w:hint="eastAsia" w:cs="Times New Roman"/>
                      <w:color w:val="auto"/>
                      <w:highlight w:val="none"/>
                      <w:u w:val="none" w:color="auto"/>
                      <w:lang w:val="en-US" w:eastAsia="zh-CN"/>
                    </w:rPr>
                    <w:t>t/a</w:t>
                  </w:r>
                </w:p>
              </w:tc>
              <w:tc>
                <w:tcPr>
                  <w:tcW w:w="918" w:type="pct"/>
                  <w:tcBorders>
                    <w:tl2br w:val="nil"/>
                    <w:tr2bl w:val="nil"/>
                  </w:tcBorders>
                  <w:noWrap w:val="0"/>
                  <w:vAlign w:val="center"/>
                </w:tcPr>
                <w:p w14:paraId="6E5DB500">
                  <w:pPr>
                    <w:bidi w:val="0"/>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478AC5D0">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2万</w:t>
                  </w:r>
                  <w:r>
                    <w:rPr>
                      <w:rFonts w:hint="eastAsia" w:ascii="Times New Roman" w:hAnsi="Times New Roman" w:cs="Times New Roman"/>
                      <w:color w:val="auto"/>
                      <w:highlight w:val="none"/>
                      <w:u w:val="none" w:color="auto"/>
                      <w:lang w:val="en-US" w:eastAsia="zh-CN"/>
                    </w:rPr>
                    <w:t>t</w:t>
                  </w:r>
                </w:p>
              </w:tc>
              <w:tc>
                <w:tcPr>
                  <w:tcW w:w="1305" w:type="pct"/>
                  <w:tcBorders>
                    <w:tl2br w:val="nil"/>
                    <w:tr2bl w:val="nil"/>
                  </w:tcBorders>
                  <w:noWrap w:val="0"/>
                  <w:vAlign w:val="center"/>
                </w:tcPr>
                <w:p w14:paraId="05F294BE">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外购</w:t>
                  </w:r>
                  <w:r>
                    <w:rPr>
                      <w:rFonts w:hint="eastAsia"/>
                      <w:color w:val="auto"/>
                      <w:highlight w:val="none"/>
                      <w:u w:val="none" w:color="auto"/>
                      <w:lang w:val="en-US" w:eastAsia="zh-CN"/>
                    </w:rPr>
                    <w:t>（合同见附件），原料</w:t>
                  </w:r>
                </w:p>
              </w:tc>
            </w:tr>
            <w:tr w14:paraId="0CCD0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677DFBDD">
                  <w:pPr>
                    <w:keepNext w:val="0"/>
                    <w:keepLines w:val="0"/>
                    <w:widowControl/>
                    <w:suppressLineNumbers w:val="0"/>
                    <w:jc w:val="center"/>
                    <w:rPr>
                      <w:rFonts w:hint="default"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絮凝剂（</w:t>
                  </w:r>
                  <w:r>
                    <w:rPr>
                      <w:rFonts w:hint="default" w:ascii="Times New Roman" w:hAnsi="Times New Roman" w:cs="Times New Roman"/>
                      <w:color w:val="auto"/>
                      <w:highlight w:val="none"/>
                      <w:u w:val="none" w:color="auto"/>
                      <w:lang w:val="en-US" w:eastAsia="zh-CN"/>
                    </w:rPr>
                    <w:t>PAC</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lang w:val="en-US" w:eastAsia="zh-CN"/>
                    </w:rPr>
                    <w:t>PAM</w:t>
                  </w:r>
                  <w:r>
                    <w:rPr>
                      <w:rFonts w:hint="eastAsia" w:ascii="Times New Roman" w:hAnsi="Times New Roman" w:cs="Times New Roman"/>
                      <w:color w:val="auto"/>
                      <w:highlight w:val="none"/>
                      <w:u w:val="none" w:color="auto"/>
                      <w:lang w:val="en-US" w:eastAsia="zh-CN"/>
                    </w:rPr>
                    <w:t>）</w:t>
                  </w:r>
                </w:p>
              </w:tc>
              <w:tc>
                <w:tcPr>
                  <w:tcW w:w="982" w:type="pct"/>
                  <w:tcBorders>
                    <w:tl2br w:val="nil"/>
                    <w:tr2bl w:val="nil"/>
                  </w:tcBorders>
                  <w:noWrap w:val="0"/>
                  <w:vAlign w:val="center"/>
                </w:tcPr>
                <w:p w14:paraId="2163C973">
                  <w:pPr>
                    <w:bidi w:val="0"/>
                    <w:jc w:val="center"/>
                    <w:rPr>
                      <w:rFonts w:hint="default" w:eastAsia="宋体" w:cs="Times New Roman"/>
                      <w:color w:val="auto"/>
                      <w:highlight w:val="none"/>
                      <w:u w:val="none" w:color="auto"/>
                      <w:lang w:val="en-US" w:eastAsia="zh-CN"/>
                    </w:rPr>
                  </w:pPr>
                  <w:r>
                    <w:rPr>
                      <w:rFonts w:hint="eastAsia" w:cs="Times New Roman"/>
                      <w:color w:val="auto"/>
                      <w:highlight w:val="none"/>
                      <w:u w:val="none" w:color="auto"/>
                      <w:lang w:val="en-US" w:eastAsia="zh-CN"/>
                    </w:rPr>
                    <w:t>12t/a</w:t>
                  </w:r>
                </w:p>
              </w:tc>
              <w:tc>
                <w:tcPr>
                  <w:tcW w:w="918" w:type="pct"/>
                  <w:tcBorders>
                    <w:tl2br w:val="nil"/>
                    <w:tr2bl w:val="nil"/>
                  </w:tcBorders>
                  <w:noWrap w:val="0"/>
                  <w:vAlign w:val="center"/>
                </w:tcPr>
                <w:p w14:paraId="2F48EE4F">
                  <w:pPr>
                    <w:bidi w:val="0"/>
                    <w:jc w:val="center"/>
                    <w:rPr>
                      <w:rFonts w:hint="default"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3D86AB6B">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1</w:t>
                  </w:r>
                  <w:r>
                    <w:rPr>
                      <w:rFonts w:hint="eastAsia" w:ascii="Times New Roman" w:hAnsi="Times New Roman" w:cs="Times New Roman"/>
                      <w:color w:val="auto"/>
                      <w:highlight w:val="none"/>
                      <w:u w:val="none" w:color="auto"/>
                      <w:lang w:val="en-US" w:eastAsia="zh-CN"/>
                    </w:rPr>
                    <w:t>t</w:t>
                  </w:r>
                </w:p>
              </w:tc>
              <w:tc>
                <w:tcPr>
                  <w:tcW w:w="1305" w:type="pct"/>
                  <w:tcBorders>
                    <w:tl2br w:val="nil"/>
                    <w:tr2bl w:val="nil"/>
                  </w:tcBorders>
                  <w:noWrap w:val="0"/>
                  <w:vAlign w:val="center"/>
                </w:tcPr>
                <w:p w14:paraId="0EFDD84F">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外购，辅料</w:t>
                  </w:r>
                </w:p>
              </w:tc>
            </w:tr>
            <w:tr w14:paraId="6CBA6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328C130D">
                  <w:pPr>
                    <w:keepNext w:val="0"/>
                    <w:keepLines w:val="0"/>
                    <w:widowControl/>
                    <w:suppressLineNumbers w:val="0"/>
                    <w:jc w:val="center"/>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机油</w:t>
                  </w:r>
                </w:p>
              </w:tc>
              <w:tc>
                <w:tcPr>
                  <w:tcW w:w="982" w:type="pct"/>
                  <w:tcBorders>
                    <w:tl2br w:val="nil"/>
                    <w:tr2bl w:val="nil"/>
                  </w:tcBorders>
                  <w:noWrap w:val="0"/>
                  <w:vAlign w:val="center"/>
                </w:tcPr>
                <w:p w14:paraId="4706381B">
                  <w:pPr>
                    <w:bidi w:val="0"/>
                    <w:jc w:val="center"/>
                    <w:rPr>
                      <w:rFonts w:hint="default" w:eastAsia="宋体" w:cs="Times New Roman"/>
                      <w:color w:val="auto"/>
                      <w:highlight w:val="none"/>
                      <w:u w:val="none" w:color="auto"/>
                      <w:lang w:val="en-US" w:eastAsia="zh-CN"/>
                    </w:rPr>
                  </w:pPr>
                  <w:r>
                    <w:rPr>
                      <w:rFonts w:hint="eastAsia" w:cs="Times New Roman"/>
                      <w:color w:val="auto"/>
                      <w:highlight w:val="none"/>
                      <w:u w:val="none" w:color="auto"/>
                      <w:lang w:val="en-US" w:eastAsia="zh-CN"/>
                    </w:rPr>
                    <w:t>2</w:t>
                  </w:r>
                </w:p>
              </w:tc>
              <w:tc>
                <w:tcPr>
                  <w:tcW w:w="918" w:type="pct"/>
                  <w:tcBorders>
                    <w:tl2br w:val="nil"/>
                    <w:tr2bl w:val="nil"/>
                  </w:tcBorders>
                  <w:noWrap w:val="0"/>
                  <w:vAlign w:val="center"/>
                </w:tcPr>
                <w:p w14:paraId="461302F8">
                  <w:pPr>
                    <w:bidi w:val="0"/>
                    <w:jc w:val="center"/>
                    <w:rPr>
                      <w:rFonts w:hint="eastAsia"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7DC5582D">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0.5</w:t>
                  </w:r>
                  <w:r>
                    <w:rPr>
                      <w:rFonts w:hint="eastAsia" w:ascii="Times New Roman" w:hAnsi="Times New Roman" w:cs="Times New Roman"/>
                      <w:color w:val="auto"/>
                      <w:highlight w:val="none"/>
                      <w:u w:val="none" w:color="auto"/>
                      <w:lang w:val="en-US" w:eastAsia="zh-CN"/>
                    </w:rPr>
                    <w:t>t</w:t>
                  </w:r>
                </w:p>
              </w:tc>
              <w:tc>
                <w:tcPr>
                  <w:tcW w:w="1305" w:type="pct"/>
                  <w:tcBorders>
                    <w:tl2br w:val="nil"/>
                    <w:tr2bl w:val="nil"/>
                  </w:tcBorders>
                  <w:noWrap w:val="0"/>
                  <w:vAlign w:val="center"/>
                </w:tcPr>
                <w:p w14:paraId="53593F5A">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外购，辅料</w:t>
                  </w:r>
                </w:p>
              </w:tc>
            </w:tr>
          </w:tbl>
          <w:p w14:paraId="6839EA3F">
            <w:pPr>
              <w:pStyle w:val="50"/>
              <w:keepNext w:val="0"/>
              <w:keepLines w:val="0"/>
              <w:pageBreakBefore w:val="0"/>
              <w:widowControl w:val="0"/>
              <w:kinsoku/>
              <w:wordWrap/>
              <w:overflowPunct/>
              <w:topLinePunct w:val="0"/>
              <w:autoSpaceDE/>
              <w:autoSpaceDN/>
              <w:bidi w:val="0"/>
              <w:adjustRightInd/>
              <w:snapToGrid/>
              <w:spacing w:line="240" w:lineRule="auto"/>
              <w:ind w:left="0" w:firstLine="400" w:firstLineChars="200"/>
              <w:jc w:val="both"/>
              <w:textAlignment w:val="auto"/>
              <w:rPr>
                <w:color w:val="auto"/>
              </w:rPr>
            </w:pPr>
            <w:r>
              <w:rPr>
                <w:rFonts w:hint="eastAsia"/>
                <w:color w:val="auto"/>
                <w:szCs w:val="21"/>
                <w:u w:val="none"/>
              </w:rPr>
              <w:t>注：本项目原料来源合法，原料提供企业均有合法手续，</w:t>
            </w:r>
            <w:r>
              <w:rPr>
                <w:color w:val="auto"/>
              </w:rPr>
              <w:t>本环评要求企业所用原料须合法采购，不得外购含重金属及</w:t>
            </w:r>
            <w:r>
              <w:rPr>
                <w:color w:val="auto"/>
                <w:spacing w:val="-3"/>
              </w:rPr>
              <w:t>危险废物的砂石。本项目不得自行开采原料矿石、河砂进行</w:t>
            </w:r>
            <w:r>
              <w:rPr>
                <w:color w:val="auto"/>
                <w:spacing w:val="-4"/>
              </w:rPr>
              <w:t>加工，严禁使用Ⅱ</w:t>
            </w:r>
            <w:r>
              <w:rPr>
                <w:color w:val="auto"/>
                <w:spacing w:val="-3"/>
              </w:rPr>
              <w:t>类固废以上的边角余料，严禁使用非法开采的花岗岩、开发</w:t>
            </w:r>
            <w:r>
              <w:rPr>
                <w:color w:val="auto"/>
                <w:spacing w:val="-4"/>
              </w:rPr>
              <w:t>建设活动中剥离的</w:t>
            </w:r>
            <w:r>
              <w:rPr>
                <w:color w:val="auto"/>
                <w:spacing w:val="-1"/>
              </w:rPr>
              <w:t>表土、矿石开采的盖山土、含泥废石及放射性超标的砂石。</w:t>
            </w:r>
          </w:p>
          <w:p w14:paraId="7E34B892">
            <w:pPr>
              <w:pStyle w:val="50"/>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color w:val="auto"/>
                <w:sz w:val="24"/>
                <w:szCs w:val="24"/>
              </w:rPr>
            </w:pPr>
            <w:r>
              <w:rPr>
                <w:b/>
                <w:bCs/>
                <w:color w:val="auto"/>
                <w:spacing w:val="-4"/>
                <w:sz w:val="24"/>
                <w:szCs w:val="24"/>
              </w:rPr>
              <w:t>聚丙烯酰胺</w:t>
            </w:r>
            <w:r>
              <w:rPr>
                <w:color w:val="auto"/>
                <w:spacing w:val="-4"/>
                <w:sz w:val="24"/>
                <w:szCs w:val="24"/>
              </w:rPr>
              <w:t>：在常温下为坚硬的玻璃状固体，产品为胶液、胶乳</w:t>
            </w:r>
            <w:r>
              <w:rPr>
                <w:color w:val="auto"/>
                <w:spacing w:val="-5"/>
                <w:sz w:val="24"/>
                <w:szCs w:val="24"/>
              </w:rPr>
              <w:t>和白色粉</w:t>
            </w:r>
            <w:r>
              <w:rPr>
                <w:color w:val="auto"/>
                <w:spacing w:val="-4"/>
                <w:sz w:val="24"/>
                <w:szCs w:val="24"/>
              </w:rPr>
              <w:t>粒、半透明珠粒和薄片等。热稳定性良好，由丙烯酰胺</w:t>
            </w:r>
            <w:r>
              <w:rPr>
                <w:color w:val="auto"/>
                <w:spacing w:val="-5"/>
                <w:sz w:val="24"/>
                <w:szCs w:val="24"/>
              </w:rPr>
              <w:t>（</w:t>
            </w:r>
            <w:r>
              <w:rPr>
                <w:rFonts w:ascii="Times New Roman" w:hAnsi="Times New Roman" w:eastAsia="Times New Roman" w:cs="Times New Roman"/>
                <w:color w:val="auto"/>
                <w:spacing w:val="-5"/>
                <w:sz w:val="24"/>
                <w:szCs w:val="24"/>
              </w:rPr>
              <w:t>PAM</w:t>
            </w:r>
            <w:r>
              <w:rPr>
                <w:color w:val="auto"/>
                <w:spacing w:val="-5"/>
                <w:sz w:val="24"/>
                <w:szCs w:val="24"/>
              </w:rPr>
              <w:t>）单体经自由基</w:t>
            </w:r>
            <w:r>
              <w:rPr>
                <w:color w:val="auto"/>
                <w:sz w:val="24"/>
                <w:szCs w:val="24"/>
              </w:rPr>
              <w:fldChar w:fldCharType="begin"/>
            </w:r>
            <w:r>
              <w:rPr>
                <w:color w:val="auto"/>
                <w:sz w:val="24"/>
                <w:szCs w:val="24"/>
              </w:rPr>
              <w:instrText xml:space="preserve"> HYPERLINK "https://baike.baidu.com/item/%E9%AB%98%E5%88%86%E5%AD%90%E8%81%9A%E5%90%88%E7%89%A9?fromModule=lemma_inlink" </w:instrText>
            </w:r>
            <w:r>
              <w:rPr>
                <w:color w:val="auto"/>
                <w:sz w:val="24"/>
                <w:szCs w:val="24"/>
              </w:rPr>
              <w:fldChar w:fldCharType="separate"/>
            </w:r>
            <w:r>
              <w:rPr>
                <w:color w:val="auto"/>
                <w:spacing w:val="-3"/>
                <w:sz w:val="24"/>
                <w:szCs w:val="24"/>
              </w:rPr>
              <w:t>引发聚合而成的水溶性线性高分子聚合物</w:t>
            </w:r>
            <w:r>
              <w:rPr>
                <w:color w:val="auto"/>
                <w:spacing w:val="-3"/>
                <w:sz w:val="24"/>
                <w:szCs w:val="24"/>
              </w:rPr>
              <w:fldChar w:fldCharType="end"/>
            </w:r>
            <w:r>
              <w:rPr>
                <w:color w:val="auto"/>
                <w:spacing w:val="-3"/>
                <w:sz w:val="24"/>
                <w:szCs w:val="24"/>
              </w:rPr>
              <w:t>，具有良好的絮</w:t>
            </w:r>
            <w:r>
              <w:rPr>
                <w:color w:val="auto"/>
                <w:spacing w:val="-4"/>
                <w:sz w:val="24"/>
                <w:szCs w:val="24"/>
              </w:rPr>
              <w:t>凝性，可以降低液体</w:t>
            </w:r>
            <w:r>
              <w:rPr>
                <w:color w:val="auto"/>
                <w:spacing w:val="-3"/>
                <w:sz w:val="24"/>
                <w:szCs w:val="24"/>
              </w:rPr>
              <w:t>之间的摩擦阻力，按离子特性分可分为非离子、阴离子、</w:t>
            </w:r>
            <w:r>
              <w:rPr>
                <w:color w:val="auto"/>
                <w:spacing w:val="-4"/>
                <w:sz w:val="24"/>
                <w:szCs w:val="24"/>
              </w:rPr>
              <w:t>阳离子和两性型四种</w:t>
            </w:r>
            <w:r>
              <w:rPr>
                <w:color w:val="auto"/>
                <w:spacing w:val="-3"/>
                <w:sz w:val="24"/>
                <w:szCs w:val="24"/>
              </w:rPr>
              <w:t>类型。在适宜的低浓度下，聚丙烯酰胺溶液可视为网</w:t>
            </w:r>
            <w:r>
              <w:rPr>
                <w:color w:val="auto"/>
                <w:spacing w:val="-4"/>
                <w:sz w:val="24"/>
                <w:szCs w:val="24"/>
              </w:rPr>
              <w:t>状结构，链间机械的缠结</w:t>
            </w:r>
            <w:r>
              <w:rPr>
                <w:color w:val="auto"/>
                <w:spacing w:val="-3"/>
                <w:sz w:val="24"/>
                <w:szCs w:val="24"/>
              </w:rPr>
              <w:t>和氢键共同形成网状节点；浓度较高时，由于溶液含有许</w:t>
            </w:r>
            <w:r>
              <w:rPr>
                <w:color w:val="auto"/>
                <w:spacing w:val="-4"/>
                <w:sz w:val="24"/>
                <w:szCs w:val="24"/>
              </w:rPr>
              <w:t>多链一链接触点，使得</w:t>
            </w:r>
            <w:r>
              <w:rPr>
                <w:color w:val="auto"/>
                <w:spacing w:val="-43"/>
                <w:sz w:val="24"/>
                <w:szCs w:val="24"/>
              </w:rPr>
              <w:t xml:space="preserve"> </w:t>
            </w:r>
            <w:r>
              <w:rPr>
                <w:rFonts w:ascii="Times New Roman" w:hAnsi="Times New Roman" w:eastAsia="Times New Roman" w:cs="Times New Roman"/>
                <w:color w:val="auto"/>
                <w:spacing w:val="-4"/>
                <w:sz w:val="24"/>
                <w:szCs w:val="24"/>
              </w:rPr>
              <w:t>PAM</w:t>
            </w:r>
            <w:r>
              <w:rPr>
                <w:color w:val="auto"/>
                <w:spacing w:val="-4"/>
                <w:sz w:val="24"/>
                <w:szCs w:val="24"/>
              </w:rPr>
              <w:t>溶液呈凝胶状。</w:t>
            </w:r>
            <w:r>
              <w:rPr>
                <w:rFonts w:ascii="Times New Roman" w:hAnsi="Times New Roman" w:eastAsia="Times New Roman" w:cs="Times New Roman"/>
                <w:color w:val="auto"/>
                <w:spacing w:val="-4"/>
                <w:sz w:val="24"/>
                <w:szCs w:val="24"/>
              </w:rPr>
              <w:t>PAM</w:t>
            </w:r>
            <w:r>
              <w:rPr>
                <w:color w:val="auto"/>
                <w:spacing w:val="-4"/>
                <w:sz w:val="24"/>
                <w:szCs w:val="24"/>
              </w:rPr>
              <w:t>水溶液与许多能和水互溶的有机物有很好的相容</w:t>
            </w:r>
            <w:r>
              <w:rPr>
                <w:color w:val="auto"/>
                <w:spacing w:val="-1"/>
                <w:sz w:val="24"/>
                <w:szCs w:val="24"/>
              </w:rPr>
              <w:t>性，对电解质有很好的相容性。本项目主要用于污水处理的絮凝剂。</w:t>
            </w:r>
          </w:p>
          <w:p w14:paraId="20DE8B7C">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硅砂的采购情况及元素成分分析结果：</w:t>
            </w:r>
          </w:p>
          <w:p w14:paraId="289A20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48"/>
                <w:rFonts w:hint="eastAsia"/>
                <w:color w:val="auto"/>
                <w:highlight w:val="none"/>
                <w:u w:val="none" w:color="auto"/>
                <w:lang w:val="en-US" w:eastAsia="zh-CN"/>
              </w:rPr>
            </w:pPr>
            <w:r>
              <w:rPr>
                <w:rStyle w:val="48"/>
                <w:rFonts w:hint="eastAsia" w:ascii="Times New Roman" w:hAnsi="Times New Roman" w:eastAsia="宋体" w:cs="Times New Roman"/>
                <w:color w:val="auto"/>
                <w:kern w:val="0"/>
                <w:highlight w:val="none"/>
                <w:u w:val="none" w:color="auto"/>
                <w:lang w:val="en-US" w:eastAsia="zh-CN"/>
              </w:rPr>
              <w:t>本项目采购均为硅砂，根据</w:t>
            </w:r>
            <w:r>
              <w:rPr>
                <w:rStyle w:val="48"/>
                <w:rFonts w:ascii="Times New Roman" w:hAnsi="Times New Roman" w:eastAsia="宋体" w:cs="Times New Roman"/>
                <w:color w:val="auto"/>
                <w:kern w:val="0"/>
                <w:highlight w:val="none"/>
                <w:u w:val="none" w:color="auto"/>
                <w:lang w:val="en-US" w:eastAsia="zh-CN"/>
              </w:rPr>
              <w:t>长沙矿冶院检测技术有限责任公司</w:t>
            </w:r>
            <w:r>
              <w:rPr>
                <w:rStyle w:val="48"/>
                <w:rFonts w:hint="eastAsia"/>
                <w:color w:val="auto"/>
                <w:highlight w:val="none"/>
                <w:u w:val="none" w:color="auto"/>
                <w:lang w:val="en-US" w:eastAsia="zh-CN"/>
              </w:rPr>
              <w:t>提供的检测报告（见附件5），</w:t>
            </w:r>
            <w:r>
              <w:rPr>
                <w:rStyle w:val="48"/>
                <w:color w:val="auto"/>
                <w:highlight w:val="none"/>
                <w:u w:val="none" w:color="auto"/>
                <w:lang w:val="en-US" w:eastAsia="zh-CN"/>
              </w:rPr>
              <w:t>本</w:t>
            </w:r>
            <w:r>
              <w:rPr>
                <w:rStyle w:val="48"/>
                <w:rFonts w:hint="eastAsia"/>
                <w:color w:val="auto"/>
                <w:highlight w:val="none"/>
                <w:u w:val="none" w:color="auto"/>
                <w:lang w:val="en-US" w:eastAsia="zh-CN"/>
              </w:rPr>
              <w:t>项目外购矿石成分表见下表</w:t>
            </w:r>
            <w:r>
              <w:rPr>
                <w:rStyle w:val="48"/>
                <w:rFonts w:hint="default"/>
                <w:color w:val="auto"/>
                <w:highlight w:val="none"/>
                <w:u w:val="none" w:color="auto"/>
                <w:lang w:val="en-US" w:eastAsia="zh-CN"/>
              </w:rPr>
              <w:t>2-</w:t>
            </w:r>
            <w:r>
              <w:rPr>
                <w:rStyle w:val="48"/>
                <w:rFonts w:hint="eastAsia"/>
                <w:color w:val="auto"/>
                <w:highlight w:val="none"/>
                <w:u w:val="none" w:color="auto"/>
                <w:lang w:val="en-US" w:eastAsia="zh-CN"/>
              </w:rPr>
              <w:t>6。</w:t>
            </w:r>
          </w:p>
          <w:p w14:paraId="0AE55707">
            <w:pPr>
              <w:pStyle w:val="42"/>
              <w:bidi w:val="0"/>
              <w:jc w:val="center"/>
              <w:rPr>
                <w:rFonts w:hint="eastAsia"/>
                <w:b/>
                <w:bCs/>
                <w:color w:val="auto"/>
                <w:highlight w:val="none"/>
                <w:u w:val="none" w:color="auto"/>
                <w:lang w:val="en-US" w:eastAsia="zh-CN"/>
              </w:rPr>
            </w:pPr>
            <w:r>
              <w:rPr>
                <w:rFonts w:hint="eastAsia"/>
                <w:b/>
                <w:bCs/>
                <w:color w:val="auto"/>
                <w:highlight w:val="none"/>
                <w:u w:val="none" w:color="auto"/>
                <w:lang w:val="en-US" w:eastAsia="zh-CN"/>
              </w:rPr>
              <w:t>表2-6   本项目矿石多元素分析结果一览表(%)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955"/>
              <w:gridCol w:w="1955"/>
              <w:gridCol w:w="1955"/>
            </w:tblGrid>
            <w:tr w14:paraId="66321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49" w:type="pct"/>
                  <w:tcBorders>
                    <w:tl2br w:val="nil"/>
                    <w:tr2bl w:val="nil"/>
                  </w:tcBorders>
                  <w:vAlign w:val="center"/>
                </w:tcPr>
                <w:p w14:paraId="1F430C82">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SiO</w:t>
                  </w:r>
                  <w:r>
                    <w:rPr>
                      <w:rFonts w:hint="default" w:ascii="Times New Roman" w:hAnsi="Times New Roman" w:eastAsia="宋体" w:cs="Times New Roman"/>
                      <w:b/>
                      <w:bCs/>
                      <w:color w:val="auto"/>
                      <w:kern w:val="0"/>
                      <w:sz w:val="21"/>
                      <w:szCs w:val="20"/>
                      <w:highlight w:val="none"/>
                      <w:u w:val="none" w:color="auto"/>
                      <w:vertAlign w:val="subscript"/>
                      <w:lang w:val="en-US" w:eastAsia="zh-CN" w:bidi="ar-SA"/>
                    </w:rPr>
                    <w:t>2</w:t>
                  </w:r>
                </w:p>
              </w:tc>
              <w:tc>
                <w:tcPr>
                  <w:tcW w:w="1250" w:type="pct"/>
                  <w:tcBorders>
                    <w:tl2br w:val="nil"/>
                    <w:tr2bl w:val="nil"/>
                  </w:tcBorders>
                  <w:vAlign w:val="center"/>
                </w:tcPr>
                <w:p w14:paraId="731EB1C5">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Fe</w:t>
                  </w:r>
                </w:p>
              </w:tc>
              <w:tc>
                <w:tcPr>
                  <w:tcW w:w="1250" w:type="pct"/>
                  <w:tcBorders>
                    <w:tl2br w:val="nil"/>
                    <w:tr2bl w:val="nil"/>
                  </w:tcBorders>
                  <w:vAlign w:val="center"/>
                </w:tcPr>
                <w:p w14:paraId="6AE35636">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Al</w:t>
                  </w:r>
                </w:p>
              </w:tc>
              <w:tc>
                <w:tcPr>
                  <w:tcW w:w="1250" w:type="pct"/>
                  <w:tcBorders>
                    <w:tl2br w:val="nil"/>
                    <w:tr2bl w:val="nil"/>
                  </w:tcBorders>
                  <w:vAlign w:val="center"/>
                </w:tcPr>
                <w:p w14:paraId="5996242E">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Ca</w:t>
                  </w:r>
                </w:p>
              </w:tc>
            </w:tr>
            <w:tr w14:paraId="486B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pct"/>
                  <w:tcBorders>
                    <w:tl2br w:val="nil"/>
                    <w:tr2bl w:val="nil"/>
                  </w:tcBorders>
                  <w:vAlign w:val="center"/>
                </w:tcPr>
                <w:p w14:paraId="7A194E55">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96.45</w:t>
                  </w:r>
                </w:p>
              </w:tc>
              <w:tc>
                <w:tcPr>
                  <w:tcW w:w="1250" w:type="pct"/>
                  <w:tcBorders>
                    <w:tl2br w:val="nil"/>
                    <w:tr2bl w:val="nil"/>
                  </w:tcBorders>
                  <w:vAlign w:val="center"/>
                </w:tcPr>
                <w:p w14:paraId="760BB0E6">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0.060</w:t>
                  </w:r>
                </w:p>
              </w:tc>
              <w:tc>
                <w:tcPr>
                  <w:tcW w:w="1250" w:type="pct"/>
                  <w:tcBorders>
                    <w:tl2br w:val="nil"/>
                    <w:tr2bl w:val="nil"/>
                  </w:tcBorders>
                  <w:vAlign w:val="center"/>
                </w:tcPr>
                <w:p w14:paraId="286EAE8B">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0.75</w:t>
                  </w:r>
                </w:p>
              </w:tc>
              <w:tc>
                <w:tcPr>
                  <w:tcW w:w="1250" w:type="pct"/>
                  <w:tcBorders>
                    <w:tl2br w:val="nil"/>
                    <w:tr2bl w:val="nil"/>
                  </w:tcBorders>
                  <w:vAlign w:val="center"/>
                </w:tcPr>
                <w:p w14:paraId="661DB678">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0.066</w:t>
                  </w:r>
                </w:p>
              </w:tc>
            </w:tr>
            <w:tr w14:paraId="2B641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70FA0F9A">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P</w:t>
                  </w:r>
                </w:p>
              </w:tc>
              <w:tc>
                <w:tcPr>
                  <w:tcW w:w="1250" w:type="pct"/>
                  <w:tcBorders>
                    <w:tl2br w:val="nil"/>
                    <w:tr2bl w:val="nil"/>
                  </w:tcBorders>
                  <w:vAlign w:val="center"/>
                </w:tcPr>
                <w:p w14:paraId="1A161D12">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Ti</w:t>
                  </w:r>
                </w:p>
              </w:tc>
              <w:tc>
                <w:tcPr>
                  <w:tcW w:w="1250" w:type="pct"/>
                  <w:tcBorders>
                    <w:tl2br w:val="nil"/>
                    <w:tr2bl w:val="nil"/>
                  </w:tcBorders>
                  <w:vAlign w:val="center"/>
                </w:tcPr>
                <w:p w14:paraId="4760DA54">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CaO</w:t>
                  </w:r>
                </w:p>
              </w:tc>
              <w:tc>
                <w:tcPr>
                  <w:tcW w:w="1250" w:type="pct"/>
                  <w:tcBorders>
                    <w:tl2br w:val="nil"/>
                    <w:tr2bl w:val="nil"/>
                  </w:tcBorders>
                  <w:vAlign w:val="center"/>
                </w:tcPr>
                <w:p w14:paraId="0652FCE3">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w:t>
                  </w:r>
                </w:p>
              </w:tc>
            </w:tr>
            <w:tr w14:paraId="1C5D2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64991478">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0.0056</w:t>
                  </w:r>
                </w:p>
              </w:tc>
              <w:tc>
                <w:tcPr>
                  <w:tcW w:w="1250" w:type="pct"/>
                  <w:tcBorders>
                    <w:tl2br w:val="nil"/>
                    <w:tr2bl w:val="nil"/>
                  </w:tcBorders>
                  <w:vAlign w:val="center"/>
                </w:tcPr>
                <w:p w14:paraId="6A103FB2">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0.096</w:t>
                  </w:r>
                </w:p>
              </w:tc>
              <w:tc>
                <w:tcPr>
                  <w:tcW w:w="1250" w:type="pct"/>
                  <w:tcBorders>
                    <w:tl2br w:val="nil"/>
                    <w:tr2bl w:val="nil"/>
                  </w:tcBorders>
                  <w:vAlign w:val="center"/>
                </w:tcPr>
                <w:p w14:paraId="5DC8DE9A">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23.49</w:t>
                  </w:r>
                </w:p>
              </w:tc>
              <w:tc>
                <w:tcPr>
                  <w:tcW w:w="1250" w:type="pct"/>
                  <w:tcBorders>
                    <w:tl2br w:val="nil"/>
                    <w:tr2bl w:val="nil"/>
                  </w:tcBorders>
                  <w:vAlign w:val="center"/>
                </w:tcPr>
                <w:p w14:paraId="0E94DE93">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w:t>
                  </w:r>
                </w:p>
              </w:tc>
            </w:tr>
          </w:tbl>
          <w:p w14:paraId="2D9B3E2D">
            <w:pPr>
              <w:pStyle w:val="37"/>
              <w:bidi w:val="0"/>
              <w:rPr>
                <w:rFonts w:hint="default"/>
                <w:color w:val="auto"/>
                <w:highlight w:val="none"/>
                <w:u w:val="none" w:color="auto"/>
              </w:rPr>
            </w:pPr>
            <w:r>
              <w:rPr>
                <w:rStyle w:val="48"/>
                <w:color w:val="auto"/>
                <w:highlight w:val="none"/>
                <w:u w:val="none" w:color="auto"/>
                <w:lang w:val="en-US" w:eastAsia="zh-CN"/>
              </w:rPr>
              <w:t>本</w:t>
            </w:r>
            <w:r>
              <w:rPr>
                <w:rStyle w:val="48"/>
                <w:rFonts w:hint="eastAsia"/>
                <w:color w:val="auto"/>
                <w:highlight w:val="none"/>
                <w:u w:val="none" w:color="auto"/>
                <w:lang w:val="en-US" w:eastAsia="zh-CN"/>
              </w:rPr>
              <w:t>项目</w:t>
            </w:r>
            <w:r>
              <w:rPr>
                <w:rFonts w:hint="eastAsia"/>
                <w:color w:val="auto"/>
                <w:highlight w:val="none"/>
                <w:u w:val="none" w:color="auto"/>
                <w:lang w:val="en-US" w:eastAsia="zh-CN"/>
              </w:rPr>
              <w:t>能耗情况</w:t>
            </w:r>
            <w:r>
              <w:rPr>
                <w:rFonts w:hint="default"/>
                <w:color w:val="auto"/>
                <w:highlight w:val="none"/>
                <w:u w:val="none" w:color="auto"/>
              </w:rPr>
              <w:t>见</w:t>
            </w:r>
            <w:r>
              <w:rPr>
                <w:rFonts w:hint="default"/>
                <w:color w:val="auto"/>
                <w:highlight w:val="none"/>
                <w:u w:val="none" w:color="auto"/>
                <w:lang w:val="en-US" w:eastAsia="zh-CN"/>
              </w:rPr>
              <w:t>表2-</w:t>
            </w:r>
            <w:r>
              <w:rPr>
                <w:rFonts w:hint="eastAsia"/>
                <w:color w:val="auto"/>
                <w:highlight w:val="none"/>
                <w:u w:val="none" w:color="auto"/>
                <w:lang w:val="en-US" w:eastAsia="zh-CN"/>
              </w:rPr>
              <w:t>7。</w:t>
            </w:r>
          </w:p>
          <w:p w14:paraId="542E96D6">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w:t>
            </w:r>
            <w:r>
              <w:rPr>
                <w:rFonts w:hint="default" w:ascii="Times New Roman" w:hAnsi="Times New Roman"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rPr>
              <w:t>-</w:t>
            </w:r>
            <w:r>
              <w:rPr>
                <w:rFonts w:hint="eastAsia" w:cs="Times New Roman"/>
                <w:b/>
                <w:bCs/>
                <w:color w:val="auto"/>
                <w:highlight w:val="none"/>
                <w:u w:val="none" w:color="auto"/>
                <w:lang w:val="en-US" w:eastAsia="zh-CN"/>
              </w:rPr>
              <w:t>7</w:t>
            </w:r>
            <w:r>
              <w:rPr>
                <w:rFonts w:hint="default" w:ascii="Times New Roman" w:hAnsi="Times New Roman" w:cs="Times New Roman"/>
                <w:b/>
                <w:bCs/>
                <w:color w:val="auto"/>
                <w:highlight w:val="none"/>
                <w:u w:val="none" w:color="auto"/>
                <w:lang w:val="en-US" w:eastAsia="zh-CN"/>
              </w:rPr>
              <w:t xml:space="preserve"> </w:t>
            </w:r>
            <w:r>
              <w:rPr>
                <w:rFonts w:hint="eastAsia"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能源消耗情况</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8"/>
              <w:gridCol w:w="929"/>
              <w:gridCol w:w="1120"/>
              <w:gridCol w:w="1095"/>
              <w:gridCol w:w="3967"/>
            </w:tblGrid>
            <w:tr w14:paraId="71B3F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453" w:type="pct"/>
                  <w:noWrap w:val="0"/>
                  <w:vAlign w:val="center"/>
                </w:tcPr>
                <w:p w14:paraId="5C84DC8F">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序号</w:t>
                  </w:r>
                </w:p>
              </w:tc>
              <w:tc>
                <w:tcPr>
                  <w:tcW w:w="594" w:type="pct"/>
                  <w:noWrap w:val="0"/>
                  <w:vAlign w:val="center"/>
                </w:tcPr>
                <w:p w14:paraId="2F5E1AC8">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名称</w:t>
                  </w:r>
                </w:p>
              </w:tc>
              <w:tc>
                <w:tcPr>
                  <w:tcW w:w="716" w:type="pct"/>
                  <w:noWrap w:val="0"/>
                  <w:vAlign w:val="center"/>
                </w:tcPr>
                <w:p w14:paraId="09F51A1E">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lang w:val="en-US" w:eastAsia="zh-CN"/>
                    </w:rPr>
                    <w:t>年</w:t>
                  </w:r>
                  <w:r>
                    <w:rPr>
                      <w:rFonts w:hint="default" w:ascii="Times New Roman" w:hAnsi="Times New Roman" w:eastAsia="宋体" w:cs="Times New Roman"/>
                      <w:b/>
                      <w:bCs/>
                      <w:color w:val="auto"/>
                      <w:highlight w:val="none"/>
                      <w:u w:val="none" w:color="auto"/>
                    </w:rPr>
                    <w:t>定额</w:t>
                  </w:r>
                </w:p>
              </w:tc>
              <w:tc>
                <w:tcPr>
                  <w:tcW w:w="700" w:type="pct"/>
                  <w:noWrap w:val="0"/>
                  <w:vAlign w:val="center"/>
                </w:tcPr>
                <w:p w14:paraId="61841135">
                  <w:pPr>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rPr>
                    <w:t>单位</w:t>
                  </w:r>
                </w:p>
              </w:tc>
              <w:tc>
                <w:tcPr>
                  <w:tcW w:w="2536" w:type="pct"/>
                  <w:noWrap w:val="0"/>
                  <w:vAlign w:val="center"/>
                </w:tcPr>
                <w:p w14:paraId="05704190">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来源</w:t>
                  </w:r>
                </w:p>
              </w:tc>
            </w:tr>
            <w:tr w14:paraId="0EECA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noWrap w:val="0"/>
                  <w:vAlign w:val="center"/>
                </w:tcPr>
                <w:p w14:paraId="652AB582">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1</w:t>
                  </w:r>
                </w:p>
              </w:tc>
              <w:tc>
                <w:tcPr>
                  <w:tcW w:w="594" w:type="pct"/>
                  <w:noWrap w:val="0"/>
                  <w:vAlign w:val="center"/>
                </w:tcPr>
                <w:p w14:paraId="4671002B">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电</w:t>
                  </w:r>
                </w:p>
              </w:tc>
              <w:tc>
                <w:tcPr>
                  <w:tcW w:w="716" w:type="pct"/>
                  <w:noWrap w:val="0"/>
                  <w:vAlign w:val="center"/>
                </w:tcPr>
                <w:p w14:paraId="0F717C2C">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10</w:t>
                  </w:r>
                </w:p>
              </w:tc>
              <w:tc>
                <w:tcPr>
                  <w:tcW w:w="700" w:type="pct"/>
                  <w:noWrap w:val="0"/>
                  <w:vAlign w:val="center"/>
                </w:tcPr>
                <w:p w14:paraId="4B4C34ED">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万度</w:t>
                  </w:r>
                </w:p>
              </w:tc>
              <w:tc>
                <w:tcPr>
                  <w:tcW w:w="2536" w:type="pct"/>
                  <w:noWrap w:val="0"/>
                  <w:vAlign w:val="center"/>
                </w:tcPr>
                <w:p w14:paraId="451D99CB">
                  <w:pPr>
                    <w:jc w:val="center"/>
                    <w:rPr>
                      <w:rFonts w:hint="default" w:ascii="Times New Roman" w:hAnsi="Times New Roman" w:eastAsia="宋体" w:cs="Times New Roman"/>
                      <w:b w:val="0"/>
                      <w:bCs w:val="0"/>
                      <w:color w:val="auto"/>
                      <w:highlight w:val="none"/>
                      <w:u w:val="none" w:color="auto"/>
                    </w:rPr>
                  </w:pP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p>
              </w:tc>
            </w:tr>
            <w:tr w14:paraId="21C84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noWrap w:val="0"/>
                  <w:vAlign w:val="center"/>
                </w:tcPr>
                <w:p w14:paraId="2BDF0E34">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2</w:t>
                  </w:r>
                </w:p>
              </w:tc>
              <w:tc>
                <w:tcPr>
                  <w:tcW w:w="594" w:type="pct"/>
                  <w:noWrap w:val="0"/>
                  <w:vAlign w:val="center"/>
                </w:tcPr>
                <w:p w14:paraId="41F28FB3">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水</w:t>
                  </w:r>
                </w:p>
              </w:tc>
              <w:tc>
                <w:tcPr>
                  <w:tcW w:w="716" w:type="pct"/>
                  <w:noWrap w:val="0"/>
                  <w:vAlign w:val="center"/>
                </w:tcPr>
                <w:p w14:paraId="1F63435F">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1786.5</w:t>
                  </w:r>
                </w:p>
              </w:tc>
              <w:tc>
                <w:tcPr>
                  <w:tcW w:w="700" w:type="pct"/>
                  <w:noWrap w:val="0"/>
                  <w:vAlign w:val="center"/>
                </w:tcPr>
                <w:p w14:paraId="656248E7">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b w:val="0"/>
                      <w:bCs w:val="0"/>
                      <w:color w:val="auto"/>
                      <w:highlight w:val="none"/>
                      <w:u w:val="none" w:color="auto"/>
                      <w:lang w:val="en-US" w:eastAsia="zh-CN"/>
                    </w:rPr>
                    <w:t>m</w:t>
                  </w:r>
                  <w:r>
                    <w:rPr>
                      <w:rFonts w:hint="default" w:ascii="Times New Roman" w:hAnsi="Times New Roman" w:eastAsia="宋体" w:cs="Times New Roman"/>
                      <w:b w:val="0"/>
                      <w:bCs w:val="0"/>
                      <w:color w:val="auto"/>
                      <w:highlight w:val="none"/>
                      <w:u w:val="none" w:color="auto"/>
                      <w:vertAlign w:val="superscript"/>
                      <w:lang w:val="en-US" w:eastAsia="zh-CN"/>
                    </w:rPr>
                    <w:t>3</w:t>
                  </w:r>
                  <w:r>
                    <w:rPr>
                      <w:rFonts w:hint="default" w:ascii="Times New Roman" w:hAnsi="Times New Roman" w:eastAsia="宋体" w:cs="Times New Roman"/>
                      <w:b w:val="0"/>
                      <w:bCs w:val="0"/>
                      <w:color w:val="auto"/>
                      <w:highlight w:val="none"/>
                      <w:u w:val="none" w:color="auto"/>
                      <w:lang w:val="en-US" w:eastAsia="zh-CN"/>
                    </w:rPr>
                    <w:t>/a</w:t>
                  </w:r>
                </w:p>
              </w:tc>
              <w:tc>
                <w:tcPr>
                  <w:tcW w:w="2536" w:type="pct"/>
                  <w:noWrap w:val="0"/>
                  <w:vAlign w:val="center"/>
                </w:tcPr>
                <w:p w14:paraId="5C8E812E">
                  <w:pPr>
                    <w:jc w:val="center"/>
                    <w:rPr>
                      <w:rFonts w:hint="eastAsia" w:ascii="Times New Roman" w:hAnsi="Times New Roman" w:eastAsia="宋体" w:cs="Times New Roman"/>
                      <w:b w:val="0"/>
                      <w:bCs w:val="0"/>
                      <w:color w:val="auto"/>
                      <w:highlight w:val="none"/>
                      <w:u w:val="none" w:color="auto"/>
                      <w:lang w:eastAsia="zh-CN"/>
                    </w:rPr>
                  </w:pPr>
                  <w:r>
                    <w:rPr>
                      <w:rFonts w:hint="eastAsia" w:cs="Times New Roman"/>
                      <w:color w:val="auto"/>
                      <w:highlight w:val="none"/>
                      <w:u w:val="none" w:color="auto"/>
                      <w:lang w:val="en-US" w:eastAsia="zh-CN"/>
                    </w:rPr>
                    <w:t>市政供水</w:t>
                  </w:r>
                </w:p>
              </w:tc>
            </w:tr>
          </w:tbl>
          <w:p w14:paraId="2252CE89">
            <w:pPr>
              <w:pStyle w:val="37"/>
              <w:numPr>
                <w:ilvl w:val="0"/>
                <w:numId w:val="5"/>
              </w:numPr>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项目</w:t>
            </w:r>
            <w:r>
              <w:rPr>
                <w:rFonts w:hint="default" w:ascii="Times New Roman" w:hAnsi="Times New Roman" w:cs="Times New Roman"/>
                <w:b/>
                <w:bCs/>
                <w:color w:val="auto"/>
                <w:highlight w:val="none"/>
                <w:u w:val="none" w:color="auto"/>
              </w:rPr>
              <w:t>平面布置</w:t>
            </w:r>
          </w:p>
          <w:p w14:paraId="2A29E193">
            <w:pPr>
              <w:pStyle w:val="37"/>
              <w:bidi w:val="0"/>
              <w:rPr>
                <w:rFonts w:hint="default"/>
                <w:color w:val="auto"/>
                <w:highlight w:val="green"/>
                <w:u w:val="none" w:color="auto"/>
                <w:lang w:val="en-US" w:eastAsia="zh-CN"/>
              </w:rPr>
            </w:pPr>
            <w:r>
              <w:rPr>
                <w:color w:val="auto"/>
                <w:highlight w:val="none"/>
                <w:u w:val="none" w:color="auto"/>
              </w:rPr>
              <w:t>本项目</w:t>
            </w:r>
            <w:r>
              <w:rPr>
                <w:rFonts w:hint="eastAsia"/>
                <w:color w:val="auto"/>
                <w:highlight w:val="none"/>
                <w:u w:val="none" w:color="auto"/>
                <w:lang w:val="en-US" w:eastAsia="zh-CN"/>
              </w:rPr>
              <w:t>位于湖南省岳阳市</w:t>
            </w:r>
            <w:r>
              <w:rPr>
                <w:rFonts w:hint="eastAsia" w:cs="Times New Roman"/>
                <w:color w:val="auto"/>
                <w:highlight w:val="none"/>
                <w:u w:val="none" w:color="auto"/>
                <w:lang w:val="en-US" w:eastAsia="zh-CN"/>
              </w:rPr>
              <w:t>岳阳县新墙镇燎原村沙河片二组</w:t>
            </w:r>
            <w:r>
              <w:rPr>
                <w:color w:val="auto"/>
                <w:highlight w:val="none"/>
                <w:u w:val="none" w:color="auto"/>
              </w:rPr>
              <w:t>。</w:t>
            </w:r>
            <w:r>
              <w:rPr>
                <w:rFonts w:hint="eastAsia" w:cs="Times New Roman"/>
                <w:color w:val="auto"/>
                <w:highlight w:val="none"/>
                <w:u w:val="none" w:color="auto"/>
                <w:lang w:val="en-US" w:eastAsia="zh-CN"/>
              </w:rPr>
              <w:t>厂区</w:t>
            </w:r>
            <w:r>
              <w:rPr>
                <w:rFonts w:hint="eastAsia"/>
                <w:color w:val="auto"/>
                <w:highlight w:val="none"/>
                <w:u w:val="none" w:color="auto"/>
                <w:lang w:val="en-US" w:eastAsia="zh-CN"/>
              </w:rPr>
              <w:t>呈矩形集中布局，确保生产流程高效顺畅。由南向北依次为员工宿舍、成品仓库、生产车间、原辅料仓库、循环水池（1000m</w:t>
            </w:r>
            <w:r>
              <w:rPr>
                <w:rFonts w:hint="eastAsia"/>
                <w:color w:val="auto"/>
                <w:highlight w:val="none"/>
                <w:u w:val="none" w:color="auto"/>
                <w:vertAlign w:val="superscript"/>
                <w:lang w:val="en-US" w:eastAsia="zh-CN"/>
              </w:rPr>
              <w:t>3</w:t>
            </w:r>
            <w:r>
              <w:rPr>
                <w:rFonts w:hint="eastAsia"/>
                <w:color w:val="auto"/>
                <w:highlight w:val="none"/>
                <w:u w:val="none" w:color="auto"/>
                <w:vertAlign w:val="baseline"/>
                <w:lang w:val="en-US" w:eastAsia="zh-CN"/>
              </w:rPr>
              <w:t>）</w:t>
            </w:r>
            <w:r>
              <w:rPr>
                <w:rFonts w:hint="eastAsia"/>
                <w:color w:val="auto"/>
                <w:highlight w:val="none"/>
                <w:u w:val="none" w:color="auto"/>
                <w:lang w:val="en-US" w:eastAsia="zh-CN"/>
              </w:rPr>
              <w:t>、洗车槽（15m</w:t>
            </w:r>
            <w:r>
              <w:rPr>
                <w:rFonts w:hint="eastAsia"/>
                <w:color w:val="auto"/>
                <w:highlight w:val="none"/>
                <w:u w:val="none" w:color="auto"/>
                <w:vertAlign w:val="superscript"/>
                <w:lang w:val="en-US" w:eastAsia="zh-CN"/>
              </w:rPr>
              <w:t>3</w:t>
            </w:r>
            <w:r>
              <w:rPr>
                <w:rFonts w:hint="eastAsia"/>
                <w:color w:val="auto"/>
                <w:highlight w:val="none"/>
                <w:u w:val="none" w:color="auto"/>
                <w:lang w:val="en-US" w:eastAsia="zh-CN"/>
              </w:rPr>
              <w:t>）污水处理站等，从南侧运来的硅砂，先由运输车辆将硅砂运送至喂料机，再由各个工序进行统一处理，以确保生产环节的连续性和高效性。</w:t>
            </w:r>
          </w:p>
          <w:p w14:paraId="7414E95A">
            <w:pPr>
              <w:pStyle w:val="37"/>
              <w:bidi w:val="0"/>
              <w:rPr>
                <w:rFonts w:hint="default"/>
                <w:color w:val="auto"/>
                <w:highlight w:val="none"/>
                <w:u w:val="none" w:color="auto"/>
              </w:rPr>
            </w:pPr>
            <w:r>
              <w:rPr>
                <w:rFonts w:hint="eastAsia" w:cs="Times New Roman"/>
                <w:color w:val="auto"/>
                <w:highlight w:val="none"/>
                <w:u w:val="none" w:color="auto"/>
                <w:lang w:val="en-US" w:eastAsia="zh-CN"/>
              </w:rPr>
              <w:t>本</w:t>
            </w:r>
            <w:r>
              <w:rPr>
                <w:rFonts w:hint="default" w:ascii="Times New Roman" w:hAnsi="Times New Roman" w:cs="Times New Roman"/>
                <w:color w:val="auto"/>
                <w:highlight w:val="none"/>
                <w:u w:val="none" w:color="auto"/>
              </w:rPr>
              <w:t>项目</w:t>
            </w:r>
            <w:r>
              <w:rPr>
                <w:rFonts w:hint="eastAsia" w:eastAsia="宋体" w:cs="Times New Roman"/>
                <w:color w:val="auto"/>
                <w:highlight w:val="none"/>
                <w:u w:val="none" w:color="auto"/>
                <w:lang w:val="en-US" w:eastAsia="zh-CN"/>
              </w:rPr>
              <w:t>拟</w:t>
            </w:r>
            <w:r>
              <w:rPr>
                <w:rFonts w:hint="default" w:ascii="Times New Roman" w:hAnsi="Times New Roman" w:cs="Times New Roman"/>
                <w:color w:val="auto"/>
                <w:highlight w:val="none"/>
                <w:u w:val="none" w:color="auto"/>
              </w:rPr>
              <w:t>设置1间一般</w:t>
            </w:r>
            <w:r>
              <w:rPr>
                <w:rFonts w:hint="eastAsia" w:cs="Times New Roman"/>
                <w:color w:val="auto"/>
                <w:highlight w:val="none"/>
                <w:u w:val="none" w:color="auto"/>
                <w:lang w:val="en-US" w:eastAsia="zh-CN"/>
              </w:rPr>
              <w:t>工业</w:t>
            </w:r>
            <w:r>
              <w:rPr>
                <w:rFonts w:hint="default" w:ascii="Times New Roman" w:hAnsi="Times New Roman" w:cs="Times New Roman"/>
                <w:color w:val="auto"/>
                <w:highlight w:val="none"/>
                <w:u w:val="none" w:color="auto"/>
              </w:rPr>
              <w:t>固废暂存间，位于</w:t>
            </w:r>
            <w:r>
              <w:rPr>
                <w:rFonts w:hint="eastAsia" w:ascii="Times New Roman" w:hAnsi="Times New Roman" w:cs="Times New Roman"/>
                <w:color w:val="auto"/>
                <w:highlight w:val="none"/>
                <w:u w:val="none" w:color="auto"/>
                <w:lang w:val="en-US" w:eastAsia="zh-CN"/>
              </w:rPr>
              <w:t>厂区东南侧</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eastAsia" w:cs="Times New Roman"/>
                <w:color w:val="auto"/>
                <w:highlight w:val="none"/>
                <w:u w:val="none" w:color="auto"/>
                <w:vertAlign w:val="baseline"/>
                <w:lang w:eastAsia="zh-CN"/>
              </w:rPr>
              <w:t>；</w:t>
            </w:r>
            <w:r>
              <w:rPr>
                <w:rFonts w:hint="eastAsia" w:cs="Times New Roman"/>
                <w:color w:val="auto"/>
                <w:highlight w:val="none"/>
                <w:u w:val="none" w:color="auto"/>
                <w:vertAlign w:val="baseline"/>
                <w:lang w:val="en-US" w:eastAsia="zh-CN"/>
              </w:rPr>
              <w:t>本项目</w:t>
            </w:r>
            <w:r>
              <w:rPr>
                <w:rFonts w:hint="eastAsia" w:eastAsia="宋体" w:cs="Times New Roman"/>
                <w:color w:val="auto"/>
                <w:highlight w:val="none"/>
                <w:u w:val="none" w:color="auto"/>
                <w:lang w:val="en-US" w:eastAsia="zh-CN"/>
              </w:rPr>
              <w:t>拟设置1间危废暂存间，</w:t>
            </w:r>
            <w:r>
              <w:rPr>
                <w:rFonts w:hint="default" w:ascii="Times New Roman" w:hAnsi="Times New Roman" w:cs="Times New Roman"/>
                <w:color w:val="auto"/>
                <w:highlight w:val="none"/>
                <w:u w:val="none" w:color="auto"/>
              </w:rPr>
              <w:t>位于</w:t>
            </w:r>
            <w:r>
              <w:rPr>
                <w:rFonts w:hint="eastAsia" w:ascii="Times New Roman" w:hAnsi="Times New Roman" w:cs="Times New Roman"/>
                <w:color w:val="auto"/>
                <w:highlight w:val="none"/>
                <w:u w:val="none" w:color="auto"/>
                <w:lang w:val="en-US" w:eastAsia="zh-CN"/>
              </w:rPr>
              <w:t>厂区东南侧，</w:t>
            </w:r>
            <w:r>
              <w:rPr>
                <w:rFonts w:hint="eastAsia" w:eastAsia="宋体" w:cs="Times New Roman"/>
                <w:color w:val="auto"/>
                <w:highlight w:val="none"/>
                <w:u w:val="none" w:color="auto"/>
                <w:lang w:val="en-US" w:eastAsia="zh-CN"/>
              </w:rPr>
              <w:t>面积为</w:t>
            </w:r>
            <w:r>
              <w:rPr>
                <w:rFonts w:hint="eastAsia" w:cs="Times New Roman"/>
                <w:color w:val="auto"/>
                <w:highlight w:val="none"/>
                <w:u w:val="none" w:color="auto"/>
                <w:lang w:val="en-US" w:eastAsia="zh-CN"/>
              </w:rPr>
              <w:t>15</w:t>
            </w:r>
            <w:r>
              <w:rPr>
                <w:rFonts w:hint="eastAsia" w:eastAsia="宋体" w:cs="Times New Roman"/>
                <w:color w:val="auto"/>
                <w:highlight w:val="none"/>
                <w:u w:val="none" w:color="auto"/>
                <w:lang w:val="en-US" w:eastAsia="zh-CN"/>
              </w:rPr>
              <w:t>m</w:t>
            </w:r>
            <w:r>
              <w:rPr>
                <w:rFonts w:hint="eastAsia" w:eastAsia="宋体" w:cs="Times New Roman"/>
                <w:color w:val="auto"/>
                <w:highlight w:val="none"/>
                <w:u w:val="none" w:color="auto"/>
                <w:vertAlign w:val="superscript"/>
                <w:lang w:val="en-US" w:eastAsia="zh-CN"/>
              </w:rPr>
              <w:t>2</w:t>
            </w:r>
            <w:r>
              <w:rPr>
                <w:rFonts w:hint="default" w:ascii="Times New Roman" w:hAnsi="Times New Roman" w:eastAsia="宋体" w:cs="Times New Roman"/>
                <w:color w:val="auto"/>
                <w:highlight w:val="none"/>
                <w:u w:val="none" w:color="auto"/>
                <w:lang w:eastAsia="zh-CN"/>
              </w:rPr>
              <w:t>。</w:t>
            </w:r>
            <w:r>
              <w:rPr>
                <w:rFonts w:hint="default"/>
                <w:color w:val="auto"/>
                <w:highlight w:val="none"/>
                <w:u w:val="none" w:color="auto"/>
              </w:rPr>
              <w:t>建设项目的平面设计按照其工艺过程、运转顺序和安全生产的需要布置生产装置，充分考虑了项目区内各生产工序的衔接关系，满足了工艺流程的合理顺畅，使生产设备集中布置。厂区各功能布置紧凑，功能分区明确，配套设施完善，可使工程生产、物流畅通，满足生产运营需要。厂区平面布置既考虑了厂区内生产、办公环境的便利；也综合考虑了环</w:t>
            </w:r>
            <w:r>
              <w:rPr>
                <w:rFonts w:hint="eastAsia"/>
                <w:color w:val="auto"/>
                <w:highlight w:val="none"/>
                <w:u w:val="none" w:color="auto"/>
                <w:lang w:eastAsia="zh-CN"/>
              </w:rPr>
              <w:t>境</w:t>
            </w:r>
            <w:r>
              <w:rPr>
                <w:rFonts w:hint="default"/>
                <w:color w:val="auto"/>
                <w:highlight w:val="none"/>
                <w:u w:val="none" w:color="auto"/>
              </w:rPr>
              <w:t>污染治理工程的配套完善，因此，从方便生产、安全管理、保护环境角度考虑，本项目平面布局合理（详见附图</w:t>
            </w:r>
            <w:r>
              <w:rPr>
                <w:rFonts w:hint="eastAsia"/>
                <w:color w:val="auto"/>
                <w:highlight w:val="none"/>
                <w:u w:val="none" w:color="auto"/>
                <w:lang w:val="en-US" w:eastAsia="zh-CN"/>
              </w:rPr>
              <w:t>2</w:t>
            </w:r>
            <w:r>
              <w:rPr>
                <w:rFonts w:hint="default"/>
                <w:color w:val="auto"/>
                <w:highlight w:val="none"/>
                <w:u w:val="none" w:color="auto"/>
              </w:rPr>
              <w:t>）。</w:t>
            </w:r>
          </w:p>
          <w:p w14:paraId="4C7E1C9C">
            <w:pPr>
              <w:pStyle w:val="50"/>
              <w:spacing w:before="42" w:line="360" w:lineRule="auto"/>
              <w:ind w:right="102"/>
              <w:jc w:val="both"/>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7</w:t>
            </w:r>
            <w:r>
              <w:rPr>
                <w:rFonts w:hint="default" w:ascii="Times New Roman" w:hAnsi="Times New Roman" w:cs="Times New Roman"/>
                <w:b/>
                <w:color w:val="auto"/>
                <w:sz w:val="24"/>
                <w:highlight w:val="none"/>
                <w:u w:val="none" w:color="auto"/>
              </w:rPr>
              <w:t>、劳动定员与工作制度</w:t>
            </w:r>
          </w:p>
          <w:p w14:paraId="4613B045">
            <w:pPr>
              <w:adjustRightInd w:val="0"/>
              <w:snapToGrid w:val="0"/>
              <w:spacing w:line="360" w:lineRule="auto"/>
              <w:ind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kern w:val="0"/>
                <w:sz w:val="24"/>
                <w:szCs w:val="21"/>
                <w:highlight w:val="none"/>
                <w:u w:val="none" w:color="auto"/>
                <w:lang w:val="zh-CN"/>
              </w:rPr>
              <w:t>劳动定员：本项目劳动定员</w:t>
            </w:r>
            <w:r>
              <w:rPr>
                <w:rFonts w:hint="eastAsia" w:cs="Times New Roman"/>
                <w:color w:val="auto"/>
                <w:kern w:val="0"/>
                <w:sz w:val="24"/>
                <w:szCs w:val="21"/>
                <w:highlight w:val="none"/>
                <w:u w:val="none" w:color="auto"/>
                <w:lang w:val="en-US" w:eastAsia="zh-CN"/>
              </w:rPr>
              <w:t>15</w:t>
            </w:r>
            <w:r>
              <w:rPr>
                <w:rFonts w:hint="default" w:ascii="Times New Roman" w:hAnsi="Times New Roman" w:cs="Times New Roman"/>
                <w:color w:val="auto"/>
                <w:kern w:val="0"/>
                <w:sz w:val="24"/>
                <w:szCs w:val="21"/>
                <w:highlight w:val="none"/>
                <w:u w:val="none" w:color="auto"/>
                <w:lang w:val="zh-CN"/>
              </w:rPr>
              <w:t>人，年工作日</w:t>
            </w:r>
            <w:r>
              <w:rPr>
                <w:rFonts w:hint="eastAsia" w:cs="Times New Roman"/>
                <w:color w:val="auto"/>
                <w:kern w:val="0"/>
                <w:sz w:val="24"/>
                <w:szCs w:val="21"/>
                <w:highlight w:val="none"/>
                <w:u w:val="none" w:color="auto"/>
                <w:lang w:val="en-US" w:eastAsia="zh-CN"/>
              </w:rPr>
              <w:t>30</w:t>
            </w:r>
            <w:r>
              <w:rPr>
                <w:rFonts w:hint="default" w:ascii="Times New Roman" w:hAnsi="Times New Roman" w:cs="Times New Roman"/>
                <w:color w:val="auto"/>
                <w:kern w:val="0"/>
                <w:sz w:val="24"/>
                <w:szCs w:val="21"/>
                <w:highlight w:val="none"/>
                <w:u w:val="none" w:color="auto"/>
                <w:lang w:val="en-US" w:eastAsia="zh-CN"/>
              </w:rPr>
              <w:t>0</w:t>
            </w:r>
            <w:r>
              <w:rPr>
                <w:rFonts w:hint="default" w:ascii="Times New Roman" w:hAnsi="Times New Roman" w:cs="Times New Roman"/>
                <w:color w:val="auto"/>
                <w:kern w:val="0"/>
                <w:sz w:val="24"/>
                <w:szCs w:val="21"/>
                <w:highlight w:val="none"/>
                <w:u w:val="none" w:color="auto"/>
                <w:lang w:val="zh-CN"/>
              </w:rPr>
              <w:t>天，</w:t>
            </w:r>
            <w:r>
              <w:rPr>
                <w:rFonts w:hint="eastAsia" w:cs="Times New Roman"/>
                <w:color w:val="auto"/>
                <w:kern w:val="0"/>
                <w:sz w:val="24"/>
                <w:szCs w:val="21"/>
                <w:highlight w:val="none"/>
                <w:u w:val="none" w:color="auto"/>
                <w:lang w:val="en-US" w:eastAsia="zh-CN"/>
              </w:rPr>
              <w:t>两</w:t>
            </w:r>
            <w:r>
              <w:rPr>
                <w:rFonts w:hint="default" w:ascii="Times New Roman" w:hAnsi="Times New Roman" w:cs="Times New Roman"/>
                <w:color w:val="auto"/>
                <w:kern w:val="0"/>
                <w:sz w:val="24"/>
                <w:szCs w:val="21"/>
                <w:highlight w:val="none"/>
                <w:u w:val="none" w:color="auto"/>
                <w:lang w:val="zh-CN"/>
              </w:rPr>
              <w:t>班制，每班工作</w:t>
            </w:r>
            <w:r>
              <w:rPr>
                <w:rFonts w:hint="eastAsia" w:cs="Times New Roman"/>
                <w:color w:val="auto"/>
                <w:kern w:val="0"/>
                <w:sz w:val="24"/>
                <w:szCs w:val="21"/>
                <w:highlight w:val="none"/>
                <w:u w:val="none" w:color="auto"/>
                <w:lang w:val="en-US" w:eastAsia="zh-CN"/>
              </w:rPr>
              <w:t>8</w:t>
            </w:r>
            <w:r>
              <w:rPr>
                <w:rFonts w:hint="default" w:ascii="Times New Roman" w:hAnsi="Times New Roman" w:cs="Times New Roman"/>
                <w:color w:val="auto"/>
                <w:kern w:val="0"/>
                <w:sz w:val="24"/>
                <w:szCs w:val="21"/>
                <w:highlight w:val="none"/>
                <w:u w:val="none" w:color="auto"/>
                <w:lang w:val="zh-CN"/>
              </w:rPr>
              <w:t>小时</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val="en-US" w:eastAsia="zh-CN"/>
              </w:rPr>
              <w:t>包食宿</w:t>
            </w:r>
            <w:r>
              <w:rPr>
                <w:rFonts w:hint="default" w:ascii="Times New Roman" w:hAnsi="Times New Roman" w:cs="Times New Roman"/>
                <w:bCs/>
                <w:color w:val="auto"/>
                <w:sz w:val="24"/>
                <w:highlight w:val="none"/>
                <w:u w:val="none" w:color="auto"/>
              </w:rPr>
              <w:t>。</w:t>
            </w:r>
          </w:p>
          <w:p w14:paraId="72DE3FB8">
            <w:pPr>
              <w:adjustRightInd w:val="0"/>
              <w:snapToGrid w:val="0"/>
              <w:spacing w:line="360" w:lineRule="auto"/>
              <w:jc w:val="left"/>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b/>
                <w:color w:val="auto"/>
                <w:sz w:val="24"/>
                <w:highlight w:val="none"/>
                <w:u w:val="none" w:color="auto"/>
                <w:lang w:val="en-US" w:eastAsia="zh-CN"/>
              </w:rPr>
              <w:t>8</w:t>
            </w:r>
            <w:r>
              <w:rPr>
                <w:rFonts w:hint="default" w:ascii="Times New Roman" w:hAnsi="Times New Roman" w:cs="Times New Roman"/>
                <w:b/>
                <w:color w:val="auto"/>
                <w:sz w:val="24"/>
                <w:highlight w:val="none"/>
                <w:u w:val="none" w:color="auto"/>
              </w:rPr>
              <w:t>、公用工程</w:t>
            </w:r>
          </w:p>
          <w:p w14:paraId="62FFFDEB">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（1）给</w:t>
            </w:r>
            <w:r>
              <w:rPr>
                <w:rFonts w:hint="eastAsia" w:cs="Times New Roman"/>
                <w:color w:val="auto"/>
                <w:highlight w:val="none"/>
                <w:u w:val="none" w:color="auto"/>
                <w:lang w:val="en-US" w:eastAsia="zh-CN"/>
              </w:rPr>
              <w:t>排</w:t>
            </w:r>
            <w:r>
              <w:rPr>
                <w:rFonts w:hint="default" w:ascii="Times New Roman" w:hAnsi="Times New Roman" w:cs="Times New Roman"/>
                <w:color w:val="auto"/>
                <w:highlight w:val="none"/>
                <w:u w:val="none" w:color="auto"/>
              </w:rPr>
              <w:t>水</w:t>
            </w:r>
          </w:p>
          <w:p w14:paraId="5F11924A">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①生活用水：本项目劳动定</w:t>
            </w:r>
            <w:r>
              <w:rPr>
                <w:rFonts w:hint="default" w:ascii="Times New Roman" w:hAnsi="Times New Roman" w:cs="Times New Roman"/>
                <w:color w:val="auto"/>
                <w:sz w:val="24"/>
                <w:highlight w:val="none"/>
                <w:u w:val="none" w:color="auto"/>
              </w:rPr>
              <w:t>员</w:t>
            </w:r>
            <w:r>
              <w:rPr>
                <w:rFonts w:hint="eastAsia" w:cs="Times New Roman"/>
                <w:color w:val="auto"/>
                <w:sz w:val="24"/>
                <w:highlight w:val="none"/>
                <w:u w:val="none" w:color="auto"/>
                <w:lang w:val="en-US" w:eastAsia="zh-CN"/>
              </w:rPr>
              <w:t>15</w:t>
            </w:r>
            <w:r>
              <w:rPr>
                <w:rFonts w:hint="default" w:ascii="Times New Roman" w:hAnsi="Times New Roman" w:cs="Times New Roman"/>
                <w:color w:val="auto"/>
                <w:sz w:val="24"/>
                <w:highlight w:val="none"/>
                <w:u w:val="none" w:color="auto"/>
                <w:lang w:val="en-US" w:eastAsia="zh-CN"/>
              </w:rPr>
              <w:t>人</w:t>
            </w:r>
            <w:r>
              <w:rPr>
                <w:rFonts w:hint="default" w:ascii="Times New Roman" w:hAnsi="Times New Roman" w:cs="Times New Roman"/>
                <w:color w:val="auto"/>
                <w:sz w:val="24"/>
                <w:highlight w:val="none"/>
                <w:u w:val="none" w:color="auto"/>
              </w:rPr>
              <w:t>，年工作</w:t>
            </w:r>
            <w:r>
              <w:rPr>
                <w:rFonts w:hint="eastAsia" w:cs="Times New Roman"/>
                <w:color w:val="auto"/>
                <w:sz w:val="24"/>
                <w:highlight w:val="none"/>
                <w:u w:val="none" w:color="auto"/>
                <w:lang w:val="en-US" w:eastAsia="zh-CN"/>
              </w:rPr>
              <w:t>30</w:t>
            </w:r>
            <w:r>
              <w:rPr>
                <w:rFonts w:hint="default" w:ascii="Times New Roman" w:hAnsi="Times New Roman" w:cs="Times New Roman"/>
                <w:color w:val="auto"/>
                <w:sz w:val="24"/>
                <w:highlight w:val="none"/>
                <w:u w:val="none" w:color="auto"/>
                <w:lang w:val="en-US" w:eastAsia="zh-CN"/>
              </w:rPr>
              <w:t>0天，</w:t>
            </w:r>
            <w:r>
              <w:rPr>
                <w:rFonts w:hint="default" w:ascii="Times New Roman" w:hAnsi="Times New Roman" w:cs="Times New Roman"/>
                <w:color w:val="auto"/>
                <w:sz w:val="24"/>
                <w:highlight w:val="none"/>
                <w:u w:val="none" w:color="auto"/>
              </w:rPr>
              <w:t>厂区提供食宿</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按照《湖南省用水定额》（DB43/T388-</w:t>
            </w:r>
            <w:r>
              <w:rPr>
                <w:rFonts w:hint="default" w:ascii="Times New Roman" w:hAnsi="Times New Roman" w:cs="Times New Roman"/>
                <w:color w:val="auto"/>
                <w:sz w:val="24"/>
                <w:highlight w:val="none"/>
                <w:u w:val="none" w:color="auto"/>
                <w:lang w:val="en-US" w:eastAsia="zh-CN"/>
              </w:rPr>
              <w:t>2020</w:t>
            </w:r>
            <w:r>
              <w:rPr>
                <w:rFonts w:hint="default" w:ascii="Times New Roman" w:hAnsi="Times New Roman" w:cs="Times New Roman"/>
                <w:color w:val="auto"/>
                <w:sz w:val="24"/>
                <w:highlight w:val="none"/>
                <w:u w:val="none" w:color="auto"/>
              </w:rPr>
              <w:t>）中的指标计算，职工生活用水量按</w:t>
            </w:r>
            <w:r>
              <w:rPr>
                <w:rFonts w:hint="eastAsia" w:ascii="Times New Roman" w:hAnsi="Times New Roman" w:cs="Times New Roman"/>
                <w:color w:val="auto"/>
                <w:sz w:val="24"/>
                <w:highlight w:val="none"/>
                <w:u w:val="none" w:color="auto"/>
                <w:lang w:val="en-US" w:eastAsia="zh-CN"/>
              </w:rPr>
              <w:t>155L</w:t>
            </w:r>
            <w:r>
              <w:rPr>
                <w:rFonts w:hint="eastAsia" w:cs="Times New Roman"/>
                <w:color w:val="auto"/>
                <w:sz w:val="24"/>
                <w:highlight w:val="none"/>
                <w:u w:val="none" w:color="auto"/>
                <w:lang w:val="en-US" w:eastAsia="zh-CN"/>
              </w:rPr>
              <w:t>/人·d</w:t>
            </w:r>
            <w:r>
              <w:rPr>
                <w:rFonts w:hint="default" w:ascii="Times New Roman" w:hAnsi="Times New Roman" w:cs="Times New Roman"/>
                <w:color w:val="auto"/>
                <w:sz w:val="24"/>
                <w:highlight w:val="none"/>
                <w:u w:val="none" w:color="auto"/>
              </w:rPr>
              <w:t>计。则本项目生活用水量为</w:t>
            </w:r>
            <w:r>
              <w:rPr>
                <w:rFonts w:hint="eastAsia" w:cs="Times New Roman"/>
                <w:color w:val="auto"/>
                <w:sz w:val="24"/>
                <w:highlight w:val="none"/>
                <w:u w:val="none" w:color="auto"/>
                <w:lang w:val="en-US" w:eastAsia="zh-CN"/>
              </w:rPr>
              <w:t>2.352</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val="en-US" w:eastAsia="zh-CN"/>
              </w:rPr>
              <w:t>697.5</w:t>
            </w:r>
            <w:r>
              <w:rPr>
                <w:rFonts w:hint="default" w:ascii="Times New Roman" w:hAnsi="Times New Roman" w:cs="Times New Roman"/>
                <w:color w:val="auto"/>
                <w:sz w:val="24"/>
                <w:highlight w:val="none"/>
                <w:u w:val="none" w:color="auto"/>
              </w:rPr>
              <w:t>m³/a）</w:t>
            </w:r>
            <w:r>
              <w:rPr>
                <w:rFonts w:hint="default" w:ascii="Times New Roman" w:hAnsi="Times New Roman" w:cs="Times New Roman"/>
                <w:color w:val="auto"/>
                <w:sz w:val="24"/>
                <w:highlight w:val="none"/>
                <w:u w:val="none" w:color="auto"/>
                <w:lang w:eastAsia="zh-CN"/>
              </w:rPr>
              <w:t>。</w:t>
            </w:r>
            <w:r>
              <w:rPr>
                <w:rStyle w:val="48"/>
                <w:rFonts w:hint="default" w:ascii="Times New Roman" w:hAnsi="Times New Roman" w:cs="Times New Roman"/>
                <w:color w:val="auto"/>
                <w:highlight w:val="none"/>
                <w:u w:val="none" w:color="auto"/>
                <w:lang w:val="en-US" w:eastAsia="zh-CN"/>
              </w:rPr>
              <w:t>排放量以用水量的</w:t>
            </w:r>
            <w:r>
              <w:rPr>
                <w:rStyle w:val="48"/>
                <w:rFonts w:hint="eastAsia" w:cs="Times New Roman"/>
                <w:color w:val="auto"/>
                <w:highlight w:val="none"/>
                <w:u w:val="none" w:color="auto"/>
                <w:lang w:val="en-US" w:eastAsia="zh-CN"/>
              </w:rPr>
              <w:t>8</w:t>
            </w:r>
            <w:r>
              <w:rPr>
                <w:rStyle w:val="48"/>
                <w:rFonts w:hint="default" w:ascii="Times New Roman" w:hAnsi="Times New Roman" w:cs="Times New Roman"/>
                <w:color w:val="auto"/>
                <w:highlight w:val="none"/>
                <w:u w:val="none" w:color="auto"/>
                <w:lang w:val="en-US" w:eastAsia="zh-CN"/>
              </w:rPr>
              <w:t>0%计，</w:t>
            </w:r>
            <w:r>
              <w:rPr>
                <w:rFonts w:hint="default" w:ascii="Times New Roman" w:hAnsi="Times New Roman" w:cs="Times New Roman"/>
                <w:color w:val="auto"/>
                <w:sz w:val="24"/>
                <w:highlight w:val="none"/>
                <w:u w:val="none" w:color="auto"/>
              </w:rPr>
              <w:t>则生活污水排放量为</w:t>
            </w:r>
            <w:r>
              <w:rPr>
                <w:rFonts w:hint="eastAsia" w:cs="Times New Roman"/>
                <w:color w:val="auto"/>
                <w:sz w:val="24"/>
                <w:highlight w:val="none"/>
                <w:u w:val="none" w:color="auto"/>
                <w:lang w:val="en-US" w:eastAsia="zh-CN"/>
              </w:rPr>
              <w:t>1.86</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558</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p>
          <w:p w14:paraId="1A35FA97">
            <w:pPr>
              <w:pStyle w:val="37"/>
              <w:bidi w:val="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②</w:t>
            </w:r>
            <w:r>
              <w:rPr>
                <w:rFonts w:hint="eastAsia" w:cs="Times New Roman"/>
                <w:color w:val="auto"/>
                <w:highlight w:val="none"/>
                <w:u w:val="none" w:color="auto"/>
                <w:lang w:val="en-US" w:eastAsia="zh-CN"/>
              </w:rPr>
              <w:t>抑尘</w:t>
            </w:r>
            <w:r>
              <w:rPr>
                <w:rFonts w:hint="eastAsia"/>
                <w:color w:val="auto"/>
                <w:highlight w:val="none"/>
                <w:u w:val="none" w:color="auto"/>
                <w:lang w:val="en-US" w:eastAsia="zh-CN"/>
              </w:rPr>
              <w:t>用水：</w:t>
            </w:r>
            <w:r>
              <w:rPr>
                <w:rFonts w:hint="default"/>
                <w:color w:val="auto"/>
                <w:highlight w:val="none"/>
                <w:u w:val="none" w:color="auto"/>
                <w:lang w:val="en-US" w:eastAsia="zh-CN"/>
              </w:rPr>
              <w:t>生产过程中制砂车间、原料、成品仓库需采取定期洒水喷淋的方式抑尘。</w:t>
            </w:r>
            <w:r>
              <w:rPr>
                <w:rFonts w:hint="default" w:ascii="Times New Roman" w:hAnsi="Times New Roman" w:eastAsia="宋体" w:cs="Times New Roman"/>
                <w:color w:val="auto"/>
                <w:kern w:val="0"/>
                <w:sz w:val="24"/>
                <w:szCs w:val="24"/>
                <w:highlight w:val="none"/>
                <w:u w:val="none" w:color="auto"/>
                <w:lang w:val="en-US" w:eastAsia="zh-CN" w:bidi="ar-SA"/>
              </w:rPr>
              <w:t>类比同类工程，喷淋抑尘用水量按照2L/m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计，每天喷洒2次，喷淋面积</w:t>
            </w:r>
            <w:r>
              <w:rPr>
                <w:rFonts w:hint="eastAsia" w:ascii="Times New Roman" w:hAnsi="Times New Roman" w:cs="Times New Roman"/>
                <w:color w:val="auto"/>
                <w:kern w:val="0"/>
                <w:sz w:val="24"/>
                <w:szCs w:val="24"/>
                <w:highlight w:val="none"/>
                <w:u w:val="none" w:color="auto"/>
                <w:lang w:val="en-US" w:eastAsia="zh-CN" w:bidi="ar-SA"/>
              </w:rPr>
              <w:t>5000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，则喷淋抑尘用水量为</w:t>
            </w:r>
            <w:r>
              <w:rPr>
                <w:rFonts w:hint="eastAsia" w:ascii="Times New Roman" w:hAnsi="Times New Roman" w:cs="Times New Roman"/>
                <w:color w:val="auto"/>
                <w:kern w:val="0"/>
                <w:sz w:val="24"/>
                <w:szCs w:val="24"/>
                <w:highlight w:val="none"/>
                <w:u w:val="none" w:color="auto"/>
                <w:lang w:val="en-US" w:eastAsia="zh-CN" w:bidi="ar-SA"/>
              </w:rPr>
              <w:t>20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/d（</w:t>
            </w:r>
            <w:r>
              <w:rPr>
                <w:rFonts w:hint="eastAsia" w:ascii="Times New Roman" w:hAnsi="Times New Roman" w:cs="Times New Roman"/>
                <w:color w:val="auto"/>
                <w:kern w:val="0"/>
                <w:sz w:val="24"/>
                <w:szCs w:val="24"/>
                <w:highlight w:val="none"/>
                <w:u w:val="none" w:color="auto"/>
                <w:lang w:val="en-US" w:eastAsia="zh-CN" w:bidi="ar-SA"/>
              </w:rPr>
              <w:t>6000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/a）。</w:t>
            </w:r>
            <w:r>
              <w:rPr>
                <w:rFonts w:hint="default" w:ascii="Times New Roman" w:hAnsi="Times New Roman" w:cs="Times New Roman"/>
                <w:color w:val="auto"/>
                <w:sz w:val="24"/>
                <w:highlight w:val="none"/>
                <w:u w:val="none" w:color="auto"/>
              </w:rPr>
              <w:t>抑</w:t>
            </w:r>
            <w:r>
              <w:rPr>
                <w:rFonts w:hint="default"/>
                <w:color w:val="auto"/>
                <w:highlight w:val="none"/>
                <w:u w:val="none" w:color="auto"/>
                <w:lang w:val="en-US" w:eastAsia="zh-CN"/>
              </w:rPr>
              <w:t>尘</w:t>
            </w:r>
            <w:r>
              <w:rPr>
                <w:rFonts w:hint="default" w:ascii="Times New Roman" w:hAnsi="Times New Roman" w:cs="Times New Roman"/>
                <w:color w:val="auto"/>
                <w:sz w:val="24"/>
                <w:highlight w:val="none"/>
                <w:u w:val="none" w:color="auto"/>
              </w:rPr>
              <w:t>用水可利用</w:t>
            </w:r>
            <w:r>
              <w:rPr>
                <w:rFonts w:hint="eastAsia" w:cs="Times New Roman"/>
                <w:color w:val="auto"/>
                <w:sz w:val="24"/>
                <w:highlight w:val="none"/>
                <w:u w:val="none" w:color="auto"/>
                <w:lang w:val="en-US" w:eastAsia="zh-CN"/>
              </w:rPr>
              <w:t>循环水池（</w:t>
            </w:r>
            <w:r>
              <w:rPr>
                <w:rFonts w:hint="eastAsia" w:cs="Times New Roman"/>
                <w:color w:val="auto"/>
                <w:sz w:val="24"/>
                <w:highlight w:val="none"/>
                <w:u w:val="none"/>
                <w:lang w:val="en-US" w:eastAsia="zh-CN"/>
              </w:rPr>
              <w:t>位于厂区西北侧，1000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color="auto"/>
              </w:rPr>
              <w:t>内暂存水，抑尘用水被产品带走或蒸发损耗，不外排。</w:t>
            </w:r>
          </w:p>
          <w:p w14:paraId="674FF563">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eastAsia" w:ascii="Times New Roman" w:hAnsi="Times New Roman" w:cs="Times New Roman"/>
                <w:color w:val="auto"/>
                <w:sz w:val="24"/>
                <w:szCs w:val="24"/>
                <w:highlight w:val="none"/>
                <w:u w:val="none" w:color="auto"/>
                <w:lang w:val="en-US" w:eastAsia="zh-CN"/>
              </w:rPr>
              <w:t>③</w:t>
            </w:r>
            <w:r>
              <w:rPr>
                <w:rFonts w:hint="default" w:ascii="Times New Roman" w:hAnsi="Times New Roman" w:cs="Times New Roman"/>
                <w:color w:val="auto"/>
                <w:sz w:val="24"/>
                <w:highlight w:val="none"/>
                <w:u w:val="none" w:color="auto"/>
              </w:rPr>
              <w:t>洗砂用水</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sz w:val="24"/>
                <w:highlight w:val="none"/>
                <w:u w:val="none"/>
              </w:rPr>
              <w:t>在生产过程中洗砂机处需加入适量水进行洗砂，</w:t>
            </w:r>
            <w:r>
              <w:rPr>
                <w:rFonts w:hint="eastAsia" w:cs="Times New Roman"/>
                <w:color w:val="auto"/>
                <w:sz w:val="24"/>
                <w:highlight w:val="none"/>
                <w:u w:val="none"/>
                <w:lang w:val="en-US" w:eastAsia="zh-CN"/>
              </w:rPr>
              <w:t>根据业主提供资料</w:t>
            </w:r>
            <w:r>
              <w:rPr>
                <w:rFonts w:hint="eastAsia" w:cs="Times New Roman"/>
                <w:color w:val="auto"/>
                <w:sz w:val="24"/>
                <w:u w:val="none" w:color="auto"/>
                <w:lang w:val="en-US" w:eastAsia="zh-CN"/>
              </w:rPr>
              <w:t>，</w:t>
            </w:r>
            <w:r>
              <w:rPr>
                <w:rFonts w:hint="default" w:ascii="Times New Roman" w:hAnsi="Times New Roman" w:cs="Times New Roman"/>
                <w:color w:val="auto"/>
                <w:sz w:val="24"/>
                <w:highlight w:val="none"/>
                <w:u w:val="none"/>
                <w:lang w:val="en-US" w:eastAsia="zh-CN"/>
              </w:rPr>
              <w:t>洗1吨砂所需水量0.5吨，</w:t>
            </w:r>
            <w:r>
              <w:rPr>
                <w:rFonts w:hint="default" w:ascii="Times New Roman" w:hAnsi="Times New Roman" w:cs="Times New Roman"/>
                <w:color w:val="auto"/>
                <w:sz w:val="24"/>
                <w:highlight w:val="none"/>
                <w:u w:val="none"/>
              </w:rPr>
              <w:t>本项目</w:t>
            </w:r>
            <w:r>
              <w:rPr>
                <w:rFonts w:hint="default" w:ascii="Times New Roman" w:hAnsi="Times New Roman" w:cs="Times New Roman"/>
                <w:color w:val="auto"/>
                <w:sz w:val="24"/>
                <w:highlight w:val="none"/>
                <w:u w:val="none"/>
                <w:lang w:val="en-US" w:eastAsia="zh-CN"/>
              </w:rPr>
              <w:t>按</w:t>
            </w:r>
            <w:r>
              <w:rPr>
                <w:rFonts w:hint="eastAsia" w:ascii="Times New Roman" w:hAnsi="Times New Roman" w:cs="Times New Roman"/>
                <w:color w:val="auto"/>
                <w:sz w:val="24"/>
                <w:highlight w:val="none"/>
                <w:u w:val="none"/>
                <w:lang w:val="en-US" w:eastAsia="zh-CN"/>
              </w:rPr>
              <w:t>1</w:t>
            </w:r>
            <w:r>
              <w:rPr>
                <w:rFonts w:hint="default" w:ascii="Times New Roman" w:hAnsi="Times New Roman" w:cs="Times New Roman"/>
                <w:color w:val="auto"/>
                <w:sz w:val="24"/>
                <w:highlight w:val="none"/>
                <w:u w:val="none"/>
                <w:lang w:eastAsia="zh-CN"/>
              </w:rPr>
              <w:t>0万</w:t>
            </w:r>
            <w:r>
              <w:rPr>
                <w:rFonts w:hint="default" w:ascii="Times New Roman" w:hAnsi="Times New Roman" w:cs="Times New Roman"/>
                <w:color w:val="auto"/>
                <w:sz w:val="24"/>
                <w:highlight w:val="none"/>
                <w:u w:val="none"/>
              </w:rPr>
              <w:t>吨/年</w:t>
            </w:r>
            <w:r>
              <w:rPr>
                <w:rFonts w:hint="default" w:ascii="Times New Roman" w:hAnsi="Times New Roman" w:cs="Times New Roman"/>
                <w:color w:val="auto"/>
                <w:sz w:val="24"/>
                <w:highlight w:val="none"/>
                <w:u w:val="none"/>
                <w:lang w:val="en-US" w:eastAsia="zh-CN"/>
              </w:rPr>
              <w:t>加工量计算</w:t>
            </w:r>
            <w:r>
              <w:rPr>
                <w:rFonts w:hint="default" w:ascii="Times New Roman" w:hAnsi="Times New Roman" w:cs="Times New Roman"/>
                <w:color w:val="auto"/>
                <w:sz w:val="24"/>
                <w:highlight w:val="none"/>
                <w:u w:val="none"/>
              </w:rPr>
              <w:t>，洗砂过程用水量预计为</w:t>
            </w:r>
            <w:r>
              <w:rPr>
                <w:rFonts w:hint="eastAsia"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rPr>
              <w:t>万m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w:t>
            </w:r>
            <w:r>
              <w:rPr>
                <w:rFonts w:hint="default" w:ascii="Times New Roman" w:hAnsi="Times New Roman" w:cs="Times New Roman"/>
                <w:color w:val="auto"/>
                <w:sz w:val="24"/>
                <w:highlight w:val="none"/>
                <w:u w:val="none"/>
                <w:lang w:val="en-US" w:eastAsia="zh-CN"/>
              </w:rPr>
              <w:t>。</w:t>
            </w:r>
          </w:p>
          <w:p w14:paraId="35F3F763">
            <w:pPr>
              <w:pStyle w:val="37"/>
              <w:bidi w:val="0"/>
              <w:rPr>
                <w:rFonts w:hint="eastAsia"/>
                <w:color w:val="auto"/>
                <w:highlight w:val="green"/>
                <w:u w:val="none" w:color="auto"/>
                <w:lang w:val="en-US" w:eastAsia="zh-CN"/>
              </w:rPr>
            </w:pPr>
            <w:r>
              <w:rPr>
                <w:rFonts w:hint="default" w:ascii="Times New Roman" w:hAnsi="Times New Roman" w:cs="Times New Roman"/>
                <w:color w:val="auto"/>
                <w:sz w:val="24"/>
                <w:highlight w:val="none"/>
                <w:u w:val="none" w:color="auto"/>
              </w:rPr>
              <w:t>生产过程废水经沉淀处理后回用于洗砂机工序及厂区内抑尘用水，不外排，每</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rPr>
              <w:t>需补充新鲜水</w:t>
            </w:r>
            <w:r>
              <w:rPr>
                <w:rFonts w:hint="eastAsia" w:ascii="Times New Roman" w:hAnsi="Times New Roman" w:cs="Times New Roman"/>
                <w:color w:val="auto"/>
                <w:sz w:val="24"/>
                <w:highlight w:val="none"/>
                <w:u w:val="none" w:color="auto"/>
                <w:lang w:val="en-US" w:eastAsia="zh-CN"/>
              </w:rPr>
              <w:t>16.7</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14:paraId="0661EEE4">
            <w:pPr>
              <w:spacing w:line="360" w:lineRule="auto"/>
              <w:ind w:firstLine="480" w:firstLineChars="200"/>
              <w:rPr>
                <w:rFonts w:hint="default" w:ascii="Times New Roman" w:hAnsi="Times New Roman" w:eastAsia="宋体" w:cs="Times New Roman"/>
                <w:color w:val="auto"/>
                <w:sz w:val="24"/>
                <w:highlight w:val="none"/>
                <w:u w:val="none"/>
              </w:rPr>
            </w:pPr>
            <w:r>
              <w:rPr>
                <w:rFonts w:hint="eastAsia" w:ascii="Times New Roman" w:hAnsi="Times New Roman" w:eastAsia="宋体" w:cs="Times New Roman"/>
                <w:color w:val="auto"/>
                <w:sz w:val="24"/>
                <w:highlight w:val="none"/>
                <w:u w:val="none"/>
                <w:lang w:val="en-US" w:eastAsia="zh-CN"/>
              </w:rPr>
              <w:t>④</w:t>
            </w:r>
            <w:r>
              <w:rPr>
                <w:rFonts w:hint="default" w:ascii="Times New Roman" w:hAnsi="Times New Roman" w:eastAsia="宋体" w:cs="Times New Roman"/>
                <w:color w:val="auto"/>
                <w:sz w:val="24"/>
                <w:highlight w:val="none"/>
                <w:u w:val="none"/>
                <w:lang w:eastAsia="zh-CN"/>
              </w:rPr>
              <w:t>初期雨水：</w:t>
            </w:r>
            <w:r>
              <w:rPr>
                <w:rFonts w:hint="default" w:ascii="Times New Roman" w:hAnsi="Times New Roman" w:eastAsia="宋体" w:cs="Times New Roman"/>
                <w:color w:val="auto"/>
                <w:sz w:val="24"/>
                <w:highlight w:val="none"/>
                <w:u w:val="none"/>
              </w:rPr>
              <w:t>由于项目运营期有无组织粉尘排放，大部分降落在厂区，初期降雨产生的地面水含有一定的污染物，主要为SS，直接排放对周边水体产生一定影响。初期雨水每次量根据以下公式计算：</w:t>
            </w:r>
          </w:p>
          <w:p w14:paraId="7EA7BCC8">
            <w:pPr>
              <w:pStyle w:val="37"/>
              <w:widowControl w:val="0"/>
              <w:wordWrap w:val="0"/>
              <w:topLinePunct/>
              <w:bidi w:val="0"/>
              <w:spacing w:line="360" w:lineRule="auto"/>
              <w:ind w:firstLine="480" w:firstLineChars="200"/>
              <w:jc w:val="both"/>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初期雨水每次量Q=当地暴雨平均强度×集雨面积×15分钟</w:t>
            </w:r>
          </w:p>
          <w:p w14:paraId="331368A6">
            <w:pPr>
              <w:pStyle w:val="37"/>
              <w:bidi w:val="0"/>
              <w:rPr>
                <w:rFonts w:eastAsia="宋体"/>
                <w:color w:val="auto"/>
                <w:sz w:val="24"/>
                <w:highlight w:val="none"/>
                <w:u w:val="none"/>
              </w:rPr>
            </w:pPr>
            <w:r>
              <w:rPr>
                <w:rFonts w:hint="default" w:ascii="Times New Roman" w:hAnsi="Times New Roman" w:cs="Times New Roman"/>
                <w:color w:val="auto"/>
                <w:sz w:val="24"/>
                <w:highlight w:val="none"/>
                <w:u w:val="none"/>
              </w:rPr>
              <w:t>根据202</w:t>
            </w:r>
            <w:r>
              <w:rPr>
                <w:rFonts w:hint="eastAsia" w:ascii="Times New Roman" w:hAnsi="Times New Roman" w:cs="Times New Roman"/>
                <w:color w:val="auto"/>
                <w:sz w:val="24"/>
                <w:highlight w:val="none"/>
                <w:u w:val="none"/>
                <w:lang w:val="en-US" w:eastAsia="zh-CN"/>
              </w:rPr>
              <w:t>3</w:t>
            </w:r>
            <w:r>
              <w:rPr>
                <w:rFonts w:hint="default" w:ascii="Times New Roman" w:hAnsi="Times New Roman" w:cs="Times New Roman"/>
                <w:color w:val="auto"/>
                <w:sz w:val="24"/>
                <w:highlight w:val="none"/>
                <w:u w:val="none"/>
              </w:rPr>
              <w:t>年</w:t>
            </w:r>
            <w:r>
              <w:rPr>
                <w:rFonts w:hint="eastAsia" w:ascii="Times New Roman" w:hAnsi="Times New Roman" w:cs="Times New Roman"/>
                <w:color w:val="auto"/>
                <w:sz w:val="24"/>
                <w:highlight w:val="none"/>
                <w:u w:val="none"/>
                <w:lang w:val="en-US" w:eastAsia="zh-CN"/>
              </w:rPr>
              <w:t>气象</w:t>
            </w:r>
            <w:r>
              <w:rPr>
                <w:rFonts w:hint="default" w:ascii="Times New Roman" w:hAnsi="Times New Roman" w:cs="Times New Roman"/>
                <w:color w:val="auto"/>
                <w:sz w:val="24"/>
                <w:highlight w:val="none"/>
                <w:u w:val="none"/>
              </w:rPr>
              <w:t>统计资料，岳阳县最大降雨量按</w:t>
            </w:r>
            <w:r>
              <w:rPr>
                <w:rFonts w:hint="eastAsia" w:cs="Times New Roman"/>
                <w:color w:val="auto"/>
                <w:sz w:val="24"/>
                <w:highlight w:val="none"/>
                <w:u w:val="none"/>
                <w:lang w:val="en-US" w:eastAsia="zh-CN"/>
              </w:rPr>
              <w:t>25</w:t>
            </w:r>
            <w:r>
              <w:rPr>
                <w:rFonts w:hint="default" w:ascii="Times New Roman" w:hAnsi="Times New Roman" w:cs="Times New Roman"/>
                <w:color w:val="auto"/>
                <w:sz w:val="24"/>
                <w:highlight w:val="none"/>
                <w:u w:val="none"/>
              </w:rPr>
              <w:t>mm/h计，15分钟前产生雨水为初期雨水，项目厂区面积约为</w:t>
            </w:r>
            <w:r>
              <w:rPr>
                <w:rFonts w:hint="eastAsia" w:ascii="Times New Roman" w:hAnsi="Times New Roman" w:cs="Times New Roman"/>
                <w:color w:val="auto"/>
                <w:sz w:val="24"/>
                <w:highlight w:val="none"/>
                <w:u w:val="none"/>
                <w:lang w:val="en-US" w:eastAsia="zh-CN"/>
              </w:rPr>
              <w:t>4500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，计算得到本项目初期雨水每次量为</w:t>
            </w:r>
            <w:r>
              <w:rPr>
                <w:rFonts w:hint="eastAsia" w:cs="Times New Roman"/>
                <w:color w:val="auto"/>
                <w:sz w:val="24"/>
                <w:highlight w:val="none"/>
                <w:u w:val="none"/>
                <w:lang w:val="en-US" w:eastAsia="zh-CN"/>
              </w:rPr>
              <w:t>28.1</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，年降雨时间按</w:t>
            </w:r>
            <w:r>
              <w:rPr>
                <w:rFonts w:hint="eastAsia" w:cs="Times New Roman"/>
                <w:color w:val="auto"/>
                <w:sz w:val="24"/>
                <w:highlight w:val="none"/>
                <w:u w:val="none"/>
                <w:lang w:val="en-US" w:eastAsia="zh-CN"/>
              </w:rPr>
              <w:t>120</w:t>
            </w:r>
            <w:r>
              <w:rPr>
                <w:rFonts w:hint="default" w:ascii="Times New Roman" w:hAnsi="Times New Roman" w:cs="Times New Roman"/>
                <w:color w:val="auto"/>
                <w:sz w:val="24"/>
                <w:highlight w:val="none"/>
                <w:u w:val="none"/>
              </w:rPr>
              <w:t>天计，则初期雨水产生量约为</w:t>
            </w:r>
            <w:r>
              <w:rPr>
                <w:rFonts w:hint="eastAsia" w:cs="Times New Roman"/>
                <w:color w:val="auto"/>
                <w:sz w:val="24"/>
                <w:highlight w:val="none"/>
                <w:u w:val="none"/>
                <w:lang w:val="en-US" w:eastAsia="zh-CN"/>
              </w:rPr>
              <w:t>3372</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/a。初期雨水</w:t>
            </w:r>
            <w:r>
              <w:rPr>
                <w:rFonts w:hint="eastAsia" w:ascii="Times New Roman" w:hAnsi="Times New Roman" w:cs="Times New Roman"/>
                <w:color w:val="auto"/>
                <w:sz w:val="24"/>
                <w:highlight w:val="none"/>
                <w:u w:val="none"/>
                <w:lang w:val="en-US" w:eastAsia="zh-CN"/>
              </w:rPr>
              <w:t>通过污水处理站处理后进入循环水池</w:t>
            </w:r>
            <w:r>
              <w:rPr>
                <w:rFonts w:hint="eastAsia" w:cs="Times New Roman"/>
                <w:color w:val="auto"/>
                <w:sz w:val="24"/>
                <w:highlight w:val="none"/>
                <w:u w:val="none"/>
                <w:lang w:val="en-US" w:eastAsia="zh-CN"/>
              </w:rPr>
              <w:t>（位于厂区西北侧，1000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eastAsia" w:cs="Times New Roman"/>
                <w:color w:val="auto"/>
                <w:sz w:val="24"/>
                <w:highlight w:val="none"/>
                <w:u w:val="none"/>
                <w:lang w:eastAsia="zh-CN"/>
              </w:rPr>
              <w:t>）</w:t>
            </w:r>
            <w:r>
              <w:rPr>
                <w:color w:val="auto"/>
                <w:sz w:val="24"/>
                <w:highlight w:val="none"/>
              </w:rPr>
              <w:t>回用</w:t>
            </w:r>
            <w:r>
              <w:rPr>
                <w:rFonts w:hint="eastAsia" w:ascii="Times New Roman" w:hAnsi="Times New Roman" w:cs="Times New Roman"/>
                <w:color w:val="auto"/>
                <w:sz w:val="24"/>
                <w:highlight w:val="none"/>
                <w:u w:val="none"/>
                <w:lang w:val="en-US" w:eastAsia="zh-CN"/>
              </w:rPr>
              <w:t>。</w:t>
            </w:r>
          </w:p>
          <w:p w14:paraId="2C09D8B7">
            <w:pPr>
              <w:pStyle w:val="37"/>
              <w:bidi w:val="0"/>
              <w:rPr>
                <w:color w:val="auto"/>
                <w:sz w:val="24"/>
                <w:highlight w:val="none"/>
              </w:rPr>
            </w:pPr>
            <w:r>
              <w:rPr>
                <w:rFonts w:hint="eastAsia"/>
                <w:color w:val="auto"/>
                <w:highlight w:val="none"/>
                <w:lang w:eastAsia="zh-CN"/>
              </w:rPr>
              <w:t>⑤</w:t>
            </w:r>
            <w:r>
              <w:rPr>
                <w:rFonts w:hint="eastAsia"/>
                <w:color w:val="auto"/>
                <w:highlight w:val="none"/>
                <w:lang w:val="en-US" w:eastAsia="zh-CN"/>
              </w:rPr>
              <w:t>车辆冲洗用水：</w:t>
            </w:r>
            <w:r>
              <w:rPr>
                <w:color w:val="auto"/>
                <w:highlight w:val="none"/>
              </w:rPr>
              <w:t>项目年运输量合计</w:t>
            </w:r>
            <w:r>
              <w:rPr>
                <w:rFonts w:hint="eastAsia"/>
                <w:color w:val="auto"/>
                <w:highlight w:val="none"/>
                <w:lang w:val="en-US" w:eastAsia="zh-CN"/>
              </w:rPr>
              <w:t>为20.2</w:t>
            </w:r>
            <w:r>
              <w:rPr>
                <w:color w:val="auto"/>
                <w:highlight w:val="none"/>
              </w:rPr>
              <w:t>万t</w:t>
            </w:r>
            <w:r>
              <w:rPr>
                <w:rFonts w:hint="eastAsia"/>
                <w:color w:val="auto"/>
                <w:highlight w:val="none"/>
                <w:lang w:val="en-US" w:eastAsia="zh-CN"/>
              </w:rPr>
              <w:t>/a</w:t>
            </w:r>
            <w:r>
              <w:rPr>
                <w:color w:val="auto"/>
                <w:highlight w:val="none"/>
              </w:rPr>
              <w:t>，车辆载重M=2</w:t>
            </w:r>
            <w:r>
              <w:rPr>
                <w:rFonts w:hint="eastAsia"/>
                <w:color w:val="auto"/>
                <w:highlight w:val="none"/>
                <w:lang w:val="en-US" w:eastAsia="zh-CN"/>
              </w:rPr>
              <w:t>0</w:t>
            </w:r>
            <w:r>
              <w:rPr>
                <w:color w:val="auto"/>
                <w:highlight w:val="none"/>
              </w:rPr>
              <w:t>t/辆</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车辆载重5t</w:t>
            </w:r>
            <w:r>
              <w:rPr>
                <w:rFonts w:hint="eastAsia" w:cs="Times New Roman"/>
                <w:color w:val="auto"/>
                <w:sz w:val="24"/>
                <w:highlight w:val="none"/>
                <w:u w:val="none" w:color="auto"/>
                <w:lang w:eastAsia="zh-CN"/>
              </w:rPr>
              <w:t>）</w:t>
            </w:r>
            <w:r>
              <w:rPr>
                <w:color w:val="auto"/>
                <w:highlight w:val="none"/>
              </w:rPr>
              <w:t>，</w:t>
            </w:r>
            <w:r>
              <w:rPr>
                <w:rFonts w:hint="default"/>
                <w:color w:val="auto"/>
                <w:highlight w:val="none"/>
              </w:rPr>
              <w:t>计算可知项目年运输车次为</w:t>
            </w:r>
            <w:r>
              <w:rPr>
                <w:rFonts w:hint="eastAsia"/>
                <w:color w:val="auto"/>
                <w:highlight w:val="none"/>
                <w:lang w:val="en-US" w:eastAsia="zh-CN"/>
              </w:rPr>
              <w:t>10100</w:t>
            </w:r>
            <w:r>
              <w:rPr>
                <w:rFonts w:hint="default"/>
                <w:color w:val="auto"/>
                <w:highlight w:val="none"/>
              </w:rPr>
              <w:t>次，</w:t>
            </w:r>
            <w:r>
              <w:rPr>
                <w:color w:val="auto"/>
                <w:sz w:val="24"/>
                <w:highlight w:val="none"/>
              </w:rPr>
              <w:t>每次均需对运输车辆进行冲洗，车辆冲洗用水量大致为0.</w:t>
            </w:r>
            <w:r>
              <w:rPr>
                <w:rFonts w:hint="eastAsia"/>
                <w:color w:val="auto"/>
                <w:sz w:val="24"/>
                <w:highlight w:val="none"/>
                <w:lang w:val="en-US" w:eastAsia="zh-CN"/>
              </w:rPr>
              <w:t>05</w:t>
            </w:r>
            <w:r>
              <w:rPr>
                <w:color w:val="auto"/>
                <w:sz w:val="24"/>
                <w:highlight w:val="none"/>
              </w:rPr>
              <w:t>m</w:t>
            </w:r>
            <w:r>
              <w:rPr>
                <w:color w:val="auto"/>
                <w:sz w:val="24"/>
                <w:highlight w:val="none"/>
                <w:vertAlign w:val="superscript"/>
              </w:rPr>
              <w:t>3</w:t>
            </w:r>
            <w:r>
              <w:rPr>
                <w:color w:val="auto"/>
                <w:sz w:val="24"/>
                <w:highlight w:val="none"/>
              </w:rPr>
              <w:t>/（辆·次），则车辆清洗用水为</w:t>
            </w:r>
            <w:r>
              <w:rPr>
                <w:rFonts w:hint="eastAsia"/>
                <w:color w:val="auto"/>
                <w:sz w:val="24"/>
                <w:highlight w:val="none"/>
                <w:lang w:val="en-US" w:eastAsia="zh-CN"/>
              </w:rPr>
              <w:t>1.68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505</w:t>
            </w:r>
            <w:r>
              <w:rPr>
                <w:color w:val="auto"/>
                <w:sz w:val="24"/>
                <w:highlight w:val="none"/>
              </w:rPr>
              <w:t>m</w:t>
            </w:r>
            <w:r>
              <w:rPr>
                <w:color w:val="auto"/>
                <w:sz w:val="24"/>
                <w:highlight w:val="none"/>
                <w:vertAlign w:val="superscript"/>
              </w:rPr>
              <w:t>3</w:t>
            </w:r>
            <w:r>
              <w:rPr>
                <w:color w:val="auto"/>
                <w:sz w:val="24"/>
                <w:highlight w:val="none"/>
              </w:rPr>
              <w:t>/a），排放系数按0.</w:t>
            </w:r>
            <w:r>
              <w:rPr>
                <w:rFonts w:hint="eastAsia"/>
                <w:color w:val="auto"/>
                <w:sz w:val="24"/>
                <w:highlight w:val="none"/>
                <w:lang w:val="en-US" w:eastAsia="zh-CN"/>
              </w:rPr>
              <w:t>9</w:t>
            </w:r>
            <w:r>
              <w:rPr>
                <w:color w:val="auto"/>
                <w:sz w:val="24"/>
                <w:highlight w:val="none"/>
              </w:rPr>
              <w:t>计，车辆清洗废水产生量为</w:t>
            </w:r>
            <w:r>
              <w:rPr>
                <w:rFonts w:hint="eastAsia"/>
                <w:color w:val="auto"/>
                <w:sz w:val="24"/>
                <w:highlight w:val="none"/>
                <w:lang w:val="en-US" w:eastAsia="zh-CN"/>
              </w:rPr>
              <w:t>1.512</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454.5</w:t>
            </w:r>
            <w:r>
              <w:rPr>
                <w:color w:val="auto"/>
                <w:sz w:val="24"/>
                <w:highlight w:val="none"/>
              </w:rPr>
              <w:t>m</w:t>
            </w:r>
            <w:r>
              <w:rPr>
                <w:color w:val="auto"/>
                <w:sz w:val="24"/>
                <w:highlight w:val="none"/>
                <w:vertAlign w:val="superscript"/>
              </w:rPr>
              <w:t>3</w:t>
            </w:r>
            <w:r>
              <w:rPr>
                <w:color w:val="auto"/>
                <w:sz w:val="24"/>
                <w:highlight w:val="none"/>
              </w:rPr>
              <w:t>/a），废水经</w:t>
            </w:r>
            <w:r>
              <w:rPr>
                <w:rFonts w:hint="eastAsia" w:cs="Times New Roman"/>
                <w:color w:val="auto"/>
                <w:sz w:val="24"/>
                <w:highlight w:val="none"/>
                <w:u w:val="none"/>
                <w:lang w:val="en-US" w:eastAsia="zh-CN"/>
              </w:rPr>
              <w:t>洗车槽</w:t>
            </w:r>
            <w:r>
              <w:rPr>
                <w:rFonts w:hint="eastAsia" w:ascii="Times New Roman" w:hAnsi="Times New Roman" w:cs="Times New Roman"/>
                <w:color w:val="auto"/>
                <w:sz w:val="24"/>
                <w:highlight w:val="none"/>
                <w:u w:val="none"/>
                <w:lang w:val="en-US" w:eastAsia="zh-CN"/>
              </w:rPr>
              <w:t>处理后进入循环水池</w:t>
            </w:r>
            <w:r>
              <w:rPr>
                <w:color w:val="auto"/>
                <w:sz w:val="24"/>
                <w:highlight w:val="none"/>
              </w:rPr>
              <w:t>回用。</w:t>
            </w:r>
          </w:p>
          <w:p w14:paraId="2B740D28">
            <w:pPr>
              <w:pStyle w:val="37"/>
              <w:bidi w:val="0"/>
              <w:rPr>
                <w:rFonts w:hint="default" w:ascii="Times New Roman" w:hAnsi="Times New Roman" w:cs="Times New Roman"/>
                <w:color w:val="auto"/>
                <w:sz w:val="24"/>
                <w:highlight w:val="none"/>
                <w:u w:val="none"/>
              </w:rPr>
            </w:pPr>
            <w:r>
              <w:rPr>
                <w:rFonts w:hint="eastAsia" w:ascii="Times New Roman" w:hAnsi="Times New Roman" w:cs="Times New Roman"/>
                <w:color w:val="auto"/>
                <w:highlight w:val="none"/>
                <w:u w:val="none"/>
                <w:lang w:eastAsia="zh-CN"/>
              </w:rPr>
              <w:t>⑥</w:t>
            </w:r>
            <w:r>
              <w:rPr>
                <w:rFonts w:hint="default" w:ascii="Times New Roman" w:hAnsi="Times New Roman" w:cs="Times New Roman"/>
                <w:color w:val="auto"/>
                <w:highlight w:val="none"/>
                <w:u w:val="none"/>
                <w:lang w:eastAsia="zh-CN"/>
              </w:rPr>
              <w:t>场地冲洗用水：</w:t>
            </w:r>
            <w:r>
              <w:rPr>
                <w:rFonts w:hint="default" w:ascii="Times New Roman" w:hAnsi="Times New Roman" w:cs="Times New Roman"/>
                <w:color w:val="auto"/>
                <w:sz w:val="24"/>
                <w:highlight w:val="none"/>
                <w:u w:val="none"/>
              </w:rPr>
              <w:t>本项目厂区地面及道路需定期清扫及冲洗，约1周冲洗一次，冲洗面积约为</w:t>
            </w:r>
            <w:r>
              <w:rPr>
                <w:rFonts w:hint="eastAsia" w:ascii="Times New Roman" w:hAnsi="Times New Roman" w:cs="Times New Roman"/>
                <w:color w:val="auto"/>
                <w:sz w:val="24"/>
                <w:highlight w:val="none"/>
                <w:u w:val="none"/>
                <w:lang w:val="en-US" w:eastAsia="zh-CN"/>
              </w:rPr>
              <w:t>4500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，用水量按0.005m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w:t>
            </w:r>
            <w:r>
              <w:rPr>
                <w:rFonts w:hint="eastAsia" w:ascii="Times New Roman" w:hAnsi="Times New Roman" w:cs="Times New Roman"/>
                <w:color w:val="auto"/>
                <w:sz w:val="24"/>
                <w:highlight w:val="none"/>
                <w:u w:val="none"/>
                <w:lang w:val="en-US" w:eastAsia="zh-CN"/>
              </w:rPr>
              <w:t>次</w:t>
            </w:r>
            <w:r>
              <w:rPr>
                <w:rFonts w:hint="default" w:ascii="Times New Roman" w:hAnsi="Times New Roman" w:cs="Times New Roman"/>
                <w:color w:val="auto"/>
                <w:sz w:val="24"/>
                <w:highlight w:val="none"/>
                <w:u w:val="none"/>
              </w:rPr>
              <w:t>计算，则该部分用水量为</w:t>
            </w:r>
            <w:r>
              <w:rPr>
                <w:rFonts w:hint="eastAsia" w:ascii="Times New Roman" w:hAnsi="Times New Roman" w:cs="Times New Roman"/>
                <w:color w:val="auto"/>
                <w:sz w:val="24"/>
                <w:highlight w:val="none"/>
                <w:u w:val="none"/>
                <w:lang w:val="en-US" w:eastAsia="zh-CN"/>
              </w:rPr>
              <w:t>22.5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1080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/a），排放系数按0.</w:t>
            </w:r>
            <w:r>
              <w:rPr>
                <w:rFonts w:hint="eastAsia" w:cs="Times New Roman"/>
                <w:color w:val="auto"/>
                <w:kern w:val="0"/>
                <w:sz w:val="24"/>
                <w:szCs w:val="24"/>
                <w:highlight w:val="none"/>
                <w:lang w:val="en-US" w:eastAsia="zh-CN" w:bidi="ar-SA"/>
              </w:rPr>
              <w:t>9</w:t>
            </w:r>
            <w:r>
              <w:rPr>
                <w:rFonts w:hint="default" w:ascii="Times New Roman" w:hAnsi="Times New Roman" w:eastAsia="宋体" w:cs="Times New Roman"/>
                <w:color w:val="auto"/>
                <w:kern w:val="0"/>
                <w:sz w:val="24"/>
                <w:szCs w:val="24"/>
                <w:highlight w:val="none"/>
                <w:lang w:val="en-US" w:eastAsia="zh-CN" w:bidi="ar-SA"/>
              </w:rPr>
              <w:t>计</w:t>
            </w:r>
            <w:r>
              <w:rPr>
                <w:rFonts w:hint="default" w:ascii="Times New Roman" w:hAnsi="Times New Roman" w:cs="Times New Roman"/>
                <w:color w:val="auto"/>
                <w:sz w:val="24"/>
                <w:highlight w:val="none"/>
                <w:u w:val="none"/>
              </w:rPr>
              <w:t>算，则废水排放量为</w:t>
            </w:r>
            <w:r>
              <w:rPr>
                <w:rFonts w:hint="eastAsia" w:cs="Times New Roman"/>
                <w:color w:val="auto"/>
                <w:sz w:val="24"/>
                <w:highlight w:val="none"/>
                <w:u w:val="none"/>
                <w:lang w:val="en-US" w:eastAsia="zh-CN"/>
              </w:rPr>
              <w:t>20.25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cs="Times New Roman"/>
                <w:color w:val="auto"/>
                <w:sz w:val="24"/>
                <w:highlight w:val="none"/>
                <w:u w:val="none"/>
                <w:lang w:val="en-US" w:eastAsia="zh-CN"/>
              </w:rPr>
              <w:t>972</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/a），废水</w:t>
            </w:r>
            <w:r>
              <w:rPr>
                <w:color w:val="auto"/>
                <w:sz w:val="24"/>
                <w:highlight w:val="none"/>
              </w:rPr>
              <w:t>经</w:t>
            </w:r>
            <w:r>
              <w:rPr>
                <w:rFonts w:hint="eastAsia" w:cs="Times New Roman"/>
                <w:color w:val="auto"/>
                <w:sz w:val="24"/>
                <w:highlight w:val="none"/>
                <w:u w:val="none"/>
                <w:lang w:val="en-US" w:eastAsia="zh-CN"/>
              </w:rPr>
              <w:t>洗车槽</w:t>
            </w:r>
            <w:r>
              <w:rPr>
                <w:rFonts w:hint="eastAsia" w:ascii="Times New Roman" w:hAnsi="Times New Roman" w:cs="Times New Roman"/>
                <w:color w:val="auto"/>
                <w:sz w:val="24"/>
                <w:highlight w:val="none"/>
                <w:u w:val="none"/>
                <w:lang w:val="en-US" w:eastAsia="zh-CN"/>
              </w:rPr>
              <w:t>处理后进入循环水池</w:t>
            </w:r>
            <w:r>
              <w:rPr>
                <w:color w:val="auto"/>
                <w:sz w:val="24"/>
                <w:highlight w:val="none"/>
              </w:rPr>
              <w:t>回用</w:t>
            </w:r>
            <w:r>
              <w:rPr>
                <w:rFonts w:hint="default" w:ascii="Times New Roman" w:hAnsi="Times New Roman" w:cs="Times New Roman"/>
                <w:color w:val="auto"/>
                <w:sz w:val="24"/>
                <w:highlight w:val="none"/>
                <w:u w:val="none"/>
              </w:rPr>
              <w:t>。</w:t>
            </w:r>
          </w:p>
          <w:p w14:paraId="40AEDA63">
            <w:pPr>
              <w:pStyle w:val="37"/>
              <w:bidi w:val="0"/>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该废水的主要水质污染因子为SS</w:t>
            </w:r>
            <w:r>
              <w:rPr>
                <w:rFonts w:hint="eastAsia" w:cs="Times New Roman"/>
                <w:color w:val="auto"/>
                <w:sz w:val="24"/>
                <w:highlight w:val="none"/>
                <w:lang w:eastAsia="zh-CN"/>
              </w:rPr>
              <w:t>，</w:t>
            </w:r>
            <w:r>
              <w:rPr>
                <w:rFonts w:hint="default" w:ascii="Times New Roman" w:hAnsi="Times New Roman" w:cs="Times New Roman"/>
                <w:color w:val="auto"/>
                <w:sz w:val="24"/>
              </w:rPr>
              <w:t>其浓度为2000mg/L</w:t>
            </w:r>
            <w:r>
              <w:rPr>
                <w:rFonts w:hint="eastAsia" w:ascii="Times New Roman" w:hAnsi="Times New Roman" w:cs="Times New Roman"/>
                <w:color w:val="auto"/>
                <w:sz w:val="24"/>
                <w:highlight w:val="none"/>
                <w:lang w:eastAsia="zh-CN"/>
              </w:rPr>
              <w:t>。</w:t>
            </w:r>
          </w:p>
          <w:p w14:paraId="0FF9B7C8">
            <w:pPr>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表2-</w:t>
            </w:r>
            <w:r>
              <w:rPr>
                <w:rFonts w:hint="eastAsia" w:ascii="Times New Roman" w:hAnsi="Times New Roman" w:cs="Times New Roman"/>
                <w:b/>
                <w:color w:val="auto"/>
                <w:sz w:val="21"/>
                <w:szCs w:val="21"/>
                <w:u w:val="none"/>
                <w:lang w:val="en-US" w:eastAsia="zh-CN"/>
              </w:rPr>
              <w:t xml:space="preserve">8 </w:t>
            </w:r>
            <w:r>
              <w:rPr>
                <w:rFonts w:hint="default" w:ascii="Times New Roman" w:hAnsi="Times New Roman" w:cs="Times New Roman"/>
                <w:b/>
                <w:color w:val="auto"/>
                <w:sz w:val="21"/>
                <w:szCs w:val="21"/>
                <w:u w:val="none"/>
              </w:rPr>
              <w:t xml:space="preserve">  项目用排水情况一览表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65"/>
              <w:gridCol w:w="899"/>
              <w:gridCol w:w="954"/>
              <w:gridCol w:w="1385"/>
              <w:gridCol w:w="1782"/>
              <w:gridCol w:w="1044"/>
              <w:gridCol w:w="1093"/>
            </w:tblGrid>
            <w:tr w14:paraId="1054E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6" w:hRule="atLeast"/>
                <w:tblHeader/>
                <w:jc w:val="center"/>
              </w:trPr>
              <w:tc>
                <w:tcPr>
                  <w:tcW w:w="681" w:type="dxa"/>
                  <w:noWrap w:val="0"/>
                  <w:vAlign w:val="center"/>
                </w:tcPr>
                <w:p w14:paraId="5B0981FA">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项目</w:t>
                  </w:r>
                </w:p>
              </w:tc>
              <w:tc>
                <w:tcPr>
                  <w:tcW w:w="917" w:type="dxa"/>
                  <w:noWrap w:val="0"/>
                  <w:vAlign w:val="center"/>
                </w:tcPr>
                <w:p w14:paraId="4AF77286">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类型</w:t>
                  </w:r>
                </w:p>
              </w:tc>
              <w:tc>
                <w:tcPr>
                  <w:tcW w:w="960" w:type="dxa"/>
                  <w:noWrap w:val="0"/>
                  <w:vAlign w:val="center"/>
                </w:tcPr>
                <w:p w14:paraId="260BC472">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使用规模</w:t>
                  </w:r>
                </w:p>
              </w:tc>
              <w:tc>
                <w:tcPr>
                  <w:tcW w:w="1331" w:type="dxa"/>
                  <w:noWrap w:val="0"/>
                  <w:vAlign w:val="center"/>
                </w:tcPr>
                <w:p w14:paraId="73A6523E">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用水标准</w:t>
                  </w:r>
                </w:p>
              </w:tc>
              <w:tc>
                <w:tcPr>
                  <w:tcW w:w="1833" w:type="dxa"/>
                  <w:noWrap w:val="0"/>
                  <w:vAlign w:val="center"/>
                </w:tcPr>
                <w:p w14:paraId="6DADEBFF">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需水量</w:t>
                  </w:r>
                </w:p>
                <w:p w14:paraId="53CB3D17">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（m</w:t>
                  </w:r>
                  <w:r>
                    <w:rPr>
                      <w:rFonts w:hint="default" w:ascii="Times New Roman" w:hAnsi="Times New Roman" w:cs="Times New Roman"/>
                      <w:b/>
                      <w:bCs/>
                      <w:color w:val="auto"/>
                      <w:szCs w:val="21"/>
                      <w:highlight w:val="none"/>
                      <w:u w:val="none"/>
                      <w:vertAlign w:val="superscript"/>
                    </w:rPr>
                    <w:t>3</w:t>
                  </w:r>
                  <w:r>
                    <w:rPr>
                      <w:rFonts w:hint="default" w:ascii="Times New Roman" w:hAnsi="Times New Roman" w:cs="Times New Roman"/>
                      <w:b/>
                      <w:bCs/>
                      <w:color w:val="auto"/>
                      <w:szCs w:val="21"/>
                      <w:highlight w:val="none"/>
                      <w:u w:val="none"/>
                    </w:rPr>
                    <w:t>/a）</w:t>
                  </w:r>
                </w:p>
              </w:tc>
              <w:tc>
                <w:tcPr>
                  <w:tcW w:w="1004" w:type="dxa"/>
                  <w:noWrap w:val="0"/>
                  <w:vAlign w:val="center"/>
                </w:tcPr>
                <w:p w14:paraId="49048AFC">
                  <w:pPr>
                    <w:adjustRightInd w:val="0"/>
                    <w:snapToGrid w:val="0"/>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废水量（m</w:t>
                  </w:r>
                  <w:r>
                    <w:rPr>
                      <w:rFonts w:hint="default" w:ascii="Times New Roman" w:hAnsi="Times New Roman" w:cs="Times New Roman"/>
                      <w:b/>
                      <w:bCs/>
                      <w:color w:val="auto"/>
                      <w:szCs w:val="21"/>
                      <w:highlight w:val="none"/>
                      <w:u w:val="none"/>
                      <w:vertAlign w:val="superscript"/>
                    </w:rPr>
                    <w:t>3</w:t>
                  </w:r>
                  <w:r>
                    <w:rPr>
                      <w:rFonts w:hint="default" w:ascii="Times New Roman" w:hAnsi="Times New Roman" w:cs="Times New Roman"/>
                      <w:b/>
                      <w:bCs/>
                      <w:color w:val="auto"/>
                      <w:szCs w:val="21"/>
                      <w:u w:val="none"/>
                    </w:rPr>
                    <w:t>/a）</w:t>
                  </w:r>
                </w:p>
              </w:tc>
              <w:tc>
                <w:tcPr>
                  <w:tcW w:w="1096" w:type="dxa"/>
                  <w:noWrap w:val="0"/>
                  <w:vAlign w:val="center"/>
                </w:tcPr>
                <w:p w14:paraId="135FA492">
                  <w:pPr>
                    <w:adjustRightInd w:val="0"/>
                    <w:snapToGrid w:val="0"/>
                    <w:jc w:val="center"/>
                    <w:rPr>
                      <w:rFonts w:hint="default" w:ascii="Times New Roman" w:hAnsi="Times New Roman" w:eastAsia="宋体" w:cs="Times New Roman"/>
                      <w:b/>
                      <w:bCs/>
                      <w:color w:val="auto"/>
                      <w:szCs w:val="21"/>
                      <w:highlight w:val="none"/>
                      <w:u w:val="none"/>
                      <w:lang w:val="en-US" w:eastAsia="zh-CN"/>
                    </w:rPr>
                  </w:pPr>
                  <w:r>
                    <w:rPr>
                      <w:rFonts w:hint="eastAsia" w:cs="Times New Roman"/>
                      <w:b/>
                      <w:bCs/>
                      <w:color w:val="auto"/>
                      <w:szCs w:val="21"/>
                      <w:highlight w:val="none"/>
                      <w:u w:val="none"/>
                      <w:lang w:val="en-US" w:eastAsia="zh-CN"/>
                    </w:rPr>
                    <w:t>日废水量</w:t>
                  </w:r>
                  <w:r>
                    <w:rPr>
                      <w:rFonts w:hint="default" w:ascii="Times New Roman" w:hAnsi="Times New Roman" w:cs="Times New Roman"/>
                      <w:b/>
                      <w:bCs/>
                      <w:color w:val="auto"/>
                      <w:szCs w:val="21"/>
                      <w:highlight w:val="none"/>
                      <w:u w:val="none"/>
                    </w:rPr>
                    <w:t>（m</w:t>
                  </w:r>
                  <w:r>
                    <w:rPr>
                      <w:rFonts w:hint="default" w:ascii="Times New Roman" w:hAnsi="Times New Roman" w:cs="Times New Roman"/>
                      <w:b/>
                      <w:bCs/>
                      <w:color w:val="auto"/>
                      <w:szCs w:val="21"/>
                      <w:highlight w:val="none"/>
                      <w:u w:val="none"/>
                      <w:vertAlign w:val="superscript"/>
                    </w:rPr>
                    <w:t>3</w:t>
                  </w:r>
                  <w:r>
                    <w:rPr>
                      <w:rFonts w:hint="default" w:ascii="Times New Roman" w:hAnsi="Times New Roman" w:cs="Times New Roman"/>
                      <w:b/>
                      <w:bCs/>
                      <w:color w:val="auto"/>
                      <w:szCs w:val="21"/>
                      <w:u w:val="none"/>
                    </w:rPr>
                    <w:t>/</w:t>
                  </w:r>
                  <w:r>
                    <w:rPr>
                      <w:rFonts w:hint="eastAsia" w:cs="Times New Roman"/>
                      <w:b/>
                      <w:bCs/>
                      <w:color w:val="auto"/>
                      <w:szCs w:val="21"/>
                      <w:u w:val="none"/>
                      <w:lang w:val="en-US" w:eastAsia="zh-CN"/>
                    </w:rPr>
                    <w:t>d</w:t>
                  </w:r>
                  <w:r>
                    <w:rPr>
                      <w:rFonts w:hint="default" w:ascii="Times New Roman" w:hAnsi="Times New Roman" w:cs="Times New Roman"/>
                      <w:b/>
                      <w:bCs/>
                      <w:color w:val="auto"/>
                      <w:szCs w:val="21"/>
                      <w:u w:val="none"/>
                    </w:rPr>
                    <w:t>）</w:t>
                  </w:r>
                </w:p>
              </w:tc>
            </w:tr>
            <w:tr w14:paraId="0F044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681" w:type="dxa"/>
                  <w:vMerge w:val="restart"/>
                  <w:noWrap w:val="0"/>
                  <w:vAlign w:val="center"/>
                </w:tcPr>
                <w:p w14:paraId="523BB10A">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生产过程用水</w:t>
                  </w:r>
                </w:p>
              </w:tc>
              <w:tc>
                <w:tcPr>
                  <w:tcW w:w="917" w:type="dxa"/>
                  <w:noWrap w:val="0"/>
                  <w:vAlign w:val="center"/>
                </w:tcPr>
                <w:p w14:paraId="7F657FD8">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洗砂用水</w:t>
                  </w:r>
                </w:p>
              </w:tc>
              <w:tc>
                <w:tcPr>
                  <w:tcW w:w="960" w:type="dxa"/>
                  <w:noWrap w:val="0"/>
                  <w:vAlign w:val="center"/>
                </w:tcPr>
                <w:p w14:paraId="7FD70FBF">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10</w:t>
                  </w:r>
                  <w:r>
                    <w:rPr>
                      <w:rFonts w:hint="default" w:ascii="Times New Roman" w:hAnsi="Times New Roman" w:cs="Times New Roman"/>
                      <w:color w:val="auto"/>
                      <w:szCs w:val="21"/>
                      <w:highlight w:val="none"/>
                      <w:u w:val="none"/>
                      <w:lang w:eastAsia="zh-CN"/>
                    </w:rPr>
                    <w:t>万</w:t>
                  </w:r>
                  <w:r>
                    <w:rPr>
                      <w:rFonts w:hint="default" w:ascii="Times New Roman" w:hAnsi="Times New Roman" w:cs="Times New Roman"/>
                      <w:color w:val="auto"/>
                      <w:szCs w:val="21"/>
                      <w:highlight w:val="none"/>
                      <w:u w:val="none"/>
                    </w:rPr>
                    <w:t>t</w:t>
                  </w:r>
                </w:p>
              </w:tc>
              <w:tc>
                <w:tcPr>
                  <w:tcW w:w="1331" w:type="dxa"/>
                  <w:noWrap w:val="0"/>
                  <w:vAlign w:val="center"/>
                </w:tcPr>
                <w:p w14:paraId="5713818C">
                  <w:pPr>
                    <w:adjustRightInd w:val="0"/>
                    <w:snapToGrid w:val="0"/>
                    <w:jc w:val="center"/>
                    <w:rPr>
                      <w:rFonts w:hint="eastAsia"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0.5</w:t>
                  </w:r>
                  <w:r>
                    <w:rPr>
                      <w:rFonts w:hint="eastAsia" w:ascii="Times New Roman" w:hAnsi="Times New Roman" w:eastAsia="宋体" w:cs="Times New Roman"/>
                      <w:color w:val="auto"/>
                      <w:szCs w:val="21"/>
                      <w:highlight w:val="none"/>
                      <w:u w:val="none"/>
                      <w:lang w:val="en-US" w:eastAsia="zh-CN"/>
                    </w:rPr>
                    <w:t>吨/吨—产品</w:t>
                  </w:r>
                </w:p>
              </w:tc>
              <w:tc>
                <w:tcPr>
                  <w:tcW w:w="1833" w:type="dxa"/>
                  <w:noWrap w:val="0"/>
                  <w:vAlign w:val="center"/>
                </w:tcPr>
                <w:p w14:paraId="31EE7177">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50000</w:t>
                  </w:r>
                  <w:r>
                    <w:rPr>
                      <w:rFonts w:hint="default" w:ascii="Times New Roman" w:hAnsi="Times New Roman" w:cs="Times New Roman"/>
                      <w:color w:val="auto"/>
                      <w:szCs w:val="21"/>
                      <w:highlight w:val="none"/>
                      <w:u w:val="none"/>
                    </w:rPr>
                    <w:t>（其中</w:t>
                  </w:r>
                  <w:r>
                    <w:rPr>
                      <w:rFonts w:hint="eastAsia" w:cs="Times New Roman"/>
                      <w:color w:val="auto"/>
                      <w:szCs w:val="21"/>
                      <w:highlight w:val="none"/>
                      <w:u w:val="none"/>
                      <w:lang w:val="en-US" w:eastAsia="zh-CN"/>
                    </w:rPr>
                    <w:t>10</w:t>
                  </w:r>
                  <w:r>
                    <w:rPr>
                      <w:rFonts w:hint="default" w:ascii="Times New Roman" w:hAnsi="Times New Roman" w:cs="Times New Roman"/>
                      <w:color w:val="auto"/>
                      <w:szCs w:val="21"/>
                      <w:highlight w:val="none"/>
                      <w:u w:val="none"/>
                    </w:rPr>
                    <w:t>%损耗、</w:t>
                  </w:r>
                  <w:r>
                    <w:rPr>
                      <w:rFonts w:hint="eastAsia" w:cs="Times New Roman"/>
                      <w:color w:val="auto"/>
                      <w:szCs w:val="21"/>
                      <w:highlight w:val="none"/>
                      <w:u w:val="none"/>
                      <w:lang w:val="en-US" w:eastAsia="zh-CN"/>
                    </w:rPr>
                    <w:t>9</w:t>
                  </w:r>
                  <w:r>
                    <w:rPr>
                      <w:rFonts w:hint="eastAsia" w:ascii="Times New Roman" w:hAnsi="Times New Roman" w:cs="Times New Roman"/>
                      <w:color w:val="auto"/>
                      <w:szCs w:val="21"/>
                      <w:highlight w:val="none"/>
                      <w:u w:val="none"/>
                      <w:lang w:val="en-US" w:eastAsia="zh-CN"/>
                    </w:rPr>
                    <w:t>0</w:t>
                  </w:r>
                  <w:r>
                    <w:rPr>
                      <w:rFonts w:hint="default" w:ascii="Times New Roman" w:hAnsi="Times New Roman" w:cs="Times New Roman"/>
                      <w:color w:val="auto"/>
                      <w:szCs w:val="21"/>
                      <w:highlight w:val="none"/>
                      <w:u w:val="none"/>
                    </w:rPr>
                    <w:t>%回用）</w:t>
                  </w:r>
                </w:p>
              </w:tc>
              <w:tc>
                <w:tcPr>
                  <w:tcW w:w="1004" w:type="dxa"/>
                  <w:noWrap w:val="0"/>
                  <w:vAlign w:val="center"/>
                </w:tcPr>
                <w:p w14:paraId="16BEDAED">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1096" w:type="dxa"/>
                  <w:noWrap w:val="0"/>
                  <w:vAlign w:val="center"/>
                </w:tcPr>
                <w:p w14:paraId="41089BF7">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150（不外排）</w:t>
                  </w:r>
                </w:p>
              </w:tc>
            </w:tr>
            <w:tr w14:paraId="78593C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681" w:type="dxa"/>
                  <w:vMerge w:val="continue"/>
                  <w:noWrap w:val="0"/>
                  <w:vAlign w:val="center"/>
                </w:tcPr>
                <w:p w14:paraId="1D965518">
                  <w:pPr>
                    <w:adjustRightInd w:val="0"/>
                    <w:snapToGrid w:val="0"/>
                    <w:jc w:val="center"/>
                    <w:rPr>
                      <w:rFonts w:hint="default" w:ascii="Times New Roman" w:hAnsi="Times New Roman" w:cs="Times New Roman"/>
                      <w:color w:val="auto"/>
                      <w:szCs w:val="21"/>
                      <w:highlight w:val="none"/>
                      <w:u w:val="none"/>
                    </w:rPr>
                  </w:pPr>
                </w:p>
              </w:tc>
              <w:tc>
                <w:tcPr>
                  <w:tcW w:w="917" w:type="dxa"/>
                  <w:noWrap w:val="0"/>
                  <w:vAlign w:val="center"/>
                </w:tcPr>
                <w:p w14:paraId="75D7C32F">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场地</w:t>
                  </w:r>
                  <w:r>
                    <w:rPr>
                      <w:rFonts w:hint="default" w:ascii="Times New Roman" w:hAnsi="Times New Roman" w:cs="Times New Roman"/>
                      <w:color w:val="auto"/>
                      <w:szCs w:val="21"/>
                      <w:highlight w:val="none"/>
                      <w:u w:val="none"/>
                    </w:rPr>
                    <w:t>冲洗水</w:t>
                  </w:r>
                </w:p>
              </w:tc>
              <w:tc>
                <w:tcPr>
                  <w:tcW w:w="960" w:type="dxa"/>
                  <w:noWrap w:val="0"/>
                  <w:vAlign w:val="center"/>
                </w:tcPr>
                <w:p w14:paraId="029E00D0">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4500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p>
              </w:tc>
              <w:tc>
                <w:tcPr>
                  <w:tcW w:w="1331" w:type="dxa"/>
                  <w:noWrap w:val="0"/>
                  <w:vAlign w:val="center"/>
                </w:tcPr>
                <w:p w14:paraId="5C1E430B">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color w:val="auto"/>
                      <w:szCs w:val="21"/>
                      <w:highlight w:val="none"/>
                      <w:u w:val="none"/>
                      <w:lang w:val="en-US" w:eastAsia="zh-CN"/>
                    </w:rPr>
                    <w:t>1次/1周0.005m</w:t>
                  </w:r>
                  <w:r>
                    <w:rPr>
                      <w:rFonts w:hint="default" w:ascii="Times New Roman" w:hAnsi="Times New Roman" w:eastAsia="宋体" w:cs="Times New Roman"/>
                      <w:color w:val="auto"/>
                      <w:szCs w:val="21"/>
                      <w:highlight w:val="none"/>
                      <w:u w:val="none"/>
                      <w:vertAlign w:val="superscript"/>
                      <w:lang w:val="en-US" w:eastAsia="zh-CN"/>
                    </w:rPr>
                    <w:t>3</w:t>
                  </w:r>
                  <w:r>
                    <w:rPr>
                      <w:rFonts w:hint="default" w:ascii="Times New Roman" w:hAnsi="Times New Roman" w:eastAsia="宋体" w:cs="Times New Roman"/>
                      <w:color w:val="auto"/>
                      <w:szCs w:val="21"/>
                      <w:highlight w:val="none"/>
                      <w:u w:val="none"/>
                      <w:lang w:val="en-US" w:eastAsia="zh-CN"/>
                    </w:rPr>
                    <w:t>/m</w:t>
                  </w:r>
                  <w:r>
                    <w:rPr>
                      <w:rFonts w:hint="default" w:ascii="Times New Roman" w:hAnsi="Times New Roman" w:eastAsia="宋体" w:cs="Times New Roman"/>
                      <w:color w:val="auto"/>
                      <w:szCs w:val="21"/>
                      <w:highlight w:val="none"/>
                      <w:u w:val="none"/>
                      <w:vertAlign w:val="superscript"/>
                      <w:lang w:val="en-US" w:eastAsia="zh-CN"/>
                    </w:rPr>
                    <w:t>2</w:t>
                  </w:r>
                  <w:r>
                    <w:rPr>
                      <w:rFonts w:hint="default" w:ascii="Times New Roman" w:hAnsi="Times New Roman" w:eastAsia="宋体" w:cs="Times New Roman"/>
                      <w:color w:val="auto"/>
                      <w:szCs w:val="21"/>
                      <w:highlight w:val="none"/>
                      <w:u w:val="none"/>
                      <w:lang w:val="en-US" w:eastAsia="zh-CN"/>
                    </w:rPr>
                    <w:t>·d</w:t>
                  </w:r>
                </w:p>
              </w:tc>
              <w:tc>
                <w:tcPr>
                  <w:tcW w:w="1833" w:type="dxa"/>
                  <w:noWrap w:val="0"/>
                  <w:vAlign w:val="center"/>
                </w:tcPr>
                <w:p w14:paraId="03D222C8">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highlight w:val="none"/>
                      <w:u w:val="none"/>
                      <w:lang w:val="en-US" w:eastAsia="zh-CN"/>
                    </w:rPr>
                    <w:t>1080</w:t>
                  </w:r>
                  <w:r>
                    <w:rPr>
                      <w:rFonts w:hint="default" w:ascii="Times New Roman" w:hAnsi="Times New Roman" w:cs="Times New Roman"/>
                      <w:color w:val="auto"/>
                      <w:highlight w:val="none"/>
                      <w:u w:val="none"/>
                    </w:rPr>
                    <w:t>（其中</w:t>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t>0%损耗、</w:t>
                  </w:r>
                  <w:r>
                    <w:rPr>
                      <w:rFonts w:hint="eastAsia" w:cs="Times New Roman"/>
                      <w:color w:val="auto"/>
                      <w:highlight w:val="none"/>
                      <w:u w:val="none"/>
                      <w:lang w:val="en-US" w:eastAsia="zh-CN"/>
                    </w:rPr>
                    <w:t>9</w:t>
                  </w:r>
                  <w:r>
                    <w:rPr>
                      <w:rFonts w:hint="default" w:ascii="Times New Roman" w:hAnsi="Times New Roman" w:cs="Times New Roman"/>
                      <w:color w:val="auto"/>
                      <w:highlight w:val="none"/>
                      <w:u w:val="none"/>
                    </w:rPr>
                    <w:t>0%回用）</w:t>
                  </w:r>
                </w:p>
              </w:tc>
              <w:tc>
                <w:tcPr>
                  <w:tcW w:w="1004" w:type="dxa"/>
                  <w:noWrap w:val="0"/>
                  <w:vAlign w:val="center"/>
                </w:tcPr>
                <w:p w14:paraId="5AE9E84F">
                  <w:pPr>
                    <w:adjustRightInd w:val="0"/>
                    <w:snapToGrid w:val="0"/>
                    <w:jc w:val="center"/>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0</w:t>
                  </w:r>
                </w:p>
              </w:tc>
              <w:tc>
                <w:tcPr>
                  <w:tcW w:w="1096" w:type="dxa"/>
                  <w:noWrap w:val="0"/>
                  <w:vAlign w:val="center"/>
                </w:tcPr>
                <w:p w14:paraId="4B75BB5A">
                  <w:pPr>
                    <w:adjustRightInd w:val="0"/>
                    <w:snapToGrid w:val="0"/>
                    <w:jc w:val="center"/>
                    <w:rPr>
                      <w:rFonts w:hint="default"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20.25（不外排）</w:t>
                  </w:r>
                </w:p>
              </w:tc>
            </w:tr>
            <w:tr w14:paraId="505636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681" w:type="dxa"/>
                  <w:vMerge w:val="continue"/>
                  <w:noWrap w:val="0"/>
                  <w:vAlign w:val="center"/>
                </w:tcPr>
                <w:p w14:paraId="76400380">
                  <w:pPr>
                    <w:adjustRightInd w:val="0"/>
                    <w:snapToGrid w:val="0"/>
                    <w:jc w:val="center"/>
                    <w:rPr>
                      <w:rFonts w:hint="default" w:ascii="Times New Roman" w:hAnsi="Times New Roman" w:cs="Times New Roman"/>
                      <w:color w:val="auto"/>
                      <w:szCs w:val="21"/>
                      <w:highlight w:val="none"/>
                      <w:u w:val="none"/>
                    </w:rPr>
                  </w:pPr>
                </w:p>
              </w:tc>
              <w:tc>
                <w:tcPr>
                  <w:tcW w:w="917" w:type="dxa"/>
                  <w:noWrap w:val="0"/>
                  <w:vAlign w:val="center"/>
                </w:tcPr>
                <w:p w14:paraId="0DAED2EA">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车辆清洗用水</w:t>
                  </w:r>
                </w:p>
              </w:tc>
              <w:tc>
                <w:tcPr>
                  <w:tcW w:w="960" w:type="dxa"/>
                  <w:noWrap w:val="0"/>
                  <w:vAlign w:val="center"/>
                </w:tcPr>
                <w:p w14:paraId="3C4CEA3E">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10100</w:t>
                  </w:r>
                  <w:r>
                    <w:rPr>
                      <w:rFonts w:hint="default" w:ascii="Times New Roman" w:hAnsi="Times New Roman" w:cs="Times New Roman"/>
                      <w:color w:val="auto"/>
                      <w:szCs w:val="21"/>
                      <w:highlight w:val="none"/>
                      <w:u w:val="none"/>
                    </w:rPr>
                    <w:t>次</w:t>
                  </w:r>
                </w:p>
              </w:tc>
              <w:tc>
                <w:tcPr>
                  <w:tcW w:w="1331" w:type="dxa"/>
                  <w:noWrap w:val="0"/>
                  <w:vAlign w:val="center"/>
                </w:tcPr>
                <w:p w14:paraId="4DBEFE0D">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eastAsia="宋体" w:cs="Times New Roman"/>
                      <w:color w:val="auto"/>
                      <w:szCs w:val="21"/>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05</w:t>
                  </w:r>
                  <w:r>
                    <w:rPr>
                      <w:rFonts w:hint="default" w:ascii="Times New Roman" w:hAnsi="Times New Roman" w:eastAsia="宋体" w:cs="Times New Roman"/>
                      <w:color w:val="auto"/>
                      <w:szCs w:val="21"/>
                      <w:highlight w:val="none"/>
                      <w:u w:val="none"/>
                      <w:lang w:val="en-US" w:eastAsia="zh-CN"/>
                    </w:rPr>
                    <w:t>m</w:t>
                  </w:r>
                  <w:r>
                    <w:rPr>
                      <w:rFonts w:hint="default" w:ascii="Times New Roman" w:hAnsi="Times New Roman" w:eastAsia="宋体" w:cs="Times New Roman"/>
                      <w:color w:val="auto"/>
                      <w:szCs w:val="21"/>
                      <w:highlight w:val="none"/>
                      <w:u w:val="none"/>
                      <w:vertAlign w:val="superscript"/>
                      <w:lang w:val="en-US" w:eastAsia="zh-CN"/>
                    </w:rPr>
                    <w:t>3</w:t>
                  </w:r>
                  <w:r>
                    <w:rPr>
                      <w:rFonts w:hint="default" w:ascii="Times New Roman" w:hAnsi="Times New Roman" w:eastAsia="宋体" w:cs="Times New Roman"/>
                      <w:color w:val="auto"/>
                      <w:szCs w:val="21"/>
                      <w:highlight w:val="none"/>
                      <w:u w:val="none"/>
                      <w:lang w:val="en-US" w:eastAsia="zh-CN"/>
                    </w:rPr>
                    <w:t>/辆·次</w:t>
                  </w:r>
                </w:p>
              </w:tc>
              <w:tc>
                <w:tcPr>
                  <w:tcW w:w="1833" w:type="dxa"/>
                  <w:noWrap w:val="0"/>
                  <w:vAlign w:val="center"/>
                </w:tcPr>
                <w:p w14:paraId="67E28EA6">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505</w:t>
                  </w:r>
                  <w:r>
                    <w:rPr>
                      <w:rFonts w:hint="default" w:ascii="Times New Roman" w:hAnsi="Times New Roman" w:cs="Times New Roman"/>
                      <w:color w:val="auto"/>
                      <w:szCs w:val="21"/>
                      <w:highlight w:val="none"/>
                      <w:u w:val="none"/>
                    </w:rPr>
                    <w:t>（其中</w:t>
                  </w:r>
                  <w:r>
                    <w:rPr>
                      <w:rFonts w:hint="eastAsia" w:cs="Times New Roman"/>
                      <w:color w:val="auto"/>
                      <w:szCs w:val="21"/>
                      <w:highlight w:val="none"/>
                      <w:u w:val="none"/>
                      <w:lang w:val="en-US" w:eastAsia="zh-CN"/>
                    </w:rPr>
                    <w:t>1</w:t>
                  </w:r>
                  <w:r>
                    <w:rPr>
                      <w:rFonts w:hint="default" w:ascii="Times New Roman" w:hAnsi="Times New Roman" w:cs="Times New Roman"/>
                      <w:color w:val="auto"/>
                      <w:szCs w:val="21"/>
                      <w:highlight w:val="none"/>
                      <w:u w:val="none"/>
                    </w:rPr>
                    <w:t>0%损耗、</w:t>
                  </w:r>
                  <w:r>
                    <w:rPr>
                      <w:rFonts w:hint="eastAsia" w:cs="Times New Roman"/>
                      <w:color w:val="auto"/>
                      <w:szCs w:val="21"/>
                      <w:highlight w:val="none"/>
                      <w:u w:val="none"/>
                      <w:lang w:val="en-US" w:eastAsia="zh-CN"/>
                    </w:rPr>
                    <w:t>9</w:t>
                  </w:r>
                  <w:r>
                    <w:rPr>
                      <w:rFonts w:hint="default" w:ascii="Times New Roman" w:hAnsi="Times New Roman" w:cs="Times New Roman"/>
                      <w:color w:val="auto"/>
                      <w:szCs w:val="21"/>
                      <w:highlight w:val="none"/>
                      <w:u w:val="none"/>
                    </w:rPr>
                    <w:t>0%回用）</w:t>
                  </w:r>
                </w:p>
              </w:tc>
              <w:tc>
                <w:tcPr>
                  <w:tcW w:w="1004" w:type="dxa"/>
                  <w:noWrap w:val="0"/>
                  <w:vAlign w:val="center"/>
                </w:tcPr>
                <w:p w14:paraId="4992783F">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1096" w:type="dxa"/>
                  <w:noWrap w:val="0"/>
                  <w:vAlign w:val="center"/>
                </w:tcPr>
                <w:p w14:paraId="233235E5">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1.51（不外排）</w:t>
                  </w:r>
                </w:p>
              </w:tc>
            </w:tr>
            <w:tr w14:paraId="20EA38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681" w:type="dxa"/>
                  <w:noWrap w:val="0"/>
                  <w:vAlign w:val="center"/>
                </w:tcPr>
                <w:p w14:paraId="77A75E3B">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生活</w:t>
                  </w:r>
                </w:p>
                <w:p w14:paraId="721A0934">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用水</w:t>
                  </w:r>
                </w:p>
              </w:tc>
              <w:tc>
                <w:tcPr>
                  <w:tcW w:w="917" w:type="dxa"/>
                  <w:noWrap w:val="0"/>
                  <w:vAlign w:val="center"/>
                </w:tcPr>
                <w:p w14:paraId="7CAB7781">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办公、生活用水（不住宿）</w:t>
                  </w:r>
                </w:p>
              </w:tc>
              <w:tc>
                <w:tcPr>
                  <w:tcW w:w="960" w:type="dxa"/>
                  <w:noWrap w:val="0"/>
                  <w:vAlign w:val="center"/>
                </w:tcPr>
                <w:p w14:paraId="27DB5801">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15</w:t>
                  </w:r>
                  <w:r>
                    <w:rPr>
                      <w:rFonts w:hint="default" w:ascii="Times New Roman" w:hAnsi="Times New Roman" w:cs="Times New Roman"/>
                      <w:color w:val="auto"/>
                      <w:szCs w:val="21"/>
                      <w:highlight w:val="none"/>
                      <w:u w:val="none"/>
                    </w:rPr>
                    <w:t>人</w:t>
                  </w:r>
                </w:p>
              </w:tc>
              <w:tc>
                <w:tcPr>
                  <w:tcW w:w="1331" w:type="dxa"/>
                  <w:noWrap w:val="0"/>
                  <w:vAlign w:val="center"/>
                </w:tcPr>
                <w:p w14:paraId="3D3EF93D">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155</w:t>
                  </w:r>
                  <w:r>
                    <w:rPr>
                      <w:rFonts w:hint="default" w:ascii="Times New Roman" w:hAnsi="Times New Roman" w:cs="Times New Roman"/>
                      <w:color w:val="auto"/>
                      <w:szCs w:val="21"/>
                      <w:highlight w:val="none"/>
                      <w:u w:val="none"/>
                    </w:rPr>
                    <w:t>L/d•人</w:t>
                  </w:r>
                </w:p>
              </w:tc>
              <w:tc>
                <w:tcPr>
                  <w:tcW w:w="1833" w:type="dxa"/>
                  <w:noWrap w:val="0"/>
                  <w:vAlign w:val="center"/>
                </w:tcPr>
                <w:p w14:paraId="21D85201">
                  <w:pPr>
                    <w:adjustRightInd w:val="0"/>
                    <w:snapToGrid w:val="0"/>
                    <w:jc w:val="center"/>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Cs w:val="21"/>
                      <w:highlight w:val="none"/>
                      <w:u w:val="none"/>
                      <w:lang w:val="en-US" w:eastAsia="zh-CN"/>
                    </w:rPr>
                    <w:t>697.5</w:t>
                  </w:r>
                </w:p>
              </w:tc>
              <w:tc>
                <w:tcPr>
                  <w:tcW w:w="1004" w:type="dxa"/>
                  <w:noWrap w:val="0"/>
                  <w:vAlign w:val="center"/>
                </w:tcPr>
                <w:p w14:paraId="0332B4EF">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558</w:t>
                  </w:r>
                </w:p>
              </w:tc>
              <w:tc>
                <w:tcPr>
                  <w:tcW w:w="1096" w:type="dxa"/>
                  <w:noWrap w:val="0"/>
                  <w:vAlign w:val="center"/>
                </w:tcPr>
                <w:p w14:paraId="0367673C">
                  <w:pPr>
                    <w:adjustRightInd w:val="0"/>
                    <w:snapToGrid w:val="0"/>
                    <w:jc w:val="center"/>
                    <w:rPr>
                      <w:rFonts w:hint="default"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1.86</w:t>
                  </w:r>
                </w:p>
              </w:tc>
            </w:tr>
            <w:tr w14:paraId="2F2E8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6" w:hRule="atLeast"/>
                <w:jc w:val="center"/>
              </w:trPr>
              <w:tc>
                <w:tcPr>
                  <w:tcW w:w="3889" w:type="dxa"/>
                  <w:gridSpan w:val="4"/>
                  <w:noWrap w:val="0"/>
                  <w:vAlign w:val="center"/>
                </w:tcPr>
                <w:p w14:paraId="534E471A">
                  <w:pPr>
                    <w:adjustRightInd w:val="0"/>
                    <w:snapToGrid w:val="0"/>
                    <w:jc w:val="center"/>
                    <w:rPr>
                      <w:rFonts w:hint="default" w:ascii="Times New Roman" w:hAnsi="Times New Roman" w:cs="Times New Roman"/>
                      <w:color w:val="auto"/>
                      <w:szCs w:val="21"/>
                      <w:highlight w:val="green"/>
                      <w:u w:val="none"/>
                    </w:rPr>
                  </w:pPr>
                  <w:r>
                    <w:rPr>
                      <w:rFonts w:hint="default" w:ascii="Times New Roman" w:hAnsi="Times New Roman" w:cs="Times New Roman"/>
                      <w:color w:val="auto"/>
                      <w:szCs w:val="21"/>
                      <w:highlight w:val="none"/>
                      <w:u w:val="none"/>
                    </w:rPr>
                    <w:t>合计（m</w:t>
                  </w:r>
                  <w:r>
                    <w:rPr>
                      <w:rFonts w:hint="default" w:ascii="Times New Roman" w:hAnsi="Times New Roman" w:cs="Times New Roman"/>
                      <w:color w:val="auto"/>
                      <w:szCs w:val="21"/>
                      <w:highlight w:val="none"/>
                      <w:u w:val="none"/>
                      <w:vertAlign w:val="superscript"/>
                    </w:rPr>
                    <w:t>3</w:t>
                  </w:r>
                  <w:r>
                    <w:rPr>
                      <w:rFonts w:hint="default" w:ascii="Times New Roman" w:hAnsi="Times New Roman" w:cs="Times New Roman"/>
                      <w:color w:val="auto"/>
                      <w:szCs w:val="21"/>
                      <w:highlight w:val="none"/>
                      <w:u w:val="none"/>
                    </w:rPr>
                    <w:t>/a）</w:t>
                  </w:r>
                </w:p>
              </w:tc>
              <w:tc>
                <w:tcPr>
                  <w:tcW w:w="1833" w:type="dxa"/>
                  <w:noWrap w:val="0"/>
                  <w:vAlign w:val="center"/>
                </w:tcPr>
                <w:p w14:paraId="05298829">
                  <w:pPr>
                    <w:adjustRightInd w:val="0"/>
                    <w:snapToGrid w:val="0"/>
                    <w:jc w:val="center"/>
                    <w:rPr>
                      <w:rFonts w:hint="default" w:ascii="Times New Roman" w:hAnsi="Times New Roman" w:cs="Times New Roman"/>
                      <w:color w:val="auto"/>
                      <w:szCs w:val="21"/>
                      <w:highlight w:val="green"/>
                      <w:u w:val="none"/>
                    </w:rPr>
                  </w:pPr>
                  <w:r>
                    <w:rPr>
                      <w:rFonts w:hint="default" w:ascii="Times New Roman" w:hAnsi="Times New Roman" w:cs="Times New Roman"/>
                      <w:color w:val="auto"/>
                      <w:szCs w:val="21"/>
                      <w:highlight w:val="none"/>
                      <w:u w:val="none"/>
                    </w:rPr>
                    <w:t>总需水量</w:t>
                  </w:r>
                  <w:r>
                    <w:rPr>
                      <w:rFonts w:hint="eastAsia" w:ascii="Times New Roman" w:hAnsi="Times New Roman" w:cs="Times New Roman"/>
                      <w:color w:val="auto"/>
                      <w:szCs w:val="21"/>
                      <w:highlight w:val="none"/>
                      <w:u w:val="none"/>
                      <w:lang w:val="en-US" w:eastAsia="zh-CN"/>
                    </w:rPr>
                    <w:t>52282.5</w:t>
                  </w:r>
                  <w:r>
                    <w:rPr>
                      <w:rFonts w:hint="default" w:ascii="Times New Roman" w:hAnsi="Times New Roman" w:cs="Times New Roman"/>
                      <w:color w:val="auto"/>
                      <w:szCs w:val="21"/>
                      <w:highlight w:val="none"/>
                      <w:u w:val="none"/>
                    </w:rPr>
                    <w:t>（其中循环水量</w:t>
                  </w:r>
                  <w:r>
                    <w:rPr>
                      <w:rFonts w:hint="eastAsia" w:cs="Times New Roman"/>
                      <w:color w:val="auto"/>
                      <w:szCs w:val="21"/>
                      <w:highlight w:val="none"/>
                      <w:u w:val="none"/>
                      <w:lang w:val="en-US" w:eastAsia="zh-CN"/>
                    </w:rPr>
                    <w:t>47124</w:t>
                  </w:r>
                  <w:r>
                    <w:rPr>
                      <w:rFonts w:hint="default" w:ascii="Times New Roman" w:hAnsi="Times New Roman" w:cs="Times New Roman"/>
                      <w:color w:val="auto"/>
                      <w:szCs w:val="21"/>
                      <w:highlight w:val="none"/>
                      <w:u w:val="none"/>
                    </w:rPr>
                    <w:t>、日常补充新鲜水量</w:t>
                  </w:r>
                  <w:r>
                    <w:rPr>
                      <w:rFonts w:hint="eastAsia" w:cs="Times New Roman"/>
                      <w:color w:val="auto"/>
                      <w:szCs w:val="21"/>
                      <w:highlight w:val="none"/>
                      <w:u w:val="none"/>
                      <w:lang w:val="en-US" w:eastAsia="zh-CN"/>
                    </w:rPr>
                    <w:t>5856</w:t>
                  </w:r>
                  <w:r>
                    <w:rPr>
                      <w:rFonts w:hint="default" w:ascii="Times New Roman" w:hAnsi="Times New Roman" w:cs="Times New Roman"/>
                      <w:color w:val="auto"/>
                      <w:szCs w:val="21"/>
                      <w:highlight w:val="none"/>
                      <w:u w:val="none"/>
                    </w:rPr>
                    <w:t>）</w:t>
                  </w:r>
                </w:p>
              </w:tc>
              <w:tc>
                <w:tcPr>
                  <w:tcW w:w="1004" w:type="dxa"/>
                  <w:noWrap w:val="0"/>
                  <w:vAlign w:val="center"/>
                </w:tcPr>
                <w:p w14:paraId="3ACBD0FC">
                  <w:pPr>
                    <w:adjustRightInd w:val="0"/>
                    <w:snapToGrid w:val="0"/>
                    <w:jc w:val="center"/>
                    <w:rPr>
                      <w:rFonts w:hint="default" w:ascii="Times New Roman" w:hAnsi="Times New Roman" w:eastAsia="宋体" w:cs="Times New Roman"/>
                      <w:color w:val="auto"/>
                      <w:szCs w:val="21"/>
                      <w:highlight w:val="green"/>
                      <w:u w:val="none"/>
                      <w:lang w:val="en-US" w:eastAsia="zh-CN"/>
                    </w:rPr>
                  </w:pPr>
                  <w:r>
                    <w:rPr>
                      <w:rFonts w:hint="eastAsia" w:ascii="Times New Roman" w:hAnsi="Times New Roman" w:cs="Times New Roman"/>
                      <w:color w:val="auto"/>
                      <w:szCs w:val="21"/>
                      <w:highlight w:val="none"/>
                      <w:u w:val="none"/>
                      <w:lang w:val="en-US" w:eastAsia="zh-CN"/>
                    </w:rPr>
                    <w:t>558</w:t>
                  </w:r>
                </w:p>
              </w:tc>
              <w:tc>
                <w:tcPr>
                  <w:tcW w:w="1096" w:type="dxa"/>
                  <w:noWrap w:val="0"/>
                  <w:vAlign w:val="center"/>
                </w:tcPr>
                <w:p w14:paraId="5051CA4D">
                  <w:pPr>
                    <w:adjustRightInd w:val="0"/>
                    <w:snapToGrid w:val="0"/>
                    <w:jc w:val="center"/>
                    <w:rPr>
                      <w:rFonts w:hint="eastAsia"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1.86</w:t>
                  </w:r>
                </w:p>
              </w:tc>
            </w:tr>
          </w:tbl>
          <w:p w14:paraId="38D320F4">
            <w:pPr>
              <w:pStyle w:val="37"/>
              <w:bidi w:val="0"/>
              <w:spacing w:line="240" w:lineRule="auto"/>
              <w:ind w:left="0" w:leftChars="0" w:firstLine="0" w:firstLineChars="0"/>
              <w:rPr>
                <w:rFonts w:hint="eastAsia" w:ascii="Times New Roman" w:hAnsi="Times New Roman" w:eastAsia="宋体" w:cs="Times New Roman"/>
                <w:color w:val="auto"/>
                <w:kern w:val="2"/>
                <w:sz w:val="24"/>
                <w:szCs w:val="24"/>
                <w:highlight w:val="green"/>
                <w:u w:val="none" w:color="auto"/>
                <w:shd w:val="clear"/>
                <w:lang w:val="en-US" w:eastAsia="zh-CN" w:bidi="ar-SA"/>
              </w:rPr>
            </w:pPr>
            <w:r>
              <w:rPr>
                <w:color w:val="auto"/>
              </w:rPr>
              <w:drawing>
                <wp:inline distT="0" distB="0" distL="114300" distR="114300">
                  <wp:extent cx="5015865" cy="2644140"/>
                  <wp:effectExtent l="0" t="0" r="13335" b="7620"/>
                  <wp:docPr id="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
                          <pic:cNvPicPr>
                            <a:picLocks noChangeAspect="1"/>
                          </pic:cNvPicPr>
                        </pic:nvPicPr>
                        <pic:blipFill>
                          <a:blip r:embed="rId9"/>
                          <a:stretch>
                            <a:fillRect/>
                          </a:stretch>
                        </pic:blipFill>
                        <pic:spPr>
                          <a:xfrm>
                            <a:off x="0" y="0"/>
                            <a:ext cx="5015865" cy="2644140"/>
                          </a:xfrm>
                          <a:prstGeom prst="rect">
                            <a:avLst/>
                          </a:prstGeom>
                          <a:noFill/>
                          <a:ln>
                            <a:noFill/>
                          </a:ln>
                        </pic:spPr>
                      </pic:pic>
                    </a:graphicData>
                  </a:graphic>
                </wp:inline>
              </w:drawing>
            </w:r>
          </w:p>
          <w:p w14:paraId="110A20A0">
            <w:pPr>
              <w:pStyle w:val="37"/>
              <w:numPr>
                <w:ilvl w:val="0"/>
                <w:numId w:val="0"/>
              </w:numPr>
              <w:bidi w:val="0"/>
              <w:spacing w:line="240" w:lineRule="auto"/>
              <w:jc w:val="center"/>
              <w:rPr>
                <w:rFonts w:hint="eastAsia"/>
                <w:color w:val="auto"/>
                <w:sz w:val="21"/>
                <w:szCs w:val="21"/>
                <w:highlight w:val="none"/>
                <w:u w:val="none" w:color="auto"/>
                <w:lang w:val="en-US" w:eastAsia="zh-CN"/>
              </w:rPr>
            </w:pPr>
            <w:r>
              <w:rPr>
                <w:rFonts w:hint="eastAsia"/>
                <w:b/>
                <w:bCs/>
                <w:color w:val="auto"/>
                <w:sz w:val="21"/>
                <w:szCs w:val="21"/>
                <w:highlight w:val="none"/>
                <w:u w:val="none" w:color="auto"/>
                <w:lang w:val="en-US" w:eastAsia="zh-CN"/>
              </w:rPr>
              <w:t>图2-1   水平衡图（单位：m</w:t>
            </w:r>
            <w:r>
              <w:rPr>
                <w:rFonts w:hint="eastAsia"/>
                <w:b/>
                <w:bCs/>
                <w:color w:val="auto"/>
                <w:sz w:val="21"/>
                <w:szCs w:val="21"/>
                <w:highlight w:val="none"/>
                <w:u w:val="none" w:color="auto"/>
                <w:vertAlign w:val="superscript"/>
                <w:lang w:val="en-US" w:eastAsia="zh-CN"/>
              </w:rPr>
              <w:t>3</w:t>
            </w:r>
            <w:r>
              <w:rPr>
                <w:rFonts w:hint="eastAsia"/>
                <w:b/>
                <w:bCs/>
                <w:color w:val="auto"/>
                <w:sz w:val="21"/>
                <w:szCs w:val="21"/>
                <w:highlight w:val="none"/>
                <w:u w:val="none" w:color="auto"/>
                <w:lang w:val="en-US" w:eastAsia="zh-CN"/>
              </w:rPr>
              <w:t>/a）</w:t>
            </w:r>
          </w:p>
          <w:p w14:paraId="0325C5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highlight w:val="none"/>
                <w:u w:val="none" w:color="auto"/>
                <w:lang w:val="en-US" w:eastAsia="zh-CN"/>
              </w:rPr>
              <w:t>排水：</w:t>
            </w:r>
            <w:r>
              <w:rPr>
                <w:rFonts w:hint="default" w:ascii="Times New Roman" w:hAnsi="Times New Roman" w:cs="Times New Roman"/>
                <w:color w:val="auto"/>
                <w:sz w:val="24"/>
                <w:szCs w:val="24"/>
              </w:rPr>
              <w:t>本项目排水采用雨污分流制，初期雨水经导流沟进入初期雨水收集池内沉淀后全部回用，不外排，后期雨水进入</w:t>
            </w:r>
            <w:r>
              <w:rPr>
                <w:rFonts w:hint="eastAsia" w:cs="Times New Roman"/>
                <w:color w:val="auto"/>
                <w:sz w:val="24"/>
                <w:szCs w:val="24"/>
                <w:lang w:val="en-US" w:eastAsia="zh-CN"/>
              </w:rPr>
              <w:t>南侧兴荣东路</w:t>
            </w:r>
            <w:r>
              <w:rPr>
                <w:rFonts w:hint="default" w:ascii="Times New Roman" w:hAnsi="Times New Roman" w:cs="Times New Roman"/>
                <w:bCs/>
                <w:color w:val="auto"/>
                <w:sz w:val="24"/>
                <w:szCs w:val="24"/>
              </w:rPr>
              <w:t>雨水沟</w:t>
            </w:r>
            <w:r>
              <w:rPr>
                <w:rFonts w:hint="default" w:ascii="Times New Roman" w:hAnsi="Times New Roman" w:cs="Times New Roman"/>
                <w:color w:val="auto"/>
                <w:sz w:val="24"/>
                <w:szCs w:val="24"/>
              </w:rPr>
              <w:t>；生活污水</w:t>
            </w:r>
            <w:r>
              <w:rPr>
                <w:rFonts w:hint="eastAsia" w:ascii="Times New Roman" w:hAnsi="Times New Roman" w:cs="Times New Roman"/>
                <w:color w:val="auto"/>
                <w:sz w:val="24"/>
                <w:szCs w:val="24"/>
                <w:lang w:val="en-US" w:eastAsia="zh-CN"/>
              </w:rPr>
              <w:t>经</w:t>
            </w:r>
            <w:r>
              <w:rPr>
                <w:rFonts w:hint="default" w:ascii="Times New Roman" w:hAnsi="Times New Roman" w:cs="Times New Roman"/>
                <w:color w:val="auto"/>
                <w:sz w:val="24"/>
                <w:szCs w:val="24"/>
              </w:rPr>
              <w:t>化粪池处理后作农肥；</w:t>
            </w:r>
          </w:p>
          <w:p w14:paraId="32D779F0">
            <w:pPr>
              <w:pStyle w:val="37"/>
              <w:keepNext w:val="0"/>
              <w:keepLines w:val="0"/>
              <w:pageBreakBefore w:val="0"/>
              <w:widowControl w:val="0"/>
              <w:kinsoku/>
              <w:overflowPunct/>
              <w:autoSpaceDE/>
              <w:autoSpaceDN/>
              <w:bidi w:val="0"/>
              <w:adjustRightInd/>
              <w:spacing w:line="360" w:lineRule="auto"/>
              <w:textAlignment w:val="auto"/>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rPr>
              <w:t>本</w:t>
            </w:r>
            <w:r>
              <w:rPr>
                <w:rFonts w:hint="default" w:ascii="Times New Roman" w:hAnsi="Times New Roman" w:cs="Times New Roman"/>
                <w:color w:val="auto"/>
                <w:kern w:val="3"/>
                <w:sz w:val="24"/>
                <w:szCs w:val="24"/>
              </w:rPr>
              <w:t>项目</w:t>
            </w:r>
            <w:r>
              <w:rPr>
                <w:rFonts w:hint="eastAsia" w:ascii="Times New Roman" w:hAnsi="Times New Roman" w:cs="Times New Roman"/>
                <w:color w:val="auto"/>
                <w:kern w:val="3"/>
                <w:sz w:val="24"/>
                <w:szCs w:val="24"/>
                <w:lang w:val="en-US" w:eastAsia="zh-CN"/>
              </w:rPr>
              <w:t>生产</w:t>
            </w:r>
            <w:r>
              <w:rPr>
                <w:rFonts w:hint="default" w:ascii="Times New Roman" w:hAnsi="Times New Roman" w:cs="Times New Roman"/>
                <w:color w:val="auto"/>
                <w:kern w:val="3"/>
                <w:sz w:val="24"/>
                <w:szCs w:val="24"/>
              </w:rPr>
              <w:t>废水采取沉淀</w:t>
            </w:r>
            <w:r>
              <w:rPr>
                <w:rFonts w:hint="eastAsia" w:ascii="Times New Roman" w:hAnsi="Times New Roman" w:cs="Times New Roman"/>
                <w:color w:val="auto"/>
                <w:kern w:val="3"/>
                <w:sz w:val="24"/>
                <w:szCs w:val="24"/>
                <w:lang w:val="en-US" w:eastAsia="zh-CN"/>
              </w:rPr>
              <w:t>后</w:t>
            </w:r>
            <w:r>
              <w:rPr>
                <w:rFonts w:hint="default" w:ascii="Times New Roman" w:hAnsi="Times New Roman" w:cs="Times New Roman"/>
                <w:color w:val="auto"/>
                <w:kern w:val="3"/>
                <w:sz w:val="24"/>
                <w:szCs w:val="24"/>
              </w:rPr>
              <w:t>回用，场地清洗废水、洗车废水</w:t>
            </w:r>
            <w:r>
              <w:rPr>
                <w:rFonts w:hint="eastAsia" w:ascii="Times New Roman" w:hAnsi="Times New Roman" w:cs="Times New Roman"/>
                <w:color w:val="auto"/>
                <w:kern w:val="3"/>
                <w:sz w:val="24"/>
                <w:szCs w:val="24"/>
                <w:lang w:val="en-US" w:eastAsia="zh-CN"/>
              </w:rPr>
              <w:t>经利用洗车槽沉淀处理后回用，洗砂废水经</w:t>
            </w:r>
            <w:r>
              <w:rPr>
                <w:rFonts w:hint="eastAsia" w:cs="Times New Roman"/>
                <w:color w:val="auto"/>
                <w:kern w:val="3"/>
                <w:sz w:val="24"/>
                <w:szCs w:val="24"/>
                <w:lang w:val="en-US" w:eastAsia="zh-CN"/>
              </w:rPr>
              <w:t>絮凝罐</w:t>
            </w:r>
            <w:r>
              <w:rPr>
                <w:rFonts w:hint="default" w:ascii="Times New Roman" w:hAnsi="Times New Roman" w:cs="Times New Roman"/>
                <w:color w:val="auto"/>
                <w:kern w:val="3"/>
                <w:sz w:val="24"/>
                <w:szCs w:val="24"/>
              </w:rPr>
              <w:t>+</w:t>
            </w:r>
            <w:r>
              <w:rPr>
                <w:rFonts w:hint="eastAsia" w:cs="Times New Roman"/>
                <w:color w:val="auto"/>
                <w:kern w:val="3"/>
                <w:sz w:val="24"/>
                <w:szCs w:val="24"/>
                <w:lang w:val="en-US" w:eastAsia="zh-CN"/>
              </w:rPr>
              <w:t>循环水池</w:t>
            </w:r>
            <w:r>
              <w:rPr>
                <w:rFonts w:hint="eastAsia" w:ascii="Times New Roman" w:hAnsi="Times New Roman" w:cs="Times New Roman"/>
                <w:color w:val="auto"/>
                <w:kern w:val="3"/>
                <w:sz w:val="24"/>
                <w:szCs w:val="24"/>
                <w:lang w:val="en-US" w:eastAsia="zh-CN"/>
              </w:rPr>
              <w:t>设备沉淀处理后回用，本项目无外排的生产废水</w:t>
            </w:r>
            <w:r>
              <w:rPr>
                <w:rFonts w:hint="default" w:ascii="Times New Roman" w:hAnsi="Times New Roman" w:cs="Times New Roman"/>
                <w:color w:val="auto"/>
                <w:kern w:val="3"/>
                <w:sz w:val="24"/>
                <w:szCs w:val="24"/>
              </w:rPr>
              <w:t>。</w:t>
            </w:r>
          </w:p>
          <w:p w14:paraId="500FEC99">
            <w:pPr>
              <w:pStyle w:val="3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val="en-US" w:eastAsia="zh-CN"/>
              </w:rPr>
              <w:t>）供电</w:t>
            </w:r>
          </w:p>
          <w:p w14:paraId="2DE850AB">
            <w:pPr>
              <w:pStyle w:val="37"/>
              <w:bidi w:val="0"/>
              <w:ind w:firstLine="480" w:firstLineChars="200"/>
              <w:rPr>
                <w:rFonts w:hint="default" w:cs="Times New Roman"/>
                <w:color w:val="auto"/>
                <w:highlight w:val="green"/>
                <w:u w:val="none" w:color="auto"/>
                <w:lang w:val="en-US" w:eastAsia="zh-CN"/>
              </w:rPr>
            </w:pPr>
            <w:r>
              <w:rPr>
                <w:rFonts w:hint="default" w:ascii="Times New Roman" w:hAnsi="Times New Roman" w:cs="Times New Roman"/>
                <w:color w:val="auto"/>
                <w:highlight w:val="none"/>
                <w:u w:val="none" w:color="auto"/>
                <w:lang w:val="en-US" w:eastAsia="zh-CN"/>
              </w:rPr>
              <w:t>本项目供电由</w:t>
            </w: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r>
              <w:rPr>
                <w:rFonts w:hint="default" w:ascii="Times New Roman" w:hAnsi="Times New Roman" w:cs="Times New Roman"/>
                <w:color w:val="auto"/>
                <w:highlight w:val="none"/>
                <w:u w:val="none" w:color="auto"/>
                <w:lang w:val="en-US" w:eastAsia="zh-CN"/>
              </w:rPr>
              <w:t>提供，可满足本项目用电需求。</w:t>
            </w:r>
          </w:p>
        </w:tc>
      </w:tr>
      <w:tr w14:paraId="1E167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5" w:hRule="atLeast"/>
          <w:jc w:val="center"/>
        </w:trPr>
        <w:tc>
          <w:tcPr>
            <w:tcW w:w="235" w:type="pct"/>
            <w:tcBorders>
              <w:tl2br w:val="nil"/>
              <w:tr2bl w:val="nil"/>
            </w:tcBorders>
            <w:noWrap w:val="0"/>
            <w:vAlign w:val="center"/>
          </w:tcPr>
          <w:p w14:paraId="33D8DA8A">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green"/>
                <w:u w:val="none" w:color="auto"/>
              </w:rPr>
            </w:pPr>
            <w:r>
              <w:rPr>
                <w:rFonts w:hint="default" w:ascii="Times New Roman" w:hAnsi="Times New Roman" w:cs="Times New Roman"/>
                <w:color w:val="auto"/>
                <w:sz w:val="21"/>
                <w:szCs w:val="21"/>
                <w:highlight w:val="none"/>
                <w:u w:val="none" w:color="auto"/>
              </w:rPr>
              <w:t>工艺流程和产排污环节</w:t>
            </w:r>
          </w:p>
        </w:tc>
        <w:tc>
          <w:tcPr>
            <w:tcW w:w="4764" w:type="pct"/>
            <w:tcBorders>
              <w:tl2br w:val="nil"/>
              <w:tr2bl w:val="nil"/>
            </w:tcBorders>
            <w:noWrap w:val="0"/>
            <w:vAlign w:val="top"/>
          </w:tcPr>
          <w:p w14:paraId="75A0AC25">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lang w:val="en-US" w:eastAsia="zh-CN"/>
              </w:rPr>
              <w:t>一、施工期工艺流程及产排污环节</w:t>
            </w:r>
          </w:p>
          <w:p w14:paraId="7CDB2117">
            <w:pPr>
              <w:pStyle w:val="37"/>
              <w:bidi w:val="0"/>
              <w:rPr>
                <w:rFonts w:hint="default" w:ascii="Times New Roman" w:hAnsi="Times New Roman" w:cs="Times New Roman"/>
                <w:color w:val="auto"/>
              </w:rPr>
            </w:pPr>
            <w:r>
              <w:rPr>
                <w:rFonts w:hint="default" w:ascii="Times New Roman" w:hAnsi="Times New Roman" w:cs="Times New Roman"/>
                <w:color w:val="auto"/>
              </w:rPr>
              <w:t>项目施工期具体工艺流程为基础工程、主体工程、装饰工程和设备安装。项目的三通一平（水通、电通、路通和场地平整）由建设单位委托给相关</w:t>
            </w:r>
            <w:r>
              <w:rPr>
                <w:rFonts w:hint="eastAsia" w:ascii="Times New Roman" w:hAnsi="Times New Roman" w:cs="Times New Roman"/>
                <w:color w:val="auto"/>
                <w:lang w:eastAsia="zh-CN"/>
              </w:rPr>
              <w:t>专</w:t>
            </w:r>
            <w:r>
              <w:rPr>
                <w:rFonts w:hint="default" w:ascii="Times New Roman" w:hAnsi="Times New Roman" w:cs="Times New Roman"/>
                <w:color w:val="auto"/>
              </w:rPr>
              <w:t>业单位进行建设。</w:t>
            </w:r>
          </w:p>
          <w:p w14:paraId="62800940">
            <w:pPr>
              <w:pStyle w:val="5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position w:val="-56"/>
              </w:rPr>
            </w:pPr>
            <w:r>
              <w:rPr>
                <w:color w:val="auto"/>
              </w:rPr>
              <w:drawing>
                <wp:inline distT="0" distB="0" distL="114300" distR="114300">
                  <wp:extent cx="5005070" cy="1832610"/>
                  <wp:effectExtent l="0" t="0" r="8890" b="11430"/>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10"/>
                          <a:stretch>
                            <a:fillRect/>
                          </a:stretch>
                        </pic:blipFill>
                        <pic:spPr>
                          <a:xfrm>
                            <a:off x="0" y="0"/>
                            <a:ext cx="5005070" cy="1832610"/>
                          </a:xfrm>
                          <a:prstGeom prst="rect">
                            <a:avLst/>
                          </a:prstGeom>
                          <a:noFill/>
                          <a:ln>
                            <a:noFill/>
                          </a:ln>
                        </pic:spPr>
                      </pic:pic>
                    </a:graphicData>
                  </a:graphic>
                </wp:inline>
              </w:drawing>
            </w:r>
          </w:p>
          <w:p w14:paraId="5247E968">
            <w:pPr>
              <w:pStyle w:val="5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position w:val="-56"/>
                <w:sz w:val="21"/>
                <w:szCs w:val="21"/>
                <w:lang w:val="en-US" w:eastAsia="zh-CN"/>
              </w:rPr>
            </w:pPr>
            <w:r>
              <w:rPr>
                <w:rFonts w:hint="default" w:ascii="Times New Roman" w:hAnsi="Times New Roman" w:cs="Times New Roman"/>
                <w:b/>
                <w:bCs/>
                <w:color w:val="auto"/>
                <w:spacing w:val="7"/>
                <w:sz w:val="21"/>
                <w:szCs w:val="21"/>
              </w:rPr>
              <w:t>图</w:t>
            </w:r>
            <w:r>
              <w:rPr>
                <w:rFonts w:hint="default" w:ascii="Times New Roman" w:hAnsi="Times New Roman" w:eastAsia="Times New Roman" w:cs="Times New Roman"/>
                <w:b/>
                <w:bCs/>
                <w:color w:val="auto"/>
                <w:spacing w:val="7"/>
                <w:sz w:val="21"/>
                <w:szCs w:val="21"/>
              </w:rPr>
              <w:t>2-</w:t>
            </w:r>
            <w:r>
              <w:rPr>
                <w:rFonts w:hint="eastAsia" w:ascii="Times New Roman" w:hAnsi="Times New Roman" w:eastAsia="宋体" w:cs="Times New Roman"/>
                <w:b/>
                <w:bCs/>
                <w:color w:val="auto"/>
                <w:spacing w:val="7"/>
                <w:sz w:val="21"/>
                <w:szCs w:val="21"/>
                <w:lang w:val="en-US" w:eastAsia="zh-CN"/>
              </w:rPr>
              <w:t>2</w:t>
            </w:r>
            <w:r>
              <w:rPr>
                <w:rFonts w:hint="default" w:ascii="Times New Roman" w:hAnsi="Times New Roman" w:eastAsia="Times New Roman" w:cs="Times New Roman"/>
                <w:b/>
                <w:bCs/>
                <w:color w:val="auto"/>
                <w:spacing w:val="7"/>
                <w:sz w:val="21"/>
                <w:szCs w:val="21"/>
              </w:rPr>
              <w:t xml:space="preserve">  </w:t>
            </w:r>
            <w:r>
              <w:rPr>
                <w:rFonts w:hint="default" w:ascii="Times New Roman" w:hAnsi="Times New Roman" w:cs="Times New Roman"/>
                <w:b/>
                <w:bCs/>
                <w:color w:val="auto"/>
                <w:spacing w:val="7"/>
                <w:sz w:val="21"/>
                <w:szCs w:val="21"/>
              </w:rPr>
              <w:t>项目施工期工艺</w:t>
            </w:r>
            <w:r>
              <w:rPr>
                <w:rFonts w:hint="default" w:ascii="Times New Roman" w:hAnsi="Times New Roman" w:cs="Times New Roman"/>
                <w:b/>
                <w:bCs/>
                <w:color w:val="auto"/>
                <w:spacing w:val="7"/>
                <w:sz w:val="21"/>
                <w:szCs w:val="21"/>
                <w:lang w:val="en-US" w:eastAsia="zh-CN"/>
              </w:rPr>
              <w:t>流程</w:t>
            </w:r>
            <w:r>
              <w:rPr>
                <w:rFonts w:hint="eastAsia" w:ascii="Times New Roman" w:hAnsi="Times New Roman" w:cs="Times New Roman"/>
                <w:b/>
                <w:bCs/>
                <w:color w:val="auto"/>
                <w:spacing w:val="7"/>
                <w:sz w:val="21"/>
                <w:szCs w:val="21"/>
                <w:lang w:val="en-US" w:eastAsia="zh-CN"/>
              </w:rPr>
              <w:t>及产污</w:t>
            </w:r>
            <w:r>
              <w:rPr>
                <w:rFonts w:hint="default" w:ascii="Times New Roman" w:hAnsi="Times New Roman" w:cs="Times New Roman"/>
                <w:b/>
                <w:bCs/>
                <w:color w:val="auto"/>
                <w:spacing w:val="7"/>
                <w:sz w:val="21"/>
                <w:szCs w:val="21"/>
              </w:rPr>
              <w:t>节点图</w:t>
            </w:r>
          </w:p>
          <w:p w14:paraId="309C4496">
            <w:pPr>
              <w:pStyle w:val="3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基础工程：</w:t>
            </w:r>
            <w:r>
              <w:rPr>
                <w:color w:val="auto"/>
                <w:spacing w:val="-3"/>
              </w:rPr>
              <w:t>基础工程施工包括土方（挖方、填方）、地基处理（岩土工程）</w:t>
            </w:r>
            <w:r>
              <w:rPr>
                <w:color w:val="auto"/>
                <w:spacing w:val="-4"/>
              </w:rPr>
              <w:t>等。施工</w:t>
            </w:r>
            <w:r>
              <w:rPr>
                <w:color w:val="auto"/>
                <w:spacing w:val="-3"/>
              </w:rPr>
              <w:t>过程中挖土机、冲击机、卷扬机、载重汽车等运行时将主要产生施工噪声、施</w:t>
            </w:r>
            <w:r>
              <w:rPr>
                <w:color w:val="auto"/>
                <w:spacing w:val="-1"/>
              </w:rPr>
              <w:t>工扬尘、生态破坏和水土流失。</w:t>
            </w:r>
          </w:p>
          <w:p w14:paraId="1310B74C">
            <w:pPr>
              <w:pStyle w:val="37"/>
              <w:bidi w:val="0"/>
              <w:rPr>
                <w:color w:val="auto"/>
                <w:spacing w:val="-2"/>
              </w:rPr>
            </w:pPr>
            <w:r>
              <w:rPr>
                <w:rFonts w:hint="default" w:ascii="Times New Roman" w:hAnsi="Times New Roman" w:cs="Times New Roman"/>
                <w:color w:val="auto"/>
                <w:highlight w:val="none"/>
              </w:rPr>
              <w:t>主体工程：</w:t>
            </w:r>
            <w:r>
              <w:rPr>
                <w:color w:val="auto"/>
                <w:spacing w:val="-3"/>
              </w:rPr>
              <w:t>主体工程施工包括生产厂房、仓库等施工，施工过程挖土、建材搬</w:t>
            </w:r>
            <w:r>
              <w:rPr>
                <w:color w:val="auto"/>
                <w:spacing w:val="-4"/>
              </w:rPr>
              <w:t>运和汽</w:t>
            </w:r>
            <w:r>
              <w:rPr>
                <w:color w:val="auto"/>
                <w:spacing w:val="-2"/>
              </w:rPr>
              <w:t>车运输过程</w:t>
            </w:r>
            <w:r>
              <w:rPr>
                <w:rFonts w:hint="default" w:ascii="Times New Roman" w:hAnsi="Times New Roman" w:cs="Times New Roman"/>
                <w:color w:val="auto"/>
                <w:highlight w:val="none"/>
              </w:rPr>
              <w:t>。</w:t>
            </w:r>
          </w:p>
          <w:p w14:paraId="12571EAB">
            <w:pPr>
              <w:pStyle w:val="37"/>
              <w:bidi w:val="0"/>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设备安装：包括区域内雨污管网和供电线路铺设</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rPr>
              <w:t>设备的安装施工，主要污染物是施工机械产生的噪声、尾气等。</w:t>
            </w:r>
          </w:p>
          <w:p w14:paraId="29B13E2B">
            <w:pPr>
              <w:pStyle w:val="50"/>
              <w:spacing w:before="40" w:line="352" w:lineRule="auto"/>
              <w:ind w:left="101" w:right="16" w:firstLine="483"/>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从上述污染工序分析可知，施工期环境污染问题主要是：施工扬尘和废气、施工噪声、施工人员生活污水和工程养护废水、施工垃圾等，这些污染几乎发生于整个施工过程，但不同污染因子在不同施工段污染强度不同。</w:t>
            </w:r>
          </w:p>
          <w:p w14:paraId="6BD55579">
            <w:pPr>
              <w:numPr>
                <w:ilvl w:val="0"/>
                <w:numId w:val="0"/>
              </w:numPr>
              <w:spacing w:line="360" w:lineRule="auto"/>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t>二、运营期工艺流程产排污环节</w:t>
            </w:r>
          </w:p>
          <w:p w14:paraId="57ED7954">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工艺流程图如下：</w:t>
            </w:r>
          </w:p>
          <w:p w14:paraId="5561D75B">
            <w:pPr>
              <w:pStyle w:val="37"/>
              <w:bidi w:val="0"/>
              <w:ind w:left="0" w:leftChars="0" w:firstLine="0" w:firstLineChars="0"/>
              <w:jc w:val="center"/>
              <w:rPr>
                <w:rFonts w:hint="eastAsia" w:ascii="Times New Roman" w:hAnsi="Times New Roman" w:eastAsia="宋体" w:cs="Times New Roman"/>
                <w:b/>
                <w:bCs/>
                <w:color w:val="auto"/>
                <w:highlight w:val="green"/>
                <w:u w:val="none" w:color="auto"/>
                <w:lang w:val="en-US" w:eastAsia="zh-CN"/>
              </w:rPr>
            </w:pPr>
            <w:r>
              <w:rPr>
                <w:color w:val="auto"/>
              </w:rPr>
              <w:drawing>
                <wp:inline distT="0" distB="0" distL="114300" distR="114300">
                  <wp:extent cx="4978400" cy="3408680"/>
                  <wp:effectExtent l="0" t="0" r="5080" b="5080"/>
                  <wp:docPr id="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
                          <pic:cNvPicPr>
                            <a:picLocks noChangeAspect="1"/>
                          </pic:cNvPicPr>
                        </pic:nvPicPr>
                        <pic:blipFill>
                          <a:blip r:embed="rId11"/>
                          <a:stretch>
                            <a:fillRect/>
                          </a:stretch>
                        </pic:blipFill>
                        <pic:spPr>
                          <a:xfrm>
                            <a:off x="0" y="0"/>
                            <a:ext cx="4978400" cy="3408680"/>
                          </a:xfrm>
                          <a:prstGeom prst="rect">
                            <a:avLst/>
                          </a:prstGeom>
                          <a:noFill/>
                          <a:ln>
                            <a:noFill/>
                          </a:ln>
                        </pic:spPr>
                      </pic:pic>
                    </a:graphicData>
                  </a:graphic>
                </wp:inline>
              </w:drawing>
            </w:r>
          </w:p>
          <w:p w14:paraId="65788832">
            <w:pPr>
              <w:pStyle w:val="4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图2-</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项目工艺流程</w:t>
            </w:r>
            <w:r>
              <w:rPr>
                <w:rFonts w:hint="eastAsia" w:cs="Times New Roman"/>
                <w:b/>
                <w:bCs/>
                <w:color w:val="auto"/>
                <w:highlight w:val="none"/>
                <w:u w:val="none" w:color="auto"/>
                <w:lang w:val="en-US" w:eastAsia="zh-CN"/>
              </w:rPr>
              <w:t>及产污节点</w:t>
            </w:r>
            <w:r>
              <w:rPr>
                <w:rFonts w:hint="default" w:ascii="Times New Roman" w:hAnsi="Times New Roman" w:cs="Times New Roman"/>
                <w:b/>
                <w:bCs/>
                <w:color w:val="auto"/>
                <w:highlight w:val="none"/>
                <w:u w:val="none" w:color="auto"/>
                <w:lang w:val="en-US" w:eastAsia="zh-CN"/>
              </w:rPr>
              <w:t>图</w:t>
            </w:r>
          </w:p>
          <w:p w14:paraId="09E8DC1F">
            <w:pPr>
              <w:pStyle w:val="37"/>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工艺流程</w:t>
            </w:r>
            <w:r>
              <w:rPr>
                <w:rFonts w:hint="eastAsia" w:cs="Times New Roman"/>
                <w:b/>
                <w:bCs/>
                <w:color w:val="auto"/>
                <w:highlight w:val="none"/>
                <w:u w:val="none" w:color="auto"/>
                <w:lang w:val="en-US" w:eastAsia="zh-CN"/>
              </w:rPr>
              <w:t>简述</w:t>
            </w:r>
            <w:r>
              <w:rPr>
                <w:rFonts w:hint="default" w:ascii="Times New Roman" w:hAnsi="Times New Roman" w:cs="Times New Roman"/>
                <w:b/>
                <w:bCs/>
                <w:color w:val="auto"/>
                <w:highlight w:val="none"/>
                <w:u w:val="none" w:color="auto"/>
              </w:rPr>
              <w:t>：</w:t>
            </w:r>
          </w:p>
          <w:p w14:paraId="4AD72B8B">
            <w:pPr>
              <w:pStyle w:val="37"/>
              <w:keepNext w:val="0"/>
              <w:keepLines w:val="0"/>
              <w:pageBreakBefore w:val="0"/>
              <w:widowControl w:val="0"/>
              <w:numPr>
                <w:ilvl w:val="0"/>
                <w:numId w:val="0"/>
              </w:numPr>
              <w:kinsoku/>
              <w:wordWrap w:val="0"/>
              <w:overflowPunct/>
              <w:topLinePunct/>
              <w:autoSpaceDE/>
              <w:autoSpaceDN/>
              <w:bidi w:val="0"/>
              <w:adjustRightInd/>
              <w:snapToGrid/>
              <w:ind w:firstLine="480" w:firstLineChars="200"/>
              <w:textAlignment w:val="auto"/>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（1）喂料：项目外购硅砂存放于原辅料仓库，经喂料机运输至滚筒洗石机后准备进入一次</w:t>
            </w:r>
            <w:r>
              <w:rPr>
                <w:rFonts w:hint="eastAsia" w:ascii="Times New Roman" w:hAnsi="Times New Roman" w:eastAsia="宋体" w:cs="Times New Roman"/>
                <w:color w:val="auto"/>
                <w:highlight w:val="none"/>
                <w:u w:val="none" w:color="auto"/>
                <w:lang w:val="en-US" w:eastAsia="zh-CN"/>
              </w:rPr>
              <w:t>清洗工序，该过程会产生噪声、粉尘等污染；</w:t>
            </w:r>
          </w:p>
          <w:p w14:paraId="27348E97">
            <w:pPr>
              <w:pStyle w:val="37"/>
              <w:keepNext w:val="0"/>
              <w:keepLines w:val="0"/>
              <w:pageBreakBefore w:val="0"/>
              <w:widowControl w:val="0"/>
              <w:numPr>
                <w:ilvl w:val="0"/>
                <w:numId w:val="0"/>
              </w:numPr>
              <w:kinsoku/>
              <w:wordWrap w:val="0"/>
              <w:overflowPunct/>
              <w:topLinePunct/>
              <w:autoSpaceDE/>
              <w:autoSpaceDN/>
              <w:bidi w:val="0"/>
              <w:adjustRightInd/>
              <w:snapToGrid/>
              <w:ind w:firstLine="480" w:firstLineChars="200"/>
              <w:textAlignment w:val="auto"/>
              <w:rPr>
                <w:rFonts w:hint="default"/>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（2）一次清洗：利用滚筒洗石机和双叉洗石机对外购原料进行清洗，去除多余的泥渣和石粉，该过程会产生噪声等污染</w:t>
            </w:r>
            <w:r>
              <w:rPr>
                <w:rFonts w:hint="eastAsia"/>
                <w:color w:val="auto"/>
                <w:highlight w:val="none"/>
                <w:u w:val="none" w:color="auto"/>
                <w:lang w:eastAsia="zh-CN"/>
              </w:rPr>
              <w:t>；</w:t>
            </w:r>
          </w:p>
          <w:p w14:paraId="1EB8698D">
            <w:pPr>
              <w:pStyle w:val="37"/>
              <w:bidi w:val="0"/>
              <w:rPr>
                <w:rFonts w:hint="default" w:ascii="Times New Roman" w:hAnsi="Times New Roman" w:eastAsia="宋体" w:cs="Times New Roman"/>
                <w:color w:val="auto"/>
                <w:highlight w:val="none"/>
                <w:u w:val="none" w:color="auto"/>
                <w:lang w:val="en-US" w:eastAsia="zh-CN"/>
              </w:rPr>
            </w:pPr>
            <w:r>
              <w:rPr>
                <w:rFonts w:hint="eastAsia" w:eastAsia="宋体"/>
                <w:color w:val="auto"/>
                <w:highlight w:val="none"/>
                <w:u w:val="none" w:color="auto"/>
                <w:lang w:val="en-US" w:eastAsia="zh-CN"/>
              </w:rPr>
              <w:t>（3）</w:t>
            </w:r>
            <w:r>
              <w:rPr>
                <w:rFonts w:hint="eastAsia"/>
                <w:color w:val="auto"/>
                <w:highlight w:val="none"/>
                <w:u w:val="none" w:color="auto"/>
                <w:lang w:val="en-US" w:eastAsia="zh-CN"/>
              </w:rPr>
              <w:t>筛</w:t>
            </w:r>
            <w:r>
              <w:rPr>
                <w:rFonts w:hint="eastAsia" w:ascii="Times New Roman" w:hAnsi="Times New Roman" w:eastAsia="宋体" w:cs="Times New Roman"/>
                <w:color w:val="auto"/>
                <w:highlight w:val="none"/>
                <w:u w:val="none" w:color="auto"/>
                <w:lang w:val="en-US" w:eastAsia="zh-CN"/>
              </w:rPr>
              <w:t>分：清洗后的原料经过滚筒分筛对原料进行筛选，其中300目以上的硅砂入破碎机进行破碎，300目以内的硅砂准备入双叉洗石机进行二次清洗，该过程会产生噪声、粉尘等污染；</w:t>
            </w:r>
          </w:p>
          <w:p w14:paraId="252A3CE0">
            <w:pPr>
              <w:pStyle w:val="37"/>
              <w:keepNext w:val="0"/>
              <w:keepLines w:val="0"/>
              <w:pageBreakBefore w:val="0"/>
              <w:widowControl w:val="0"/>
              <w:numPr>
                <w:ilvl w:val="0"/>
                <w:numId w:val="0"/>
              </w:numPr>
              <w:kinsoku/>
              <w:wordWrap w:val="0"/>
              <w:overflowPunct/>
              <w:topLinePunct/>
              <w:autoSpaceDE/>
              <w:autoSpaceDN/>
              <w:bidi w:val="0"/>
              <w:adjustRightInd/>
              <w:snapToGrid/>
              <w:ind w:firstLine="480" w:firstLineChars="200"/>
              <w:textAlignment w:val="auto"/>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（4）破碎：将300目以上的硅砂机均匀、定量的送入到</w:t>
            </w:r>
            <w:r>
              <w:rPr>
                <w:rFonts w:hint="eastAsia" w:ascii="宋体" w:hAnsi="宋体" w:eastAsia="宋体" w:cs="宋体"/>
                <w:color w:val="auto"/>
                <w:kern w:val="0"/>
                <w:sz w:val="24"/>
                <w:szCs w:val="24"/>
                <w:lang w:val="en-US" w:eastAsia="zh-CN" w:bidi="ar"/>
              </w:rPr>
              <w:t>破碎机内密闭破碎处理，</w:t>
            </w:r>
            <w:r>
              <w:rPr>
                <w:rFonts w:hint="eastAsia" w:ascii="Times New Roman" w:hAnsi="Times New Roman" w:eastAsia="宋体" w:cs="Times New Roman"/>
                <w:color w:val="auto"/>
                <w:highlight w:val="none"/>
                <w:u w:val="none" w:color="auto"/>
                <w:lang w:val="en-US" w:eastAsia="zh-CN"/>
              </w:rPr>
              <w:t>该过程会产生噪声、粉尘等污染；</w:t>
            </w:r>
          </w:p>
          <w:p w14:paraId="7D903268">
            <w:pPr>
              <w:pStyle w:val="37"/>
              <w:keepNext w:val="0"/>
              <w:keepLines w:val="0"/>
              <w:pageBreakBefore w:val="0"/>
              <w:widowControl w:val="0"/>
              <w:numPr>
                <w:ilvl w:val="0"/>
                <w:numId w:val="0"/>
              </w:numPr>
              <w:kinsoku/>
              <w:wordWrap w:val="0"/>
              <w:overflowPunct/>
              <w:topLinePunct/>
              <w:autoSpaceDE/>
              <w:autoSpaceDN/>
              <w:bidi w:val="0"/>
              <w:adjustRightInd/>
              <w:snapToGrid/>
              <w:ind w:firstLine="480" w:firstLineChars="200"/>
              <w:textAlignment w:val="auto"/>
              <w:rPr>
                <w:rFonts w:hint="default"/>
                <w:color w:val="auto"/>
                <w:highlight w:val="none"/>
                <w:u w:val="none" w:color="auto"/>
                <w:lang w:val="en-US" w:eastAsia="zh-CN"/>
              </w:rPr>
            </w:pPr>
            <w:r>
              <w:rPr>
                <w:rFonts w:hint="eastAsia"/>
                <w:color w:val="auto"/>
                <w:lang w:eastAsia="zh-CN"/>
              </w:rPr>
              <w:t>（</w:t>
            </w:r>
            <w:r>
              <w:rPr>
                <w:rFonts w:hint="eastAsia"/>
                <w:color w:val="auto"/>
                <w:lang w:val="en-US" w:eastAsia="zh-CN"/>
              </w:rPr>
              <w:t>5）二次清洗：破碎后都是硅砂与筛分后的硅砂一起进入双叉洗石机与水洗轮进行二次清洗，清洗表面的石粉，</w:t>
            </w:r>
            <w:r>
              <w:rPr>
                <w:rFonts w:hint="eastAsia" w:ascii="Times New Roman" w:hAnsi="Times New Roman" w:eastAsia="宋体" w:cs="Times New Roman"/>
                <w:color w:val="auto"/>
                <w:highlight w:val="none"/>
                <w:u w:val="none" w:color="auto"/>
                <w:lang w:val="en-US" w:eastAsia="zh-CN"/>
              </w:rPr>
              <w:t>该过程会产生噪声等污染</w:t>
            </w:r>
            <w:r>
              <w:rPr>
                <w:rFonts w:hint="eastAsia"/>
                <w:color w:val="auto"/>
                <w:highlight w:val="none"/>
                <w:u w:val="none" w:color="auto"/>
                <w:lang w:eastAsia="zh-CN"/>
              </w:rPr>
              <w:t>；</w:t>
            </w:r>
          </w:p>
          <w:p w14:paraId="26B4AE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（6）脱水：半成品砂通过脱水筛，振动脱水。脱水后得到成品砂，该工序产生噪声。</w:t>
            </w:r>
          </w:p>
          <w:p w14:paraId="3717D4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Times New Roman" w:hAnsi="Times New Roman" w:eastAsia="宋体" w:cs="Times New Roman"/>
                <w:color w:val="auto"/>
                <w:kern w:val="0"/>
                <w:sz w:val="24"/>
                <w:szCs w:val="24"/>
                <w:lang w:val="en-US" w:eastAsia="zh-CN" w:bidi="ar-SA"/>
              </w:rPr>
              <w:t>注：本项目工艺流程中一次清洗、二次清洗与脱水过程中所产生的废水通过污水处理站的沉淀罐处理后，</w:t>
            </w:r>
            <w:r>
              <w:rPr>
                <w:rFonts w:hint="eastAsia" w:ascii="宋体" w:hAnsi="宋体" w:eastAsia="宋体" w:cs="宋体"/>
                <w:color w:val="auto"/>
                <w:kern w:val="0"/>
                <w:sz w:val="24"/>
                <w:szCs w:val="24"/>
                <w:lang w:val="en-US" w:eastAsia="zh-CN" w:bidi="ar"/>
              </w:rPr>
              <w:t>分离出泥渣和上清液，上清液进入清水池回用于一次清洗以及二次清洗工序，泥渣则通过压滤机脱水处理后形成泥饼，泥饼暂存于一般固废暂存区，外售景德镇制陶瓷原料。该过程会产生固体废物。</w:t>
            </w:r>
          </w:p>
          <w:p w14:paraId="0726E7A6">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color w:val="auto"/>
                <w:highlight w:val="none"/>
                <w:u w:val="none" w:color="auto"/>
              </w:rPr>
              <w:t>根据运营期生产工艺分析，项目产污环节情况具体见下表：</w:t>
            </w:r>
          </w:p>
          <w:p w14:paraId="306F55DE">
            <w:pPr>
              <w:pStyle w:val="4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w:t>
            </w:r>
            <w:r>
              <w:rPr>
                <w:rFonts w:hint="eastAsia" w:cs="Times New Roman"/>
                <w:b/>
                <w:bCs/>
                <w:color w:val="auto"/>
                <w:highlight w:val="none"/>
                <w:u w:val="none" w:color="auto"/>
                <w:lang w:val="en-US" w:eastAsia="zh-CN"/>
              </w:rPr>
              <w:t>2-8</w:t>
            </w:r>
            <w:r>
              <w:rPr>
                <w:rFonts w:hint="default" w:ascii="Times New Roman" w:hAnsi="Times New Roman" w:cs="Times New Roman"/>
                <w:b/>
                <w:bCs/>
                <w:color w:val="auto"/>
                <w:highlight w:val="none"/>
                <w:u w:val="none" w:color="auto"/>
              </w:rPr>
              <w:t xml:space="preserve">   项目运营期主要产污环节一览表</w:t>
            </w:r>
          </w:p>
          <w:tbl>
            <w:tblPr>
              <w:tblStyle w:val="53"/>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07"/>
              <w:gridCol w:w="1493"/>
              <w:gridCol w:w="1720"/>
              <w:gridCol w:w="3696"/>
            </w:tblGrid>
            <w:tr w14:paraId="476925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80" w:type="pct"/>
                  <w:tcBorders>
                    <w:tl2br w:val="nil"/>
                    <w:tr2bl w:val="nil"/>
                  </w:tcBorders>
                  <w:noWrap w:val="0"/>
                  <w:vAlign w:val="center"/>
                </w:tcPr>
                <w:p w14:paraId="606F612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55" w:type="pct"/>
                  <w:tcBorders>
                    <w:tl2br w:val="nil"/>
                    <w:tr2bl w:val="nil"/>
                  </w:tcBorders>
                  <w:noWrap w:val="0"/>
                  <w:vAlign w:val="center"/>
                </w:tcPr>
                <w:p w14:paraId="0770C04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1100" w:type="pct"/>
                  <w:tcBorders>
                    <w:tl2br w:val="nil"/>
                    <w:tr2bl w:val="nil"/>
                  </w:tcBorders>
                  <w:noWrap w:val="0"/>
                  <w:vAlign w:val="center"/>
                </w:tcPr>
                <w:p w14:paraId="45B79B6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污染因子</w:t>
                  </w:r>
                </w:p>
              </w:tc>
              <w:tc>
                <w:tcPr>
                  <w:tcW w:w="2364" w:type="pct"/>
                  <w:tcBorders>
                    <w:tl2br w:val="nil"/>
                    <w:tr2bl w:val="nil"/>
                  </w:tcBorders>
                  <w:noWrap w:val="0"/>
                  <w:vAlign w:val="center"/>
                </w:tcPr>
                <w:p w14:paraId="4C096C3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9"/>
                      <w:sz w:val="21"/>
                      <w:szCs w:val="21"/>
                      <w:highlight w:val="none"/>
                      <w:u w:val="none" w:color="auto"/>
                    </w:rPr>
                    <w:t>采取治理措施</w:t>
                  </w:r>
                </w:p>
              </w:tc>
            </w:tr>
            <w:tr w14:paraId="51A3E4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80" w:type="pct"/>
                  <w:vMerge w:val="restart"/>
                  <w:tcBorders>
                    <w:tl2br w:val="nil"/>
                    <w:tr2bl w:val="nil"/>
                  </w:tcBorders>
                  <w:noWrap w:val="0"/>
                  <w:vAlign w:val="center"/>
                </w:tcPr>
                <w:p w14:paraId="6021DDB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55" w:type="pct"/>
                  <w:tcBorders>
                    <w:tl2br w:val="nil"/>
                    <w:tr2bl w:val="nil"/>
                  </w:tcBorders>
                  <w:noWrap w:val="0"/>
                  <w:vAlign w:val="center"/>
                </w:tcPr>
                <w:p w14:paraId="5255B00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w:t>
                  </w:r>
                </w:p>
              </w:tc>
              <w:tc>
                <w:tcPr>
                  <w:tcW w:w="1100" w:type="pct"/>
                  <w:vMerge w:val="restart"/>
                  <w:tcBorders>
                    <w:tl2br w:val="nil"/>
                    <w:tr2bl w:val="nil"/>
                  </w:tcBorders>
                  <w:noWrap w:val="0"/>
                  <w:vAlign w:val="center"/>
                </w:tcPr>
                <w:p w14:paraId="419F15C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r>
                    <w:rPr>
                      <w:rFonts w:hint="default" w:ascii="Times New Roman" w:hAnsi="Times New Roman" w:eastAsia="宋体" w:cs="Times New Roman"/>
                      <w:color w:val="auto"/>
                      <w:spacing w:val="8"/>
                      <w:sz w:val="21"/>
                      <w:szCs w:val="21"/>
                      <w:highlight w:val="none"/>
                      <w:u w:val="none" w:color="auto"/>
                      <w:lang w:val="en-US" w:eastAsia="zh-CN"/>
                    </w:rPr>
                    <w:t>颗粒物</w:t>
                  </w:r>
                </w:p>
              </w:tc>
              <w:tc>
                <w:tcPr>
                  <w:tcW w:w="2364" w:type="pct"/>
                  <w:vMerge w:val="restart"/>
                  <w:tcBorders>
                    <w:tl2br w:val="nil"/>
                    <w:tr2bl w:val="nil"/>
                  </w:tcBorders>
                  <w:noWrap w:val="0"/>
                  <w:vAlign w:val="center"/>
                </w:tcPr>
                <w:p w14:paraId="1615F570">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定期洒水抑尘，加强通风。</w:t>
                  </w:r>
                </w:p>
              </w:tc>
            </w:tr>
            <w:tr w14:paraId="66A50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80" w:type="pct"/>
                  <w:vMerge w:val="continue"/>
                  <w:tcBorders>
                    <w:tl2br w:val="nil"/>
                    <w:tr2bl w:val="nil"/>
                  </w:tcBorders>
                  <w:noWrap w:val="0"/>
                  <w:vAlign w:val="center"/>
                </w:tcPr>
                <w:p w14:paraId="2818DE95">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F6ED80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筛分</w:t>
                  </w:r>
                </w:p>
              </w:tc>
              <w:tc>
                <w:tcPr>
                  <w:tcW w:w="1100" w:type="pct"/>
                  <w:vMerge w:val="continue"/>
                  <w:tcBorders>
                    <w:tl2br w:val="nil"/>
                    <w:tr2bl w:val="nil"/>
                  </w:tcBorders>
                  <w:noWrap w:val="0"/>
                  <w:vAlign w:val="center"/>
                </w:tcPr>
                <w:p w14:paraId="7BF7803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p>
              </w:tc>
              <w:tc>
                <w:tcPr>
                  <w:tcW w:w="2364" w:type="pct"/>
                  <w:vMerge w:val="continue"/>
                  <w:tcBorders>
                    <w:tl2br w:val="nil"/>
                    <w:tr2bl w:val="nil"/>
                  </w:tcBorders>
                  <w:noWrap w:val="0"/>
                  <w:vAlign w:val="center"/>
                </w:tcPr>
                <w:p w14:paraId="6C01FFC8">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green"/>
                      <w:u w:val="none" w:color="auto"/>
                      <w:lang w:val="en-US" w:eastAsia="zh-CN"/>
                    </w:rPr>
                  </w:pPr>
                </w:p>
              </w:tc>
            </w:tr>
            <w:tr w14:paraId="1F547D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80" w:type="pct"/>
                  <w:vMerge w:val="continue"/>
                  <w:tcBorders>
                    <w:tl2br w:val="nil"/>
                    <w:tr2bl w:val="nil"/>
                  </w:tcBorders>
                  <w:noWrap w:val="0"/>
                  <w:vAlign w:val="center"/>
                </w:tcPr>
                <w:p w14:paraId="4CDFD68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1397678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堆场</w:t>
                  </w:r>
                </w:p>
              </w:tc>
              <w:tc>
                <w:tcPr>
                  <w:tcW w:w="1100" w:type="pct"/>
                  <w:vMerge w:val="continue"/>
                  <w:tcBorders>
                    <w:tl2br w:val="nil"/>
                    <w:tr2bl w:val="nil"/>
                  </w:tcBorders>
                  <w:noWrap w:val="0"/>
                  <w:vAlign w:val="center"/>
                </w:tcPr>
                <w:p w14:paraId="75F27A2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p>
              </w:tc>
              <w:tc>
                <w:tcPr>
                  <w:tcW w:w="2364" w:type="pct"/>
                  <w:vMerge w:val="continue"/>
                  <w:tcBorders>
                    <w:tl2br w:val="nil"/>
                    <w:tr2bl w:val="nil"/>
                  </w:tcBorders>
                  <w:noWrap w:val="0"/>
                  <w:vAlign w:val="center"/>
                </w:tcPr>
                <w:p w14:paraId="1A439CB6">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green"/>
                      <w:u w:val="none" w:color="auto"/>
                      <w:lang w:val="en-US" w:eastAsia="zh-CN"/>
                    </w:rPr>
                  </w:pPr>
                </w:p>
              </w:tc>
            </w:tr>
            <w:tr w14:paraId="4ADB25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80" w:type="pct"/>
                  <w:vMerge w:val="continue"/>
                  <w:tcBorders>
                    <w:tl2br w:val="nil"/>
                    <w:tr2bl w:val="nil"/>
                  </w:tcBorders>
                  <w:noWrap w:val="0"/>
                  <w:vAlign w:val="center"/>
                </w:tcPr>
                <w:p w14:paraId="1BD9096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E08DC8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破碎</w:t>
                  </w:r>
                </w:p>
              </w:tc>
              <w:tc>
                <w:tcPr>
                  <w:tcW w:w="1100" w:type="pct"/>
                  <w:vMerge w:val="continue"/>
                  <w:tcBorders>
                    <w:tl2br w:val="nil"/>
                    <w:tr2bl w:val="nil"/>
                  </w:tcBorders>
                  <w:noWrap w:val="0"/>
                  <w:vAlign w:val="center"/>
                </w:tcPr>
                <w:p w14:paraId="647B143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p>
              </w:tc>
              <w:tc>
                <w:tcPr>
                  <w:tcW w:w="2364" w:type="pct"/>
                  <w:vMerge w:val="continue"/>
                  <w:tcBorders>
                    <w:tl2br w:val="nil"/>
                    <w:tr2bl w:val="nil"/>
                  </w:tcBorders>
                  <w:noWrap w:val="0"/>
                  <w:vAlign w:val="center"/>
                </w:tcPr>
                <w:p w14:paraId="7317AEE8">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green"/>
                      <w:u w:val="none" w:color="auto"/>
                      <w:lang w:val="en-US" w:eastAsia="zh-CN"/>
                    </w:rPr>
                  </w:pPr>
                </w:p>
              </w:tc>
            </w:tr>
            <w:tr w14:paraId="26B9C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pct"/>
                  <w:vMerge w:val="continue"/>
                  <w:tcBorders>
                    <w:tl2br w:val="nil"/>
                    <w:tr2bl w:val="nil"/>
                  </w:tcBorders>
                  <w:noWrap w:val="0"/>
                  <w:vAlign w:val="center"/>
                </w:tcPr>
                <w:p w14:paraId="28104C9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2FE18B1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运输</w:t>
                  </w:r>
                </w:p>
              </w:tc>
              <w:tc>
                <w:tcPr>
                  <w:tcW w:w="1100" w:type="pct"/>
                  <w:vMerge w:val="continue"/>
                  <w:tcBorders>
                    <w:tl2br w:val="nil"/>
                    <w:tr2bl w:val="nil"/>
                  </w:tcBorders>
                  <w:noWrap w:val="0"/>
                  <w:vAlign w:val="center"/>
                </w:tcPr>
                <w:p w14:paraId="0AB7FED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p>
              </w:tc>
              <w:tc>
                <w:tcPr>
                  <w:tcW w:w="2364" w:type="pct"/>
                  <w:vMerge w:val="continue"/>
                  <w:tcBorders>
                    <w:tl2br w:val="nil"/>
                    <w:tr2bl w:val="nil"/>
                  </w:tcBorders>
                  <w:noWrap w:val="0"/>
                  <w:vAlign w:val="center"/>
                </w:tcPr>
                <w:p w14:paraId="3D63E40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green"/>
                      <w:u w:val="none" w:color="auto"/>
                      <w:lang w:val="en-US" w:eastAsia="en-US" w:bidi="ar-SA"/>
                    </w:rPr>
                  </w:pPr>
                </w:p>
              </w:tc>
            </w:tr>
            <w:tr w14:paraId="362AE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580" w:type="pct"/>
                  <w:vMerge w:val="continue"/>
                  <w:tcBorders>
                    <w:tl2br w:val="nil"/>
                    <w:tr2bl w:val="nil"/>
                  </w:tcBorders>
                  <w:noWrap w:val="0"/>
                  <w:vAlign w:val="center"/>
                </w:tcPr>
                <w:p w14:paraId="7E4A99F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876188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喂料</w:t>
                  </w:r>
                </w:p>
              </w:tc>
              <w:tc>
                <w:tcPr>
                  <w:tcW w:w="1100" w:type="pct"/>
                  <w:vMerge w:val="continue"/>
                  <w:tcBorders>
                    <w:tl2br w:val="nil"/>
                    <w:tr2bl w:val="nil"/>
                  </w:tcBorders>
                  <w:noWrap w:val="0"/>
                  <w:vAlign w:val="center"/>
                </w:tcPr>
                <w:p w14:paraId="7EAE4EC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p>
              </w:tc>
              <w:tc>
                <w:tcPr>
                  <w:tcW w:w="2364" w:type="pct"/>
                  <w:vMerge w:val="continue"/>
                  <w:tcBorders>
                    <w:tl2br w:val="nil"/>
                    <w:tr2bl w:val="nil"/>
                  </w:tcBorders>
                  <w:noWrap w:val="0"/>
                  <w:vAlign w:val="center"/>
                </w:tcPr>
                <w:p w14:paraId="733DEA3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4"/>
                      <w:highlight w:val="green"/>
                      <w:u w:val="none" w:color="auto"/>
                      <w:lang w:val="en-US" w:eastAsia="zh-CN" w:bidi="ar-SA"/>
                    </w:rPr>
                  </w:pPr>
                </w:p>
              </w:tc>
            </w:tr>
            <w:tr w14:paraId="0FC2A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580" w:type="pct"/>
                  <w:vMerge w:val="continue"/>
                  <w:tcBorders>
                    <w:tl2br w:val="nil"/>
                    <w:tr2bl w:val="nil"/>
                  </w:tcBorders>
                  <w:noWrap w:val="0"/>
                  <w:vAlign w:val="center"/>
                </w:tcPr>
                <w:p w14:paraId="21D903D8">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483BBA3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食堂</w:t>
                  </w:r>
                </w:p>
              </w:tc>
              <w:tc>
                <w:tcPr>
                  <w:tcW w:w="1100" w:type="pct"/>
                  <w:tcBorders>
                    <w:tl2br w:val="nil"/>
                    <w:tr2bl w:val="nil"/>
                  </w:tcBorders>
                  <w:noWrap w:val="0"/>
                  <w:vAlign w:val="center"/>
                </w:tcPr>
                <w:p w14:paraId="7118DAC0">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green"/>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食堂油烟</w:t>
                  </w:r>
                </w:p>
              </w:tc>
              <w:tc>
                <w:tcPr>
                  <w:tcW w:w="2364" w:type="pct"/>
                  <w:tcBorders>
                    <w:tl2br w:val="nil"/>
                    <w:tr2bl w:val="nil"/>
                  </w:tcBorders>
                  <w:noWrap w:val="0"/>
                  <w:vAlign w:val="center"/>
                </w:tcPr>
                <w:p w14:paraId="27E0D72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4"/>
                      <w:highlight w:val="green"/>
                      <w:u w:val="none" w:color="auto"/>
                      <w:lang w:val="en-US" w:eastAsia="zh-CN" w:bidi="ar-SA"/>
                    </w:rPr>
                  </w:pPr>
                  <w:r>
                    <w:rPr>
                      <w:bCs/>
                      <w:color w:val="auto"/>
                      <w:spacing w:val="-10"/>
                      <w:sz w:val="21"/>
                      <w:szCs w:val="21"/>
                      <w:highlight w:val="none"/>
                      <w:u w:val="none" w:color="auto"/>
                    </w:rPr>
                    <w:t>抽油烟机收集后由管</w:t>
                  </w:r>
                  <w:r>
                    <w:rPr>
                      <w:rFonts w:hint="eastAsia"/>
                      <w:bCs/>
                      <w:color w:val="auto"/>
                      <w:spacing w:val="-10"/>
                      <w:sz w:val="21"/>
                      <w:szCs w:val="21"/>
                      <w:highlight w:val="none"/>
                      <w:u w:val="none" w:color="auto"/>
                      <w:lang w:val="en-US" w:eastAsia="zh-CN"/>
                    </w:rPr>
                    <w:t>道</w:t>
                  </w:r>
                  <w:r>
                    <w:rPr>
                      <w:bCs/>
                      <w:color w:val="auto"/>
                      <w:spacing w:val="-10"/>
                      <w:sz w:val="21"/>
                      <w:szCs w:val="21"/>
                      <w:highlight w:val="none"/>
                      <w:u w:val="none" w:color="auto"/>
                    </w:rPr>
                    <w:t>引至屋外排放</w:t>
                  </w:r>
                </w:p>
              </w:tc>
            </w:tr>
            <w:tr w14:paraId="0983BD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80" w:type="pct"/>
                  <w:vMerge w:val="restart"/>
                  <w:tcBorders>
                    <w:tl2br w:val="nil"/>
                    <w:tr2bl w:val="nil"/>
                  </w:tcBorders>
                  <w:noWrap w:val="0"/>
                  <w:vAlign w:val="center"/>
                </w:tcPr>
                <w:p w14:paraId="0B24077B">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废水</w:t>
                  </w:r>
                </w:p>
              </w:tc>
              <w:tc>
                <w:tcPr>
                  <w:tcW w:w="955" w:type="pct"/>
                  <w:tcBorders>
                    <w:tl2br w:val="nil"/>
                    <w:tr2bl w:val="nil"/>
                  </w:tcBorders>
                  <w:noWrap w:val="0"/>
                  <w:vAlign w:val="center"/>
                </w:tcPr>
                <w:p w14:paraId="72DF2CA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生活污水</w:t>
                  </w:r>
                </w:p>
              </w:tc>
              <w:tc>
                <w:tcPr>
                  <w:tcW w:w="1100" w:type="pct"/>
                  <w:tcBorders>
                    <w:tl2br w:val="nil"/>
                    <w:tr2bl w:val="nil"/>
                  </w:tcBorders>
                  <w:noWrap w:val="0"/>
                  <w:vAlign w:val="center"/>
                </w:tcPr>
                <w:p w14:paraId="165780C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z w:val="21"/>
                      <w:szCs w:val="21"/>
                      <w:highlight w:val="none"/>
                      <w:u w:val="none" w:color="auto"/>
                    </w:rPr>
                    <w:t>COD</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BOD</w:t>
                  </w:r>
                  <w:r>
                    <w:rPr>
                      <w:rFonts w:hint="default" w:ascii="Times New Roman" w:hAnsi="Times New Roman" w:eastAsia="宋体" w:cs="Times New Roman"/>
                      <w:color w:val="auto"/>
                      <w:spacing w:val="4"/>
                      <w:position w:val="-1"/>
                      <w:sz w:val="21"/>
                      <w:szCs w:val="21"/>
                      <w:highlight w:val="none"/>
                      <w:u w:val="none" w:color="auto"/>
                      <w:vertAlign w:val="subscript"/>
                    </w:rPr>
                    <w:t>5</w:t>
                  </w:r>
                  <w:r>
                    <w:rPr>
                      <w:rFonts w:hint="default" w:ascii="Times New Roman" w:hAnsi="Times New Roman" w:eastAsia="宋体" w:cs="Times New Roman"/>
                      <w:color w:val="auto"/>
                      <w:spacing w:val="4"/>
                      <w:sz w:val="21"/>
                      <w:szCs w:val="21"/>
                      <w:highlight w:val="none"/>
                      <w:u w:val="none" w:color="auto"/>
                    </w:rPr>
                    <w:t>、氨氮、</w:t>
                  </w:r>
                  <w:r>
                    <w:rPr>
                      <w:rFonts w:hint="default" w:ascii="Times New Roman" w:hAnsi="Times New Roman" w:eastAsia="宋体" w:cs="Times New Roman"/>
                      <w:color w:val="auto"/>
                      <w:sz w:val="21"/>
                      <w:szCs w:val="21"/>
                      <w:highlight w:val="none"/>
                      <w:u w:val="none" w:color="auto"/>
                    </w:rPr>
                    <w:t>SS</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TN</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TP等</w:t>
                  </w:r>
                </w:p>
              </w:tc>
              <w:tc>
                <w:tcPr>
                  <w:tcW w:w="2364" w:type="pct"/>
                  <w:tcBorders>
                    <w:tl2br w:val="nil"/>
                    <w:tr2bl w:val="nil"/>
                  </w:tcBorders>
                  <w:noWrap w:val="0"/>
                  <w:vAlign w:val="center"/>
                </w:tcPr>
                <w:p w14:paraId="62F7489D">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经</w:t>
                  </w:r>
                  <w:r>
                    <w:rPr>
                      <w:rFonts w:hint="default" w:ascii="Times New Roman" w:hAnsi="Times New Roman" w:eastAsia="宋体" w:cs="Times New Roman"/>
                      <w:color w:val="auto"/>
                      <w:spacing w:val="8"/>
                      <w:sz w:val="21"/>
                      <w:szCs w:val="21"/>
                      <w:highlight w:val="none"/>
                      <w:u w:val="none" w:color="auto"/>
                    </w:rPr>
                    <w:t>化粪池</w:t>
                  </w:r>
                  <w:r>
                    <w:rPr>
                      <w:rFonts w:hint="eastAsia" w:ascii="Times New Roman" w:hAnsi="Times New Roman" w:cs="Times New Roman"/>
                      <w:color w:val="auto"/>
                      <w:spacing w:val="8"/>
                      <w:sz w:val="21"/>
                      <w:szCs w:val="21"/>
                      <w:highlight w:val="none"/>
                      <w:u w:val="none" w:color="auto"/>
                      <w:lang w:val="en-US" w:eastAsia="zh-CN"/>
                    </w:rPr>
                    <w:t>处理后用作农肥</w:t>
                  </w:r>
                </w:p>
              </w:tc>
            </w:tr>
            <w:tr w14:paraId="3A9F08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80" w:type="pct"/>
                  <w:vMerge w:val="continue"/>
                  <w:tcBorders>
                    <w:tl2br w:val="nil"/>
                    <w:tr2bl w:val="nil"/>
                  </w:tcBorders>
                  <w:noWrap w:val="0"/>
                  <w:vAlign w:val="center"/>
                </w:tcPr>
                <w:p w14:paraId="29617FE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76DE575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z w:val="21"/>
                      <w:szCs w:val="16"/>
                      <w:highlight w:val="none"/>
                      <w:u w:val="none"/>
                      <w:lang w:eastAsia="zh-CN"/>
                    </w:rPr>
                    <w:t>初期雨水</w:t>
                  </w:r>
                </w:p>
              </w:tc>
              <w:tc>
                <w:tcPr>
                  <w:tcW w:w="1100" w:type="pct"/>
                  <w:vMerge w:val="restart"/>
                  <w:tcBorders>
                    <w:tl2br w:val="nil"/>
                    <w:tr2bl w:val="nil"/>
                  </w:tcBorders>
                  <w:noWrap w:val="0"/>
                  <w:vAlign w:val="center"/>
                </w:tcPr>
                <w:p w14:paraId="59BE69C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SS</w:t>
                  </w:r>
                </w:p>
              </w:tc>
              <w:tc>
                <w:tcPr>
                  <w:tcW w:w="2364" w:type="pct"/>
                  <w:tcBorders>
                    <w:tl2br w:val="nil"/>
                    <w:tr2bl w:val="nil"/>
                  </w:tcBorders>
                  <w:noWrap w:val="0"/>
                  <w:vAlign w:val="center"/>
                </w:tcPr>
                <w:p w14:paraId="2DC5CF5D">
                  <w:pPr>
                    <w:pStyle w:val="37"/>
                    <w:autoSpaceDE w:val="0"/>
                    <w:autoSpaceDN w:val="0"/>
                    <w:bidi w:val="0"/>
                    <w:spacing w:line="240" w:lineRule="auto"/>
                    <w:ind w:left="0" w:leftChars="0" w:firstLine="0" w:firstLineChars="0"/>
                    <w:jc w:val="center"/>
                    <w:rPr>
                      <w:rFonts w:hint="eastAsia" w:ascii="Times New Roman" w:hAnsi="Times New Roman" w:cs="Times New Roman"/>
                      <w:color w:val="auto"/>
                      <w:spacing w:val="8"/>
                      <w:sz w:val="21"/>
                      <w:szCs w:val="21"/>
                      <w:highlight w:val="none"/>
                      <w:u w:val="none" w:color="auto"/>
                      <w:lang w:val="en-US" w:eastAsia="zh-CN"/>
                    </w:rPr>
                  </w:pPr>
                  <w:r>
                    <w:rPr>
                      <w:rFonts w:hint="eastAsia" w:ascii="Times New Roman" w:hAnsi="Times New Roman" w:eastAsia="宋体" w:cs="Times New Roman"/>
                      <w:color w:val="auto"/>
                      <w:spacing w:val="8"/>
                      <w:kern w:val="2"/>
                      <w:sz w:val="21"/>
                      <w:szCs w:val="21"/>
                      <w:highlight w:val="none"/>
                      <w:u w:val="none" w:color="auto"/>
                      <w:lang w:val="en-US" w:eastAsia="zh-CN" w:bidi="ar-SA"/>
                    </w:rPr>
                    <w:t>经污水处理站</w:t>
                  </w:r>
                  <w:r>
                    <w:rPr>
                      <w:rFonts w:hint="eastAsia" w:cs="Times New Roman"/>
                      <w:color w:val="auto"/>
                      <w:spacing w:val="8"/>
                      <w:kern w:val="2"/>
                      <w:sz w:val="21"/>
                      <w:szCs w:val="21"/>
                      <w:highlight w:val="none"/>
                      <w:u w:val="none" w:color="auto"/>
                      <w:lang w:val="en-US" w:eastAsia="zh-CN" w:bidi="ar-SA"/>
                    </w:rPr>
                    <w:t>（</w:t>
                  </w:r>
                  <w:r>
                    <w:rPr>
                      <w:rFonts w:hint="eastAsia" w:cs="Times New Roman"/>
                      <w:color w:val="auto"/>
                      <w:kern w:val="3"/>
                      <w:sz w:val="21"/>
                      <w:szCs w:val="21"/>
                      <w:lang w:val="en-US" w:eastAsia="zh-CN"/>
                    </w:rPr>
                    <w:t>絮凝罐</w:t>
                  </w:r>
                  <w:r>
                    <w:rPr>
                      <w:rFonts w:hint="default" w:ascii="Times New Roman" w:hAnsi="Times New Roman" w:cs="Times New Roman"/>
                      <w:color w:val="auto"/>
                      <w:kern w:val="3"/>
                      <w:sz w:val="21"/>
                      <w:szCs w:val="21"/>
                    </w:rPr>
                    <w:t>+</w:t>
                  </w:r>
                  <w:r>
                    <w:rPr>
                      <w:rFonts w:hint="eastAsia" w:cs="Times New Roman"/>
                      <w:color w:val="auto"/>
                      <w:kern w:val="3"/>
                      <w:sz w:val="21"/>
                      <w:szCs w:val="21"/>
                      <w:lang w:val="en-US" w:eastAsia="zh-CN"/>
                    </w:rPr>
                    <w:t>循环水池</w:t>
                  </w:r>
                  <w:r>
                    <w:rPr>
                      <w:rFonts w:hint="eastAsia" w:cs="Times New Roman"/>
                      <w:color w:val="auto"/>
                      <w:kern w:val="3"/>
                      <w:sz w:val="24"/>
                      <w:szCs w:val="24"/>
                      <w:lang w:val="en-US" w:eastAsia="zh-CN"/>
                    </w:rPr>
                    <w:t>）</w:t>
                  </w:r>
                  <w:r>
                    <w:rPr>
                      <w:rFonts w:hint="eastAsia" w:ascii="Times New Roman" w:hAnsi="Times New Roman" w:eastAsia="宋体" w:cs="Times New Roman"/>
                      <w:color w:val="auto"/>
                      <w:spacing w:val="8"/>
                      <w:kern w:val="2"/>
                      <w:sz w:val="21"/>
                      <w:szCs w:val="21"/>
                      <w:highlight w:val="none"/>
                      <w:u w:val="none" w:color="auto"/>
                      <w:lang w:val="en-US" w:eastAsia="zh-CN" w:bidi="ar-SA"/>
                    </w:rPr>
                    <w:t>处理后进入循环水池回用。</w:t>
                  </w:r>
                </w:p>
              </w:tc>
            </w:tr>
            <w:tr w14:paraId="66BAA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pct"/>
                  <w:vMerge w:val="continue"/>
                  <w:tcBorders>
                    <w:tl2br w:val="nil"/>
                    <w:tr2bl w:val="nil"/>
                  </w:tcBorders>
                  <w:noWrap w:val="0"/>
                  <w:vAlign w:val="center"/>
                </w:tcPr>
                <w:p w14:paraId="27AC15B6">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60973DD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eastAsia"/>
                      <w:color w:val="auto"/>
                      <w:highlight w:val="none"/>
                      <w:lang w:val="en-US" w:eastAsia="zh-CN"/>
                    </w:rPr>
                    <w:t>车辆冲洗废水</w:t>
                  </w:r>
                </w:p>
              </w:tc>
              <w:tc>
                <w:tcPr>
                  <w:tcW w:w="1100" w:type="pct"/>
                  <w:vMerge w:val="continue"/>
                  <w:tcBorders>
                    <w:tl2br w:val="nil"/>
                    <w:tr2bl w:val="nil"/>
                  </w:tcBorders>
                  <w:noWrap w:val="0"/>
                  <w:vAlign w:val="center"/>
                </w:tcPr>
                <w:p w14:paraId="6D9DEE2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4" w:type="pct"/>
                  <w:vMerge w:val="restart"/>
                  <w:tcBorders>
                    <w:tl2br w:val="nil"/>
                    <w:tr2bl w:val="nil"/>
                  </w:tcBorders>
                  <w:noWrap w:val="0"/>
                  <w:vAlign w:val="center"/>
                </w:tcPr>
                <w:p w14:paraId="41E6B22B">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kern w:val="2"/>
                      <w:sz w:val="21"/>
                      <w:szCs w:val="21"/>
                      <w:highlight w:val="none"/>
                      <w:u w:val="none" w:color="auto"/>
                      <w:lang w:val="en-US" w:eastAsia="zh-CN" w:bidi="ar-SA"/>
                    </w:rPr>
                    <w:t>废水</w:t>
                  </w:r>
                  <w:r>
                    <w:rPr>
                      <w:rFonts w:hint="eastAsia" w:ascii="Times New Roman" w:hAnsi="Times New Roman" w:eastAsia="宋体" w:cs="Times New Roman"/>
                      <w:color w:val="auto"/>
                      <w:spacing w:val="8"/>
                      <w:kern w:val="2"/>
                      <w:sz w:val="21"/>
                      <w:szCs w:val="21"/>
                      <w:highlight w:val="none"/>
                      <w:u w:val="none" w:color="auto"/>
                      <w:lang w:val="en-US" w:eastAsia="zh-CN" w:bidi="ar-SA"/>
                    </w:rPr>
                    <w:t>经洗车槽处理后进入循环水池回用</w:t>
                  </w:r>
                </w:p>
              </w:tc>
            </w:tr>
            <w:tr w14:paraId="4D8B6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80" w:type="pct"/>
                  <w:vMerge w:val="continue"/>
                  <w:tcBorders>
                    <w:tl2br w:val="nil"/>
                    <w:tr2bl w:val="nil"/>
                  </w:tcBorders>
                  <w:noWrap w:val="0"/>
                  <w:vAlign w:val="center"/>
                </w:tcPr>
                <w:p w14:paraId="78BDB795">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3AF013C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eastAsia"/>
                      <w:color w:val="auto"/>
                      <w:highlight w:val="none"/>
                      <w:lang w:val="en-US" w:eastAsia="zh-CN"/>
                    </w:rPr>
                  </w:pPr>
                  <w:r>
                    <w:rPr>
                      <w:rFonts w:hint="default" w:ascii="Times New Roman" w:hAnsi="Times New Roman" w:cs="Times New Roman"/>
                      <w:color w:val="auto"/>
                      <w:highlight w:val="none"/>
                      <w:u w:val="none"/>
                      <w:lang w:eastAsia="zh-CN"/>
                    </w:rPr>
                    <w:t>场地冲洗</w:t>
                  </w:r>
                  <w:r>
                    <w:rPr>
                      <w:rFonts w:hint="eastAsia" w:ascii="Times New Roman" w:hAnsi="Times New Roman" w:cs="Times New Roman"/>
                      <w:color w:val="auto"/>
                      <w:highlight w:val="none"/>
                      <w:u w:val="none"/>
                      <w:lang w:val="en-US" w:eastAsia="zh-CN"/>
                    </w:rPr>
                    <w:t>废水</w:t>
                  </w:r>
                </w:p>
              </w:tc>
              <w:tc>
                <w:tcPr>
                  <w:tcW w:w="1100" w:type="pct"/>
                  <w:vMerge w:val="continue"/>
                  <w:tcBorders>
                    <w:tl2br w:val="nil"/>
                    <w:tr2bl w:val="nil"/>
                  </w:tcBorders>
                  <w:noWrap w:val="0"/>
                  <w:vAlign w:val="center"/>
                </w:tcPr>
                <w:p w14:paraId="366DCFA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4" w:type="pct"/>
                  <w:vMerge w:val="continue"/>
                  <w:tcBorders>
                    <w:tl2br w:val="nil"/>
                    <w:tr2bl w:val="nil"/>
                  </w:tcBorders>
                  <w:noWrap w:val="0"/>
                  <w:vAlign w:val="center"/>
                </w:tcPr>
                <w:p w14:paraId="59EADE4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8"/>
                      <w:sz w:val="21"/>
                      <w:szCs w:val="21"/>
                      <w:highlight w:val="none"/>
                      <w:u w:val="none" w:color="auto"/>
                      <w:lang w:val="en-US" w:eastAsia="zh-CN"/>
                    </w:rPr>
                  </w:pPr>
                </w:p>
              </w:tc>
            </w:tr>
            <w:tr w14:paraId="1DFF35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80" w:type="pct"/>
                  <w:vMerge w:val="continue"/>
                  <w:tcBorders>
                    <w:tl2br w:val="nil"/>
                    <w:tr2bl w:val="nil"/>
                  </w:tcBorders>
                  <w:noWrap w:val="0"/>
                  <w:vAlign w:val="center"/>
                </w:tcPr>
                <w:p w14:paraId="76AB787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0A1F70B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清洗废水</w:t>
                  </w:r>
                </w:p>
              </w:tc>
              <w:tc>
                <w:tcPr>
                  <w:tcW w:w="1100" w:type="pct"/>
                  <w:vMerge w:val="continue"/>
                  <w:tcBorders>
                    <w:tl2br w:val="nil"/>
                    <w:tr2bl w:val="nil"/>
                  </w:tcBorders>
                  <w:noWrap w:val="0"/>
                  <w:vAlign w:val="center"/>
                </w:tcPr>
                <w:p w14:paraId="3C97B5F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4" w:type="pct"/>
                  <w:tcBorders>
                    <w:tl2br w:val="nil"/>
                    <w:tr2bl w:val="nil"/>
                  </w:tcBorders>
                  <w:noWrap w:val="0"/>
                  <w:vAlign w:val="center"/>
                </w:tcPr>
                <w:p w14:paraId="69F6398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8"/>
                      <w:sz w:val="21"/>
                      <w:szCs w:val="21"/>
                      <w:highlight w:val="none"/>
                      <w:u w:val="none" w:color="auto"/>
                      <w:lang w:val="en-US" w:eastAsia="zh-CN"/>
                    </w:rPr>
                  </w:pPr>
                  <w:r>
                    <w:rPr>
                      <w:rFonts w:hint="eastAsia" w:ascii="Times New Roman" w:hAnsi="Times New Roman" w:eastAsia="宋体" w:cs="Times New Roman"/>
                      <w:color w:val="auto"/>
                      <w:spacing w:val="8"/>
                      <w:kern w:val="2"/>
                      <w:sz w:val="21"/>
                      <w:szCs w:val="21"/>
                      <w:highlight w:val="none"/>
                      <w:u w:val="none" w:color="auto"/>
                      <w:lang w:val="en-US" w:eastAsia="zh-CN" w:bidi="ar-SA"/>
                    </w:rPr>
                    <w:t>经污水处理站</w:t>
                  </w:r>
                  <w:r>
                    <w:rPr>
                      <w:rFonts w:hint="eastAsia" w:cs="Times New Roman"/>
                      <w:color w:val="auto"/>
                      <w:spacing w:val="8"/>
                      <w:kern w:val="2"/>
                      <w:sz w:val="21"/>
                      <w:szCs w:val="21"/>
                      <w:highlight w:val="none"/>
                      <w:u w:val="none" w:color="auto"/>
                      <w:lang w:val="en-US" w:eastAsia="zh-CN" w:bidi="ar-SA"/>
                    </w:rPr>
                    <w:t>（</w:t>
                  </w:r>
                  <w:r>
                    <w:rPr>
                      <w:rFonts w:hint="eastAsia" w:cs="Times New Roman"/>
                      <w:color w:val="auto"/>
                      <w:kern w:val="3"/>
                      <w:sz w:val="21"/>
                      <w:szCs w:val="21"/>
                      <w:lang w:val="en-US" w:eastAsia="zh-CN"/>
                    </w:rPr>
                    <w:t>絮凝罐</w:t>
                  </w:r>
                  <w:r>
                    <w:rPr>
                      <w:rFonts w:hint="default" w:ascii="Times New Roman" w:hAnsi="Times New Roman" w:cs="Times New Roman"/>
                      <w:color w:val="auto"/>
                      <w:kern w:val="3"/>
                      <w:sz w:val="21"/>
                      <w:szCs w:val="21"/>
                    </w:rPr>
                    <w:t>+</w:t>
                  </w:r>
                  <w:r>
                    <w:rPr>
                      <w:rFonts w:hint="eastAsia" w:cs="Times New Roman"/>
                      <w:color w:val="auto"/>
                      <w:kern w:val="3"/>
                      <w:sz w:val="21"/>
                      <w:szCs w:val="21"/>
                      <w:lang w:val="en-US" w:eastAsia="zh-CN"/>
                    </w:rPr>
                    <w:t>循环水池</w:t>
                  </w:r>
                  <w:r>
                    <w:rPr>
                      <w:rFonts w:hint="eastAsia" w:cs="Times New Roman"/>
                      <w:color w:val="auto"/>
                      <w:kern w:val="3"/>
                      <w:sz w:val="24"/>
                      <w:szCs w:val="24"/>
                      <w:lang w:val="en-US" w:eastAsia="zh-CN"/>
                    </w:rPr>
                    <w:t>）</w:t>
                  </w:r>
                  <w:r>
                    <w:rPr>
                      <w:rFonts w:hint="eastAsia" w:ascii="Times New Roman" w:hAnsi="Times New Roman" w:eastAsia="宋体" w:cs="Times New Roman"/>
                      <w:color w:val="auto"/>
                      <w:spacing w:val="8"/>
                      <w:kern w:val="2"/>
                      <w:sz w:val="21"/>
                      <w:szCs w:val="21"/>
                      <w:highlight w:val="none"/>
                      <w:u w:val="none" w:color="auto"/>
                      <w:lang w:val="en-US" w:eastAsia="zh-CN" w:bidi="ar-SA"/>
                    </w:rPr>
                    <w:t>处理后进入循环水池回用。</w:t>
                  </w:r>
                </w:p>
              </w:tc>
            </w:tr>
            <w:tr w14:paraId="5D631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pct"/>
                  <w:tcBorders>
                    <w:tl2br w:val="nil"/>
                    <w:tr2bl w:val="nil"/>
                  </w:tcBorders>
                  <w:noWrap w:val="0"/>
                  <w:vAlign w:val="center"/>
                </w:tcPr>
                <w:p w14:paraId="42A5889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噪声</w:t>
                  </w:r>
                </w:p>
              </w:tc>
              <w:tc>
                <w:tcPr>
                  <w:tcW w:w="955" w:type="pct"/>
                  <w:tcBorders>
                    <w:tl2br w:val="nil"/>
                    <w:tr2bl w:val="nil"/>
                  </w:tcBorders>
                  <w:noWrap w:val="0"/>
                  <w:vAlign w:val="center"/>
                </w:tcPr>
                <w:p w14:paraId="5B6BEFD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设备运行噪声</w:t>
                  </w:r>
                </w:p>
              </w:tc>
              <w:tc>
                <w:tcPr>
                  <w:tcW w:w="1100" w:type="pct"/>
                  <w:tcBorders>
                    <w:tl2br w:val="nil"/>
                    <w:tr2bl w:val="nil"/>
                  </w:tcBorders>
                  <w:noWrap w:val="0"/>
                  <w:vAlign w:val="center"/>
                </w:tcPr>
                <w:p w14:paraId="1330003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等效声级</w:t>
                  </w:r>
                </w:p>
              </w:tc>
              <w:tc>
                <w:tcPr>
                  <w:tcW w:w="2364" w:type="pct"/>
                  <w:tcBorders>
                    <w:tl2br w:val="nil"/>
                    <w:tr2bl w:val="nil"/>
                  </w:tcBorders>
                  <w:noWrap w:val="0"/>
                  <w:vAlign w:val="center"/>
                </w:tcPr>
                <w:p w14:paraId="09EB3A0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隔声、降噪、减震，采用低</w:t>
                  </w:r>
                  <w:r>
                    <w:rPr>
                      <w:rFonts w:hint="default" w:ascii="Times New Roman" w:hAnsi="Times New Roman" w:eastAsia="宋体" w:cs="Times New Roman"/>
                      <w:color w:val="auto"/>
                      <w:spacing w:val="4"/>
                      <w:sz w:val="21"/>
                      <w:szCs w:val="21"/>
                      <w:highlight w:val="none"/>
                      <w:u w:val="none" w:color="auto"/>
                    </w:rPr>
                    <w:t>噪声设备</w:t>
                  </w:r>
                </w:p>
              </w:tc>
            </w:tr>
            <w:tr w14:paraId="71AEB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pct"/>
                  <w:vMerge w:val="restart"/>
                  <w:tcBorders>
                    <w:tl2br w:val="nil"/>
                    <w:tr2bl w:val="nil"/>
                  </w:tcBorders>
                  <w:noWrap w:val="0"/>
                  <w:vAlign w:val="center"/>
                </w:tcPr>
                <w:p w14:paraId="26534B6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固废</w:t>
                  </w:r>
                </w:p>
              </w:tc>
              <w:tc>
                <w:tcPr>
                  <w:tcW w:w="955" w:type="pct"/>
                  <w:vMerge w:val="restart"/>
                  <w:tcBorders>
                    <w:tl2br w:val="nil"/>
                    <w:tr2bl w:val="nil"/>
                  </w:tcBorders>
                  <w:noWrap w:val="0"/>
                  <w:vAlign w:val="center"/>
                </w:tcPr>
                <w:p w14:paraId="78DFBEC8">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污水处理站</w:t>
                  </w:r>
                </w:p>
              </w:tc>
              <w:tc>
                <w:tcPr>
                  <w:tcW w:w="1100" w:type="pct"/>
                  <w:tcBorders>
                    <w:tl2br w:val="nil"/>
                    <w:tr2bl w:val="nil"/>
                  </w:tcBorders>
                  <w:noWrap w:val="0"/>
                  <w:vAlign w:val="center"/>
                </w:tcPr>
                <w:p w14:paraId="0747E4D8">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泥饼</w:t>
                  </w:r>
                </w:p>
              </w:tc>
              <w:tc>
                <w:tcPr>
                  <w:tcW w:w="2364" w:type="pct"/>
                  <w:tcBorders>
                    <w:tl2br w:val="nil"/>
                    <w:tr2bl w:val="nil"/>
                  </w:tcBorders>
                  <w:noWrap w:val="0"/>
                  <w:vAlign w:val="center"/>
                </w:tcPr>
                <w:p w14:paraId="67751A5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暂存于一般固废间，收集后外售</w:t>
                  </w:r>
                </w:p>
              </w:tc>
            </w:tr>
            <w:tr w14:paraId="7DDA89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pct"/>
                  <w:vMerge w:val="continue"/>
                  <w:tcBorders>
                    <w:tl2br w:val="nil"/>
                    <w:tr2bl w:val="nil"/>
                  </w:tcBorders>
                  <w:noWrap w:val="0"/>
                  <w:vAlign w:val="center"/>
                </w:tcPr>
                <w:p w14:paraId="075D097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p>
              </w:tc>
              <w:tc>
                <w:tcPr>
                  <w:tcW w:w="955" w:type="pct"/>
                  <w:vMerge w:val="continue"/>
                  <w:tcBorders>
                    <w:tl2br w:val="nil"/>
                    <w:tr2bl w:val="nil"/>
                  </w:tcBorders>
                  <w:noWrap w:val="0"/>
                  <w:vAlign w:val="center"/>
                </w:tcPr>
                <w:p w14:paraId="4CF679F1">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eastAsia"/>
                      <w:color w:val="auto"/>
                      <w:highlight w:val="none"/>
                      <w:u w:val="none" w:color="auto"/>
                      <w:lang w:val="en-US" w:eastAsia="zh-CN"/>
                    </w:rPr>
                  </w:pPr>
                </w:p>
              </w:tc>
              <w:tc>
                <w:tcPr>
                  <w:tcW w:w="1100" w:type="pct"/>
                  <w:tcBorders>
                    <w:tl2br w:val="nil"/>
                    <w:tr2bl w:val="nil"/>
                  </w:tcBorders>
                  <w:noWrap w:val="0"/>
                  <w:vAlign w:val="center"/>
                </w:tcPr>
                <w:p w14:paraId="20F2E2D5">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eastAsia"/>
                      <w:color w:val="auto"/>
                      <w:highlight w:val="none"/>
                      <w:u w:val="none" w:color="auto"/>
                      <w:lang w:val="en-US" w:eastAsia="zh-CN"/>
                    </w:rPr>
                  </w:pPr>
                  <w:r>
                    <w:rPr>
                      <w:rFonts w:hint="eastAsia"/>
                      <w:color w:val="auto"/>
                      <w:highlight w:val="none"/>
                      <w:u w:val="none" w:color="auto"/>
                      <w:lang w:val="en-US" w:eastAsia="zh-CN"/>
                    </w:rPr>
                    <w:t>废包装袋</w:t>
                  </w:r>
                </w:p>
              </w:tc>
              <w:tc>
                <w:tcPr>
                  <w:tcW w:w="2364" w:type="pct"/>
                  <w:tcBorders>
                    <w:tl2br w:val="nil"/>
                    <w:tr2bl w:val="nil"/>
                  </w:tcBorders>
                  <w:noWrap w:val="0"/>
                  <w:vAlign w:val="center"/>
                </w:tcPr>
                <w:p w14:paraId="60679040">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暂存于一般固废间，交由环卫部门处理</w:t>
                  </w:r>
                </w:p>
              </w:tc>
            </w:tr>
            <w:tr w14:paraId="17E299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0" w:type="pct"/>
                  <w:vMerge w:val="continue"/>
                  <w:tcBorders>
                    <w:tl2br w:val="nil"/>
                    <w:tr2bl w:val="nil"/>
                  </w:tcBorders>
                  <w:noWrap w:val="0"/>
                  <w:vAlign w:val="center"/>
                </w:tcPr>
                <w:p w14:paraId="68B47CE0">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p>
              </w:tc>
              <w:tc>
                <w:tcPr>
                  <w:tcW w:w="955" w:type="pct"/>
                  <w:vMerge w:val="restart"/>
                  <w:tcBorders>
                    <w:tl2br w:val="nil"/>
                    <w:tr2bl w:val="nil"/>
                  </w:tcBorders>
                  <w:noWrap w:val="0"/>
                  <w:vAlign w:val="center"/>
                </w:tcPr>
                <w:p w14:paraId="2730B0DD">
                  <w:pPr>
                    <w:pStyle w:val="42"/>
                    <w:autoSpaceDE w:val="0"/>
                    <w:autoSpaceDN w:val="0"/>
                    <w:bidi w:val="0"/>
                    <w:jc w:val="center"/>
                    <w:rPr>
                      <w:rFonts w:hint="default"/>
                      <w:color w:val="auto"/>
                      <w:highlight w:val="none"/>
                      <w:u w:val="none" w:color="auto"/>
                    </w:rPr>
                  </w:pPr>
                  <w:r>
                    <w:rPr>
                      <w:rFonts w:hint="default"/>
                      <w:color w:val="auto"/>
                      <w:highlight w:val="none"/>
                      <w:u w:val="none" w:color="auto"/>
                    </w:rPr>
                    <w:t>设备</w:t>
                  </w:r>
                  <w:r>
                    <w:rPr>
                      <w:rFonts w:hint="eastAsia"/>
                      <w:color w:val="auto"/>
                      <w:highlight w:val="none"/>
                      <w:u w:val="none" w:color="auto"/>
                      <w:lang w:eastAsia="zh-CN"/>
                    </w:rPr>
                    <w:t>保养</w:t>
                  </w:r>
                </w:p>
              </w:tc>
              <w:tc>
                <w:tcPr>
                  <w:tcW w:w="1100" w:type="pct"/>
                  <w:tcBorders>
                    <w:tl2br w:val="nil"/>
                    <w:tr2bl w:val="nil"/>
                  </w:tcBorders>
                  <w:noWrap w:val="0"/>
                  <w:vAlign w:val="center"/>
                </w:tcPr>
                <w:p w14:paraId="75012E14">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废机油</w:t>
                  </w:r>
                </w:p>
              </w:tc>
              <w:tc>
                <w:tcPr>
                  <w:tcW w:w="2364" w:type="pct"/>
                  <w:vMerge w:val="restart"/>
                  <w:tcBorders>
                    <w:tl2br w:val="nil"/>
                    <w:tr2bl w:val="nil"/>
                  </w:tcBorders>
                  <w:noWrap w:val="0"/>
                  <w:vAlign w:val="center"/>
                </w:tcPr>
                <w:p w14:paraId="09136FC0">
                  <w:pPr>
                    <w:pStyle w:val="42"/>
                    <w:autoSpaceDE w:val="0"/>
                    <w:autoSpaceDN w:val="0"/>
                    <w:bidi w:val="0"/>
                    <w:jc w:val="center"/>
                    <w:rPr>
                      <w:rFonts w:hint="default"/>
                      <w:color w:val="auto"/>
                      <w:highlight w:val="none"/>
                      <w:u w:val="none" w:color="auto"/>
                    </w:rPr>
                  </w:pPr>
                  <w:r>
                    <w:rPr>
                      <w:rFonts w:hint="eastAsia"/>
                      <w:color w:val="auto"/>
                      <w:highlight w:val="none"/>
                      <w:u w:val="none" w:color="auto"/>
                      <w:lang w:val="en-US" w:eastAsia="zh-CN"/>
                    </w:rPr>
                    <w:t>建设单位将废机油、含油废手套暂存</w:t>
                  </w:r>
                  <w:r>
                    <w:rPr>
                      <w:rFonts w:hint="eastAsia" w:ascii="Times New Roman" w:hAnsi="Times New Roman" w:cs="Times New Roman"/>
                      <w:color w:val="auto"/>
                      <w:sz w:val="21"/>
                      <w:szCs w:val="21"/>
                      <w:highlight w:val="none"/>
                      <w:u w:val="none" w:color="auto"/>
                      <w:lang w:val="en-US" w:eastAsia="zh-CN"/>
                    </w:rPr>
                    <w:t>至危废暂存间，再交由有资质单位进行处理</w:t>
                  </w:r>
                </w:p>
              </w:tc>
            </w:tr>
            <w:tr w14:paraId="57226F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0" w:type="pct"/>
                  <w:vMerge w:val="continue"/>
                  <w:tcBorders>
                    <w:tl2br w:val="nil"/>
                    <w:tr2bl w:val="nil"/>
                  </w:tcBorders>
                  <w:noWrap w:val="0"/>
                  <w:vAlign w:val="center"/>
                </w:tcPr>
                <w:p w14:paraId="7ED2A127">
                  <w:pPr>
                    <w:pStyle w:val="42"/>
                    <w:autoSpaceDE w:val="0"/>
                    <w:autoSpaceDN w:val="0"/>
                    <w:bidi w:val="0"/>
                    <w:jc w:val="center"/>
                    <w:rPr>
                      <w:color w:val="auto"/>
                      <w:highlight w:val="none"/>
                      <w:u w:val="none" w:color="auto"/>
                    </w:rPr>
                  </w:pPr>
                </w:p>
              </w:tc>
              <w:tc>
                <w:tcPr>
                  <w:tcW w:w="955" w:type="pct"/>
                  <w:vMerge w:val="continue"/>
                  <w:tcBorders>
                    <w:tl2br w:val="nil"/>
                    <w:tr2bl w:val="nil"/>
                  </w:tcBorders>
                  <w:noWrap w:val="0"/>
                  <w:vAlign w:val="center"/>
                </w:tcPr>
                <w:p w14:paraId="31A368E5">
                  <w:pPr>
                    <w:pStyle w:val="42"/>
                    <w:autoSpaceDE w:val="0"/>
                    <w:autoSpaceDN w:val="0"/>
                    <w:bidi w:val="0"/>
                    <w:jc w:val="center"/>
                    <w:rPr>
                      <w:color w:val="auto"/>
                      <w:highlight w:val="none"/>
                      <w:u w:val="none" w:color="auto"/>
                    </w:rPr>
                  </w:pPr>
                </w:p>
              </w:tc>
              <w:tc>
                <w:tcPr>
                  <w:tcW w:w="1100" w:type="pct"/>
                  <w:tcBorders>
                    <w:tl2br w:val="nil"/>
                    <w:tr2bl w:val="nil"/>
                  </w:tcBorders>
                  <w:noWrap w:val="0"/>
                  <w:vAlign w:val="center"/>
                </w:tcPr>
                <w:p w14:paraId="28B38F28">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废机油桶</w:t>
                  </w:r>
                </w:p>
              </w:tc>
              <w:tc>
                <w:tcPr>
                  <w:tcW w:w="2364" w:type="pct"/>
                  <w:vMerge w:val="continue"/>
                  <w:tcBorders>
                    <w:tl2br w:val="nil"/>
                    <w:tr2bl w:val="nil"/>
                  </w:tcBorders>
                  <w:noWrap w:val="0"/>
                  <w:vAlign w:val="center"/>
                </w:tcPr>
                <w:p w14:paraId="2C6E7389">
                  <w:pPr>
                    <w:pStyle w:val="42"/>
                    <w:autoSpaceDE w:val="0"/>
                    <w:autoSpaceDN w:val="0"/>
                    <w:bidi w:val="0"/>
                    <w:jc w:val="center"/>
                    <w:rPr>
                      <w:rFonts w:hint="eastAsia"/>
                      <w:color w:val="auto"/>
                      <w:highlight w:val="none"/>
                      <w:u w:val="none" w:color="auto"/>
                      <w:lang w:val="en-US" w:eastAsia="zh-CN"/>
                    </w:rPr>
                  </w:pPr>
                </w:p>
              </w:tc>
            </w:tr>
            <w:tr w14:paraId="08556E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0" w:type="pct"/>
                  <w:tcBorders>
                    <w:tl2br w:val="nil"/>
                    <w:tr2bl w:val="nil"/>
                  </w:tcBorders>
                  <w:noWrap w:val="0"/>
                  <w:vAlign w:val="center"/>
                </w:tcPr>
                <w:p w14:paraId="5CD256C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lang w:val="en-US" w:eastAsia="zh-CN"/>
                    </w:rPr>
                    <w:t>其他</w:t>
                  </w:r>
                </w:p>
              </w:tc>
              <w:tc>
                <w:tcPr>
                  <w:tcW w:w="955" w:type="pct"/>
                  <w:tcBorders>
                    <w:tl2br w:val="nil"/>
                    <w:tr2bl w:val="nil"/>
                  </w:tcBorders>
                  <w:noWrap w:val="0"/>
                  <w:vAlign w:val="center"/>
                </w:tcPr>
                <w:p w14:paraId="3AE35A0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lang w:val="en-US" w:eastAsia="zh-CN"/>
                    </w:rPr>
                    <w:t>生活垃圾</w:t>
                  </w:r>
                </w:p>
              </w:tc>
              <w:tc>
                <w:tcPr>
                  <w:tcW w:w="1100" w:type="pct"/>
                  <w:tcBorders>
                    <w:tl2br w:val="nil"/>
                    <w:tr2bl w:val="nil"/>
                  </w:tcBorders>
                  <w:noWrap w:val="0"/>
                  <w:vAlign w:val="center"/>
                </w:tcPr>
                <w:p w14:paraId="04E777E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生活垃圾</w:t>
                  </w:r>
                </w:p>
              </w:tc>
              <w:tc>
                <w:tcPr>
                  <w:tcW w:w="2364" w:type="pct"/>
                  <w:tcBorders>
                    <w:tl2br w:val="nil"/>
                    <w:tr2bl w:val="nil"/>
                  </w:tcBorders>
                  <w:noWrap w:val="0"/>
                  <w:vAlign w:val="center"/>
                </w:tcPr>
                <w:p w14:paraId="2CB5B9BD">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u w:val="none" w:color="auto"/>
                    </w:rPr>
                  </w:pPr>
                  <w:r>
                    <w:rPr>
                      <w:rFonts w:hint="default" w:ascii="Times New Roman" w:hAnsi="Times New Roman" w:eastAsia="宋体" w:cs="Times New Roman"/>
                      <w:color w:val="auto"/>
                      <w:spacing w:val="4"/>
                      <w:sz w:val="21"/>
                      <w:szCs w:val="21"/>
                      <w:highlight w:val="none"/>
                      <w:u w:val="none" w:color="auto"/>
                    </w:rPr>
                    <w:t>分类收集，环卫部门统一清</w:t>
                  </w:r>
                  <w:r>
                    <w:rPr>
                      <w:rFonts w:hint="default" w:ascii="Times New Roman" w:hAnsi="Times New Roman" w:eastAsia="宋体" w:cs="Times New Roman"/>
                      <w:color w:val="auto"/>
                      <w:sz w:val="21"/>
                      <w:szCs w:val="21"/>
                      <w:highlight w:val="none"/>
                      <w:u w:val="none" w:color="auto"/>
                    </w:rPr>
                    <w:t>运</w:t>
                  </w:r>
                </w:p>
              </w:tc>
            </w:tr>
          </w:tbl>
          <w:p w14:paraId="1DD3D03E">
            <w:pPr>
              <w:pStyle w:val="37"/>
              <w:bidi w:val="0"/>
              <w:ind w:left="0" w:leftChars="0" w:firstLine="0" w:firstLineChars="0"/>
              <w:rPr>
                <w:rFonts w:hint="default" w:ascii="Times New Roman" w:hAnsi="Times New Roman" w:cs="Times New Roman"/>
                <w:color w:val="auto"/>
                <w:highlight w:val="green"/>
                <w:u w:val="none" w:color="auto"/>
                <w:lang w:val="en-US" w:eastAsia="zh-CN"/>
              </w:rPr>
            </w:pPr>
          </w:p>
        </w:tc>
      </w:tr>
      <w:tr w14:paraId="7E4FC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9" w:hRule="atLeast"/>
          <w:jc w:val="center"/>
        </w:trPr>
        <w:tc>
          <w:tcPr>
            <w:tcW w:w="235" w:type="pct"/>
            <w:tcBorders>
              <w:tl2br w:val="nil"/>
              <w:tr2bl w:val="nil"/>
            </w:tcBorders>
            <w:noWrap w:val="0"/>
            <w:vAlign w:val="center"/>
          </w:tcPr>
          <w:p w14:paraId="30B69820">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kern w:val="2"/>
                <w:sz w:val="21"/>
                <w:szCs w:val="21"/>
                <w:highlight w:val="none"/>
                <w:u w:val="none" w:color="auto"/>
              </w:rPr>
              <w:t>与项目有关的原有环境污染问题</w:t>
            </w:r>
          </w:p>
        </w:tc>
        <w:tc>
          <w:tcPr>
            <w:tcW w:w="4764" w:type="pct"/>
            <w:tcBorders>
              <w:tl2br w:val="nil"/>
              <w:tr2bl w:val="nil"/>
            </w:tcBorders>
            <w:noWrap w:val="0"/>
            <w:vAlign w:val="center"/>
          </w:tcPr>
          <w:p w14:paraId="65735D48">
            <w:pPr>
              <w:keepNext w:val="0"/>
              <w:keepLines w:val="0"/>
              <w:pageBreakBefore w:val="0"/>
              <w:widowControl w:val="0"/>
              <w:numPr>
                <w:ilvl w:val="0"/>
                <w:numId w:val="6"/>
              </w:numPr>
              <w:kinsoku/>
              <w:overflowPunct/>
              <w:autoSpaceDE/>
              <w:autoSpaceDN/>
              <w:bidi w:val="0"/>
              <w:adjustRightInd/>
              <w:snapToGrid/>
              <w:spacing w:line="353" w:lineRule="auto"/>
              <w:ind w:left="0" w:right="0" w:firstLine="480"/>
              <w:jc w:val="both"/>
              <w:textAlignment w:val="auto"/>
              <w:rPr>
                <w:rFonts w:hint="eastAsia" w:ascii="宋体" w:hAnsi="宋体" w:cs="宋体"/>
                <w:b/>
                <w:bCs/>
                <w:color w:val="auto"/>
                <w:spacing w:val="-1"/>
                <w:sz w:val="24"/>
                <w:szCs w:val="24"/>
                <w:highlight w:val="none"/>
                <w:lang w:val="en-US" w:eastAsia="zh-CN"/>
              </w:rPr>
            </w:pPr>
            <w:r>
              <w:rPr>
                <w:rFonts w:hint="eastAsia" w:ascii="宋体" w:hAnsi="宋体" w:cs="宋体"/>
                <w:b/>
                <w:bCs/>
                <w:color w:val="auto"/>
                <w:spacing w:val="-1"/>
                <w:sz w:val="24"/>
                <w:szCs w:val="24"/>
                <w:highlight w:val="none"/>
                <w:lang w:val="en-US" w:eastAsia="zh-CN"/>
              </w:rPr>
              <w:t>企业基本情况</w:t>
            </w:r>
          </w:p>
          <w:p w14:paraId="6E32E171">
            <w:pPr>
              <w:keepNext w:val="0"/>
              <w:keepLines w:val="0"/>
              <w:pageBreakBefore w:val="0"/>
              <w:widowControl w:val="0"/>
              <w:numPr>
                <w:ilvl w:val="0"/>
                <w:numId w:val="0"/>
              </w:numPr>
              <w:kinsoku/>
              <w:wordWrap/>
              <w:overflowPunct/>
              <w:topLinePunct w:val="0"/>
              <w:autoSpaceDE/>
              <w:autoSpaceDN/>
              <w:bidi w:val="0"/>
              <w:adjustRightInd/>
              <w:snapToGrid/>
              <w:spacing w:line="353" w:lineRule="auto"/>
              <w:ind w:right="0" w:rightChars="0" w:firstLine="476" w:firstLineChars="20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ascii="宋体" w:hAnsi="宋体" w:eastAsia="宋体" w:cs="宋体"/>
                <w:color w:val="auto"/>
                <w:spacing w:val="-1"/>
                <w:sz w:val="24"/>
                <w:szCs w:val="24"/>
                <w:highlight w:val="none"/>
              </w:rPr>
              <w:t>本项目位于</w:t>
            </w:r>
            <w:r>
              <w:rPr>
                <w:rFonts w:hint="eastAsia" w:ascii="Times New Roman" w:hAnsi="Times New Roman" w:eastAsia="宋体" w:cs="Times New Roman"/>
                <w:color w:val="auto"/>
                <w:sz w:val="24"/>
                <w:szCs w:val="24"/>
                <w:highlight w:val="none"/>
                <w:u w:val="none" w:color="auto"/>
                <w:lang w:val="en-US" w:eastAsia="zh-CN"/>
              </w:rPr>
              <w:t>岳阳县新墙镇燎原村沙河片二组，项目建成后环保责任主体为岳阳市峰璟新材料科技有限公司。</w:t>
            </w:r>
          </w:p>
          <w:p w14:paraId="1697D00F">
            <w:pPr>
              <w:keepNext w:val="0"/>
              <w:keepLines w:val="0"/>
              <w:pageBreakBefore w:val="0"/>
              <w:widowControl w:val="0"/>
              <w:numPr>
                <w:ilvl w:val="0"/>
                <w:numId w:val="0"/>
              </w:numPr>
              <w:kinsoku/>
              <w:wordWrap/>
              <w:overflowPunct/>
              <w:topLinePunct w:val="0"/>
              <w:autoSpaceDE/>
              <w:autoSpaceDN/>
              <w:bidi w:val="0"/>
              <w:adjustRightInd/>
              <w:snapToGrid/>
              <w:spacing w:line="353" w:lineRule="auto"/>
              <w:ind w:right="0" w:rightChars="0" w:firstLine="480" w:firstLineChars="20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本项目</w:t>
            </w:r>
            <w:r>
              <w:rPr>
                <w:rFonts w:hint="eastAsia" w:ascii="Times New Roman" w:hAnsi="Times New Roman" w:eastAsia="宋体" w:cs="Times New Roman"/>
                <w:color w:val="auto"/>
                <w:sz w:val="24"/>
                <w:szCs w:val="24"/>
                <w:highlight w:val="none"/>
                <w:u w:val="none" w:color="auto"/>
                <w:lang w:val="en-US" w:eastAsia="zh-CN"/>
              </w:rPr>
              <w:t>于2024年12月建设了临时钢结构棚暂存设备，目前滚筒筛、输送带设备已入场，未进行土建施工且未投入生产。</w:t>
            </w:r>
          </w:p>
          <w:p w14:paraId="35BABCB4">
            <w:pPr>
              <w:keepNext w:val="0"/>
              <w:keepLines w:val="0"/>
              <w:pageBreakBefore w:val="0"/>
              <w:widowControl w:val="0"/>
              <w:numPr>
                <w:ilvl w:val="0"/>
                <w:numId w:val="6"/>
              </w:numPr>
              <w:kinsoku/>
              <w:wordWrap/>
              <w:overflowPunct/>
              <w:topLinePunct w:val="0"/>
              <w:autoSpaceDE/>
              <w:autoSpaceDN/>
              <w:bidi w:val="0"/>
              <w:adjustRightInd/>
              <w:snapToGrid/>
              <w:spacing w:line="353" w:lineRule="auto"/>
              <w:ind w:left="0" w:leftChars="0" w:right="0" w:rightChars="0" w:firstLine="480" w:firstLineChars="0"/>
              <w:jc w:val="both"/>
              <w:textAlignment w:val="auto"/>
              <w:rPr>
                <w:rFonts w:hint="eastAsia" w:eastAsia="宋体" w:cs="Times New Roman"/>
                <w:b/>
                <w:bCs/>
                <w:color w:val="auto"/>
                <w:sz w:val="24"/>
                <w:szCs w:val="24"/>
                <w:highlight w:val="none"/>
                <w:u w:val="none" w:color="auto"/>
                <w:lang w:val="en-US" w:eastAsia="zh-CN"/>
              </w:rPr>
            </w:pPr>
            <w:r>
              <w:rPr>
                <w:rFonts w:hint="eastAsia" w:eastAsia="宋体" w:cs="Times New Roman"/>
                <w:b/>
                <w:bCs/>
                <w:color w:val="auto"/>
                <w:sz w:val="24"/>
                <w:szCs w:val="24"/>
                <w:highlight w:val="none"/>
                <w:u w:val="none" w:color="auto"/>
                <w:lang w:val="en-US" w:eastAsia="zh-CN"/>
              </w:rPr>
              <w:t>现有企业存在问题</w:t>
            </w:r>
          </w:p>
          <w:p w14:paraId="1A5A1A66">
            <w:pPr>
              <w:keepNext w:val="0"/>
              <w:keepLines w:val="0"/>
              <w:pageBreakBefore w:val="0"/>
              <w:widowControl w:val="0"/>
              <w:numPr>
                <w:ilvl w:val="0"/>
                <w:numId w:val="0"/>
              </w:numPr>
              <w:kinsoku/>
              <w:wordWrap/>
              <w:overflowPunct/>
              <w:topLinePunct w:val="0"/>
              <w:autoSpaceDE/>
              <w:autoSpaceDN/>
              <w:bidi w:val="0"/>
              <w:adjustRightInd/>
              <w:snapToGrid/>
              <w:spacing w:line="353" w:lineRule="auto"/>
              <w:ind w:right="0" w:rightChars="0" w:firstLine="480" w:firstLineChars="200"/>
              <w:jc w:val="both"/>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现场存在的主要问题有：①厂区设备未完全入棚；②循环水池未进行硬化。</w:t>
            </w:r>
            <w:r>
              <w:rPr>
                <w:rFonts w:hint="eastAsia" w:ascii="Times New Roman" w:hAnsi="Times New Roman" w:eastAsia="宋体" w:cs="Times New Roman"/>
                <w:color w:val="auto"/>
                <w:sz w:val="24"/>
                <w:szCs w:val="24"/>
                <w:highlight w:val="none"/>
                <w:u w:val="none" w:color="auto"/>
                <w:lang w:val="en-US" w:eastAsia="zh-CN"/>
              </w:rPr>
              <w:t>现有工程部分存在环境问题和措施如下表2-9。</w:t>
            </w:r>
          </w:p>
          <w:p w14:paraId="0803A1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i w:val="0"/>
                <w:iCs w:val="0"/>
                <w:caps w:val="0"/>
                <w:color w:val="000000"/>
                <w:spacing w:val="0"/>
                <w:sz w:val="21"/>
                <w:szCs w:val="21"/>
                <w:lang w:val="en-US" w:eastAsia="zh-CN"/>
              </w:rPr>
            </w:pPr>
            <w:r>
              <w:rPr>
                <w:rFonts w:hint="default" w:ascii="Times New Roman" w:hAnsi="Times New Roman" w:eastAsia="宋体" w:cs="Times New Roman"/>
                <w:b/>
                <w:bCs/>
                <w:i w:val="0"/>
                <w:iCs w:val="0"/>
                <w:caps w:val="0"/>
                <w:color w:val="000000"/>
                <w:spacing w:val="0"/>
                <w:sz w:val="21"/>
                <w:szCs w:val="21"/>
              </w:rPr>
              <w:t>表2-</w:t>
            </w:r>
            <w:r>
              <w:rPr>
                <w:rFonts w:hint="eastAsia" w:cs="Times New Roman"/>
                <w:b/>
                <w:bCs/>
                <w:i w:val="0"/>
                <w:iCs w:val="0"/>
                <w:caps w:val="0"/>
                <w:color w:val="000000"/>
                <w:spacing w:val="0"/>
                <w:sz w:val="21"/>
                <w:szCs w:val="21"/>
                <w:lang w:val="en-US" w:eastAsia="zh-CN"/>
              </w:rPr>
              <w:t>9</w:t>
            </w:r>
            <w:r>
              <w:rPr>
                <w:rFonts w:hint="eastAsia" w:ascii="Times New Roman" w:hAnsi="Times New Roman" w:eastAsia="宋体" w:cs="Times New Roman"/>
                <w:b/>
                <w:bCs/>
                <w:i w:val="0"/>
                <w:iCs w:val="0"/>
                <w:caps w:val="0"/>
                <w:color w:val="000000"/>
                <w:spacing w:val="0"/>
                <w:sz w:val="21"/>
                <w:szCs w:val="21"/>
                <w:lang w:eastAsia="zh-CN"/>
              </w:rPr>
              <w:t xml:space="preserve">   </w:t>
            </w:r>
            <w:r>
              <w:rPr>
                <w:rFonts w:hint="default" w:ascii="Times New Roman" w:hAnsi="Times New Roman" w:eastAsia="宋体" w:cs="Times New Roman"/>
                <w:b/>
                <w:bCs/>
                <w:i w:val="0"/>
                <w:iCs w:val="0"/>
                <w:caps w:val="0"/>
                <w:color w:val="000000"/>
                <w:spacing w:val="0"/>
                <w:sz w:val="21"/>
                <w:szCs w:val="21"/>
              </w:rPr>
              <w:t>现有工程</w:t>
            </w:r>
            <w:r>
              <w:rPr>
                <w:rFonts w:hint="default" w:ascii="Times New Roman" w:hAnsi="Times New Roman" w:eastAsia="宋体" w:cs="Times New Roman"/>
                <w:b/>
                <w:bCs/>
                <w:i w:val="0"/>
                <w:iCs w:val="0"/>
                <w:caps w:val="0"/>
                <w:color w:val="000000"/>
                <w:spacing w:val="0"/>
                <w:sz w:val="21"/>
                <w:szCs w:val="21"/>
                <w:lang w:val="en-US" w:eastAsia="zh-CN"/>
              </w:rPr>
              <w:t>环境问题和措施</w:t>
            </w:r>
            <w:r>
              <w:rPr>
                <w:rFonts w:hint="default" w:ascii="Times New Roman" w:hAnsi="Times New Roman" w:eastAsia="宋体" w:cs="Times New Roman"/>
                <w:b/>
                <w:bCs/>
                <w:i w:val="0"/>
                <w:iCs w:val="0"/>
                <w:caps w:val="0"/>
                <w:color w:val="000000"/>
                <w:spacing w:val="0"/>
                <w:sz w:val="21"/>
                <w:szCs w:val="21"/>
              </w:rPr>
              <w:t>情况一览</w:t>
            </w:r>
            <w:r>
              <w:rPr>
                <w:rFonts w:hint="eastAsia" w:ascii="Times New Roman" w:hAnsi="Times New Roman" w:eastAsia="宋体" w:cs="Times New Roman"/>
                <w:b/>
                <w:bCs/>
                <w:i w:val="0"/>
                <w:iCs w:val="0"/>
                <w:caps w:val="0"/>
                <w:color w:val="000000"/>
                <w:spacing w:val="0"/>
                <w:sz w:val="21"/>
                <w:szCs w:val="21"/>
                <w:lang w:val="en-US" w:eastAsia="zh-CN"/>
              </w:rPr>
              <w:t>表</w:t>
            </w:r>
          </w:p>
          <w:tbl>
            <w:tblPr>
              <w:tblStyle w:val="24"/>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604"/>
              <w:gridCol w:w="4719"/>
            </w:tblGrid>
            <w:tr w14:paraId="440B5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7" w:type="pct"/>
                  <w:tcBorders>
                    <w:tl2br w:val="nil"/>
                    <w:tr2bl w:val="nil"/>
                  </w:tcBorders>
                  <w:noWrap w:val="0"/>
                  <w:vAlign w:val="center"/>
                </w:tcPr>
                <w:p w14:paraId="664F277B">
                  <w:pPr>
                    <w:pStyle w:val="6"/>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bCs/>
                      <w:color w:val="auto"/>
                      <w:sz w:val="21"/>
                      <w:szCs w:val="21"/>
                      <w:u w:val="none"/>
                    </w:rPr>
                    <w:t>序号</w:t>
                  </w:r>
                </w:p>
              </w:tc>
              <w:tc>
                <w:tcPr>
                  <w:tcW w:w="1665" w:type="pct"/>
                  <w:tcBorders>
                    <w:tl2br w:val="nil"/>
                    <w:tr2bl w:val="nil"/>
                  </w:tcBorders>
                  <w:noWrap w:val="0"/>
                  <w:vAlign w:val="center"/>
                </w:tcPr>
                <w:p w14:paraId="1337C352">
                  <w:pPr>
                    <w:pStyle w:val="6"/>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存在的环境问题</w:t>
                  </w:r>
                </w:p>
              </w:tc>
              <w:tc>
                <w:tcPr>
                  <w:tcW w:w="3017" w:type="pct"/>
                  <w:tcBorders>
                    <w:tl2br w:val="nil"/>
                    <w:tr2bl w:val="nil"/>
                  </w:tcBorders>
                  <w:noWrap w:val="0"/>
                  <w:vAlign w:val="center"/>
                </w:tcPr>
                <w:p w14:paraId="4A43C0C4">
                  <w:pPr>
                    <w:pStyle w:val="6"/>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color w:val="auto"/>
                      <w:sz w:val="21"/>
                      <w:szCs w:val="21"/>
                      <w:u w:val="none"/>
                      <w:lang w:val="en-US" w:eastAsia="zh-CN"/>
                    </w:rPr>
                    <w:t>整改措施</w:t>
                  </w:r>
                </w:p>
              </w:tc>
            </w:tr>
            <w:tr w14:paraId="1D303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7" w:type="pct"/>
                  <w:tcBorders>
                    <w:tl2br w:val="nil"/>
                    <w:tr2bl w:val="nil"/>
                  </w:tcBorders>
                  <w:noWrap w:val="0"/>
                  <w:vAlign w:val="center"/>
                </w:tcPr>
                <w:p w14:paraId="354B3E05">
                  <w:pPr>
                    <w:pStyle w:val="6"/>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1</w:t>
                  </w:r>
                </w:p>
              </w:tc>
              <w:tc>
                <w:tcPr>
                  <w:tcW w:w="1665" w:type="pct"/>
                  <w:tcBorders>
                    <w:tl2br w:val="nil"/>
                    <w:tr2bl w:val="nil"/>
                  </w:tcBorders>
                  <w:noWrap w:val="0"/>
                  <w:vAlign w:val="center"/>
                </w:tcPr>
                <w:p w14:paraId="0234D72C">
                  <w:pPr>
                    <w:pStyle w:val="66"/>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厂区设备未完全入棚</w:t>
                  </w:r>
                </w:p>
              </w:tc>
              <w:tc>
                <w:tcPr>
                  <w:tcW w:w="3017" w:type="pct"/>
                  <w:tcBorders>
                    <w:tl2br w:val="nil"/>
                    <w:tr2bl w:val="nil"/>
                  </w:tcBorders>
                  <w:noWrap w:val="0"/>
                  <w:vAlign w:val="center"/>
                </w:tcPr>
                <w:p w14:paraId="3F329853">
                  <w:pPr>
                    <w:pStyle w:val="66"/>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厂房改为钢架结构，厂区设备需入棚进行半封闭。</w:t>
                  </w:r>
                </w:p>
              </w:tc>
            </w:tr>
            <w:tr w14:paraId="40514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7" w:type="pct"/>
                  <w:tcBorders>
                    <w:tl2br w:val="nil"/>
                    <w:tr2bl w:val="nil"/>
                  </w:tcBorders>
                  <w:noWrap w:val="0"/>
                  <w:vAlign w:val="center"/>
                </w:tcPr>
                <w:p w14:paraId="51FDEB3D">
                  <w:pPr>
                    <w:pStyle w:val="6"/>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2</w:t>
                  </w:r>
                </w:p>
              </w:tc>
              <w:tc>
                <w:tcPr>
                  <w:tcW w:w="1665" w:type="pct"/>
                  <w:tcBorders>
                    <w:tl2br w:val="nil"/>
                    <w:tr2bl w:val="nil"/>
                  </w:tcBorders>
                  <w:noWrap w:val="0"/>
                  <w:vAlign w:val="center"/>
                </w:tcPr>
                <w:p w14:paraId="2A70625C">
                  <w:pPr>
                    <w:pStyle w:val="66"/>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循环</w:t>
                  </w:r>
                  <w:r>
                    <w:rPr>
                      <w:rFonts w:hint="eastAsia" w:ascii="Times New Roman" w:hAnsi="Times New Roman" w:cs="Times New Roman"/>
                      <w:color w:val="auto"/>
                      <w:sz w:val="21"/>
                      <w:szCs w:val="21"/>
                      <w:u w:val="none"/>
                      <w:lang w:val="en-US" w:eastAsia="zh-CN"/>
                    </w:rPr>
                    <w:t>水池未进行硬化</w:t>
                  </w:r>
                </w:p>
              </w:tc>
              <w:tc>
                <w:tcPr>
                  <w:tcW w:w="3017" w:type="pct"/>
                  <w:tcBorders>
                    <w:tl2br w:val="nil"/>
                    <w:tr2bl w:val="nil"/>
                  </w:tcBorders>
                  <w:noWrap w:val="0"/>
                  <w:vAlign w:val="center"/>
                </w:tcPr>
                <w:p w14:paraId="308FFDC8">
                  <w:pPr>
                    <w:pStyle w:val="66"/>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沉淀水池进行硬化，搭建防雨棚</w:t>
                  </w:r>
                </w:p>
              </w:tc>
            </w:tr>
          </w:tbl>
          <w:p w14:paraId="1AF97CBF">
            <w:pPr>
              <w:keepNext w:val="0"/>
              <w:keepLines w:val="0"/>
              <w:pageBreakBefore w:val="0"/>
              <w:widowControl w:val="0"/>
              <w:numPr>
                <w:ilvl w:val="0"/>
                <w:numId w:val="6"/>
              </w:numPr>
              <w:kinsoku/>
              <w:overflowPunct/>
              <w:autoSpaceDE/>
              <w:autoSpaceDN/>
              <w:bidi w:val="0"/>
              <w:adjustRightInd/>
              <w:snapToGrid/>
              <w:spacing w:line="353" w:lineRule="auto"/>
              <w:ind w:left="0" w:leftChars="0" w:right="0" w:firstLine="480" w:firstLineChars="0"/>
              <w:jc w:val="both"/>
              <w:textAlignment w:val="auto"/>
              <w:rPr>
                <w:rFonts w:hint="eastAsia"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整改期限</w:t>
            </w:r>
          </w:p>
          <w:p w14:paraId="2AFB5DB6">
            <w:pPr>
              <w:keepNext w:val="0"/>
              <w:keepLines w:val="0"/>
              <w:pageBreakBefore w:val="0"/>
              <w:widowControl w:val="0"/>
              <w:numPr>
                <w:ilvl w:val="0"/>
                <w:numId w:val="0"/>
              </w:numPr>
              <w:kinsoku/>
              <w:overflowPunct/>
              <w:autoSpaceDE/>
              <w:autoSpaceDN/>
              <w:bidi w:val="0"/>
              <w:adjustRightInd/>
              <w:snapToGrid/>
              <w:spacing w:line="353" w:lineRule="auto"/>
              <w:ind w:left="480" w:leftChars="0" w:right="0" w:rightChars="0"/>
              <w:jc w:val="both"/>
              <w:textAlignment w:val="auto"/>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建议整个期限时间为一个月。</w:t>
            </w:r>
          </w:p>
        </w:tc>
      </w:tr>
    </w:tbl>
    <w:p w14:paraId="6C92A3FD">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793878">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19" w:name="_Toc4769"/>
      <w:r>
        <w:rPr>
          <w:rFonts w:hint="default" w:ascii="Times New Roman" w:hAnsi="Times New Roman" w:cs="Times New Roman"/>
          <w:b/>
          <w:bCs/>
          <w:color w:val="auto"/>
          <w:highlight w:val="none"/>
          <w:u w:val="none" w:color="auto"/>
        </w:rPr>
        <w:t>三、区域环境质量现状、环境保护目标及评价标准</w:t>
      </w:r>
      <w:bookmarkEnd w:id="19"/>
    </w:p>
    <w:tbl>
      <w:tblPr>
        <w:tblStyle w:val="2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8109"/>
      </w:tblGrid>
      <w:tr w14:paraId="1F163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4" w:type="pct"/>
            <w:noWrap w:val="0"/>
            <w:vAlign w:val="center"/>
          </w:tcPr>
          <w:p w14:paraId="2D5D3441">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区域</w:t>
            </w:r>
          </w:p>
          <w:p w14:paraId="2085661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594A967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质量</w:t>
            </w:r>
          </w:p>
          <w:p w14:paraId="4D3FFF06">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现状</w:t>
            </w:r>
          </w:p>
        </w:tc>
        <w:tc>
          <w:tcPr>
            <w:tcW w:w="4765" w:type="pct"/>
            <w:noWrap w:val="0"/>
            <w:vAlign w:val="center"/>
          </w:tcPr>
          <w:p w14:paraId="6C33FDC7">
            <w:pPr>
              <w:pStyle w:val="2"/>
              <w:bidi w:val="0"/>
              <w:rPr>
                <w:rFonts w:hint="default" w:ascii="Times New Roman" w:hAnsi="Times New Roman" w:eastAsia="宋体" w:cs="Times New Roman"/>
                <w:color w:val="auto"/>
                <w:highlight w:val="none"/>
                <w:u w:val="none" w:color="auto"/>
                <w:lang w:val="en-US" w:eastAsia="zh-CN"/>
              </w:rPr>
            </w:pPr>
            <w:bookmarkStart w:id="20" w:name="_Toc20223"/>
            <w:bookmarkStart w:id="21" w:name="_Toc8168"/>
            <w:bookmarkStart w:id="22" w:name="_Toc6662"/>
            <w:bookmarkStart w:id="23" w:name="_Toc14884"/>
            <w:bookmarkStart w:id="24" w:name="_Toc203"/>
            <w:bookmarkStart w:id="25" w:name="_Toc6840"/>
            <w:bookmarkStart w:id="26" w:name="_Toc24220"/>
            <w:bookmarkStart w:id="27" w:name="_Toc204"/>
            <w:r>
              <w:rPr>
                <w:rFonts w:hint="default" w:ascii="Times New Roman" w:hAnsi="Times New Roman" w:eastAsia="宋体" w:cs="Times New Roman"/>
                <w:color w:val="auto"/>
                <w:highlight w:val="none"/>
                <w:u w:val="none" w:color="auto"/>
                <w:lang w:val="en-US" w:eastAsia="zh-CN"/>
              </w:rPr>
              <w:t>一、大气环境</w:t>
            </w:r>
            <w:bookmarkEnd w:id="20"/>
            <w:bookmarkEnd w:id="21"/>
            <w:bookmarkEnd w:id="22"/>
            <w:bookmarkEnd w:id="23"/>
            <w:bookmarkEnd w:id="24"/>
            <w:bookmarkEnd w:id="25"/>
            <w:bookmarkEnd w:id="26"/>
            <w:bookmarkEnd w:id="27"/>
          </w:p>
          <w:p w14:paraId="56949DE9">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（1）基本污染物</w:t>
            </w:r>
          </w:p>
          <w:p w14:paraId="52FB0035">
            <w:pPr>
              <w:spacing w:line="360" w:lineRule="auto"/>
              <w:ind w:firstLine="480" w:firstLineChars="200"/>
              <w:contextualSpacing/>
              <w:rPr>
                <w:color w:val="auto"/>
                <w:sz w:val="24"/>
                <w:szCs w:val="20"/>
                <w:highlight w:val="none"/>
                <w:u w:val="none" w:color="auto"/>
              </w:rPr>
            </w:pPr>
            <w:r>
              <w:rPr>
                <w:rFonts w:hint="eastAsia"/>
                <w:color w:val="auto"/>
                <w:sz w:val="24"/>
                <w:szCs w:val="20"/>
                <w:highlight w:val="none"/>
                <w:u w:val="none" w:color="auto"/>
              </w:rPr>
              <w:t>本项目所在区域环境空气功能区划为二类区，项目所在区域执行《环境空气质量标准》（</w:t>
            </w:r>
            <w:r>
              <w:rPr>
                <w:color w:val="auto"/>
                <w:sz w:val="24"/>
                <w:szCs w:val="20"/>
                <w:highlight w:val="none"/>
                <w:u w:val="none" w:color="auto"/>
              </w:rPr>
              <w:t>GB3095-2012</w:t>
            </w:r>
            <w:r>
              <w:rPr>
                <w:rFonts w:hint="eastAsia"/>
                <w:color w:val="auto"/>
                <w:sz w:val="24"/>
                <w:szCs w:val="20"/>
                <w:highlight w:val="none"/>
                <w:u w:val="none" w:color="auto"/>
              </w:rPr>
              <w:t>）中二级标准。根据《环境影响评价技术导则</w:t>
            </w:r>
            <w:r>
              <w:rPr>
                <w:color w:val="auto"/>
                <w:sz w:val="24"/>
                <w:szCs w:val="20"/>
                <w:highlight w:val="none"/>
                <w:u w:val="none" w:color="auto"/>
              </w:rPr>
              <w:t>-</w:t>
            </w:r>
            <w:r>
              <w:rPr>
                <w:rFonts w:hint="eastAsia"/>
                <w:color w:val="auto"/>
                <w:sz w:val="24"/>
                <w:szCs w:val="20"/>
                <w:highlight w:val="none"/>
                <w:u w:val="none" w:color="auto"/>
              </w:rPr>
              <w:t>大气环境》（</w:t>
            </w:r>
            <w:r>
              <w:rPr>
                <w:color w:val="auto"/>
                <w:sz w:val="24"/>
                <w:szCs w:val="20"/>
                <w:highlight w:val="none"/>
                <w:u w:val="none" w:color="auto"/>
              </w:rPr>
              <w:t>HJ2.2-2018</w:t>
            </w:r>
            <w:r>
              <w:rPr>
                <w:rFonts w:hint="eastAsia"/>
                <w:color w:val="auto"/>
                <w:sz w:val="24"/>
                <w:szCs w:val="20"/>
                <w:highlight w:val="none"/>
                <w:u w:val="none" w:color="auto"/>
              </w:rPr>
              <w:t>）中</w:t>
            </w:r>
            <w:r>
              <w:rPr>
                <w:color w:val="auto"/>
                <w:sz w:val="24"/>
                <w:szCs w:val="20"/>
                <w:highlight w:val="none"/>
                <w:u w:val="none" w:color="auto"/>
              </w:rPr>
              <w:t>“5.5</w:t>
            </w:r>
            <w:r>
              <w:rPr>
                <w:rFonts w:hint="eastAsia"/>
                <w:color w:val="auto"/>
                <w:sz w:val="24"/>
                <w:szCs w:val="20"/>
                <w:highlight w:val="none"/>
                <w:u w:val="none" w:color="auto"/>
              </w:rPr>
              <w:t>评价基准年筛选依据评价所需环境空气质量现状、气象资料等数据的可获得性、数据质量、代表性等因素，选择近</w:t>
            </w:r>
            <w:r>
              <w:rPr>
                <w:color w:val="auto"/>
                <w:sz w:val="24"/>
                <w:szCs w:val="20"/>
                <w:highlight w:val="none"/>
                <w:u w:val="none" w:color="auto"/>
              </w:rPr>
              <w:t>3</w:t>
            </w:r>
            <w:r>
              <w:rPr>
                <w:rFonts w:hint="eastAsia"/>
                <w:color w:val="auto"/>
                <w:sz w:val="24"/>
                <w:szCs w:val="20"/>
                <w:highlight w:val="none"/>
                <w:u w:val="none" w:color="auto"/>
              </w:rPr>
              <w:t>年中数据相对完整的</w:t>
            </w:r>
            <w:r>
              <w:rPr>
                <w:color w:val="auto"/>
                <w:sz w:val="24"/>
                <w:szCs w:val="20"/>
                <w:highlight w:val="none"/>
                <w:u w:val="none" w:color="auto"/>
              </w:rPr>
              <w:t>1</w:t>
            </w:r>
            <w:r>
              <w:rPr>
                <w:rFonts w:hint="eastAsia"/>
                <w:color w:val="auto"/>
                <w:sz w:val="24"/>
                <w:szCs w:val="20"/>
                <w:highlight w:val="none"/>
                <w:u w:val="none" w:color="auto"/>
              </w:rPr>
              <w:t>个日历年作为评价基准年</w:t>
            </w:r>
            <w:r>
              <w:rPr>
                <w:color w:val="auto"/>
                <w:sz w:val="24"/>
                <w:szCs w:val="20"/>
                <w:highlight w:val="none"/>
                <w:u w:val="none" w:color="auto"/>
              </w:rPr>
              <w:t>”</w:t>
            </w:r>
            <w:r>
              <w:rPr>
                <w:rFonts w:hint="eastAsia"/>
                <w:color w:val="auto"/>
                <w:sz w:val="24"/>
                <w:szCs w:val="20"/>
                <w:highlight w:val="none"/>
                <w:u w:val="none" w:color="auto"/>
              </w:rPr>
              <w:t>、</w:t>
            </w:r>
            <w:r>
              <w:rPr>
                <w:color w:val="auto"/>
                <w:sz w:val="24"/>
                <w:szCs w:val="20"/>
                <w:highlight w:val="none"/>
                <w:u w:val="none" w:color="auto"/>
              </w:rPr>
              <w:t>“6.2.1.1</w:t>
            </w:r>
            <w:r>
              <w:rPr>
                <w:rFonts w:hint="eastAsia"/>
                <w:color w:val="auto"/>
                <w:sz w:val="24"/>
                <w:szCs w:val="20"/>
                <w:highlight w:val="none"/>
                <w:u w:val="none" w:color="auto"/>
              </w:rPr>
              <w:t>项目所在区域达标判定，优先采用国家或生态环境主管部门发布的平均基准年环境质量公告或环境质量报告中的数据或结论</w:t>
            </w:r>
            <w:r>
              <w:rPr>
                <w:color w:val="auto"/>
                <w:sz w:val="24"/>
                <w:szCs w:val="20"/>
                <w:highlight w:val="none"/>
                <w:u w:val="none" w:color="auto"/>
              </w:rPr>
              <w:t>”</w:t>
            </w:r>
            <w:r>
              <w:rPr>
                <w:rFonts w:hint="eastAsia"/>
                <w:color w:val="auto"/>
                <w:sz w:val="24"/>
                <w:szCs w:val="20"/>
                <w:highlight w:val="none"/>
                <w:u w:val="none" w:color="auto"/>
              </w:rPr>
              <w:t>。</w:t>
            </w:r>
          </w:p>
          <w:p w14:paraId="1A9EC68F">
            <w:pPr>
              <w:spacing w:line="360" w:lineRule="auto"/>
              <w:ind w:firstLine="480" w:firstLineChars="200"/>
              <w:contextualSpacing/>
              <w:rPr>
                <w:color w:val="auto"/>
                <w:sz w:val="24"/>
                <w:highlight w:val="none"/>
                <w:u w:val="none" w:color="auto"/>
              </w:rPr>
            </w:pPr>
            <w:r>
              <w:rPr>
                <w:rFonts w:hint="eastAsia"/>
                <w:color w:val="auto"/>
                <w:sz w:val="24"/>
                <w:highlight w:val="none"/>
                <w:u w:val="none" w:color="auto"/>
              </w:rPr>
              <w:t>本项目位于岳阳县，项目所在区域达标区判定引用</w:t>
            </w:r>
            <w:r>
              <w:rPr>
                <w:rFonts w:hint="eastAsia"/>
                <w:color w:val="auto"/>
                <w:sz w:val="24"/>
                <w:highlight w:val="none"/>
                <w:u w:val="none" w:color="auto"/>
                <w:lang w:eastAsia="zh-CN"/>
              </w:rPr>
              <w:t>岳阳市生态环境局发布的《</w:t>
            </w:r>
            <w:r>
              <w:rPr>
                <w:rFonts w:hint="eastAsia"/>
                <w:color w:val="auto"/>
                <w:sz w:val="24"/>
                <w:highlight w:val="none"/>
                <w:u w:val="none" w:color="auto"/>
              </w:rPr>
              <w:t>岳阳市2023年度生态环境质量公报</w:t>
            </w:r>
            <w:r>
              <w:rPr>
                <w:rFonts w:hint="eastAsia"/>
                <w:color w:val="auto"/>
                <w:sz w:val="24"/>
                <w:highlight w:val="none"/>
                <w:u w:val="none" w:color="auto"/>
                <w:lang w:eastAsia="zh-CN"/>
              </w:rPr>
              <w:t>》中的岳阳县数据</w:t>
            </w:r>
            <w:r>
              <w:rPr>
                <w:rFonts w:hint="eastAsia"/>
                <w:color w:val="auto"/>
                <w:sz w:val="24"/>
                <w:highlight w:val="none"/>
                <w:u w:val="none" w:color="auto"/>
              </w:rPr>
              <w:t>进行评价</w:t>
            </w:r>
            <w:r>
              <w:rPr>
                <w:rFonts w:hint="eastAsia"/>
                <w:color w:val="auto"/>
                <w:sz w:val="24"/>
                <w:highlight w:val="none"/>
                <w:u w:val="none" w:color="auto"/>
                <w:lang w:eastAsia="zh-CN"/>
              </w:rPr>
              <w:t>，</w:t>
            </w:r>
            <w:r>
              <w:rPr>
                <w:color w:val="auto"/>
                <w:sz w:val="24"/>
                <w:highlight w:val="none"/>
                <w:u w:val="none" w:color="auto"/>
              </w:rPr>
              <w:t>202</w:t>
            </w:r>
            <w:r>
              <w:rPr>
                <w:rFonts w:hint="eastAsia"/>
                <w:color w:val="auto"/>
                <w:sz w:val="24"/>
                <w:highlight w:val="none"/>
                <w:u w:val="none" w:color="auto"/>
                <w:lang w:val="en-US" w:eastAsia="zh-CN"/>
              </w:rPr>
              <w:t>3</w:t>
            </w:r>
            <w:r>
              <w:rPr>
                <w:color w:val="auto"/>
                <w:sz w:val="24"/>
                <w:highlight w:val="none"/>
                <w:u w:val="none" w:color="auto"/>
              </w:rPr>
              <w:t>年岳阳县空气环境质量监测数据</w:t>
            </w:r>
            <w:r>
              <w:rPr>
                <w:rFonts w:hint="eastAsia"/>
                <w:color w:val="auto"/>
                <w:sz w:val="24"/>
                <w:highlight w:val="none"/>
                <w:u w:val="none" w:color="auto"/>
                <w:lang w:val="en-US" w:eastAsia="zh-CN"/>
              </w:rPr>
              <w:t>见</w:t>
            </w:r>
            <w:r>
              <w:rPr>
                <w:color w:val="auto"/>
                <w:sz w:val="24"/>
                <w:highlight w:val="none"/>
                <w:u w:val="none" w:color="auto"/>
              </w:rPr>
              <w:t>下表3-1。</w:t>
            </w:r>
          </w:p>
          <w:p w14:paraId="0CBD55DB">
            <w:pPr>
              <w:pStyle w:val="7"/>
              <w:jc w:val="center"/>
              <w:rPr>
                <w:b/>
                <w:bCs/>
                <w:color w:val="auto"/>
                <w:highlight w:val="none"/>
                <w:u w:val="none" w:color="auto"/>
              </w:rPr>
            </w:pPr>
            <w:r>
              <w:rPr>
                <w:rFonts w:ascii="Times New Roman" w:hAnsi="Times New Roman" w:eastAsia="宋体" w:cs="Times New Roman"/>
                <w:b/>
                <w:bCs/>
                <w:color w:val="auto"/>
                <w:kern w:val="0"/>
                <w:sz w:val="21"/>
                <w:szCs w:val="20"/>
                <w:highlight w:val="none"/>
                <w:u w:val="none" w:color="auto"/>
                <w:lang w:val="en-US" w:eastAsia="zh-CN" w:bidi="ar-SA"/>
              </w:rPr>
              <w:t xml:space="preserve">表3-1    </w:t>
            </w:r>
            <w:r>
              <w:rPr>
                <w:rFonts w:hint="eastAsia" w:ascii="Times New Roman" w:hAnsi="Times New Roman" w:eastAsia="宋体" w:cs="Times New Roman"/>
                <w:b/>
                <w:bCs/>
                <w:color w:val="auto"/>
                <w:kern w:val="0"/>
                <w:sz w:val="21"/>
                <w:szCs w:val="20"/>
                <w:highlight w:val="none"/>
                <w:u w:val="none" w:color="auto"/>
                <w:lang w:val="en-US" w:eastAsia="zh-CN" w:bidi="ar-SA"/>
              </w:rPr>
              <w:t>2023年岳阳县</w:t>
            </w:r>
            <w:r>
              <w:rPr>
                <w:b/>
                <w:bCs/>
                <w:color w:val="auto"/>
                <w:highlight w:val="none"/>
                <w:u w:val="none" w:color="auto"/>
              </w:rPr>
              <w:t>区域空气质量现状评价表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00"/>
              <w:gridCol w:w="2650"/>
              <w:gridCol w:w="1158"/>
              <w:gridCol w:w="1178"/>
              <w:gridCol w:w="895"/>
              <w:gridCol w:w="1079"/>
            </w:tblGrid>
            <w:tr w14:paraId="1A9550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52BA0FF5">
                  <w:pPr>
                    <w:pStyle w:val="42"/>
                    <w:bidi w:val="0"/>
                    <w:jc w:val="center"/>
                    <w:rPr>
                      <w:b/>
                      <w:bCs/>
                      <w:color w:val="auto"/>
                      <w:highlight w:val="none"/>
                      <w:u w:val="none" w:color="auto"/>
                    </w:rPr>
                  </w:pPr>
                  <w:r>
                    <w:rPr>
                      <w:b/>
                      <w:bCs/>
                      <w:color w:val="auto"/>
                      <w:highlight w:val="none"/>
                      <w:u w:val="none" w:color="auto"/>
                    </w:rPr>
                    <w:t>污染物</w:t>
                  </w:r>
                </w:p>
              </w:tc>
              <w:tc>
                <w:tcPr>
                  <w:tcW w:w="1685" w:type="pct"/>
                  <w:noWrap w:val="0"/>
                  <w:vAlign w:val="center"/>
                </w:tcPr>
                <w:p w14:paraId="25B084D0">
                  <w:pPr>
                    <w:pStyle w:val="42"/>
                    <w:bidi w:val="0"/>
                    <w:jc w:val="center"/>
                    <w:rPr>
                      <w:b/>
                      <w:bCs/>
                      <w:color w:val="auto"/>
                      <w:highlight w:val="none"/>
                      <w:u w:val="none" w:color="auto"/>
                    </w:rPr>
                  </w:pPr>
                  <w:r>
                    <w:rPr>
                      <w:b/>
                      <w:bCs/>
                      <w:color w:val="auto"/>
                      <w:highlight w:val="none"/>
                      <w:u w:val="none" w:color="auto"/>
                    </w:rPr>
                    <w:t>年评价指标</w:t>
                  </w:r>
                </w:p>
              </w:tc>
              <w:tc>
                <w:tcPr>
                  <w:tcW w:w="735" w:type="pct"/>
                  <w:noWrap w:val="0"/>
                  <w:vAlign w:val="center"/>
                </w:tcPr>
                <w:p w14:paraId="1CD163FA">
                  <w:pPr>
                    <w:pStyle w:val="42"/>
                    <w:bidi w:val="0"/>
                    <w:jc w:val="center"/>
                    <w:rPr>
                      <w:b/>
                      <w:bCs/>
                      <w:color w:val="auto"/>
                      <w:highlight w:val="none"/>
                      <w:u w:val="none" w:color="auto"/>
                    </w:rPr>
                  </w:pPr>
                  <w:r>
                    <w:rPr>
                      <w:b/>
                      <w:bCs/>
                      <w:color w:val="auto"/>
                      <w:highlight w:val="none"/>
                      <w:u w:val="none" w:color="auto"/>
                    </w:rPr>
                    <w:t>现状浓度（μg/m³）</w:t>
                  </w:r>
                </w:p>
              </w:tc>
              <w:tc>
                <w:tcPr>
                  <w:tcW w:w="749" w:type="pct"/>
                  <w:noWrap w:val="0"/>
                  <w:vAlign w:val="center"/>
                </w:tcPr>
                <w:p w14:paraId="2A225E66">
                  <w:pPr>
                    <w:pStyle w:val="42"/>
                    <w:bidi w:val="0"/>
                    <w:jc w:val="center"/>
                    <w:rPr>
                      <w:b/>
                      <w:bCs/>
                      <w:color w:val="auto"/>
                      <w:highlight w:val="none"/>
                      <w:u w:val="none" w:color="auto"/>
                    </w:rPr>
                  </w:pPr>
                  <w:r>
                    <w:rPr>
                      <w:b/>
                      <w:bCs/>
                      <w:color w:val="auto"/>
                      <w:highlight w:val="none"/>
                      <w:u w:val="none" w:color="auto"/>
                    </w:rPr>
                    <w:t>标准值（μg/m³）</w:t>
                  </w:r>
                </w:p>
              </w:tc>
              <w:tc>
                <w:tcPr>
                  <w:tcW w:w="569" w:type="pct"/>
                  <w:noWrap w:val="0"/>
                  <w:vAlign w:val="center"/>
                </w:tcPr>
                <w:p w14:paraId="393D822A">
                  <w:pPr>
                    <w:pStyle w:val="42"/>
                    <w:bidi w:val="0"/>
                    <w:jc w:val="center"/>
                    <w:rPr>
                      <w:b/>
                      <w:bCs/>
                      <w:color w:val="auto"/>
                      <w:highlight w:val="none"/>
                      <w:u w:val="none" w:color="auto"/>
                    </w:rPr>
                  </w:pPr>
                  <w:r>
                    <w:rPr>
                      <w:b/>
                      <w:bCs/>
                      <w:color w:val="auto"/>
                      <w:highlight w:val="none"/>
                      <w:u w:val="none" w:color="auto"/>
                    </w:rPr>
                    <w:t>占标率（%）</w:t>
                  </w:r>
                </w:p>
              </w:tc>
              <w:tc>
                <w:tcPr>
                  <w:tcW w:w="686" w:type="pct"/>
                  <w:noWrap w:val="0"/>
                  <w:vAlign w:val="center"/>
                </w:tcPr>
                <w:p w14:paraId="2EC45380">
                  <w:pPr>
                    <w:pStyle w:val="42"/>
                    <w:bidi w:val="0"/>
                    <w:jc w:val="center"/>
                    <w:rPr>
                      <w:b/>
                      <w:bCs/>
                      <w:color w:val="auto"/>
                      <w:highlight w:val="none"/>
                      <w:u w:val="none" w:color="auto"/>
                    </w:rPr>
                  </w:pPr>
                  <w:r>
                    <w:rPr>
                      <w:b/>
                      <w:bCs/>
                      <w:color w:val="auto"/>
                      <w:highlight w:val="none"/>
                      <w:u w:val="none" w:color="auto"/>
                    </w:rPr>
                    <w:t>达标情况</w:t>
                  </w:r>
                </w:p>
              </w:tc>
            </w:tr>
            <w:tr w14:paraId="0D3871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380904D8">
                  <w:pPr>
                    <w:pStyle w:val="42"/>
                    <w:bidi w:val="0"/>
                    <w:jc w:val="center"/>
                    <w:rPr>
                      <w:color w:val="auto"/>
                      <w:highlight w:val="none"/>
                      <w:u w:val="none" w:color="auto"/>
                    </w:rPr>
                  </w:pPr>
                  <w:r>
                    <w:rPr>
                      <w:color w:val="auto"/>
                      <w:highlight w:val="none"/>
                      <w:u w:val="none" w:color="auto"/>
                    </w:rPr>
                    <w:t>SO</w:t>
                  </w:r>
                  <w:r>
                    <w:rPr>
                      <w:color w:val="auto"/>
                      <w:highlight w:val="none"/>
                      <w:u w:val="none" w:color="auto"/>
                      <w:vertAlign w:val="subscript"/>
                    </w:rPr>
                    <w:t>2</w:t>
                  </w:r>
                </w:p>
              </w:tc>
              <w:tc>
                <w:tcPr>
                  <w:tcW w:w="1685" w:type="pct"/>
                  <w:noWrap w:val="0"/>
                  <w:vAlign w:val="center"/>
                </w:tcPr>
                <w:p w14:paraId="1260AED7">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194555C5">
                  <w:pPr>
                    <w:pStyle w:val="42"/>
                    <w:bidi w:val="0"/>
                    <w:jc w:val="center"/>
                    <w:rPr>
                      <w:rFonts w:hint="eastAsia"/>
                      <w:color w:val="auto"/>
                      <w:highlight w:val="none"/>
                      <w:u w:val="none" w:color="auto"/>
                      <w:lang w:val="en-US" w:eastAsia="zh-CN"/>
                    </w:rPr>
                  </w:pPr>
                  <w:r>
                    <w:rPr>
                      <w:rFonts w:hint="eastAsia"/>
                      <w:color w:val="auto"/>
                      <w:highlight w:val="none"/>
                      <w:u w:val="none" w:color="auto"/>
                      <w:lang w:val="en-US" w:eastAsia="zh-CN"/>
                    </w:rPr>
                    <w:t>5</w:t>
                  </w:r>
                </w:p>
              </w:tc>
              <w:tc>
                <w:tcPr>
                  <w:tcW w:w="749" w:type="pct"/>
                  <w:noWrap w:val="0"/>
                  <w:vAlign w:val="center"/>
                </w:tcPr>
                <w:p w14:paraId="6780ED7E">
                  <w:pPr>
                    <w:pStyle w:val="42"/>
                    <w:bidi w:val="0"/>
                    <w:jc w:val="center"/>
                    <w:rPr>
                      <w:color w:val="auto"/>
                      <w:highlight w:val="none"/>
                      <w:u w:val="none" w:color="auto"/>
                    </w:rPr>
                  </w:pPr>
                  <w:r>
                    <w:rPr>
                      <w:color w:val="auto"/>
                      <w:highlight w:val="none"/>
                      <w:u w:val="none" w:color="auto"/>
                    </w:rPr>
                    <w:t>60</w:t>
                  </w:r>
                </w:p>
              </w:tc>
              <w:tc>
                <w:tcPr>
                  <w:tcW w:w="569" w:type="pct"/>
                  <w:noWrap w:val="0"/>
                  <w:vAlign w:val="center"/>
                </w:tcPr>
                <w:p w14:paraId="7685D73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8.33</w:t>
                  </w:r>
                </w:p>
              </w:tc>
              <w:tc>
                <w:tcPr>
                  <w:tcW w:w="686" w:type="pct"/>
                  <w:noWrap w:val="0"/>
                  <w:vAlign w:val="center"/>
                </w:tcPr>
                <w:p w14:paraId="6CD1AF26">
                  <w:pPr>
                    <w:pStyle w:val="42"/>
                    <w:bidi w:val="0"/>
                    <w:jc w:val="center"/>
                    <w:rPr>
                      <w:color w:val="auto"/>
                      <w:highlight w:val="none"/>
                      <w:u w:val="none" w:color="auto"/>
                    </w:rPr>
                  </w:pPr>
                  <w:r>
                    <w:rPr>
                      <w:color w:val="auto"/>
                      <w:highlight w:val="none"/>
                      <w:u w:val="none" w:color="auto"/>
                    </w:rPr>
                    <w:t>达标</w:t>
                  </w:r>
                </w:p>
              </w:tc>
            </w:tr>
            <w:tr w14:paraId="2C76F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0E32CDA1">
                  <w:pPr>
                    <w:pStyle w:val="42"/>
                    <w:bidi w:val="0"/>
                    <w:jc w:val="center"/>
                    <w:rPr>
                      <w:color w:val="auto"/>
                      <w:highlight w:val="none"/>
                      <w:u w:val="none" w:color="auto"/>
                    </w:rPr>
                  </w:pPr>
                  <w:r>
                    <w:rPr>
                      <w:color w:val="auto"/>
                      <w:highlight w:val="none"/>
                      <w:u w:val="none" w:color="auto"/>
                    </w:rPr>
                    <w:t>NO</w:t>
                  </w:r>
                  <w:r>
                    <w:rPr>
                      <w:color w:val="auto"/>
                      <w:highlight w:val="none"/>
                      <w:u w:val="none" w:color="auto"/>
                      <w:vertAlign w:val="subscript"/>
                    </w:rPr>
                    <w:t>2</w:t>
                  </w:r>
                </w:p>
              </w:tc>
              <w:tc>
                <w:tcPr>
                  <w:tcW w:w="1685" w:type="pct"/>
                  <w:noWrap w:val="0"/>
                  <w:vAlign w:val="center"/>
                </w:tcPr>
                <w:p w14:paraId="73DECC09">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77C31D13">
                  <w:pPr>
                    <w:pStyle w:val="42"/>
                    <w:bidi w:val="0"/>
                    <w:jc w:val="center"/>
                    <w:rPr>
                      <w:color w:val="auto"/>
                      <w:highlight w:val="none"/>
                      <w:u w:val="none" w:color="auto"/>
                    </w:rPr>
                  </w:pPr>
                  <w:r>
                    <w:rPr>
                      <w:color w:val="auto"/>
                      <w:highlight w:val="none"/>
                      <w:u w:val="none" w:color="auto"/>
                    </w:rPr>
                    <w:t>18</w:t>
                  </w:r>
                </w:p>
              </w:tc>
              <w:tc>
                <w:tcPr>
                  <w:tcW w:w="749" w:type="pct"/>
                  <w:noWrap w:val="0"/>
                  <w:vAlign w:val="center"/>
                </w:tcPr>
                <w:p w14:paraId="064C78A5">
                  <w:pPr>
                    <w:pStyle w:val="42"/>
                    <w:bidi w:val="0"/>
                    <w:jc w:val="center"/>
                    <w:rPr>
                      <w:color w:val="auto"/>
                      <w:highlight w:val="none"/>
                      <w:u w:val="none" w:color="auto"/>
                    </w:rPr>
                  </w:pPr>
                  <w:r>
                    <w:rPr>
                      <w:color w:val="auto"/>
                      <w:highlight w:val="none"/>
                      <w:u w:val="none" w:color="auto"/>
                    </w:rPr>
                    <w:t>40</w:t>
                  </w:r>
                </w:p>
              </w:tc>
              <w:tc>
                <w:tcPr>
                  <w:tcW w:w="569" w:type="pct"/>
                  <w:noWrap w:val="0"/>
                  <w:vAlign w:val="center"/>
                </w:tcPr>
                <w:p w14:paraId="3CEA7071">
                  <w:pPr>
                    <w:pStyle w:val="42"/>
                    <w:bidi w:val="0"/>
                    <w:jc w:val="center"/>
                    <w:rPr>
                      <w:color w:val="auto"/>
                      <w:highlight w:val="none"/>
                      <w:u w:val="none" w:color="auto"/>
                    </w:rPr>
                  </w:pPr>
                  <w:r>
                    <w:rPr>
                      <w:color w:val="auto"/>
                      <w:highlight w:val="none"/>
                      <w:u w:val="none" w:color="auto"/>
                    </w:rPr>
                    <w:t>45</w:t>
                  </w:r>
                </w:p>
              </w:tc>
              <w:tc>
                <w:tcPr>
                  <w:tcW w:w="686" w:type="pct"/>
                  <w:noWrap w:val="0"/>
                  <w:vAlign w:val="center"/>
                </w:tcPr>
                <w:p w14:paraId="54C71363">
                  <w:pPr>
                    <w:pStyle w:val="42"/>
                    <w:bidi w:val="0"/>
                    <w:jc w:val="center"/>
                    <w:rPr>
                      <w:color w:val="auto"/>
                      <w:highlight w:val="none"/>
                      <w:u w:val="none" w:color="auto"/>
                    </w:rPr>
                  </w:pPr>
                  <w:r>
                    <w:rPr>
                      <w:color w:val="auto"/>
                      <w:highlight w:val="none"/>
                      <w:u w:val="none" w:color="auto"/>
                    </w:rPr>
                    <w:t>达标</w:t>
                  </w:r>
                </w:p>
              </w:tc>
            </w:tr>
            <w:tr w14:paraId="24F199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4F9F2312">
                  <w:pPr>
                    <w:pStyle w:val="4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10</w:t>
                  </w:r>
                </w:p>
              </w:tc>
              <w:tc>
                <w:tcPr>
                  <w:tcW w:w="1685" w:type="pct"/>
                  <w:noWrap w:val="0"/>
                  <w:vAlign w:val="center"/>
                </w:tcPr>
                <w:p w14:paraId="231AD2DA">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1129445C">
                  <w:pPr>
                    <w:pStyle w:val="42"/>
                    <w:bidi w:val="0"/>
                    <w:jc w:val="center"/>
                    <w:rPr>
                      <w:rFonts w:hint="eastAsia"/>
                      <w:color w:val="auto"/>
                      <w:highlight w:val="none"/>
                      <w:u w:val="none" w:color="auto"/>
                      <w:lang w:val="en-US" w:eastAsia="zh-CN"/>
                    </w:rPr>
                  </w:pPr>
                  <w:r>
                    <w:rPr>
                      <w:color w:val="auto"/>
                      <w:highlight w:val="none"/>
                      <w:u w:val="none" w:color="auto"/>
                    </w:rPr>
                    <w:t>4</w:t>
                  </w:r>
                  <w:r>
                    <w:rPr>
                      <w:rFonts w:hint="eastAsia"/>
                      <w:color w:val="auto"/>
                      <w:highlight w:val="none"/>
                      <w:u w:val="none" w:color="auto"/>
                      <w:lang w:val="en-US" w:eastAsia="zh-CN"/>
                    </w:rPr>
                    <w:t>9</w:t>
                  </w:r>
                </w:p>
              </w:tc>
              <w:tc>
                <w:tcPr>
                  <w:tcW w:w="749" w:type="pct"/>
                  <w:noWrap w:val="0"/>
                  <w:vAlign w:val="center"/>
                </w:tcPr>
                <w:p w14:paraId="4CFAF782">
                  <w:pPr>
                    <w:pStyle w:val="42"/>
                    <w:bidi w:val="0"/>
                    <w:jc w:val="center"/>
                    <w:rPr>
                      <w:color w:val="auto"/>
                      <w:highlight w:val="none"/>
                      <w:u w:val="none" w:color="auto"/>
                    </w:rPr>
                  </w:pPr>
                  <w:r>
                    <w:rPr>
                      <w:color w:val="auto"/>
                      <w:highlight w:val="none"/>
                      <w:u w:val="none" w:color="auto"/>
                    </w:rPr>
                    <w:t>70</w:t>
                  </w:r>
                </w:p>
              </w:tc>
              <w:tc>
                <w:tcPr>
                  <w:tcW w:w="569" w:type="pct"/>
                  <w:noWrap w:val="0"/>
                  <w:vAlign w:val="center"/>
                </w:tcPr>
                <w:p w14:paraId="3A256CD6">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70</w:t>
                  </w:r>
                </w:p>
              </w:tc>
              <w:tc>
                <w:tcPr>
                  <w:tcW w:w="686" w:type="pct"/>
                  <w:noWrap w:val="0"/>
                  <w:vAlign w:val="center"/>
                </w:tcPr>
                <w:p w14:paraId="34CF19E5">
                  <w:pPr>
                    <w:pStyle w:val="42"/>
                    <w:bidi w:val="0"/>
                    <w:jc w:val="center"/>
                    <w:rPr>
                      <w:color w:val="auto"/>
                      <w:highlight w:val="none"/>
                      <w:u w:val="none" w:color="auto"/>
                    </w:rPr>
                  </w:pPr>
                  <w:r>
                    <w:rPr>
                      <w:color w:val="auto"/>
                      <w:highlight w:val="none"/>
                      <w:u w:val="none" w:color="auto"/>
                    </w:rPr>
                    <w:t>达标</w:t>
                  </w:r>
                </w:p>
              </w:tc>
            </w:tr>
            <w:tr w14:paraId="2FB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1F651535">
                  <w:pPr>
                    <w:pStyle w:val="4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2.5</w:t>
                  </w:r>
                </w:p>
              </w:tc>
              <w:tc>
                <w:tcPr>
                  <w:tcW w:w="1685" w:type="pct"/>
                  <w:noWrap w:val="0"/>
                  <w:vAlign w:val="center"/>
                </w:tcPr>
                <w:p w14:paraId="22D62F06">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0D0E66B8">
                  <w:pPr>
                    <w:pStyle w:val="42"/>
                    <w:bidi w:val="0"/>
                    <w:jc w:val="center"/>
                    <w:rPr>
                      <w:color w:val="auto"/>
                      <w:highlight w:val="none"/>
                      <w:u w:val="none" w:color="auto"/>
                    </w:rPr>
                  </w:pPr>
                  <w:r>
                    <w:rPr>
                      <w:color w:val="auto"/>
                      <w:highlight w:val="none"/>
                      <w:u w:val="none" w:color="auto"/>
                    </w:rPr>
                    <w:t>34</w:t>
                  </w:r>
                </w:p>
              </w:tc>
              <w:tc>
                <w:tcPr>
                  <w:tcW w:w="749" w:type="pct"/>
                  <w:noWrap w:val="0"/>
                  <w:vAlign w:val="center"/>
                </w:tcPr>
                <w:p w14:paraId="241ED8B9">
                  <w:pPr>
                    <w:pStyle w:val="42"/>
                    <w:bidi w:val="0"/>
                    <w:jc w:val="center"/>
                    <w:rPr>
                      <w:color w:val="auto"/>
                      <w:highlight w:val="none"/>
                      <w:u w:val="none" w:color="auto"/>
                    </w:rPr>
                  </w:pPr>
                  <w:r>
                    <w:rPr>
                      <w:color w:val="auto"/>
                      <w:highlight w:val="none"/>
                      <w:u w:val="none" w:color="auto"/>
                    </w:rPr>
                    <w:t>35</w:t>
                  </w:r>
                </w:p>
              </w:tc>
              <w:tc>
                <w:tcPr>
                  <w:tcW w:w="569" w:type="pct"/>
                  <w:noWrap w:val="0"/>
                  <w:vAlign w:val="center"/>
                </w:tcPr>
                <w:p w14:paraId="3A02293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97.14</w:t>
                  </w:r>
                </w:p>
              </w:tc>
              <w:tc>
                <w:tcPr>
                  <w:tcW w:w="686" w:type="pct"/>
                  <w:noWrap w:val="0"/>
                  <w:vAlign w:val="center"/>
                </w:tcPr>
                <w:p w14:paraId="04ED034F">
                  <w:pPr>
                    <w:pStyle w:val="42"/>
                    <w:bidi w:val="0"/>
                    <w:jc w:val="center"/>
                    <w:rPr>
                      <w:color w:val="auto"/>
                      <w:highlight w:val="none"/>
                      <w:u w:val="none" w:color="auto"/>
                    </w:rPr>
                  </w:pPr>
                  <w:r>
                    <w:rPr>
                      <w:color w:val="auto"/>
                      <w:highlight w:val="none"/>
                      <w:u w:val="none" w:color="auto"/>
                    </w:rPr>
                    <w:t>达标</w:t>
                  </w:r>
                </w:p>
              </w:tc>
            </w:tr>
            <w:tr w14:paraId="7AFC9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2320449F">
                  <w:pPr>
                    <w:pStyle w:val="42"/>
                    <w:bidi w:val="0"/>
                    <w:jc w:val="center"/>
                    <w:rPr>
                      <w:color w:val="auto"/>
                      <w:highlight w:val="none"/>
                      <w:u w:val="none" w:color="auto"/>
                    </w:rPr>
                  </w:pPr>
                  <w:r>
                    <w:rPr>
                      <w:color w:val="auto"/>
                      <w:highlight w:val="none"/>
                      <w:u w:val="none" w:color="auto"/>
                    </w:rPr>
                    <w:t>CO</w:t>
                  </w:r>
                </w:p>
              </w:tc>
              <w:tc>
                <w:tcPr>
                  <w:tcW w:w="1685" w:type="pct"/>
                  <w:noWrap w:val="0"/>
                  <w:vAlign w:val="center"/>
                </w:tcPr>
                <w:p w14:paraId="562C17AE">
                  <w:pPr>
                    <w:pStyle w:val="42"/>
                    <w:bidi w:val="0"/>
                    <w:jc w:val="center"/>
                    <w:rPr>
                      <w:color w:val="auto"/>
                      <w:highlight w:val="none"/>
                      <w:u w:val="none" w:color="auto"/>
                    </w:rPr>
                  </w:pPr>
                  <w:r>
                    <w:rPr>
                      <w:color w:val="auto"/>
                      <w:highlight w:val="none"/>
                      <w:u w:val="none" w:color="auto"/>
                    </w:rPr>
                    <w:t>第95百分位数日平均质量浓度</w:t>
                  </w:r>
                </w:p>
              </w:tc>
              <w:tc>
                <w:tcPr>
                  <w:tcW w:w="735" w:type="pct"/>
                  <w:noWrap w:val="0"/>
                  <w:vAlign w:val="center"/>
                </w:tcPr>
                <w:p w14:paraId="68368D0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900</w:t>
                  </w:r>
                </w:p>
              </w:tc>
              <w:tc>
                <w:tcPr>
                  <w:tcW w:w="749" w:type="pct"/>
                  <w:noWrap w:val="0"/>
                  <w:vAlign w:val="center"/>
                </w:tcPr>
                <w:p w14:paraId="6780105D">
                  <w:pPr>
                    <w:pStyle w:val="42"/>
                    <w:bidi w:val="0"/>
                    <w:jc w:val="center"/>
                    <w:rPr>
                      <w:color w:val="auto"/>
                      <w:highlight w:val="none"/>
                      <w:u w:val="none" w:color="auto"/>
                    </w:rPr>
                  </w:pPr>
                  <w:r>
                    <w:rPr>
                      <w:color w:val="auto"/>
                      <w:highlight w:val="none"/>
                      <w:u w:val="none" w:color="auto"/>
                    </w:rPr>
                    <w:t>4000</w:t>
                  </w:r>
                </w:p>
              </w:tc>
              <w:tc>
                <w:tcPr>
                  <w:tcW w:w="569" w:type="pct"/>
                  <w:noWrap w:val="0"/>
                  <w:vAlign w:val="center"/>
                </w:tcPr>
                <w:p w14:paraId="31C2375A">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22.5</w:t>
                  </w:r>
                </w:p>
              </w:tc>
              <w:tc>
                <w:tcPr>
                  <w:tcW w:w="686" w:type="pct"/>
                  <w:noWrap w:val="0"/>
                  <w:vAlign w:val="center"/>
                </w:tcPr>
                <w:p w14:paraId="7A1B80D1">
                  <w:pPr>
                    <w:pStyle w:val="42"/>
                    <w:bidi w:val="0"/>
                    <w:jc w:val="center"/>
                    <w:rPr>
                      <w:color w:val="auto"/>
                      <w:highlight w:val="none"/>
                      <w:u w:val="none" w:color="auto"/>
                    </w:rPr>
                  </w:pPr>
                  <w:r>
                    <w:rPr>
                      <w:color w:val="auto"/>
                      <w:highlight w:val="none"/>
                      <w:u w:val="none" w:color="auto"/>
                    </w:rPr>
                    <w:t>达标</w:t>
                  </w:r>
                </w:p>
              </w:tc>
            </w:tr>
            <w:tr w14:paraId="1FE494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4C953DE2">
                  <w:pPr>
                    <w:pStyle w:val="42"/>
                    <w:bidi w:val="0"/>
                    <w:jc w:val="center"/>
                    <w:rPr>
                      <w:color w:val="auto"/>
                      <w:highlight w:val="none"/>
                      <w:u w:val="none" w:color="auto"/>
                    </w:rPr>
                  </w:pPr>
                  <w:r>
                    <w:rPr>
                      <w:color w:val="auto"/>
                      <w:highlight w:val="none"/>
                      <w:u w:val="none" w:color="auto"/>
                    </w:rPr>
                    <w:t>O</w:t>
                  </w:r>
                  <w:r>
                    <w:rPr>
                      <w:color w:val="auto"/>
                      <w:highlight w:val="none"/>
                      <w:u w:val="none" w:color="auto"/>
                      <w:vertAlign w:val="subscript"/>
                    </w:rPr>
                    <w:t>3</w:t>
                  </w:r>
                </w:p>
              </w:tc>
              <w:tc>
                <w:tcPr>
                  <w:tcW w:w="1685" w:type="pct"/>
                  <w:noWrap w:val="0"/>
                  <w:vAlign w:val="center"/>
                </w:tcPr>
                <w:p w14:paraId="2152EAC3">
                  <w:pPr>
                    <w:pStyle w:val="42"/>
                    <w:bidi w:val="0"/>
                    <w:jc w:val="center"/>
                    <w:rPr>
                      <w:color w:val="auto"/>
                      <w:highlight w:val="none"/>
                      <w:u w:val="none" w:color="auto"/>
                    </w:rPr>
                  </w:pPr>
                  <w:r>
                    <w:rPr>
                      <w:color w:val="auto"/>
                      <w:highlight w:val="none"/>
                      <w:u w:val="none" w:color="auto"/>
                    </w:rPr>
                    <w:t>第90百分位数最大8h平均质量浓度</w:t>
                  </w:r>
                </w:p>
              </w:tc>
              <w:tc>
                <w:tcPr>
                  <w:tcW w:w="735" w:type="pct"/>
                  <w:noWrap w:val="0"/>
                  <w:vAlign w:val="center"/>
                </w:tcPr>
                <w:p w14:paraId="1B233F6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128</w:t>
                  </w:r>
                </w:p>
              </w:tc>
              <w:tc>
                <w:tcPr>
                  <w:tcW w:w="749" w:type="pct"/>
                  <w:noWrap w:val="0"/>
                  <w:vAlign w:val="center"/>
                </w:tcPr>
                <w:p w14:paraId="2A361FEC">
                  <w:pPr>
                    <w:pStyle w:val="42"/>
                    <w:bidi w:val="0"/>
                    <w:jc w:val="center"/>
                    <w:rPr>
                      <w:color w:val="auto"/>
                      <w:highlight w:val="none"/>
                      <w:u w:val="none" w:color="auto"/>
                    </w:rPr>
                  </w:pPr>
                  <w:r>
                    <w:rPr>
                      <w:color w:val="auto"/>
                      <w:highlight w:val="none"/>
                      <w:u w:val="none" w:color="auto"/>
                    </w:rPr>
                    <w:t>160</w:t>
                  </w:r>
                </w:p>
              </w:tc>
              <w:tc>
                <w:tcPr>
                  <w:tcW w:w="569" w:type="pct"/>
                  <w:noWrap w:val="0"/>
                  <w:vAlign w:val="center"/>
                </w:tcPr>
                <w:p w14:paraId="5BDBBBF5">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80</w:t>
                  </w:r>
                </w:p>
              </w:tc>
              <w:tc>
                <w:tcPr>
                  <w:tcW w:w="686" w:type="pct"/>
                  <w:noWrap w:val="0"/>
                  <w:vAlign w:val="center"/>
                </w:tcPr>
                <w:p w14:paraId="364044F1">
                  <w:pPr>
                    <w:pStyle w:val="42"/>
                    <w:bidi w:val="0"/>
                    <w:jc w:val="center"/>
                    <w:rPr>
                      <w:color w:val="auto"/>
                      <w:highlight w:val="none"/>
                      <w:u w:val="none" w:color="auto"/>
                    </w:rPr>
                  </w:pPr>
                  <w:r>
                    <w:rPr>
                      <w:color w:val="auto"/>
                      <w:highlight w:val="none"/>
                      <w:u w:val="none" w:color="auto"/>
                    </w:rPr>
                    <w:t>达标</w:t>
                  </w:r>
                </w:p>
              </w:tc>
            </w:tr>
          </w:tbl>
          <w:p w14:paraId="00EA6066">
            <w:pPr>
              <w:pStyle w:val="37"/>
              <w:bidi w:val="0"/>
              <w:rPr>
                <w:color w:val="auto"/>
                <w:highlight w:val="none"/>
                <w:u w:val="none" w:color="auto"/>
              </w:rPr>
            </w:pPr>
            <w:r>
              <w:rPr>
                <w:color w:val="auto"/>
                <w:highlight w:val="none"/>
                <w:u w:val="none" w:color="auto"/>
              </w:rPr>
              <w:t>由上表可知，项目所在区域的监测因子均达到《环境空气质量标准》（GB3095-2012）二级标准要求。</w:t>
            </w:r>
            <w:r>
              <w:rPr>
                <w:color w:val="auto"/>
                <w:sz w:val="24"/>
                <w:highlight w:val="none"/>
                <w:u w:val="none" w:color="auto"/>
              </w:rPr>
              <w:t>本项目所在行政区</w:t>
            </w:r>
            <w:r>
              <w:rPr>
                <w:rFonts w:hint="eastAsia"/>
                <w:color w:val="auto"/>
                <w:sz w:val="24"/>
                <w:highlight w:val="none"/>
                <w:u w:val="none" w:color="auto"/>
              </w:rPr>
              <w:t>岳阳县</w:t>
            </w:r>
            <w:r>
              <w:rPr>
                <w:color w:val="auto"/>
                <w:sz w:val="24"/>
                <w:highlight w:val="none"/>
                <w:u w:val="none" w:color="auto"/>
              </w:rPr>
              <w:t>判定为</w:t>
            </w:r>
            <w:r>
              <w:rPr>
                <w:rFonts w:hint="eastAsia"/>
                <w:color w:val="auto"/>
                <w:sz w:val="24"/>
                <w:highlight w:val="none"/>
                <w:u w:val="none" w:color="auto"/>
              </w:rPr>
              <w:t>空气质量</w:t>
            </w:r>
            <w:r>
              <w:rPr>
                <w:color w:val="auto"/>
                <w:sz w:val="24"/>
                <w:highlight w:val="none"/>
                <w:u w:val="none" w:color="auto"/>
              </w:rPr>
              <w:t>达标区域。</w:t>
            </w:r>
          </w:p>
          <w:p w14:paraId="148250D6">
            <w:pPr>
              <w:pStyle w:val="37"/>
              <w:bidi w:val="0"/>
              <w:rPr>
                <w:rFonts w:hint="default"/>
                <w:color w:val="auto"/>
                <w:highlight w:val="green"/>
                <w:u w:val="none" w:color="auto"/>
                <w:lang w:val="en-US" w:eastAsia="zh-CN"/>
              </w:rPr>
            </w:pPr>
            <w:r>
              <w:rPr>
                <w:rFonts w:hint="default"/>
                <w:color w:val="auto"/>
                <w:highlight w:val="none"/>
                <w:u w:val="none" w:color="auto"/>
                <w:lang w:val="en-US" w:eastAsia="zh-CN"/>
              </w:rPr>
              <w:t>（2）其他污染物监测数据</w:t>
            </w:r>
          </w:p>
          <w:p w14:paraId="383E6C20">
            <w:pPr>
              <w:pStyle w:val="37"/>
              <w:bidi w:val="0"/>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highlight w:val="none"/>
                <w:u w:val="none" w:color="auto"/>
              </w:rPr>
              <w:t>根据《建设项目环境影响报告表编制指南》</w:t>
            </w:r>
            <w:r>
              <w:rPr>
                <w:rFonts w:hint="eastAsia" w:cs="Times New Roman"/>
                <w:color w:val="auto"/>
                <w:highlight w:val="none"/>
                <w:u w:val="none" w:color="auto"/>
                <w:lang w:val="en-US" w:eastAsia="zh-CN"/>
              </w:rPr>
              <w:t>的相关规定</w:t>
            </w:r>
            <w:r>
              <w:rPr>
                <w:rFonts w:hint="default" w:ascii="Times New Roman" w:hAnsi="Times New Roman" w:cs="Times New Roman"/>
                <w:color w:val="auto"/>
                <w:highlight w:val="none"/>
                <w:u w:val="none" w:color="auto"/>
              </w:rPr>
              <w:t>，排放国家、地方环境空气质量标准中有标准限值要求的特征污染物时，引用建设项目周边5千米范围内近3年的现有监测数据</w:t>
            </w:r>
            <w:r>
              <w:rPr>
                <w:rFonts w:hint="eastAsia"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为了解项目特征污染物（TSP）的现状，本项目引用</w:t>
            </w:r>
            <w:r>
              <w:rPr>
                <w:rFonts w:hint="default" w:ascii="Times New Roman" w:hAnsi="Times New Roman" w:cs="Times New Roman"/>
                <w:color w:val="auto"/>
                <w:sz w:val="24"/>
                <w:highlight w:val="none"/>
                <w:lang w:val="en-US" w:eastAsia="zh-CN"/>
              </w:rPr>
              <w:t>岳阳市丰源机筛有限公司</w:t>
            </w:r>
            <w:r>
              <w:rPr>
                <w:rFonts w:hint="default" w:ascii="Times New Roman" w:hAnsi="Times New Roman" w:eastAsia="宋体" w:cs="Times New Roman"/>
                <w:color w:val="auto"/>
                <w:highlight w:val="none"/>
                <w:u w:val="none" w:color="auto"/>
              </w:rPr>
              <w:t>的《</w:t>
            </w:r>
            <w:r>
              <w:rPr>
                <w:rFonts w:hint="eastAsia" w:ascii="Times New Roman" w:hAnsi="Times New Roman" w:eastAsia="宋体" w:cs="Times New Roman"/>
                <w:color w:val="auto"/>
                <w:sz w:val="24"/>
                <w:szCs w:val="24"/>
                <w:highlight w:val="none"/>
                <w:lang w:val="en-US" w:eastAsia="zh-CN"/>
              </w:rPr>
              <w:t>年产机筛8万平方米扩建项目</w:t>
            </w:r>
            <w:r>
              <w:rPr>
                <w:rFonts w:hint="default" w:ascii="Times New Roman" w:hAnsi="Times New Roman" w:eastAsia="宋体" w:cs="Times New Roman"/>
                <w:color w:val="auto"/>
                <w:highlight w:val="none"/>
                <w:u w:val="none" w:color="auto"/>
              </w:rPr>
              <w:t>环境影响评价报告表》。监测</w:t>
            </w:r>
            <w:r>
              <w:rPr>
                <w:rFonts w:hint="eastAsia" w:eastAsia="宋体" w:cs="Times New Roman"/>
                <w:color w:val="auto"/>
                <w:highlight w:val="none"/>
                <w:u w:val="none" w:color="auto"/>
                <w:lang w:val="en-US" w:eastAsia="zh-CN"/>
              </w:rPr>
              <w:t>单位为</w:t>
            </w:r>
            <w:r>
              <w:rPr>
                <w:rFonts w:hint="eastAsia"/>
                <w:color w:val="auto"/>
                <w:kern w:val="2"/>
                <w:sz w:val="24"/>
                <w:szCs w:val="24"/>
                <w:highlight w:val="none"/>
                <w:lang w:val="en-US" w:eastAsia="zh-CN"/>
              </w:rPr>
              <w:t>湖南昌旭环保科技有限公司</w:t>
            </w:r>
            <w:r>
              <w:rPr>
                <w:rFonts w:hint="default" w:ascii="Times New Roman" w:hAnsi="Times New Roman" w:eastAsia="宋体" w:cs="Times New Roman"/>
                <w:color w:val="auto"/>
                <w:highlight w:val="none"/>
                <w:u w:val="none" w:color="auto"/>
              </w:rPr>
              <w:t>，监测时间为202</w:t>
            </w:r>
            <w:r>
              <w:rPr>
                <w:rFonts w:hint="eastAsia" w:cs="Times New Roman"/>
                <w:color w:val="auto"/>
                <w:highlight w:val="none"/>
                <w:u w:val="none" w:color="auto"/>
                <w:lang w:val="en-US" w:eastAsia="zh-CN"/>
              </w:rPr>
              <w:t>4</w:t>
            </w:r>
            <w:r>
              <w:rPr>
                <w:rFonts w:hint="default" w:ascii="Times New Roman" w:hAnsi="Times New Roman" w:eastAsia="宋体" w:cs="Times New Roman"/>
                <w:color w:val="auto"/>
                <w:highlight w:val="none"/>
                <w:u w:val="none" w:color="auto"/>
              </w:rPr>
              <w:t>年</w:t>
            </w:r>
            <w:r>
              <w:rPr>
                <w:rFonts w:hint="eastAsia" w:cs="Times New Roman"/>
                <w:color w:val="auto"/>
                <w:highlight w:val="none"/>
                <w:u w:val="none" w:color="auto"/>
                <w:lang w:val="en-US" w:eastAsia="zh-CN"/>
              </w:rPr>
              <w:t>9</w:t>
            </w:r>
            <w:r>
              <w:rPr>
                <w:rFonts w:hint="default" w:ascii="Times New Roman" w:hAnsi="Times New Roman" w:eastAsia="宋体" w:cs="Times New Roman"/>
                <w:color w:val="auto"/>
                <w:highlight w:val="none"/>
                <w:u w:val="none" w:color="auto"/>
              </w:rPr>
              <w:t>月21日至23日。</w:t>
            </w:r>
            <w:r>
              <w:rPr>
                <w:color w:val="auto"/>
                <w:kern w:val="2"/>
                <w:sz w:val="24"/>
                <w:szCs w:val="24"/>
                <w:highlight w:val="none"/>
                <w:u w:val="none" w:color="auto"/>
              </w:rPr>
              <w:t>该项目监测点位位于本项目</w:t>
            </w:r>
            <w:r>
              <w:rPr>
                <w:rFonts w:hint="eastAsia"/>
                <w:color w:val="auto"/>
                <w:kern w:val="2"/>
                <w:sz w:val="24"/>
                <w:szCs w:val="24"/>
                <w:highlight w:val="none"/>
                <w:u w:val="none" w:color="auto"/>
              </w:rPr>
              <w:t>西</w:t>
            </w:r>
            <w:r>
              <w:rPr>
                <w:rFonts w:hint="eastAsia"/>
                <w:color w:val="auto"/>
                <w:kern w:val="2"/>
                <w:sz w:val="24"/>
                <w:szCs w:val="24"/>
                <w:highlight w:val="none"/>
                <w:u w:val="none" w:color="auto"/>
                <w:lang w:val="en-US" w:eastAsia="zh-CN"/>
              </w:rPr>
              <w:t>北</w:t>
            </w:r>
            <w:r>
              <w:rPr>
                <w:color w:val="auto"/>
                <w:kern w:val="2"/>
                <w:sz w:val="24"/>
                <w:szCs w:val="24"/>
                <w:highlight w:val="none"/>
                <w:u w:val="none" w:color="auto"/>
              </w:rPr>
              <w:t>侧</w:t>
            </w:r>
            <w:r>
              <w:rPr>
                <w:rFonts w:hint="eastAsia"/>
                <w:color w:val="auto"/>
                <w:kern w:val="2"/>
                <w:sz w:val="24"/>
                <w:szCs w:val="24"/>
                <w:highlight w:val="none"/>
                <w:u w:val="none" w:color="auto"/>
                <w:lang w:val="en-US" w:eastAsia="zh-CN"/>
              </w:rPr>
              <w:t>3037</w:t>
            </w:r>
            <w:r>
              <w:rPr>
                <w:rFonts w:hint="eastAsia"/>
                <w:color w:val="auto"/>
                <w:kern w:val="2"/>
                <w:sz w:val="24"/>
                <w:szCs w:val="24"/>
                <w:highlight w:val="none"/>
                <w:u w:val="none" w:color="auto"/>
              </w:rPr>
              <w:t>m</w:t>
            </w:r>
            <w:r>
              <w:rPr>
                <w:color w:val="auto"/>
                <w:kern w:val="2"/>
                <w:sz w:val="24"/>
                <w:szCs w:val="24"/>
                <w:highlight w:val="none"/>
                <w:u w:val="none" w:color="auto"/>
              </w:rPr>
              <w:t>左右，符合“建设项目周边5千米范围内近3年的现有监测数据”的引用要求</w:t>
            </w:r>
            <w:r>
              <w:rPr>
                <w:rFonts w:hint="eastAsia"/>
                <w:color w:val="auto"/>
                <w:kern w:val="2"/>
                <w:sz w:val="24"/>
                <w:szCs w:val="24"/>
                <w:highlight w:val="none"/>
                <w:u w:val="none" w:color="auto"/>
                <w:lang w:eastAsia="zh-CN"/>
              </w:rPr>
              <w:t>，</w:t>
            </w:r>
            <w:r>
              <w:rPr>
                <w:color w:val="auto"/>
                <w:kern w:val="2"/>
                <w:sz w:val="24"/>
                <w:szCs w:val="24"/>
                <w:highlight w:val="none"/>
                <w:u w:val="none" w:color="auto"/>
              </w:rPr>
              <w:t>监测情况及结果如下所示</w:t>
            </w:r>
            <w:r>
              <w:rPr>
                <w:rFonts w:hint="default" w:ascii="Times New Roman" w:hAnsi="Times New Roman" w:cs="Times New Roman"/>
                <w:color w:val="auto"/>
                <w:sz w:val="24"/>
                <w:szCs w:val="24"/>
                <w:highlight w:val="none"/>
                <w:u w:val="none" w:color="auto"/>
              </w:rPr>
              <w:t>。</w:t>
            </w:r>
          </w:p>
          <w:p w14:paraId="2F506300">
            <w:pPr>
              <w:pStyle w:val="8"/>
              <w:snapToGrid/>
              <w:spacing w:before="0" w:after="0" w:line="240" w:lineRule="auto"/>
              <w:ind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color w:val="auto"/>
                <w:sz w:val="21"/>
                <w:szCs w:val="21"/>
                <w:highlight w:val="none"/>
                <w:u w:val="none" w:color="auto"/>
              </w:rPr>
              <w:t>表3</w:t>
            </w:r>
            <w:r>
              <w:rPr>
                <w:rFonts w:hint="default" w:ascii="Times New Roman" w:hAnsi="Times New Roman" w:cs="Times New Roman"/>
                <w:b/>
                <w:color w:val="auto"/>
                <w:sz w:val="21"/>
                <w:szCs w:val="21"/>
                <w:highlight w:val="none"/>
                <w:u w:val="none" w:color="auto"/>
                <w:lang w:val="en-US" w:eastAsia="zh-CN"/>
              </w:rPr>
              <w:t>-2</w:t>
            </w:r>
            <w:r>
              <w:rPr>
                <w:rFonts w:hint="default" w:ascii="Times New Roman" w:hAnsi="Times New Roman" w:cs="Times New Roman"/>
                <w:b/>
                <w:color w:val="auto"/>
                <w:sz w:val="21"/>
                <w:szCs w:val="21"/>
                <w:highlight w:val="none"/>
                <w:u w:val="none" w:color="auto"/>
              </w:rPr>
              <w:t xml:space="preserve"> </w:t>
            </w:r>
            <w:r>
              <w:rPr>
                <w:rFonts w:hint="eastAsia" w:cs="Times New Roman"/>
                <w:b/>
                <w:color w:val="auto"/>
                <w:sz w:val="21"/>
                <w:szCs w:val="21"/>
                <w:highlight w:val="none"/>
                <w:u w:val="none" w:color="auto"/>
                <w:lang w:val="en-US" w:eastAsia="zh-CN"/>
              </w:rPr>
              <w:t xml:space="preserve"> </w:t>
            </w:r>
            <w:r>
              <w:rPr>
                <w:rFonts w:hint="default" w:ascii="Times New Roman" w:hAnsi="Times New Roman" w:cs="Times New Roman"/>
                <w:b/>
                <w:color w:val="auto"/>
                <w:sz w:val="21"/>
                <w:szCs w:val="21"/>
                <w:highlight w:val="none"/>
                <w:u w:val="none" w:color="auto"/>
              </w:rPr>
              <w:t xml:space="preserve"> 其他污染物补充监测点位基本信息</w:t>
            </w:r>
            <w:r>
              <w:rPr>
                <w:rFonts w:hint="default" w:ascii="Times New Roman" w:hAnsi="Times New Roman" w:eastAsia="宋体" w:cs="Times New Roman"/>
                <w:b/>
                <w:bCs/>
                <w:color w:val="auto"/>
                <w:szCs w:val="21"/>
              </w:rPr>
              <w:t>（mg/m³）</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00"/>
              <w:gridCol w:w="1144"/>
              <w:gridCol w:w="1104"/>
              <w:gridCol w:w="1109"/>
              <w:gridCol w:w="1100"/>
              <w:gridCol w:w="1202"/>
              <w:gridCol w:w="1101"/>
            </w:tblGrid>
            <w:tr w14:paraId="25DCCF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tcBorders>
                    <w:tl2br w:val="nil"/>
                    <w:tr2bl w:val="nil"/>
                  </w:tcBorders>
                  <w:noWrap w:val="0"/>
                  <w:vAlign w:val="center"/>
                </w:tcPr>
                <w:p w14:paraId="16836E17">
                  <w:pPr>
                    <w:pStyle w:val="3"/>
                    <w:tabs>
                      <w:tab w:val="left" w:pos="630"/>
                      <w:tab w:val="clear" w:pos="1021"/>
                    </w:tabs>
                    <w:overflowPunct w:val="0"/>
                    <w:autoSpaceDE w:val="0"/>
                    <w:autoSpaceDN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727" w:type="pct"/>
                  <w:tcBorders>
                    <w:tl2br w:val="nil"/>
                    <w:tr2bl w:val="nil"/>
                  </w:tcBorders>
                  <w:noWrap w:val="0"/>
                  <w:vAlign w:val="center"/>
                </w:tcPr>
                <w:p w14:paraId="68F4C579">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监测时间</w:t>
                  </w:r>
                </w:p>
              </w:tc>
              <w:tc>
                <w:tcPr>
                  <w:tcW w:w="702" w:type="pct"/>
                  <w:tcBorders>
                    <w:tl2br w:val="nil"/>
                    <w:tr2bl w:val="nil"/>
                  </w:tcBorders>
                  <w:noWrap w:val="0"/>
                  <w:vAlign w:val="center"/>
                </w:tcPr>
                <w:p w14:paraId="21B6F14B">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监测因子</w:t>
                  </w:r>
                </w:p>
              </w:tc>
              <w:tc>
                <w:tcPr>
                  <w:tcW w:w="705" w:type="pct"/>
                  <w:tcBorders>
                    <w:tl2br w:val="nil"/>
                    <w:tr2bl w:val="nil"/>
                  </w:tcBorders>
                  <w:noWrap w:val="0"/>
                  <w:vAlign w:val="center"/>
                </w:tcPr>
                <w:p w14:paraId="01DDFC24">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监测值</w:t>
                  </w:r>
                </w:p>
              </w:tc>
              <w:tc>
                <w:tcPr>
                  <w:tcW w:w="699" w:type="pct"/>
                  <w:tcBorders>
                    <w:tl2br w:val="nil"/>
                    <w:tr2bl w:val="nil"/>
                  </w:tcBorders>
                  <w:noWrap w:val="0"/>
                  <w:vAlign w:val="center"/>
                </w:tcPr>
                <w:p w14:paraId="6C59F004">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最大超标倍数</w:t>
                  </w:r>
                </w:p>
              </w:tc>
              <w:tc>
                <w:tcPr>
                  <w:tcW w:w="764" w:type="pct"/>
                  <w:tcBorders>
                    <w:tl2br w:val="nil"/>
                    <w:tr2bl w:val="nil"/>
                  </w:tcBorders>
                  <w:noWrap w:val="0"/>
                  <w:vAlign w:val="center"/>
                </w:tcPr>
                <w:p w14:paraId="3F7CCD39">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标准值</w:t>
                  </w:r>
                </w:p>
              </w:tc>
              <w:tc>
                <w:tcPr>
                  <w:tcW w:w="700" w:type="pct"/>
                  <w:tcBorders>
                    <w:tl2br w:val="nil"/>
                    <w:tr2bl w:val="nil"/>
                  </w:tcBorders>
                  <w:noWrap w:val="0"/>
                  <w:vAlign w:val="center"/>
                </w:tcPr>
                <w:p w14:paraId="3D494D9B">
                  <w:pPr>
                    <w:overflowPunct w:val="0"/>
                    <w:autoSpaceDE w:val="0"/>
                    <w:autoSpaceDN w:val="0"/>
                    <w:adjustRightIn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kern w:val="0"/>
                      <w:szCs w:val="21"/>
                    </w:rPr>
                    <w:t>是否达标</w:t>
                  </w:r>
                </w:p>
              </w:tc>
            </w:tr>
            <w:tr w14:paraId="213927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restart"/>
                  <w:tcBorders>
                    <w:tl2br w:val="nil"/>
                    <w:tr2bl w:val="nil"/>
                  </w:tcBorders>
                  <w:noWrap w:val="0"/>
                  <w:vAlign w:val="center"/>
                </w:tcPr>
                <w:p w14:paraId="4EF7D1BD">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G1</w:t>
                  </w:r>
                  <w:r>
                    <w:rPr>
                      <w:rFonts w:hint="default" w:ascii="Times New Roman" w:hAnsi="Times New Roman" w:cs="Times New Roman"/>
                      <w:b w:val="0"/>
                      <w:bCs w:val="0"/>
                      <w:color w:val="auto"/>
                      <w:szCs w:val="21"/>
                      <w:lang w:val="en-US" w:eastAsia="zh-CN"/>
                    </w:rPr>
                    <w:t>厂址下风向40m处</w:t>
                  </w:r>
                </w:p>
              </w:tc>
              <w:tc>
                <w:tcPr>
                  <w:tcW w:w="727" w:type="pct"/>
                  <w:tcBorders>
                    <w:tl2br w:val="nil"/>
                    <w:tr2bl w:val="nil"/>
                  </w:tcBorders>
                  <w:noWrap w:val="0"/>
                  <w:vAlign w:val="center"/>
                </w:tcPr>
                <w:p w14:paraId="4643FA24">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szCs w:val="21"/>
                      <w:lang w:val="en-US" w:eastAsia="zh-CN"/>
                    </w:rPr>
                    <w:t>2024.9.21</w:t>
                  </w:r>
                </w:p>
              </w:tc>
              <w:tc>
                <w:tcPr>
                  <w:tcW w:w="702" w:type="pct"/>
                  <w:tcBorders>
                    <w:tl2br w:val="nil"/>
                    <w:tr2bl w:val="nil"/>
                  </w:tcBorders>
                  <w:noWrap w:val="0"/>
                  <w:vAlign w:val="center"/>
                </w:tcPr>
                <w:p w14:paraId="26AFA8DD">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TSP</w:t>
                  </w:r>
                </w:p>
              </w:tc>
              <w:tc>
                <w:tcPr>
                  <w:tcW w:w="705" w:type="pct"/>
                  <w:tcBorders>
                    <w:tl2br w:val="nil"/>
                    <w:tr2bl w:val="nil"/>
                  </w:tcBorders>
                  <w:noWrap w:val="0"/>
                  <w:vAlign w:val="center"/>
                </w:tcPr>
                <w:p w14:paraId="34AC918D">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szCs w:val="21"/>
                    </w:rPr>
                    <w:t>0.1</w:t>
                  </w:r>
                  <w:r>
                    <w:rPr>
                      <w:rFonts w:hint="default" w:ascii="Times New Roman" w:hAnsi="Times New Roman" w:cs="Times New Roman"/>
                      <w:b w:val="0"/>
                      <w:bCs w:val="0"/>
                      <w:color w:val="auto"/>
                      <w:szCs w:val="21"/>
                      <w:lang w:val="en-US" w:eastAsia="zh-CN"/>
                    </w:rPr>
                    <w:t>06</w:t>
                  </w:r>
                </w:p>
              </w:tc>
              <w:tc>
                <w:tcPr>
                  <w:tcW w:w="699" w:type="pct"/>
                  <w:tcBorders>
                    <w:tl2br w:val="nil"/>
                    <w:tr2bl w:val="nil"/>
                  </w:tcBorders>
                  <w:noWrap w:val="0"/>
                  <w:vAlign w:val="center"/>
                </w:tcPr>
                <w:p w14:paraId="0AC75BAA">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w:t>
                  </w:r>
                </w:p>
              </w:tc>
              <w:tc>
                <w:tcPr>
                  <w:tcW w:w="764" w:type="pct"/>
                  <w:tcBorders>
                    <w:tl2br w:val="nil"/>
                    <w:tr2bl w:val="nil"/>
                  </w:tcBorders>
                  <w:noWrap w:val="0"/>
                  <w:vAlign w:val="center"/>
                </w:tcPr>
                <w:p w14:paraId="7A9E857A">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0.3</w:t>
                  </w:r>
                </w:p>
              </w:tc>
              <w:tc>
                <w:tcPr>
                  <w:tcW w:w="700" w:type="pct"/>
                  <w:tcBorders>
                    <w:tl2br w:val="nil"/>
                    <w:tr2bl w:val="nil"/>
                  </w:tcBorders>
                  <w:noWrap w:val="0"/>
                  <w:vAlign w:val="center"/>
                </w:tcPr>
                <w:p w14:paraId="516D8017">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是</w:t>
                  </w:r>
                </w:p>
              </w:tc>
            </w:tr>
            <w:tr w14:paraId="6B336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continue"/>
                  <w:tcBorders>
                    <w:tl2br w:val="nil"/>
                    <w:tr2bl w:val="nil"/>
                  </w:tcBorders>
                  <w:noWrap w:val="0"/>
                  <w:vAlign w:val="center"/>
                </w:tcPr>
                <w:p w14:paraId="36886505">
                  <w:pPr>
                    <w:jc w:val="center"/>
                    <w:rPr>
                      <w:rFonts w:hint="default" w:ascii="Times New Roman" w:hAnsi="Times New Roman" w:cs="Times New Roman"/>
                      <w:b w:val="0"/>
                      <w:bCs w:val="0"/>
                      <w:color w:val="auto"/>
                      <w:szCs w:val="21"/>
                    </w:rPr>
                  </w:pPr>
                </w:p>
              </w:tc>
              <w:tc>
                <w:tcPr>
                  <w:tcW w:w="727" w:type="pct"/>
                  <w:tcBorders>
                    <w:tl2br w:val="nil"/>
                    <w:tr2bl w:val="nil"/>
                  </w:tcBorders>
                  <w:noWrap w:val="0"/>
                  <w:vAlign w:val="center"/>
                </w:tcPr>
                <w:p w14:paraId="63B57F27">
                  <w:pPr>
                    <w:overflowPunct w:val="0"/>
                    <w:autoSpaceDE w:val="0"/>
                    <w:autoSpaceDN w:val="0"/>
                    <w:adjustRightInd w:val="0"/>
                    <w:jc w:val="center"/>
                    <w:textAlignment w:val="baseline"/>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szCs w:val="21"/>
                      <w:lang w:val="en-US" w:eastAsia="zh-CN"/>
                    </w:rPr>
                    <w:t>2024.9.22</w:t>
                  </w:r>
                </w:p>
              </w:tc>
              <w:tc>
                <w:tcPr>
                  <w:tcW w:w="702" w:type="pct"/>
                  <w:tcBorders>
                    <w:tl2br w:val="nil"/>
                    <w:tr2bl w:val="nil"/>
                  </w:tcBorders>
                  <w:noWrap w:val="0"/>
                  <w:vAlign w:val="center"/>
                </w:tcPr>
                <w:p w14:paraId="1BEE7D5F">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TSP</w:t>
                  </w:r>
                </w:p>
              </w:tc>
              <w:tc>
                <w:tcPr>
                  <w:tcW w:w="705" w:type="pct"/>
                  <w:tcBorders>
                    <w:tl2br w:val="nil"/>
                    <w:tr2bl w:val="nil"/>
                  </w:tcBorders>
                  <w:noWrap w:val="0"/>
                  <w:vAlign w:val="center"/>
                </w:tcPr>
                <w:p w14:paraId="3F1670F5">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szCs w:val="21"/>
                    </w:rPr>
                    <w:t>0.</w:t>
                  </w:r>
                  <w:r>
                    <w:rPr>
                      <w:rFonts w:hint="default" w:ascii="Times New Roman" w:hAnsi="Times New Roman" w:cs="Times New Roman"/>
                      <w:b w:val="0"/>
                      <w:bCs w:val="0"/>
                      <w:color w:val="auto"/>
                      <w:szCs w:val="21"/>
                      <w:lang w:val="en-US" w:eastAsia="zh-CN"/>
                    </w:rPr>
                    <w:t>088</w:t>
                  </w:r>
                </w:p>
              </w:tc>
              <w:tc>
                <w:tcPr>
                  <w:tcW w:w="699" w:type="pct"/>
                  <w:tcBorders>
                    <w:tl2br w:val="nil"/>
                    <w:tr2bl w:val="nil"/>
                  </w:tcBorders>
                  <w:noWrap w:val="0"/>
                  <w:vAlign w:val="center"/>
                </w:tcPr>
                <w:p w14:paraId="20C79809">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w:t>
                  </w:r>
                </w:p>
              </w:tc>
              <w:tc>
                <w:tcPr>
                  <w:tcW w:w="764" w:type="pct"/>
                  <w:tcBorders>
                    <w:tl2br w:val="nil"/>
                    <w:tr2bl w:val="nil"/>
                  </w:tcBorders>
                  <w:noWrap w:val="0"/>
                  <w:vAlign w:val="center"/>
                </w:tcPr>
                <w:p w14:paraId="71DE704F">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0.3</w:t>
                  </w:r>
                </w:p>
              </w:tc>
              <w:tc>
                <w:tcPr>
                  <w:tcW w:w="700" w:type="pct"/>
                  <w:tcBorders>
                    <w:tl2br w:val="nil"/>
                    <w:tr2bl w:val="nil"/>
                  </w:tcBorders>
                  <w:noWrap w:val="0"/>
                  <w:vAlign w:val="center"/>
                </w:tcPr>
                <w:p w14:paraId="1B73937D">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是</w:t>
                  </w:r>
                </w:p>
              </w:tc>
            </w:tr>
            <w:tr w14:paraId="69CA2A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continue"/>
                  <w:tcBorders>
                    <w:tl2br w:val="nil"/>
                    <w:tr2bl w:val="nil"/>
                  </w:tcBorders>
                  <w:noWrap w:val="0"/>
                  <w:vAlign w:val="center"/>
                </w:tcPr>
                <w:p w14:paraId="697D1105">
                  <w:pPr>
                    <w:jc w:val="center"/>
                    <w:rPr>
                      <w:rFonts w:hint="default" w:ascii="Times New Roman" w:hAnsi="Times New Roman" w:cs="Times New Roman"/>
                      <w:b w:val="0"/>
                      <w:bCs w:val="0"/>
                      <w:color w:val="auto"/>
                      <w:szCs w:val="21"/>
                    </w:rPr>
                  </w:pPr>
                </w:p>
              </w:tc>
              <w:tc>
                <w:tcPr>
                  <w:tcW w:w="727" w:type="pct"/>
                  <w:tcBorders>
                    <w:tl2br w:val="nil"/>
                    <w:tr2bl w:val="nil"/>
                  </w:tcBorders>
                  <w:noWrap w:val="0"/>
                  <w:vAlign w:val="center"/>
                </w:tcPr>
                <w:p w14:paraId="65F4E1EF">
                  <w:pPr>
                    <w:overflowPunct w:val="0"/>
                    <w:autoSpaceDE w:val="0"/>
                    <w:autoSpaceDN w:val="0"/>
                    <w:adjustRightInd w:val="0"/>
                    <w:jc w:val="center"/>
                    <w:textAlignment w:val="baseline"/>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szCs w:val="21"/>
                      <w:lang w:val="en-US" w:eastAsia="zh-CN"/>
                    </w:rPr>
                    <w:t>2024.9.23</w:t>
                  </w:r>
                </w:p>
              </w:tc>
              <w:tc>
                <w:tcPr>
                  <w:tcW w:w="702" w:type="pct"/>
                  <w:tcBorders>
                    <w:tl2br w:val="nil"/>
                    <w:tr2bl w:val="nil"/>
                  </w:tcBorders>
                  <w:noWrap w:val="0"/>
                  <w:vAlign w:val="center"/>
                </w:tcPr>
                <w:p w14:paraId="35A51847">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TSP</w:t>
                  </w:r>
                </w:p>
              </w:tc>
              <w:tc>
                <w:tcPr>
                  <w:tcW w:w="705" w:type="pct"/>
                  <w:tcBorders>
                    <w:tl2br w:val="nil"/>
                    <w:tr2bl w:val="nil"/>
                  </w:tcBorders>
                  <w:noWrap w:val="0"/>
                  <w:vAlign w:val="center"/>
                </w:tcPr>
                <w:p w14:paraId="3B58E3BE">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szCs w:val="21"/>
                    </w:rPr>
                    <w:t>0.</w:t>
                  </w:r>
                  <w:r>
                    <w:rPr>
                      <w:rFonts w:hint="default" w:ascii="Times New Roman" w:hAnsi="Times New Roman" w:cs="Times New Roman"/>
                      <w:b w:val="0"/>
                      <w:bCs w:val="0"/>
                      <w:color w:val="auto"/>
                      <w:szCs w:val="21"/>
                      <w:lang w:val="en-US" w:eastAsia="zh-CN"/>
                    </w:rPr>
                    <w:t>089</w:t>
                  </w:r>
                </w:p>
              </w:tc>
              <w:tc>
                <w:tcPr>
                  <w:tcW w:w="699" w:type="pct"/>
                  <w:tcBorders>
                    <w:tl2br w:val="nil"/>
                    <w:tr2bl w:val="nil"/>
                  </w:tcBorders>
                  <w:noWrap w:val="0"/>
                  <w:vAlign w:val="center"/>
                </w:tcPr>
                <w:p w14:paraId="22E95956">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w:t>
                  </w:r>
                </w:p>
              </w:tc>
              <w:tc>
                <w:tcPr>
                  <w:tcW w:w="764" w:type="pct"/>
                  <w:tcBorders>
                    <w:tl2br w:val="nil"/>
                    <w:tr2bl w:val="nil"/>
                  </w:tcBorders>
                  <w:noWrap w:val="0"/>
                  <w:vAlign w:val="center"/>
                </w:tcPr>
                <w:p w14:paraId="58A6B4C7">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0.3</w:t>
                  </w:r>
                </w:p>
              </w:tc>
              <w:tc>
                <w:tcPr>
                  <w:tcW w:w="700" w:type="pct"/>
                  <w:tcBorders>
                    <w:tl2br w:val="nil"/>
                    <w:tr2bl w:val="nil"/>
                  </w:tcBorders>
                  <w:noWrap w:val="0"/>
                  <w:vAlign w:val="center"/>
                </w:tcPr>
                <w:p w14:paraId="3DAFA569">
                  <w:pPr>
                    <w:overflowPunct w:val="0"/>
                    <w:autoSpaceDE w:val="0"/>
                    <w:autoSpaceDN w:val="0"/>
                    <w:adjustRightInd w:val="0"/>
                    <w:jc w:val="center"/>
                    <w:textAlignment w:val="baseline"/>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是</w:t>
                  </w:r>
                </w:p>
              </w:tc>
            </w:tr>
          </w:tbl>
          <w:p w14:paraId="44F309E3">
            <w:pPr>
              <w:pStyle w:val="37"/>
              <w:bidi w:val="0"/>
              <w:rPr>
                <w:rFonts w:hint="default"/>
                <w:color w:val="auto"/>
                <w:highlight w:val="none"/>
                <w:u w:val="none" w:color="auto"/>
              </w:rPr>
            </w:pPr>
            <w:r>
              <w:rPr>
                <w:rFonts w:hint="default"/>
                <w:color w:val="auto"/>
                <w:highlight w:val="none"/>
                <w:u w:val="none" w:color="auto"/>
              </w:rPr>
              <w:t>根据引用数据表明，本项目所在区域TSP现状能够满足《环境空气质量标准》(GB3095-2012</w:t>
            </w:r>
            <w:r>
              <w:rPr>
                <w:rFonts w:hint="eastAsia"/>
                <w:color w:val="auto"/>
                <w:highlight w:val="none"/>
                <w:u w:val="none" w:color="auto"/>
                <w:lang w:val="en-US" w:eastAsia="zh-CN"/>
              </w:rPr>
              <w:t>)</w:t>
            </w:r>
            <w:r>
              <w:rPr>
                <w:rFonts w:hint="default"/>
                <w:color w:val="auto"/>
                <w:highlight w:val="none"/>
                <w:u w:val="none" w:color="auto"/>
              </w:rPr>
              <w:t>中二级质量标准要求。</w:t>
            </w:r>
          </w:p>
          <w:p w14:paraId="35760A10">
            <w:pPr>
              <w:pStyle w:val="2"/>
              <w:bidi w:val="0"/>
              <w:rPr>
                <w:rFonts w:hint="default" w:ascii="Times New Roman" w:hAnsi="Times New Roman" w:eastAsia="宋体" w:cs="Times New Roman"/>
                <w:color w:val="auto"/>
                <w:highlight w:val="none"/>
                <w:u w:val="none" w:color="auto"/>
                <w:lang w:val="en-US" w:eastAsia="zh-CN"/>
              </w:rPr>
            </w:pPr>
            <w:bookmarkStart w:id="28" w:name="_Toc17204"/>
            <w:bookmarkStart w:id="29" w:name="_Toc2456"/>
            <w:bookmarkStart w:id="30" w:name="_Toc22694"/>
            <w:bookmarkStart w:id="31" w:name="_Toc17663"/>
            <w:bookmarkStart w:id="32" w:name="_Toc1126"/>
            <w:bookmarkStart w:id="33" w:name="_Toc27581"/>
            <w:bookmarkStart w:id="34" w:name="_Toc2720"/>
            <w:bookmarkStart w:id="35" w:name="_Toc30020"/>
            <w:r>
              <w:rPr>
                <w:rFonts w:hint="default" w:ascii="Times New Roman" w:hAnsi="Times New Roman" w:eastAsia="宋体" w:cs="Times New Roman"/>
                <w:color w:val="auto"/>
                <w:highlight w:val="none"/>
                <w:u w:val="none" w:color="auto"/>
                <w:lang w:val="en-US" w:eastAsia="zh-CN"/>
              </w:rPr>
              <w:t>二、地表水环境</w:t>
            </w:r>
            <w:bookmarkEnd w:id="28"/>
            <w:bookmarkEnd w:id="29"/>
            <w:bookmarkEnd w:id="30"/>
            <w:bookmarkEnd w:id="31"/>
            <w:bookmarkEnd w:id="32"/>
            <w:bookmarkEnd w:id="33"/>
            <w:bookmarkEnd w:id="34"/>
            <w:bookmarkEnd w:id="35"/>
          </w:p>
          <w:p w14:paraId="665601EE">
            <w:pPr>
              <w:spacing w:line="360" w:lineRule="auto"/>
              <w:ind w:firstLine="480" w:firstLineChars="200"/>
              <w:contextualSpacing/>
              <w:rPr>
                <w:rFonts w:hint="default" w:eastAsia="宋体"/>
                <w:color w:val="auto"/>
                <w:sz w:val="24"/>
                <w:u w:val="none"/>
                <w:lang w:val="en-US" w:eastAsia="zh-CN"/>
              </w:rPr>
            </w:pPr>
            <w:r>
              <w:rPr>
                <w:rFonts w:hint="eastAsia"/>
                <w:color w:val="auto"/>
                <w:sz w:val="24"/>
                <w:u w:val="none"/>
              </w:rPr>
              <w:t>生活污水</w:t>
            </w:r>
            <w:r>
              <w:rPr>
                <w:rFonts w:hint="eastAsia"/>
                <w:color w:val="auto"/>
                <w:sz w:val="24"/>
                <w:u w:val="none"/>
                <w:lang w:val="en-US" w:eastAsia="zh-CN"/>
              </w:rPr>
              <w:t>经厂区化粪池预处理后用于周边农田施肥，综合利用，不外排</w:t>
            </w:r>
            <w:r>
              <w:rPr>
                <w:rFonts w:hint="eastAsia"/>
                <w:color w:val="auto"/>
                <w:sz w:val="24"/>
                <w:highlight w:val="none"/>
                <w:u w:val="none"/>
                <w:lang w:eastAsia="zh-CN"/>
              </w:rPr>
              <w:t>；</w:t>
            </w:r>
            <w:r>
              <w:rPr>
                <w:rFonts w:hint="eastAsia"/>
                <w:color w:val="auto"/>
                <w:sz w:val="24"/>
                <w:u w:val="none"/>
                <w:lang w:val="en-US" w:eastAsia="zh-CN"/>
              </w:rPr>
              <w:t>初期雨水全部回用于厂区洒水抑尘，不外排。</w:t>
            </w:r>
          </w:p>
          <w:p w14:paraId="21D7E758">
            <w:pPr>
              <w:spacing w:line="360" w:lineRule="auto"/>
              <w:ind w:firstLine="480" w:firstLineChars="200"/>
              <w:contextualSpacing/>
              <w:rPr>
                <w:color w:val="auto"/>
                <w:sz w:val="24"/>
                <w:highlight w:val="none"/>
                <w:u w:val="none"/>
              </w:rPr>
            </w:pPr>
            <w:r>
              <w:rPr>
                <w:rFonts w:hint="eastAsia"/>
                <w:color w:val="auto"/>
                <w:sz w:val="24"/>
                <w:u w:val="none"/>
                <w:lang w:val="en-US" w:eastAsia="zh-CN"/>
              </w:rPr>
              <w:t>为了解本项目所在地水环境质量现状，</w:t>
            </w:r>
            <w:r>
              <w:rPr>
                <w:color w:val="auto"/>
                <w:sz w:val="24"/>
                <w:u w:val="none"/>
              </w:rPr>
              <w:t>本次评价引用</w:t>
            </w:r>
            <w:r>
              <w:rPr>
                <w:rFonts w:hint="eastAsia"/>
                <w:color w:val="auto"/>
                <w:sz w:val="24"/>
                <w:u w:val="none"/>
              </w:rPr>
              <w:t>《岳阳市2023年度生态环境质量公报》中“三、地表水环境--（主要江河水质状况”中：新墙河水质总体为优，9个控制断面水质均达到或优于Ⅱ类，</w:t>
            </w:r>
            <w:r>
              <w:rPr>
                <w:rFonts w:hint="eastAsia"/>
                <w:color w:val="auto"/>
                <w:sz w:val="24"/>
                <w:u w:val="none"/>
                <w:lang w:eastAsia="zh-CN"/>
              </w:rPr>
              <w:t>表明新墙河总体水质为优</w:t>
            </w:r>
            <w:r>
              <w:rPr>
                <w:rFonts w:hint="eastAsia"/>
                <w:color w:val="auto"/>
                <w:sz w:val="24"/>
                <w:highlight w:val="none"/>
                <w:u w:val="none"/>
              </w:rPr>
              <w:t>。</w:t>
            </w:r>
          </w:p>
          <w:p w14:paraId="53CF0ADA">
            <w:pPr>
              <w:pStyle w:val="2"/>
              <w:bidi w:val="0"/>
              <w:rPr>
                <w:rFonts w:hint="default" w:ascii="Times New Roman" w:hAnsi="Times New Roman" w:eastAsia="宋体" w:cs="Times New Roman"/>
                <w:color w:val="auto"/>
                <w:highlight w:val="none"/>
                <w:u w:val="none" w:color="auto"/>
                <w:lang w:val="en-US" w:eastAsia="zh-CN"/>
              </w:rPr>
            </w:pPr>
            <w:bookmarkStart w:id="36" w:name="_Toc21410"/>
            <w:r>
              <w:rPr>
                <w:rFonts w:hint="default" w:ascii="Times New Roman" w:hAnsi="Times New Roman" w:eastAsia="宋体" w:cs="Times New Roman"/>
                <w:color w:val="auto"/>
                <w:highlight w:val="none"/>
                <w:u w:val="none" w:color="auto"/>
                <w:lang w:val="en-US" w:eastAsia="zh-CN"/>
              </w:rPr>
              <w:t>三、声环境质量现状</w:t>
            </w:r>
            <w:bookmarkEnd w:id="36"/>
          </w:p>
          <w:p w14:paraId="2A6D016F">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根据《建设项目环境影响报告表编制技术指南》（污染影响类）（试行），项目周边50m范围内无敏感点，无需进行声环境现状监测。</w:t>
            </w:r>
          </w:p>
          <w:p w14:paraId="73D741E1">
            <w:pPr>
              <w:pStyle w:val="2"/>
              <w:bidi w:val="0"/>
              <w:rPr>
                <w:rFonts w:hint="default" w:ascii="Times New Roman" w:hAnsi="Times New Roman" w:eastAsia="宋体" w:cs="Times New Roman"/>
                <w:color w:val="auto"/>
                <w:highlight w:val="none"/>
                <w:u w:val="none" w:color="auto"/>
                <w:lang w:val="en-US" w:eastAsia="zh-CN"/>
              </w:rPr>
            </w:pPr>
            <w:bookmarkStart w:id="37" w:name="_Toc16786"/>
            <w:r>
              <w:rPr>
                <w:rFonts w:hint="eastAsia" w:ascii="Times New Roman" w:hAnsi="Times New Roman" w:eastAsia="宋体" w:cs="Times New Roman"/>
                <w:color w:val="auto"/>
                <w:highlight w:val="none"/>
                <w:u w:val="none" w:color="auto"/>
                <w:lang w:val="en-US" w:eastAsia="zh-CN"/>
              </w:rPr>
              <w:t>四、</w:t>
            </w:r>
            <w:r>
              <w:rPr>
                <w:rFonts w:hint="default" w:ascii="Times New Roman" w:hAnsi="Times New Roman" w:eastAsia="宋体" w:cs="Times New Roman"/>
                <w:color w:val="auto"/>
                <w:highlight w:val="none"/>
                <w:u w:val="none" w:color="auto"/>
                <w:lang w:val="en-US" w:eastAsia="zh-CN"/>
              </w:rPr>
              <w:t>地下水、土壤环境质量现状</w:t>
            </w:r>
            <w:bookmarkEnd w:id="37"/>
          </w:p>
          <w:p w14:paraId="51EA0F95">
            <w:pPr>
              <w:pStyle w:val="3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本</w:t>
            </w:r>
            <w:r>
              <w:rPr>
                <w:rFonts w:hint="eastAsia"/>
                <w:color w:val="auto"/>
                <w:highlight w:val="none"/>
                <w:u w:val="none" w:color="auto"/>
                <w:lang w:val="en-US" w:eastAsia="zh-CN"/>
              </w:rPr>
              <w:t>项目</w:t>
            </w:r>
            <w:r>
              <w:rPr>
                <w:rFonts w:hint="eastAsia"/>
                <w:color w:val="auto"/>
                <w:highlight w:val="none"/>
                <w:u w:val="none" w:color="auto"/>
              </w:rPr>
              <w:t>位于</w:t>
            </w:r>
            <w:r>
              <w:rPr>
                <w:rFonts w:hint="eastAsia"/>
                <w:color w:val="auto"/>
                <w:highlight w:val="none"/>
                <w:u w:val="none" w:color="auto"/>
                <w:lang w:val="en-US" w:eastAsia="zh-CN"/>
              </w:rPr>
              <w:t>岳阳县新墙镇燎原村沙河片二组</w:t>
            </w:r>
            <w:r>
              <w:rPr>
                <w:rFonts w:hint="eastAsia"/>
                <w:color w:val="auto"/>
                <w:highlight w:val="none"/>
                <w:u w:val="none" w:color="auto"/>
              </w:rPr>
              <w:t>，生产车间</w:t>
            </w:r>
            <w:r>
              <w:rPr>
                <w:rFonts w:hint="eastAsia"/>
                <w:color w:val="auto"/>
                <w:highlight w:val="none"/>
                <w:u w:val="none" w:color="auto"/>
                <w:lang w:val="en-US" w:eastAsia="zh-CN"/>
              </w:rPr>
              <w:t>和仓库</w:t>
            </w:r>
            <w:r>
              <w:rPr>
                <w:rFonts w:hint="eastAsia"/>
                <w:color w:val="auto"/>
                <w:highlight w:val="none"/>
                <w:u w:val="none" w:color="auto"/>
              </w:rPr>
              <w:t>地面</w:t>
            </w:r>
            <w:r>
              <w:rPr>
                <w:rFonts w:hint="eastAsia"/>
                <w:color w:val="auto"/>
                <w:highlight w:val="none"/>
                <w:u w:val="none" w:color="auto"/>
                <w:lang w:val="en-US" w:eastAsia="zh-CN"/>
              </w:rPr>
              <w:t>要</w:t>
            </w:r>
            <w:r>
              <w:rPr>
                <w:rFonts w:hint="eastAsia"/>
                <w:color w:val="auto"/>
                <w:highlight w:val="none"/>
                <w:u w:val="none" w:color="auto"/>
              </w:rPr>
              <w:t>做好硬化及“三防”措施（防扬散、防流失、防渗漏）</w:t>
            </w:r>
            <w:r>
              <w:rPr>
                <w:rFonts w:hint="eastAsia"/>
                <w:color w:val="auto"/>
                <w:highlight w:val="none"/>
                <w:u w:val="none" w:color="auto"/>
                <w:lang w:eastAsia="zh-CN"/>
              </w:rPr>
              <w:t>，</w:t>
            </w:r>
            <w:r>
              <w:rPr>
                <w:rFonts w:hint="eastAsia"/>
                <w:color w:val="auto"/>
                <w:highlight w:val="none"/>
                <w:u w:val="none" w:color="auto"/>
                <w:lang w:val="en-US" w:eastAsia="zh-CN"/>
              </w:rPr>
              <w:t>项目不具备地面漫流和垂直入渗的途径，不存在土壤、地下水污染途径</w:t>
            </w:r>
            <w:r>
              <w:rPr>
                <w:rFonts w:hint="eastAsia"/>
                <w:color w:val="auto"/>
                <w:highlight w:val="none"/>
                <w:u w:val="none" w:color="auto"/>
              </w:rPr>
              <w:t>。</w:t>
            </w:r>
          </w:p>
          <w:p w14:paraId="10E9FA0F">
            <w:pPr>
              <w:pStyle w:val="37"/>
              <w:bidi w:val="0"/>
              <w:rPr>
                <w:rFonts w:hint="eastAsia" w:eastAsia="宋体"/>
                <w:color w:val="auto"/>
                <w:highlight w:val="none"/>
                <w:u w:val="none" w:color="auto"/>
                <w:lang w:eastAsia="zh-CN"/>
              </w:rPr>
            </w:pPr>
            <w:r>
              <w:rPr>
                <w:rFonts w:hint="default"/>
                <w:color w:val="auto"/>
                <w:highlight w:val="none"/>
                <w:u w:val="none" w:color="auto"/>
              </w:rPr>
              <w:t>本项目500m</w:t>
            </w:r>
            <w:r>
              <w:rPr>
                <w:rFonts w:hint="default" w:ascii="Times New Roman" w:hAnsi="Times New Roman" w:eastAsia="宋体" w:cs="Times New Roman"/>
                <w:color w:val="auto"/>
                <w:highlight w:val="none"/>
                <w:u w:val="none" w:color="auto"/>
              </w:rPr>
              <w:t>范围内无地下水集中式饮用水水源和热水、矿泉水、温泉等特殊地下水资源，因此可不开展地下水、土壤环境质量现状调查工作。</w:t>
            </w:r>
          </w:p>
          <w:p w14:paraId="0E2B234B">
            <w:pPr>
              <w:pStyle w:val="2"/>
              <w:bidi w:val="0"/>
              <w:rPr>
                <w:rFonts w:hint="default" w:ascii="Times New Roman" w:hAnsi="Times New Roman" w:eastAsia="宋体" w:cs="Times New Roman"/>
                <w:color w:val="auto"/>
                <w:highlight w:val="none"/>
                <w:u w:val="none" w:color="auto"/>
                <w:lang w:val="en-US" w:eastAsia="zh-CN"/>
              </w:rPr>
            </w:pPr>
            <w:bookmarkStart w:id="38" w:name="_Toc26583"/>
            <w:r>
              <w:rPr>
                <w:rFonts w:hint="eastAsia" w:ascii="Times New Roman" w:hAnsi="Times New Roman" w:eastAsia="宋体" w:cs="Times New Roman"/>
                <w:color w:val="auto"/>
                <w:highlight w:val="none"/>
                <w:u w:val="none" w:color="auto"/>
                <w:lang w:val="en-US" w:eastAsia="zh-CN"/>
              </w:rPr>
              <w:t>五</w:t>
            </w:r>
            <w:r>
              <w:rPr>
                <w:rFonts w:hint="default" w:ascii="Times New Roman" w:hAnsi="Times New Roman" w:eastAsia="宋体" w:cs="Times New Roman"/>
                <w:color w:val="auto"/>
                <w:highlight w:val="none"/>
                <w:u w:val="none" w:color="auto"/>
                <w:lang w:val="en-US" w:eastAsia="zh-CN"/>
              </w:rPr>
              <w:t>、生态环境质量现状与评价</w:t>
            </w:r>
            <w:bookmarkEnd w:id="38"/>
          </w:p>
          <w:p w14:paraId="3873FEB7">
            <w:pPr>
              <w:pStyle w:val="3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根据《建设项目环境影响报告表编制技术指南（污染影响类）（试行）》中具体编制要求“产业园区外建设项目新增用地且用地范围内含有生态环境敏感目标时，应进行生态调查。”</w:t>
            </w:r>
          </w:p>
          <w:p w14:paraId="46304583">
            <w:pPr>
              <w:pStyle w:val="37"/>
              <w:bidi w:val="0"/>
              <w:rPr>
                <w:rFonts w:hint="default" w:ascii="Times New Roman" w:hAnsi="Times New Roman" w:cs="Times New Roman"/>
                <w:color w:val="auto"/>
                <w:kern w:val="0"/>
                <w:szCs w:val="21"/>
                <w:highlight w:val="green"/>
                <w:u w:val="none" w:color="auto"/>
              </w:rPr>
            </w:pPr>
            <w:r>
              <w:rPr>
                <w:rFonts w:hint="eastAsia"/>
                <w:color w:val="auto"/>
                <w:highlight w:val="none"/>
                <w:u w:val="none" w:color="auto"/>
              </w:rPr>
              <w:t>本项目</w:t>
            </w:r>
            <w:r>
              <w:rPr>
                <w:rFonts w:hint="eastAsia"/>
                <w:color w:val="auto"/>
                <w:highlight w:val="none"/>
                <w:u w:val="none" w:color="auto"/>
                <w:lang w:val="en-US" w:eastAsia="zh-CN"/>
              </w:rPr>
              <w:t>位于湖南省岳阳市岳阳县新墙镇燎原村沙河片二组</w:t>
            </w:r>
            <w:r>
              <w:rPr>
                <w:rFonts w:hint="eastAsia"/>
                <w:color w:val="auto"/>
                <w:highlight w:val="none"/>
                <w:u w:val="none" w:color="auto"/>
              </w:rPr>
              <w:t>，项目用地附近主要以工厂、道路为主，属于人类活动频繁区域</w:t>
            </w:r>
            <w:r>
              <w:rPr>
                <w:rFonts w:hint="eastAsia"/>
                <w:color w:val="auto"/>
                <w:highlight w:val="none"/>
                <w:u w:val="none" w:color="auto"/>
                <w:lang w:eastAsia="zh-CN"/>
              </w:rPr>
              <w:t>，</w:t>
            </w:r>
            <w:r>
              <w:rPr>
                <w:rFonts w:hint="eastAsia"/>
                <w:color w:val="auto"/>
                <w:highlight w:val="none"/>
                <w:u w:val="none" w:color="auto"/>
                <w:lang w:val="en-US" w:eastAsia="zh-CN"/>
              </w:rPr>
              <w:t>同时项目已取得农用地转用审批单及选址意见（详见附件3、附件6）于</w:t>
            </w:r>
            <w:r>
              <w:rPr>
                <w:rFonts w:hint="eastAsia"/>
                <w:color w:val="auto"/>
                <w:highlight w:val="none"/>
                <w:u w:val="none" w:color="auto"/>
                <w:lang w:eastAsia="zh-CN"/>
              </w:rPr>
              <w:t>区域及周边范围无古树名木、自然保护区、风景名胜区、生态功能保护区和森林公园，</w:t>
            </w:r>
            <w:r>
              <w:rPr>
                <w:rFonts w:hint="eastAsia"/>
                <w:color w:val="auto"/>
                <w:highlight w:val="none"/>
                <w:u w:val="none" w:color="auto"/>
                <w:lang w:val="en-US" w:eastAsia="zh-CN"/>
              </w:rPr>
              <w:t>项目所在区域动植物均为常见物种，无珍稀保护动植物，其生态环境敏感程度较低。</w:t>
            </w:r>
            <w:r>
              <w:rPr>
                <w:rFonts w:hint="eastAsia"/>
                <w:color w:val="auto"/>
                <w:highlight w:val="none"/>
                <w:u w:val="none" w:color="auto"/>
              </w:rPr>
              <w:t>项目用地范围内无生态环境保护目标，故本项目不开展生态环境质量现状调查</w:t>
            </w:r>
            <w:r>
              <w:rPr>
                <w:color w:val="auto"/>
                <w:highlight w:val="none"/>
                <w:u w:val="none" w:color="auto"/>
              </w:rPr>
              <w:t>。</w:t>
            </w:r>
          </w:p>
        </w:tc>
      </w:tr>
      <w:tr w14:paraId="35592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 w:type="pct"/>
            <w:noWrap w:val="0"/>
            <w:vAlign w:val="center"/>
          </w:tcPr>
          <w:p w14:paraId="55012BD1">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19D694CE">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保护</w:t>
            </w:r>
          </w:p>
          <w:p w14:paraId="43518448">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目标</w:t>
            </w:r>
          </w:p>
        </w:tc>
        <w:tc>
          <w:tcPr>
            <w:tcW w:w="4765" w:type="pct"/>
            <w:noWrap w:val="0"/>
            <w:vAlign w:val="center"/>
          </w:tcPr>
          <w:p w14:paraId="137D7DF9">
            <w:pPr>
              <w:pStyle w:val="37"/>
              <w:bidi w:val="0"/>
              <w:rPr>
                <w:rFonts w:hint="default" w:ascii="Times New Roman" w:hAnsi="Times New Roman" w:cs="Times New Roman"/>
                <w:color w:val="auto"/>
                <w:highlight w:val="none"/>
                <w:u w:val="none" w:color="auto"/>
              </w:rPr>
            </w:pPr>
            <w:r>
              <w:rPr>
                <w:rFonts w:hint="default"/>
                <w:color w:val="auto"/>
                <w:highlight w:val="none"/>
                <w:u w:val="none" w:color="auto"/>
              </w:rPr>
              <w:t>根据现场</w:t>
            </w:r>
            <w:r>
              <w:rPr>
                <w:rFonts w:hint="default"/>
                <w:color w:val="auto"/>
                <w:highlight w:val="none"/>
                <w:u w:val="none" w:color="auto"/>
                <w:lang w:val="en-US" w:eastAsia="zh-CN"/>
              </w:rPr>
              <w:t>勘查</w:t>
            </w:r>
            <w:r>
              <w:rPr>
                <w:rFonts w:hint="default"/>
                <w:color w:val="auto"/>
                <w:highlight w:val="none"/>
                <w:u w:val="none" w:color="auto"/>
              </w:rPr>
              <w:t>，本项目环境保护目标见下表。</w:t>
            </w:r>
          </w:p>
          <w:p w14:paraId="631A9D2A">
            <w:pPr>
              <w:pStyle w:val="4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表3-</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项目周边环境空气保护目标一览表</w:t>
            </w:r>
          </w:p>
          <w:tbl>
            <w:tblPr>
              <w:tblStyle w:val="53"/>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68"/>
              <w:gridCol w:w="1323"/>
              <w:gridCol w:w="1218"/>
              <w:gridCol w:w="582"/>
              <w:gridCol w:w="781"/>
              <w:gridCol w:w="468"/>
              <w:gridCol w:w="581"/>
              <w:gridCol w:w="686"/>
              <w:gridCol w:w="1351"/>
            </w:tblGrid>
            <w:tr w14:paraId="234C82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71" w:type="pct"/>
                  <w:vMerge w:val="restart"/>
                  <w:tcBorders>
                    <w:tl2br w:val="nil"/>
                    <w:tr2bl w:val="nil"/>
                  </w:tcBorders>
                  <w:noWrap w:val="0"/>
                  <w:vAlign w:val="center"/>
                </w:tcPr>
                <w:p w14:paraId="7ADB4974">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名称</w:t>
                  </w:r>
                </w:p>
              </w:tc>
              <w:tc>
                <w:tcPr>
                  <w:tcW w:w="1486" w:type="pct"/>
                  <w:gridSpan w:val="2"/>
                  <w:tcBorders>
                    <w:tl2br w:val="nil"/>
                    <w:tr2bl w:val="nil"/>
                  </w:tcBorders>
                  <w:noWrap w:val="0"/>
                  <w:vAlign w:val="center"/>
                </w:tcPr>
                <w:p w14:paraId="7DC84111">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坐标</w:t>
                  </w:r>
                </w:p>
              </w:tc>
              <w:tc>
                <w:tcPr>
                  <w:tcW w:w="389" w:type="pct"/>
                  <w:vMerge w:val="restart"/>
                  <w:tcBorders>
                    <w:tl2br w:val="nil"/>
                    <w:tr2bl w:val="nil"/>
                  </w:tcBorders>
                  <w:noWrap w:val="0"/>
                  <w:vAlign w:val="center"/>
                </w:tcPr>
                <w:p w14:paraId="429623B1">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w:t>
                  </w:r>
                </w:p>
                <w:p w14:paraId="37A4270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对象</w:t>
                  </w:r>
                </w:p>
              </w:tc>
              <w:tc>
                <w:tcPr>
                  <w:tcW w:w="515" w:type="pct"/>
                  <w:vMerge w:val="restart"/>
                  <w:tcBorders>
                    <w:tl2br w:val="nil"/>
                    <w:tr2bl w:val="nil"/>
                  </w:tcBorders>
                  <w:noWrap w:val="0"/>
                  <w:vAlign w:val="center"/>
                </w:tcPr>
                <w:p w14:paraId="11D57E46">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保护内容</w:t>
                  </w:r>
                </w:p>
              </w:tc>
              <w:tc>
                <w:tcPr>
                  <w:tcW w:w="316" w:type="pct"/>
                  <w:vMerge w:val="restart"/>
                  <w:tcBorders>
                    <w:tl2br w:val="nil"/>
                    <w:tr2bl w:val="nil"/>
                  </w:tcBorders>
                  <w:noWrap w:val="0"/>
                  <w:vAlign w:val="center"/>
                </w:tcPr>
                <w:p w14:paraId="57A570A8">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环境功能</w:t>
                  </w:r>
                </w:p>
                <w:p w14:paraId="5D0D446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区</w:t>
                  </w:r>
                </w:p>
              </w:tc>
              <w:tc>
                <w:tcPr>
                  <w:tcW w:w="388" w:type="pct"/>
                  <w:vMerge w:val="restart"/>
                  <w:tcBorders>
                    <w:tl2br w:val="nil"/>
                    <w:tr2bl w:val="nil"/>
                  </w:tcBorders>
                  <w:noWrap w:val="0"/>
                  <w:vAlign w:val="center"/>
                </w:tcPr>
                <w:p w14:paraId="260F016A">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相对厂址方位</w:t>
                  </w:r>
                </w:p>
              </w:tc>
              <w:tc>
                <w:tcPr>
                  <w:tcW w:w="455" w:type="pct"/>
                  <w:vMerge w:val="restart"/>
                  <w:tcBorders>
                    <w:tl2br w:val="nil"/>
                    <w:tr2bl w:val="nil"/>
                  </w:tcBorders>
                  <w:noWrap w:val="0"/>
                  <w:vAlign w:val="center"/>
                </w:tcPr>
                <w:p w14:paraId="3A43E017">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相对厂址距离m</w:t>
                  </w:r>
                </w:p>
              </w:tc>
              <w:tc>
                <w:tcPr>
                  <w:tcW w:w="878" w:type="pct"/>
                  <w:vMerge w:val="restart"/>
                  <w:tcBorders>
                    <w:tl2br w:val="nil"/>
                    <w:tr2bl w:val="nil"/>
                  </w:tcBorders>
                  <w:noWrap w:val="0"/>
                  <w:vAlign w:val="center"/>
                </w:tcPr>
                <w:p w14:paraId="6309EFF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保护级别</w:t>
                  </w:r>
                </w:p>
              </w:tc>
            </w:tr>
            <w:tr w14:paraId="61AA5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71" w:type="pct"/>
                  <w:vMerge w:val="continue"/>
                  <w:tcBorders>
                    <w:tl2br w:val="nil"/>
                    <w:tr2bl w:val="nil"/>
                  </w:tcBorders>
                  <w:noWrap w:val="0"/>
                  <w:vAlign w:val="center"/>
                </w:tcPr>
                <w:p w14:paraId="6F2C8232">
                  <w:pPr>
                    <w:pStyle w:val="42"/>
                    <w:autoSpaceDE w:val="0"/>
                    <w:autoSpaceDN w:val="0"/>
                    <w:bidi w:val="0"/>
                    <w:jc w:val="center"/>
                    <w:rPr>
                      <w:rFonts w:hint="default"/>
                      <w:color w:val="auto"/>
                      <w:highlight w:val="green"/>
                      <w:u w:val="none" w:color="auto"/>
                    </w:rPr>
                  </w:pPr>
                </w:p>
              </w:tc>
              <w:tc>
                <w:tcPr>
                  <w:tcW w:w="772" w:type="pct"/>
                  <w:tcBorders>
                    <w:tl2br w:val="nil"/>
                    <w:tr2bl w:val="nil"/>
                  </w:tcBorders>
                  <w:noWrap w:val="0"/>
                  <w:vAlign w:val="center"/>
                </w:tcPr>
                <w:p w14:paraId="35848E9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X</w:t>
                  </w:r>
                </w:p>
              </w:tc>
              <w:tc>
                <w:tcPr>
                  <w:tcW w:w="714" w:type="pct"/>
                  <w:tcBorders>
                    <w:tl2br w:val="nil"/>
                    <w:tr2bl w:val="nil"/>
                  </w:tcBorders>
                  <w:noWrap w:val="0"/>
                  <w:vAlign w:val="center"/>
                </w:tcPr>
                <w:p w14:paraId="2EF0C404">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Y</w:t>
                  </w:r>
                </w:p>
              </w:tc>
              <w:tc>
                <w:tcPr>
                  <w:tcW w:w="389" w:type="pct"/>
                  <w:vMerge w:val="continue"/>
                  <w:tcBorders>
                    <w:tl2br w:val="nil"/>
                    <w:tr2bl w:val="nil"/>
                  </w:tcBorders>
                  <w:noWrap w:val="0"/>
                  <w:vAlign w:val="center"/>
                </w:tcPr>
                <w:p w14:paraId="1C6D848A">
                  <w:pPr>
                    <w:pStyle w:val="42"/>
                    <w:autoSpaceDE w:val="0"/>
                    <w:autoSpaceDN w:val="0"/>
                    <w:bidi w:val="0"/>
                    <w:jc w:val="center"/>
                    <w:rPr>
                      <w:rFonts w:hint="default"/>
                      <w:color w:val="auto"/>
                      <w:highlight w:val="green"/>
                      <w:u w:val="none" w:color="auto"/>
                    </w:rPr>
                  </w:pPr>
                </w:p>
              </w:tc>
              <w:tc>
                <w:tcPr>
                  <w:tcW w:w="515" w:type="pct"/>
                  <w:vMerge w:val="continue"/>
                  <w:tcBorders>
                    <w:tl2br w:val="nil"/>
                    <w:tr2bl w:val="nil"/>
                  </w:tcBorders>
                  <w:noWrap w:val="0"/>
                  <w:vAlign w:val="center"/>
                </w:tcPr>
                <w:p w14:paraId="6A7E5304">
                  <w:pPr>
                    <w:pStyle w:val="42"/>
                    <w:autoSpaceDE w:val="0"/>
                    <w:autoSpaceDN w:val="0"/>
                    <w:bidi w:val="0"/>
                    <w:jc w:val="center"/>
                    <w:rPr>
                      <w:rFonts w:hint="default"/>
                      <w:color w:val="auto"/>
                      <w:highlight w:val="green"/>
                      <w:u w:val="none" w:color="auto"/>
                    </w:rPr>
                  </w:pPr>
                </w:p>
              </w:tc>
              <w:tc>
                <w:tcPr>
                  <w:tcW w:w="316" w:type="pct"/>
                  <w:vMerge w:val="continue"/>
                  <w:tcBorders>
                    <w:tl2br w:val="nil"/>
                    <w:tr2bl w:val="nil"/>
                  </w:tcBorders>
                  <w:noWrap w:val="0"/>
                  <w:vAlign w:val="center"/>
                </w:tcPr>
                <w:p w14:paraId="7D27CA3E">
                  <w:pPr>
                    <w:pStyle w:val="42"/>
                    <w:autoSpaceDE w:val="0"/>
                    <w:autoSpaceDN w:val="0"/>
                    <w:bidi w:val="0"/>
                    <w:jc w:val="center"/>
                    <w:rPr>
                      <w:rFonts w:hint="default"/>
                      <w:color w:val="auto"/>
                      <w:highlight w:val="green"/>
                      <w:u w:val="none" w:color="auto"/>
                    </w:rPr>
                  </w:pPr>
                </w:p>
              </w:tc>
              <w:tc>
                <w:tcPr>
                  <w:tcW w:w="388" w:type="pct"/>
                  <w:vMerge w:val="continue"/>
                  <w:tcBorders>
                    <w:tl2br w:val="nil"/>
                    <w:tr2bl w:val="nil"/>
                  </w:tcBorders>
                  <w:noWrap w:val="0"/>
                  <w:vAlign w:val="center"/>
                </w:tcPr>
                <w:p w14:paraId="766D619C">
                  <w:pPr>
                    <w:pStyle w:val="42"/>
                    <w:autoSpaceDE w:val="0"/>
                    <w:autoSpaceDN w:val="0"/>
                    <w:bidi w:val="0"/>
                    <w:jc w:val="center"/>
                    <w:rPr>
                      <w:rFonts w:hint="default"/>
                      <w:color w:val="auto"/>
                      <w:highlight w:val="green"/>
                      <w:u w:val="none" w:color="auto"/>
                    </w:rPr>
                  </w:pPr>
                </w:p>
              </w:tc>
              <w:tc>
                <w:tcPr>
                  <w:tcW w:w="455" w:type="pct"/>
                  <w:vMerge w:val="continue"/>
                  <w:tcBorders>
                    <w:tl2br w:val="nil"/>
                    <w:tr2bl w:val="nil"/>
                  </w:tcBorders>
                  <w:noWrap w:val="0"/>
                  <w:vAlign w:val="center"/>
                </w:tcPr>
                <w:p w14:paraId="70DCF042">
                  <w:pPr>
                    <w:pStyle w:val="42"/>
                    <w:autoSpaceDE w:val="0"/>
                    <w:autoSpaceDN w:val="0"/>
                    <w:bidi w:val="0"/>
                    <w:jc w:val="center"/>
                    <w:rPr>
                      <w:rFonts w:hint="default"/>
                      <w:color w:val="auto"/>
                      <w:highlight w:val="green"/>
                      <w:u w:val="none" w:color="auto"/>
                    </w:rPr>
                  </w:pPr>
                </w:p>
              </w:tc>
              <w:tc>
                <w:tcPr>
                  <w:tcW w:w="878" w:type="pct"/>
                  <w:vMerge w:val="continue"/>
                  <w:tcBorders>
                    <w:tl2br w:val="nil"/>
                    <w:tr2bl w:val="nil"/>
                  </w:tcBorders>
                  <w:noWrap w:val="0"/>
                  <w:vAlign w:val="center"/>
                </w:tcPr>
                <w:p w14:paraId="320B0B9A">
                  <w:pPr>
                    <w:pStyle w:val="42"/>
                    <w:autoSpaceDE w:val="0"/>
                    <w:autoSpaceDN w:val="0"/>
                    <w:bidi w:val="0"/>
                    <w:jc w:val="center"/>
                    <w:rPr>
                      <w:rFonts w:hint="default"/>
                      <w:color w:val="auto"/>
                      <w:highlight w:val="green"/>
                      <w:u w:val="none" w:color="auto"/>
                    </w:rPr>
                  </w:pPr>
                </w:p>
              </w:tc>
            </w:tr>
            <w:tr w14:paraId="66F99D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1" w:type="pct"/>
                  <w:tcBorders>
                    <w:tl2br w:val="nil"/>
                    <w:tr2bl w:val="nil"/>
                  </w:tcBorders>
                  <w:noWrap w:val="0"/>
                  <w:vAlign w:val="center"/>
                </w:tcPr>
                <w:p w14:paraId="56E1A16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兴荣东路居民点1</w:t>
                  </w:r>
                </w:p>
              </w:tc>
              <w:tc>
                <w:tcPr>
                  <w:tcW w:w="772" w:type="pct"/>
                  <w:tcBorders>
                    <w:tl2br w:val="nil"/>
                    <w:tr2bl w:val="nil"/>
                  </w:tcBorders>
                  <w:noWrap w:val="0"/>
                  <w:vAlign w:val="center"/>
                </w:tcPr>
                <w:p w14:paraId="2B6FDA07">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113.170826208</w:t>
                  </w:r>
                </w:p>
              </w:tc>
              <w:tc>
                <w:tcPr>
                  <w:tcW w:w="714" w:type="pct"/>
                  <w:tcBorders>
                    <w:tl2br w:val="nil"/>
                    <w:tr2bl w:val="nil"/>
                  </w:tcBorders>
                  <w:noWrap w:val="0"/>
                  <w:vAlign w:val="center"/>
                </w:tcPr>
                <w:p w14:paraId="2FB61E8A">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29.135970470</w:t>
                  </w:r>
                </w:p>
              </w:tc>
              <w:tc>
                <w:tcPr>
                  <w:tcW w:w="389" w:type="pct"/>
                  <w:vMerge w:val="restart"/>
                  <w:tcBorders>
                    <w:tl2br w:val="nil"/>
                    <w:tr2bl w:val="nil"/>
                  </w:tcBorders>
                  <w:noWrap w:val="0"/>
                  <w:vAlign w:val="center"/>
                </w:tcPr>
                <w:p w14:paraId="2178B9FE">
                  <w:pPr>
                    <w:pStyle w:val="4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居民</w:t>
                  </w:r>
                </w:p>
              </w:tc>
              <w:tc>
                <w:tcPr>
                  <w:tcW w:w="515" w:type="pct"/>
                  <w:tcBorders>
                    <w:tl2br w:val="nil"/>
                    <w:tr2bl w:val="nil"/>
                  </w:tcBorders>
                  <w:noWrap w:val="0"/>
                  <w:vAlign w:val="center"/>
                </w:tcPr>
                <w:p w14:paraId="731EDAB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约200人</w:t>
                  </w:r>
                </w:p>
              </w:tc>
              <w:tc>
                <w:tcPr>
                  <w:tcW w:w="316" w:type="pct"/>
                  <w:vMerge w:val="restart"/>
                  <w:tcBorders>
                    <w:tl2br w:val="nil"/>
                    <w:tr2bl w:val="nil"/>
                  </w:tcBorders>
                  <w:noWrap w:val="0"/>
                  <w:vAlign w:val="center"/>
                </w:tcPr>
                <w:p w14:paraId="52C7361D">
                  <w:pPr>
                    <w:pStyle w:val="42"/>
                    <w:autoSpaceDE w:val="0"/>
                    <w:autoSpaceDN w:val="0"/>
                    <w:bidi w:val="0"/>
                    <w:jc w:val="center"/>
                    <w:rPr>
                      <w:rFonts w:hint="default"/>
                      <w:color w:val="auto"/>
                      <w:highlight w:val="none"/>
                      <w:u w:val="none" w:color="auto"/>
                    </w:rPr>
                  </w:pPr>
                  <w:r>
                    <w:rPr>
                      <w:rFonts w:hint="default"/>
                      <w:color w:val="auto"/>
                      <w:highlight w:val="none"/>
                      <w:u w:val="none" w:color="auto"/>
                    </w:rPr>
                    <w:t>二类区</w:t>
                  </w:r>
                </w:p>
              </w:tc>
              <w:tc>
                <w:tcPr>
                  <w:tcW w:w="388" w:type="pct"/>
                  <w:tcBorders>
                    <w:tl2br w:val="nil"/>
                    <w:tr2bl w:val="nil"/>
                  </w:tcBorders>
                  <w:noWrap w:val="0"/>
                  <w:vAlign w:val="center"/>
                </w:tcPr>
                <w:p w14:paraId="26D46086">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东南</w:t>
                  </w:r>
                </w:p>
              </w:tc>
              <w:tc>
                <w:tcPr>
                  <w:tcW w:w="455" w:type="pct"/>
                  <w:tcBorders>
                    <w:tl2br w:val="nil"/>
                    <w:tr2bl w:val="nil"/>
                  </w:tcBorders>
                  <w:noWrap w:val="0"/>
                  <w:vAlign w:val="center"/>
                </w:tcPr>
                <w:p w14:paraId="700E0DAC">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208</w:t>
                  </w:r>
                </w:p>
              </w:tc>
              <w:tc>
                <w:tcPr>
                  <w:tcW w:w="878" w:type="pct"/>
                  <w:vMerge w:val="restart"/>
                  <w:tcBorders>
                    <w:tl2br w:val="nil"/>
                    <w:tr2bl w:val="nil"/>
                  </w:tcBorders>
                  <w:noWrap w:val="0"/>
                  <w:vAlign w:val="center"/>
                </w:tcPr>
                <w:p w14:paraId="6E588E01">
                  <w:pPr>
                    <w:pStyle w:val="42"/>
                    <w:keepNext w:val="0"/>
                    <w:keepLines w:val="0"/>
                    <w:pageBreakBefore w:val="0"/>
                    <w:widowControl w:val="0"/>
                    <w:kinsoku/>
                    <w:wordWrap w:val="0"/>
                    <w:overflowPunct/>
                    <w:topLinePunct/>
                    <w:autoSpaceDE/>
                    <w:autoSpaceDN/>
                    <w:bidi w:val="0"/>
                    <w:adjustRightInd/>
                    <w:snapToGrid/>
                    <w:jc w:val="center"/>
                    <w:textAlignment w:val="baseline"/>
                    <w:rPr>
                      <w:rFonts w:hint="default"/>
                      <w:color w:val="auto"/>
                      <w:highlight w:val="green"/>
                      <w:u w:val="none" w:color="auto"/>
                      <w:lang w:val="en-US" w:eastAsia="zh-CN"/>
                    </w:rPr>
                  </w:pPr>
                  <w:r>
                    <w:rPr>
                      <w:rFonts w:hint="default"/>
                      <w:color w:val="auto"/>
                      <w:highlight w:val="none"/>
                      <w:u w:val="none" w:color="auto"/>
                    </w:rPr>
                    <w:t>《环境空气质量标准》（GB3095-2012）中二级标准</w:t>
                  </w:r>
                </w:p>
              </w:tc>
            </w:tr>
            <w:tr w14:paraId="0AA94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1" w:type="pct"/>
                  <w:tcBorders>
                    <w:tl2br w:val="nil"/>
                    <w:tr2bl w:val="nil"/>
                  </w:tcBorders>
                  <w:noWrap w:val="0"/>
                  <w:vAlign w:val="center"/>
                </w:tcPr>
                <w:p w14:paraId="025AD2DD">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兴荣东路居民点2</w:t>
                  </w:r>
                </w:p>
              </w:tc>
              <w:tc>
                <w:tcPr>
                  <w:tcW w:w="772" w:type="pct"/>
                  <w:tcBorders>
                    <w:tl2br w:val="nil"/>
                    <w:tr2bl w:val="nil"/>
                  </w:tcBorders>
                  <w:noWrap w:val="0"/>
                  <w:vAlign w:val="center"/>
                </w:tcPr>
                <w:p w14:paraId="3B24848E">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113.165869485</w:t>
                  </w:r>
                </w:p>
              </w:tc>
              <w:tc>
                <w:tcPr>
                  <w:tcW w:w="714" w:type="pct"/>
                  <w:tcBorders>
                    <w:tl2br w:val="nil"/>
                    <w:tr2bl w:val="nil"/>
                  </w:tcBorders>
                  <w:noWrap w:val="0"/>
                  <w:vAlign w:val="center"/>
                </w:tcPr>
                <w:p w14:paraId="44BF1BBF">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29.136142131</w:t>
                  </w:r>
                </w:p>
              </w:tc>
              <w:tc>
                <w:tcPr>
                  <w:tcW w:w="389" w:type="pct"/>
                  <w:vMerge w:val="continue"/>
                  <w:tcBorders>
                    <w:tl2br w:val="nil"/>
                    <w:tr2bl w:val="nil"/>
                  </w:tcBorders>
                  <w:noWrap w:val="0"/>
                  <w:vAlign w:val="center"/>
                </w:tcPr>
                <w:p w14:paraId="643F6CA1">
                  <w:pPr>
                    <w:pStyle w:val="42"/>
                    <w:autoSpaceDE w:val="0"/>
                    <w:autoSpaceDN w:val="0"/>
                    <w:bidi w:val="0"/>
                    <w:jc w:val="center"/>
                    <w:rPr>
                      <w:rFonts w:hint="default"/>
                      <w:color w:val="auto"/>
                      <w:highlight w:val="green"/>
                      <w:u w:val="none" w:color="auto"/>
                      <w:lang w:val="en-US" w:eastAsia="zh-CN"/>
                    </w:rPr>
                  </w:pPr>
                </w:p>
              </w:tc>
              <w:tc>
                <w:tcPr>
                  <w:tcW w:w="515" w:type="pct"/>
                  <w:tcBorders>
                    <w:tl2br w:val="nil"/>
                    <w:tr2bl w:val="nil"/>
                  </w:tcBorders>
                  <w:noWrap w:val="0"/>
                  <w:vAlign w:val="center"/>
                </w:tcPr>
                <w:p w14:paraId="38A84DCE">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约100</w:t>
                  </w:r>
                  <w:r>
                    <w:rPr>
                      <w:rFonts w:hint="default"/>
                      <w:color w:val="auto"/>
                      <w:highlight w:val="none"/>
                      <w:u w:val="none" w:color="auto"/>
                      <w:lang w:val="en-US" w:eastAsia="zh-CN"/>
                    </w:rPr>
                    <w:t>人</w:t>
                  </w:r>
                </w:p>
              </w:tc>
              <w:tc>
                <w:tcPr>
                  <w:tcW w:w="316" w:type="pct"/>
                  <w:vMerge w:val="continue"/>
                  <w:tcBorders>
                    <w:tl2br w:val="nil"/>
                    <w:tr2bl w:val="nil"/>
                  </w:tcBorders>
                  <w:noWrap w:val="0"/>
                  <w:vAlign w:val="center"/>
                </w:tcPr>
                <w:p w14:paraId="09E84C7F">
                  <w:pPr>
                    <w:pStyle w:val="42"/>
                    <w:autoSpaceDE w:val="0"/>
                    <w:autoSpaceDN w:val="0"/>
                    <w:bidi w:val="0"/>
                    <w:jc w:val="center"/>
                    <w:rPr>
                      <w:rFonts w:hint="default"/>
                      <w:color w:val="auto"/>
                      <w:highlight w:val="none"/>
                      <w:u w:val="none" w:color="auto"/>
                    </w:rPr>
                  </w:pPr>
                </w:p>
              </w:tc>
              <w:tc>
                <w:tcPr>
                  <w:tcW w:w="388" w:type="pct"/>
                  <w:tcBorders>
                    <w:tl2br w:val="nil"/>
                    <w:tr2bl w:val="nil"/>
                  </w:tcBorders>
                  <w:noWrap w:val="0"/>
                  <w:vAlign w:val="center"/>
                </w:tcPr>
                <w:p w14:paraId="30085C0C">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西南</w:t>
                  </w:r>
                </w:p>
              </w:tc>
              <w:tc>
                <w:tcPr>
                  <w:tcW w:w="455" w:type="pct"/>
                  <w:tcBorders>
                    <w:tl2br w:val="nil"/>
                    <w:tr2bl w:val="nil"/>
                  </w:tcBorders>
                  <w:noWrap w:val="0"/>
                  <w:vAlign w:val="center"/>
                </w:tcPr>
                <w:p w14:paraId="5A449C1F">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263</w:t>
                  </w:r>
                </w:p>
              </w:tc>
              <w:tc>
                <w:tcPr>
                  <w:tcW w:w="878" w:type="pct"/>
                  <w:vMerge w:val="continue"/>
                  <w:tcBorders>
                    <w:tl2br w:val="nil"/>
                    <w:tr2bl w:val="nil"/>
                  </w:tcBorders>
                  <w:noWrap w:val="0"/>
                  <w:vAlign w:val="center"/>
                </w:tcPr>
                <w:p w14:paraId="0D3A2BBE">
                  <w:pPr>
                    <w:pStyle w:val="42"/>
                    <w:autoSpaceDE w:val="0"/>
                    <w:autoSpaceDN w:val="0"/>
                    <w:bidi w:val="0"/>
                    <w:jc w:val="center"/>
                    <w:rPr>
                      <w:rFonts w:hint="default"/>
                      <w:color w:val="auto"/>
                      <w:highlight w:val="green"/>
                      <w:u w:val="none" w:color="auto"/>
                    </w:rPr>
                  </w:pPr>
                </w:p>
              </w:tc>
            </w:tr>
            <w:tr w14:paraId="1F998D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1" w:type="pct"/>
                  <w:tcBorders>
                    <w:tl2br w:val="nil"/>
                    <w:tr2bl w:val="nil"/>
                  </w:tcBorders>
                  <w:noWrap w:val="0"/>
                  <w:vAlign w:val="center"/>
                </w:tcPr>
                <w:p w14:paraId="36273BE6">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散户</w:t>
                  </w:r>
                </w:p>
              </w:tc>
              <w:tc>
                <w:tcPr>
                  <w:tcW w:w="772" w:type="pct"/>
                  <w:tcBorders>
                    <w:tl2br w:val="nil"/>
                    <w:tr2bl w:val="nil"/>
                  </w:tcBorders>
                  <w:noWrap w:val="0"/>
                  <w:vAlign w:val="center"/>
                </w:tcPr>
                <w:p w14:paraId="02045172">
                  <w:pPr>
                    <w:pStyle w:val="42"/>
                    <w:autoSpaceDE w:val="0"/>
                    <w:autoSpaceDN w:val="0"/>
                    <w:bidi w:val="0"/>
                    <w:jc w:val="center"/>
                    <w:rPr>
                      <w:rFonts w:hint="eastAsia"/>
                      <w:color w:val="auto"/>
                      <w:highlight w:val="none"/>
                      <w:u w:val="none" w:color="auto"/>
                      <w:lang w:val="en-US" w:eastAsia="zh-CN"/>
                    </w:rPr>
                  </w:pPr>
                  <w:r>
                    <w:rPr>
                      <w:rFonts w:hint="default"/>
                      <w:color w:val="auto"/>
                      <w:highlight w:val="none"/>
                      <w:u w:val="none" w:color="auto"/>
                      <w:lang w:val="en-US" w:eastAsia="zh-CN"/>
                    </w:rPr>
                    <w:t>113.170676004</w:t>
                  </w:r>
                </w:p>
              </w:tc>
              <w:tc>
                <w:tcPr>
                  <w:tcW w:w="714" w:type="pct"/>
                  <w:tcBorders>
                    <w:tl2br w:val="nil"/>
                    <w:tr2bl w:val="nil"/>
                  </w:tcBorders>
                  <w:noWrap w:val="0"/>
                  <w:vAlign w:val="center"/>
                </w:tcPr>
                <w:p w14:paraId="2423906D">
                  <w:pPr>
                    <w:pStyle w:val="4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29.140605327</w:t>
                  </w:r>
                </w:p>
              </w:tc>
              <w:tc>
                <w:tcPr>
                  <w:tcW w:w="389" w:type="pct"/>
                  <w:vMerge w:val="continue"/>
                  <w:tcBorders>
                    <w:tl2br w:val="nil"/>
                    <w:tr2bl w:val="nil"/>
                  </w:tcBorders>
                  <w:noWrap w:val="0"/>
                  <w:vAlign w:val="center"/>
                </w:tcPr>
                <w:p w14:paraId="2BC87D43">
                  <w:pPr>
                    <w:pStyle w:val="42"/>
                    <w:autoSpaceDE w:val="0"/>
                    <w:autoSpaceDN w:val="0"/>
                    <w:bidi w:val="0"/>
                    <w:jc w:val="center"/>
                    <w:rPr>
                      <w:rFonts w:hint="default"/>
                      <w:color w:val="auto"/>
                      <w:highlight w:val="green"/>
                      <w:u w:val="none" w:color="auto"/>
                      <w:lang w:val="en-US" w:eastAsia="zh-CN"/>
                    </w:rPr>
                  </w:pPr>
                </w:p>
              </w:tc>
              <w:tc>
                <w:tcPr>
                  <w:tcW w:w="515" w:type="pct"/>
                  <w:tcBorders>
                    <w:tl2br w:val="nil"/>
                    <w:tr2bl w:val="nil"/>
                  </w:tcBorders>
                  <w:noWrap w:val="0"/>
                  <w:vAlign w:val="center"/>
                </w:tcPr>
                <w:p w14:paraId="03D0A8C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约80人</w:t>
                  </w:r>
                </w:p>
              </w:tc>
              <w:tc>
                <w:tcPr>
                  <w:tcW w:w="316" w:type="pct"/>
                  <w:vMerge w:val="continue"/>
                  <w:tcBorders>
                    <w:tl2br w:val="nil"/>
                    <w:tr2bl w:val="nil"/>
                  </w:tcBorders>
                  <w:noWrap w:val="0"/>
                  <w:vAlign w:val="center"/>
                </w:tcPr>
                <w:p w14:paraId="4EB07E93">
                  <w:pPr>
                    <w:pStyle w:val="42"/>
                    <w:autoSpaceDE w:val="0"/>
                    <w:autoSpaceDN w:val="0"/>
                    <w:bidi w:val="0"/>
                    <w:jc w:val="center"/>
                    <w:rPr>
                      <w:rFonts w:hint="default"/>
                      <w:color w:val="auto"/>
                      <w:highlight w:val="none"/>
                      <w:u w:val="none" w:color="auto"/>
                    </w:rPr>
                  </w:pPr>
                </w:p>
              </w:tc>
              <w:tc>
                <w:tcPr>
                  <w:tcW w:w="388" w:type="pct"/>
                  <w:tcBorders>
                    <w:tl2br w:val="nil"/>
                    <w:tr2bl w:val="nil"/>
                  </w:tcBorders>
                  <w:noWrap w:val="0"/>
                  <w:vAlign w:val="center"/>
                </w:tcPr>
                <w:p w14:paraId="6CD2B081">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东北</w:t>
                  </w:r>
                </w:p>
              </w:tc>
              <w:tc>
                <w:tcPr>
                  <w:tcW w:w="455" w:type="pct"/>
                  <w:tcBorders>
                    <w:tl2br w:val="nil"/>
                    <w:tr2bl w:val="nil"/>
                  </w:tcBorders>
                  <w:noWrap w:val="0"/>
                  <w:vAlign w:val="center"/>
                </w:tcPr>
                <w:p w14:paraId="76CFF66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182</w:t>
                  </w:r>
                </w:p>
              </w:tc>
              <w:tc>
                <w:tcPr>
                  <w:tcW w:w="878" w:type="pct"/>
                  <w:vMerge w:val="continue"/>
                  <w:tcBorders>
                    <w:tl2br w:val="nil"/>
                    <w:tr2bl w:val="nil"/>
                  </w:tcBorders>
                  <w:noWrap w:val="0"/>
                  <w:vAlign w:val="center"/>
                </w:tcPr>
                <w:p w14:paraId="080052A7">
                  <w:pPr>
                    <w:pStyle w:val="42"/>
                    <w:autoSpaceDE w:val="0"/>
                    <w:autoSpaceDN w:val="0"/>
                    <w:bidi w:val="0"/>
                    <w:jc w:val="center"/>
                    <w:rPr>
                      <w:rFonts w:hint="default"/>
                      <w:color w:val="auto"/>
                      <w:highlight w:val="green"/>
                      <w:u w:val="none" w:color="auto"/>
                    </w:rPr>
                  </w:pPr>
                </w:p>
              </w:tc>
            </w:tr>
          </w:tbl>
          <w:p w14:paraId="468C96FB">
            <w:pPr>
              <w:pStyle w:val="50"/>
              <w:spacing w:before="31" w:line="223" w:lineRule="auto"/>
              <w:ind w:left="2619"/>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表3-</w:t>
            </w:r>
            <w:r>
              <w:rPr>
                <w:rFonts w:hint="eastAsia" w:ascii="Times New Roman" w:hAnsi="Times New Roman" w:cs="Times New Roman"/>
                <w:b/>
                <w:bCs/>
                <w:color w:val="auto"/>
                <w:kern w:val="0"/>
                <w:sz w:val="21"/>
                <w:szCs w:val="20"/>
                <w:highlight w:val="none"/>
                <w:u w:val="none" w:color="auto"/>
                <w:lang w:val="en-US" w:eastAsia="zh-CN" w:bidi="ar-SA"/>
              </w:rPr>
              <w:t>4</w:t>
            </w:r>
            <w:r>
              <w:rPr>
                <w:rFonts w:hint="default" w:ascii="Times New Roman" w:hAnsi="Times New Roman" w:eastAsia="宋体" w:cs="Times New Roman"/>
                <w:b/>
                <w:bCs/>
                <w:color w:val="auto"/>
                <w:kern w:val="0"/>
                <w:sz w:val="21"/>
                <w:szCs w:val="20"/>
                <w:highlight w:val="none"/>
                <w:u w:val="none" w:color="auto"/>
                <w:lang w:val="en-US" w:eastAsia="zh-CN" w:bidi="ar-SA"/>
              </w:rPr>
              <w:t xml:space="preserve">  其他环境要素保护目标</w:t>
            </w:r>
          </w:p>
          <w:tbl>
            <w:tblPr>
              <w:tblStyle w:val="53"/>
              <w:tblW w:w="8401" w:type="dxa"/>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91"/>
              <w:gridCol w:w="1056"/>
              <w:gridCol w:w="734"/>
              <w:gridCol w:w="1641"/>
              <w:gridCol w:w="1632"/>
              <w:gridCol w:w="2547"/>
            </w:tblGrid>
            <w:tr w14:paraId="312A00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06" w:type="pct"/>
                  <w:tcBorders>
                    <w:tl2br w:val="nil"/>
                    <w:tr2bl w:val="nil"/>
                  </w:tcBorders>
                  <w:noWrap w:val="0"/>
                  <w:vAlign w:val="center"/>
                </w:tcPr>
                <w:p w14:paraId="3F52193E">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环境要素</w:t>
                  </w:r>
                </w:p>
              </w:tc>
              <w:tc>
                <w:tcPr>
                  <w:tcW w:w="663" w:type="pct"/>
                  <w:tcBorders>
                    <w:tl2br w:val="nil"/>
                    <w:tr2bl w:val="nil"/>
                  </w:tcBorders>
                  <w:noWrap w:val="0"/>
                  <w:vAlign w:val="center"/>
                </w:tcPr>
                <w:p w14:paraId="54FE1A4D">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环境保护目标</w:t>
                  </w:r>
                </w:p>
              </w:tc>
              <w:tc>
                <w:tcPr>
                  <w:tcW w:w="471" w:type="pct"/>
                  <w:tcBorders>
                    <w:tl2br w:val="nil"/>
                    <w:tr2bl w:val="nil"/>
                  </w:tcBorders>
                  <w:noWrap w:val="0"/>
                  <w:vAlign w:val="center"/>
                </w:tcPr>
                <w:p w14:paraId="6E7DA48C">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方位</w:t>
                  </w:r>
                </w:p>
              </w:tc>
              <w:tc>
                <w:tcPr>
                  <w:tcW w:w="1011" w:type="pct"/>
                  <w:tcBorders>
                    <w:tl2br w:val="nil"/>
                    <w:tr2bl w:val="nil"/>
                  </w:tcBorders>
                  <w:noWrap w:val="0"/>
                  <w:vAlign w:val="center"/>
                </w:tcPr>
                <w:p w14:paraId="6003AC41">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与厂界最近距离m</w:t>
                  </w:r>
                </w:p>
              </w:tc>
              <w:tc>
                <w:tcPr>
                  <w:tcW w:w="798" w:type="pct"/>
                  <w:tcBorders>
                    <w:tl2br w:val="nil"/>
                    <w:tr2bl w:val="nil"/>
                  </w:tcBorders>
                  <w:noWrap w:val="0"/>
                  <w:vAlign w:val="center"/>
                </w:tcPr>
                <w:p w14:paraId="54CC2DE9">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规模、功能</w:t>
                  </w:r>
                </w:p>
              </w:tc>
              <w:tc>
                <w:tcPr>
                  <w:tcW w:w="1549" w:type="pct"/>
                  <w:tcBorders>
                    <w:tl2br w:val="nil"/>
                    <w:tr2bl w:val="nil"/>
                  </w:tcBorders>
                  <w:noWrap w:val="0"/>
                  <w:vAlign w:val="center"/>
                </w:tcPr>
                <w:p w14:paraId="0F4C930A">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保护级别</w:t>
                  </w:r>
                </w:p>
              </w:tc>
            </w:tr>
            <w:tr w14:paraId="723DBB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pct"/>
                  <w:tcBorders>
                    <w:tl2br w:val="nil"/>
                    <w:tr2bl w:val="nil"/>
                  </w:tcBorders>
                  <w:noWrap w:val="0"/>
                  <w:vAlign w:val="center"/>
                </w:tcPr>
                <w:p w14:paraId="3F594A31">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地表水</w:t>
                  </w:r>
                </w:p>
              </w:tc>
              <w:tc>
                <w:tcPr>
                  <w:tcW w:w="1114" w:type="dxa"/>
                  <w:tcBorders>
                    <w:tl2br w:val="nil"/>
                    <w:tr2bl w:val="nil"/>
                  </w:tcBorders>
                  <w:noWrap w:val="0"/>
                  <w:vAlign w:val="center"/>
                </w:tcPr>
                <w:p w14:paraId="59779596">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color w:val="auto"/>
                      <w:sz w:val="21"/>
                      <w:szCs w:val="21"/>
                      <w:highlight w:val="none"/>
                    </w:rPr>
                    <w:t>新墙河</w:t>
                  </w:r>
                </w:p>
              </w:tc>
              <w:tc>
                <w:tcPr>
                  <w:tcW w:w="792" w:type="dxa"/>
                  <w:tcBorders>
                    <w:tl2br w:val="nil"/>
                    <w:tr2bl w:val="nil"/>
                  </w:tcBorders>
                  <w:noWrap w:val="0"/>
                  <w:vAlign w:val="center"/>
                </w:tcPr>
                <w:p w14:paraId="348E3C51">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b w:val="0"/>
                      <w:bCs/>
                      <w:color w:val="auto"/>
                      <w:sz w:val="21"/>
                      <w:szCs w:val="21"/>
                      <w:highlight w:val="none"/>
                    </w:rPr>
                    <w:t>河流，渔业用水</w:t>
                  </w:r>
                </w:p>
              </w:tc>
              <w:tc>
                <w:tcPr>
                  <w:tcW w:w="1699" w:type="dxa"/>
                  <w:tcBorders>
                    <w:tl2br w:val="nil"/>
                    <w:tr2bl w:val="nil"/>
                  </w:tcBorders>
                  <w:noWrap w:val="0"/>
                  <w:vAlign w:val="center"/>
                </w:tcPr>
                <w:p w14:paraId="56D834ED">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eastAsia" w:ascii="Times New Roman" w:hAnsi="Times New Roman" w:eastAsia="宋体" w:cs="Times New Roman"/>
                      <w:b w:val="0"/>
                      <w:bCs/>
                      <w:color w:val="auto"/>
                      <w:sz w:val="21"/>
                      <w:szCs w:val="21"/>
                      <w:highlight w:val="none"/>
                      <w:lang w:val="en-US" w:eastAsia="zh-CN"/>
                    </w:rPr>
                    <w:t>北</w:t>
                  </w:r>
                  <w:r>
                    <w:rPr>
                      <w:rFonts w:hint="default" w:ascii="Times New Roman" w:hAnsi="Times New Roman" w:eastAsia="宋体" w:cs="Times New Roman"/>
                      <w:b w:val="0"/>
                      <w:bCs/>
                      <w:color w:val="auto"/>
                      <w:sz w:val="21"/>
                      <w:szCs w:val="21"/>
                      <w:highlight w:val="none"/>
                    </w:rPr>
                    <w:t>侧，</w:t>
                  </w:r>
                  <w:r>
                    <w:rPr>
                      <w:rFonts w:hint="eastAsia" w:ascii="Times New Roman" w:hAnsi="Times New Roman" w:eastAsia="宋体" w:cs="Times New Roman"/>
                      <w:b w:val="0"/>
                      <w:bCs/>
                      <w:color w:val="auto"/>
                      <w:sz w:val="21"/>
                      <w:szCs w:val="21"/>
                      <w:highlight w:val="none"/>
                      <w:lang w:val="en-US" w:eastAsia="zh-CN"/>
                    </w:rPr>
                    <w:t>2400</w:t>
                  </w:r>
                  <w:r>
                    <w:rPr>
                      <w:rFonts w:hint="default" w:ascii="Times New Roman" w:hAnsi="Times New Roman" w:eastAsia="宋体" w:cs="Times New Roman"/>
                      <w:b w:val="0"/>
                      <w:bCs/>
                      <w:color w:val="auto"/>
                      <w:sz w:val="21"/>
                      <w:szCs w:val="21"/>
                      <w:highlight w:val="none"/>
                    </w:rPr>
                    <w:t>m</w:t>
                  </w:r>
                </w:p>
              </w:tc>
              <w:tc>
                <w:tcPr>
                  <w:tcW w:w="1341" w:type="dxa"/>
                  <w:tcBorders>
                    <w:tl2br w:val="nil"/>
                    <w:tr2bl w:val="nil"/>
                  </w:tcBorders>
                  <w:noWrap w:val="0"/>
                  <w:vAlign w:val="center"/>
                </w:tcPr>
                <w:p w14:paraId="67884FF4">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《地表水环境质量标准》</w:t>
                  </w:r>
                </w:p>
                <w:p w14:paraId="617194E8">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eastAsia" w:eastAsia="宋体" w:cs="Times New Roman"/>
                      <w:color w:val="auto"/>
                      <w:highlight w:val="none"/>
                      <w:u w:val="none" w:color="auto"/>
                      <w:lang w:val="en-US" w:eastAsia="zh-CN"/>
                    </w:rPr>
                  </w:pPr>
                  <w:r>
                    <w:rPr>
                      <w:rFonts w:hint="default" w:ascii="Times New Roman" w:hAnsi="Times New Roman" w:eastAsia="宋体" w:cs="Times New Roman"/>
                      <w:b w:val="0"/>
                      <w:bCs/>
                      <w:color w:val="auto"/>
                      <w:sz w:val="21"/>
                      <w:szCs w:val="21"/>
                      <w:highlight w:val="none"/>
                    </w:rPr>
                    <w:t>（GB3838-2002）Ⅲ类标准</w:t>
                  </w:r>
                </w:p>
              </w:tc>
              <w:tc>
                <w:tcPr>
                  <w:tcW w:w="2605" w:type="dxa"/>
                  <w:tcBorders>
                    <w:tl2br w:val="nil"/>
                    <w:tr2bl w:val="nil"/>
                  </w:tcBorders>
                  <w:noWrap w:val="0"/>
                  <w:vAlign w:val="center"/>
                </w:tcPr>
                <w:p w14:paraId="3B56A01B">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color w:val="auto"/>
                      <w:sz w:val="21"/>
                      <w:szCs w:val="21"/>
                      <w:highlight w:val="none"/>
                    </w:rPr>
                    <w:t>新墙河</w:t>
                  </w:r>
                </w:p>
              </w:tc>
            </w:tr>
            <w:tr w14:paraId="58E6D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pct"/>
                  <w:tcBorders>
                    <w:tl2br w:val="nil"/>
                    <w:tr2bl w:val="nil"/>
                  </w:tcBorders>
                  <w:noWrap w:val="0"/>
                  <w:vAlign w:val="center"/>
                </w:tcPr>
                <w:p w14:paraId="3198E0EE">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地下水环境</w:t>
                  </w:r>
                </w:p>
              </w:tc>
              <w:tc>
                <w:tcPr>
                  <w:tcW w:w="4493" w:type="pct"/>
                  <w:gridSpan w:val="5"/>
                  <w:tcBorders>
                    <w:tl2br w:val="nil"/>
                    <w:tr2bl w:val="nil"/>
                  </w:tcBorders>
                  <w:noWrap w:val="0"/>
                  <w:vAlign w:val="center"/>
                </w:tcPr>
                <w:p w14:paraId="4950DF44">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w:t>
                  </w:r>
                  <w:r>
                    <w:rPr>
                      <w:rFonts w:hint="eastAsia" w:eastAsia="宋体" w:cs="Times New Roman"/>
                      <w:color w:val="auto"/>
                      <w:highlight w:val="none"/>
                      <w:u w:val="none" w:color="auto"/>
                      <w:lang w:val="en-US" w:eastAsia="zh-CN"/>
                    </w:rPr>
                    <w:t>外</w:t>
                  </w:r>
                  <w:r>
                    <w:rPr>
                      <w:rFonts w:hint="default" w:ascii="Times New Roman" w:hAnsi="Times New Roman" w:cs="Times New Roman"/>
                      <w:color w:val="auto"/>
                      <w:highlight w:val="none"/>
                      <w:u w:val="none" w:color="auto"/>
                    </w:rPr>
                    <w:t>500米范围内无地下水集中式、分散式饮用式水源和热水、矿泉水、温泉等特殊地下水资源</w:t>
                  </w:r>
                </w:p>
              </w:tc>
            </w:tr>
            <w:tr w14:paraId="4E5E8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06" w:type="pct"/>
                  <w:tcBorders>
                    <w:tl2br w:val="nil"/>
                    <w:tr2bl w:val="nil"/>
                  </w:tcBorders>
                  <w:noWrap w:val="0"/>
                  <w:vAlign w:val="center"/>
                </w:tcPr>
                <w:p w14:paraId="078B308E">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声环境</w:t>
                  </w:r>
                </w:p>
              </w:tc>
              <w:tc>
                <w:tcPr>
                  <w:tcW w:w="4493" w:type="pct"/>
                  <w:gridSpan w:val="5"/>
                  <w:tcBorders>
                    <w:tl2br w:val="nil"/>
                    <w:tr2bl w:val="nil"/>
                  </w:tcBorders>
                  <w:noWrap w:val="0"/>
                  <w:vAlign w:val="center"/>
                </w:tcPr>
                <w:p w14:paraId="08B4C0AA">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厂界外</w:t>
                  </w:r>
                  <w:r>
                    <w:rPr>
                      <w:rFonts w:hint="eastAsia" w:eastAsia="宋体" w:cs="Times New Roman"/>
                      <w:color w:val="auto"/>
                      <w:highlight w:val="none"/>
                      <w:u w:val="none" w:color="auto"/>
                      <w:lang w:val="en-US" w:eastAsia="zh-CN"/>
                    </w:rPr>
                    <w:t>50</w:t>
                  </w:r>
                  <w:r>
                    <w:rPr>
                      <w:rFonts w:hint="default" w:ascii="Times New Roman" w:hAnsi="Times New Roman" w:cs="Times New Roman"/>
                      <w:color w:val="auto"/>
                      <w:highlight w:val="none"/>
                      <w:u w:val="none" w:color="auto"/>
                    </w:rPr>
                    <w:t>米范围内无声环境敏感保护目标</w:t>
                  </w:r>
                </w:p>
              </w:tc>
            </w:tr>
            <w:tr w14:paraId="27578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06" w:type="pct"/>
                  <w:tcBorders>
                    <w:tl2br w:val="nil"/>
                    <w:tr2bl w:val="nil"/>
                  </w:tcBorders>
                  <w:noWrap w:val="0"/>
                  <w:vAlign w:val="center"/>
                </w:tcPr>
                <w:p w14:paraId="77417F60">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生态环境</w:t>
                  </w:r>
                </w:p>
              </w:tc>
              <w:tc>
                <w:tcPr>
                  <w:tcW w:w="4493" w:type="pct"/>
                  <w:gridSpan w:val="5"/>
                  <w:tcBorders>
                    <w:tl2br w:val="nil"/>
                    <w:tr2bl w:val="nil"/>
                  </w:tcBorders>
                  <w:noWrap w:val="0"/>
                  <w:vAlign w:val="center"/>
                </w:tcPr>
                <w:p w14:paraId="6279134C">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评价范围内无珍稀、濒危等生态保护目标</w:t>
                  </w:r>
                </w:p>
              </w:tc>
            </w:tr>
          </w:tbl>
          <w:p w14:paraId="1A88E99B">
            <w:pPr>
              <w:adjustRightInd w:val="0"/>
              <w:snapToGrid w:val="0"/>
              <w:jc w:val="center"/>
              <w:rPr>
                <w:rFonts w:hint="default" w:ascii="Times New Roman" w:hAnsi="Times New Roman" w:cs="Times New Roman"/>
                <w:color w:val="auto"/>
                <w:kern w:val="0"/>
                <w:szCs w:val="21"/>
                <w:highlight w:val="green"/>
                <w:u w:val="none" w:color="auto"/>
              </w:rPr>
            </w:pPr>
          </w:p>
        </w:tc>
      </w:tr>
      <w:tr w14:paraId="79075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34" w:type="pct"/>
            <w:noWrap w:val="0"/>
            <w:tcMar>
              <w:left w:w="28" w:type="dxa"/>
              <w:right w:w="28" w:type="dxa"/>
            </w:tcMar>
            <w:vAlign w:val="center"/>
          </w:tcPr>
          <w:p w14:paraId="2F26B117">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污染</w:t>
            </w:r>
          </w:p>
          <w:p w14:paraId="319E495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物排</w:t>
            </w:r>
          </w:p>
          <w:p w14:paraId="690EE20E">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放控</w:t>
            </w:r>
          </w:p>
          <w:p w14:paraId="0AAD3E39">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制标</w:t>
            </w:r>
          </w:p>
          <w:p w14:paraId="5E9FA7E2">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准</w:t>
            </w:r>
          </w:p>
        </w:tc>
        <w:tc>
          <w:tcPr>
            <w:tcW w:w="4765" w:type="pct"/>
            <w:noWrap w:val="0"/>
            <w:vAlign w:val="center"/>
          </w:tcPr>
          <w:p w14:paraId="456DBBE0">
            <w:pPr>
              <w:spacing w:line="360" w:lineRule="auto"/>
              <w:rPr>
                <w:rFonts w:hint="default" w:ascii="Times New Roman" w:hAnsi="Times New Roman" w:cs="Times New Roman"/>
                <w:b/>
                <w:bCs/>
                <w:color w:val="auto"/>
                <w:kern w:val="0"/>
                <w:sz w:val="24"/>
                <w:highlight w:val="none"/>
                <w:u w:val="none" w:color="auto"/>
              </w:rPr>
            </w:pPr>
            <w:r>
              <w:rPr>
                <w:rFonts w:hint="default" w:ascii="Times New Roman" w:hAnsi="Times New Roman" w:cs="Times New Roman"/>
                <w:b/>
                <w:color w:val="auto"/>
                <w:sz w:val="24"/>
                <w:highlight w:val="none"/>
                <w:u w:val="none" w:color="auto"/>
              </w:rPr>
              <w:t>1、</w:t>
            </w:r>
            <w:r>
              <w:rPr>
                <w:rFonts w:hint="default" w:ascii="Times New Roman" w:hAnsi="Times New Roman" w:cs="Times New Roman"/>
                <w:b/>
                <w:bCs/>
                <w:color w:val="auto"/>
                <w:kern w:val="0"/>
                <w:sz w:val="24"/>
                <w:highlight w:val="none"/>
                <w:u w:val="none" w:color="auto"/>
              </w:rPr>
              <w:t>废气排放标准</w:t>
            </w:r>
          </w:p>
          <w:p w14:paraId="4A09E1E3">
            <w:pPr>
              <w:pStyle w:val="37"/>
              <w:widowControl w:val="0"/>
              <w:wordWrap w:val="0"/>
              <w:topLinePunct/>
              <w:bidi w:val="0"/>
              <w:spacing w:line="360" w:lineRule="auto"/>
              <w:ind w:firstLine="480" w:firstLineChars="200"/>
              <w:jc w:val="both"/>
              <w:rPr>
                <w:color w:val="auto"/>
                <w:highlight w:val="none"/>
                <w:u w:val="none" w:color="auto"/>
              </w:rPr>
            </w:pPr>
            <w:r>
              <w:rPr>
                <w:rFonts w:ascii="Times New Roman" w:hAnsi="Times New Roman" w:eastAsia="宋体" w:cs="Times New Roman"/>
                <w:color w:val="auto"/>
                <w:kern w:val="0"/>
                <w:sz w:val="24"/>
                <w:szCs w:val="24"/>
                <w:highlight w:val="none"/>
                <w:u w:val="none" w:color="auto"/>
                <w:lang w:bidi="ar-SA"/>
              </w:rPr>
              <w:t>本项目排放的废气中，主要污染物为颗粒物。</w:t>
            </w:r>
            <w:r>
              <w:rPr>
                <w:rFonts w:hint="eastAsia"/>
                <w:color w:val="auto"/>
                <w:highlight w:val="none"/>
                <w:u w:val="none" w:color="auto"/>
                <w:lang w:val="en-US" w:eastAsia="zh-CN"/>
              </w:rPr>
              <w:t>无组织废气：</w:t>
            </w:r>
            <w:r>
              <w:rPr>
                <w:rFonts w:hint="eastAsia"/>
                <w:color w:val="auto"/>
                <w:spacing w:val="-3"/>
                <w:highlight w:val="none"/>
                <w:u w:val="none" w:color="auto"/>
                <w:lang w:val="en-US" w:eastAsia="zh-CN"/>
              </w:rPr>
              <w:t>厂界颗粒物无组织排放执行</w:t>
            </w:r>
            <w:r>
              <w:rPr>
                <w:rFonts w:hint="default"/>
                <w:color w:val="auto"/>
                <w:highlight w:val="none"/>
                <w:u w:val="none" w:color="auto"/>
                <w:lang w:val="en-US" w:eastAsia="zh-CN"/>
              </w:rPr>
              <w:t>《大气污染物综合排放标准》（GB16297-1996）表2中无组织排放监控浓度限</w:t>
            </w:r>
            <w:r>
              <w:rPr>
                <w:rFonts w:hint="eastAsia"/>
                <w:color w:val="auto"/>
                <w:highlight w:val="none"/>
                <w:u w:val="none" w:color="auto"/>
                <w:lang w:val="en-US" w:eastAsia="zh-CN"/>
              </w:rPr>
              <w:t>值，</w:t>
            </w:r>
            <w:r>
              <w:rPr>
                <w:rFonts w:hint="default"/>
                <w:color w:val="auto"/>
                <w:highlight w:val="none"/>
                <w:u w:val="none" w:color="auto"/>
                <w:lang w:val="en-US" w:eastAsia="zh-CN"/>
              </w:rPr>
              <w:t>详</w:t>
            </w:r>
            <w:r>
              <w:rPr>
                <w:rFonts w:hint="default"/>
                <w:color w:val="auto"/>
                <w:highlight w:val="none"/>
                <w:u w:val="none" w:color="auto"/>
              </w:rPr>
              <w:t>见表3-</w:t>
            </w:r>
            <w:r>
              <w:rPr>
                <w:rFonts w:hint="eastAsia"/>
                <w:color w:val="auto"/>
                <w:highlight w:val="none"/>
                <w:u w:val="none" w:color="auto"/>
                <w:lang w:val="en-US" w:eastAsia="zh-CN"/>
              </w:rPr>
              <w:t>5。</w:t>
            </w:r>
            <w:r>
              <w:rPr>
                <w:rFonts w:hint="eastAsia" w:ascii="Times New Roman" w:hAnsi="Times New Roman" w:eastAsia="宋体" w:cs="Times New Roman"/>
                <w:color w:val="auto"/>
                <w:kern w:val="0"/>
                <w:sz w:val="24"/>
                <w:szCs w:val="24"/>
                <w:highlight w:val="none"/>
                <w:u w:val="none" w:color="auto"/>
                <w:lang w:bidi="ar-SA"/>
              </w:rPr>
              <w:t>食堂油烟执行《饮食业油烟排放标准（试行）》（GB18483-2001）中饮食业单位油烟最高允许排放浓度2.0mg/m</w:t>
            </w:r>
            <w:r>
              <w:rPr>
                <w:rFonts w:hint="eastAsia" w:ascii="Times New Roman" w:hAnsi="Times New Roman" w:eastAsia="宋体" w:cs="Times New Roman"/>
                <w:color w:val="auto"/>
                <w:kern w:val="0"/>
                <w:sz w:val="24"/>
                <w:szCs w:val="24"/>
                <w:highlight w:val="none"/>
                <w:u w:val="none" w:color="auto"/>
                <w:vertAlign w:val="superscript"/>
                <w:lang w:bidi="ar-SA"/>
              </w:rPr>
              <w:t>3</w:t>
            </w:r>
            <w:r>
              <w:rPr>
                <w:rFonts w:hint="eastAsia" w:ascii="Times New Roman" w:hAnsi="Times New Roman" w:eastAsia="宋体" w:cs="Times New Roman"/>
                <w:color w:val="auto"/>
                <w:kern w:val="0"/>
                <w:sz w:val="24"/>
                <w:szCs w:val="24"/>
                <w:highlight w:val="none"/>
                <w:u w:val="none" w:color="auto"/>
                <w:lang w:bidi="ar-SA"/>
              </w:rPr>
              <w:t>。</w:t>
            </w:r>
          </w:p>
          <w:p w14:paraId="4EF43D44">
            <w:pPr>
              <w:pStyle w:val="37"/>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16"/>
                <w:highlight w:val="none"/>
                <w:u w:val="none" w:color="auto"/>
              </w:rPr>
            </w:pPr>
            <w:r>
              <w:rPr>
                <w:rFonts w:hint="default" w:ascii="Times New Roman" w:hAnsi="Times New Roman" w:cs="Times New Roman"/>
                <w:b/>
                <w:bCs/>
                <w:color w:val="auto"/>
                <w:sz w:val="21"/>
                <w:szCs w:val="16"/>
                <w:highlight w:val="none"/>
                <w:u w:val="none" w:color="auto"/>
              </w:rPr>
              <w:t>表3-</w:t>
            </w:r>
            <w:r>
              <w:rPr>
                <w:rFonts w:hint="eastAsia" w:cs="Times New Roman"/>
                <w:b/>
                <w:bCs/>
                <w:color w:val="auto"/>
                <w:sz w:val="21"/>
                <w:szCs w:val="16"/>
                <w:highlight w:val="none"/>
                <w:u w:val="none" w:color="auto"/>
                <w:lang w:val="en-US" w:eastAsia="zh-CN"/>
              </w:rPr>
              <w:t>5</w:t>
            </w:r>
            <w:r>
              <w:rPr>
                <w:rFonts w:hint="default" w:ascii="Times New Roman" w:hAnsi="Times New Roman" w:cs="Times New Roman"/>
                <w:b/>
                <w:bCs/>
                <w:color w:val="auto"/>
                <w:sz w:val="21"/>
                <w:szCs w:val="16"/>
                <w:highlight w:val="none"/>
                <w:u w:val="none" w:color="auto"/>
              </w:rPr>
              <w:t xml:space="preserve">  </w:t>
            </w:r>
            <w:r>
              <w:rPr>
                <w:rFonts w:hint="eastAsia" w:cs="Times New Roman"/>
                <w:b/>
                <w:bCs/>
                <w:color w:val="auto"/>
                <w:sz w:val="21"/>
                <w:szCs w:val="16"/>
                <w:highlight w:val="none"/>
                <w:u w:val="none" w:color="auto"/>
                <w:lang w:val="en-US" w:eastAsia="zh-CN"/>
              </w:rPr>
              <w:t xml:space="preserve"> </w:t>
            </w:r>
            <w:r>
              <w:rPr>
                <w:rFonts w:hint="default" w:ascii="Times New Roman" w:hAnsi="Times New Roman" w:cs="Times New Roman"/>
                <w:b/>
                <w:bCs/>
                <w:color w:val="auto"/>
                <w:sz w:val="21"/>
                <w:szCs w:val="16"/>
                <w:highlight w:val="none"/>
                <w:u w:val="none" w:color="auto"/>
              </w:rPr>
              <w:t>《大气污染物综合排放标准》（GB16297-1996）</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92"/>
              <w:gridCol w:w="5038"/>
              <w:gridCol w:w="1530"/>
            </w:tblGrid>
            <w:tr w14:paraId="157AFB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restart"/>
                  <w:tcBorders>
                    <w:tl2br w:val="nil"/>
                    <w:tr2bl w:val="nil"/>
                  </w:tcBorders>
                  <w:vAlign w:val="center"/>
                </w:tcPr>
                <w:p w14:paraId="610A569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污染物</w:t>
                  </w:r>
                </w:p>
              </w:tc>
              <w:tc>
                <w:tcPr>
                  <w:tcW w:w="4177" w:type="pct"/>
                  <w:gridSpan w:val="2"/>
                  <w:tcBorders>
                    <w:tl2br w:val="nil"/>
                    <w:tr2bl w:val="nil"/>
                  </w:tcBorders>
                  <w:vAlign w:val="center"/>
                </w:tcPr>
                <w:p w14:paraId="07E7ECF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大气污染物排放限值</w:t>
                  </w:r>
                </w:p>
              </w:tc>
            </w:tr>
            <w:tr w14:paraId="79D0CF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continue"/>
                  <w:tcBorders>
                    <w:tl2br w:val="nil"/>
                    <w:tr2bl w:val="nil"/>
                  </w:tcBorders>
                  <w:vAlign w:val="center"/>
                </w:tcPr>
                <w:p w14:paraId="4E74A61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4177" w:type="pct"/>
                  <w:gridSpan w:val="2"/>
                  <w:tcBorders>
                    <w:tl2br w:val="nil"/>
                    <w:tr2bl w:val="nil"/>
                  </w:tcBorders>
                  <w:vAlign w:val="center"/>
                </w:tcPr>
                <w:p w14:paraId="2C042B1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无组织排放监控浓度限值</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r>
                    <w:rPr>
                      <w:rFonts w:hint="default" w:ascii="Times New Roman" w:hAnsi="Times New Roman" w:cs="Times New Roman"/>
                      <w:b/>
                      <w:bCs/>
                      <w:color w:val="auto"/>
                      <w:sz w:val="21"/>
                      <w:szCs w:val="16"/>
                      <w:highlight w:val="none"/>
                      <w:u w:val="none" w:color="auto"/>
                    </w:rPr>
                    <w:t>mg/m</w:t>
                  </w:r>
                  <w:r>
                    <w:rPr>
                      <w:rFonts w:hint="default" w:ascii="Times New Roman" w:hAnsi="Times New Roman" w:cs="Times New Roman"/>
                      <w:b/>
                      <w:bCs/>
                      <w:color w:val="auto"/>
                      <w:sz w:val="21"/>
                      <w:szCs w:val="16"/>
                      <w:highlight w:val="none"/>
                      <w:u w:val="none" w:color="auto"/>
                      <w:vertAlign w:val="superscript"/>
                    </w:rPr>
                    <w:t>3</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p>
              </w:tc>
            </w:tr>
            <w:tr w14:paraId="10770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continue"/>
                  <w:tcBorders>
                    <w:tl2br w:val="nil"/>
                    <w:tr2bl w:val="nil"/>
                  </w:tcBorders>
                  <w:vAlign w:val="center"/>
                </w:tcPr>
                <w:p w14:paraId="51E7924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3204" w:type="pct"/>
                  <w:tcBorders>
                    <w:tl2br w:val="nil"/>
                    <w:tr2bl w:val="nil"/>
                  </w:tcBorders>
                  <w:vAlign w:val="center"/>
                </w:tcPr>
                <w:p w14:paraId="75C82BD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监控点</w:t>
                  </w:r>
                </w:p>
              </w:tc>
              <w:tc>
                <w:tcPr>
                  <w:tcW w:w="973" w:type="pct"/>
                  <w:tcBorders>
                    <w:tl2br w:val="nil"/>
                    <w:tr2bl w:val="nil"/>
                  </w:tcBorders>
                  <w:vAlign w:val="center"/>
                </w:tcPr>
                <w:p w14:paraId="31BD723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浓度</w:t>
                  </w:r>
                </w:p>
              </w:tc>
            </w:tr>
            <w:tr w14:paraId="0A3376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tcBorders>
                    <w:tl2br w:val="nil"/>
                    <w:tr2bl w:val="nil"/>
                  </w:tcBorders>
                  <w:vAlign w:val="center"/>
                </w:tcPr>
                <w:p w14:paraId="04C99EB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颗粒物</w:t>
                  </w:r>
                </w:p>
              </w:tc>
              <w:tc>
                <w:tcPr>
                  <w:tcW w:w="3204" w:type="pct"/>
                  <w:tcBorders>
                    <w:tl2br w:val="nil"/>
                    <w:tr2bl w:val="nil"/>
                  </w:tcBorders>
                  <w:vAlign w:val="center"/>
                </w:tcPr>
                <w:p w14:paraId="2009B12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周界外浓度最高点</w:t>
                  </w:r>
                </w:p>
              </w:tc>
              <w:tc>
                <w:tcPr>
                  <w:tcW w:w="973" w:type="pct"/>
                  <w:tcBorders>
                    <w:tl2br w:val="nil"/>
                    <w:tr2bl w:val="nil"/>
                  </w:tcBorders>
                  <w:vAlign w:val="center"/>
                </w:tcPr>
                <w:p w14:paraId="3D885D2A">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1.0</w:t>
                  </w:r>
                </w:p>
              </w:tc>
            </w:tr>
            <w:tr w14:paraId="60039A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3" w:type="dxa"/>
                  <w:tcBorders>
                    <w:tl2br w:val="nil"/>
                    <w:tr2bl w:val="nil"/>
                  </w:tcBorders>
                  <w:vAlign w:val="center"/>
                </w:tcPr>
                <w:p w14:paraId="6C298091">
                  <w:pPr>
                    <w:pStyle w:val="8"/>
                    <w:autoSpaceDE w:val="0"/>
                    <w:autoSpaceDN w:val="0"/>
                    <w:spacing w:before="0" w:after="0" w:line="240" w:lineRule="auto"/>
                    <w:ind w:right="0" w:rightChars="0"/>
                    <w:jc w:val="cente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eastAsia"/>
                      <w:color w:val="auto"/>
                      <w:sz w:val="21"/>
                      <w:szCs w:val="21"/>
                      <w:highlight w:val="none"/>
                      <w:u w:val="none"/>
                    </w:rPr>
                    <w:t>油烟</w:t>
                  </w:r>
                </w:p>
              </w:tc>
              <w:tc>
                <w:tcPr>
                  <w:tcW w:w="5394" w:type="dxa"/>
                  <w:tcBorders>
                    <w:tl2br w:val="nil"/>
                    <w:tr2bl w:val="nil"/>
                  </w:tcBorders>
                  <w:vAlign w:val="center"/>
                </w:tcPr>
                <w:p w14:paraId="1F12BA30">
                  <w:pPr>
                    <w:pStyle w:val="8"/>
                    <w:autoSpaceDE w:val="0"/>
                    <w:autoSpaceDN w:val="0"/>
                    <w:spacing w:before="0" w:after="0" w:line="240" w:lineRule="auto"/>
                    <w:ind w:right="0" w:rightChars="0"/>
                    <w:jc w:val="cente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eastAsia"/>
                      <w:color w:val="auto"/>
                      <w:sz w:val="21"/>
                      <w:szCs w:val="21"/>
                      <w:highlight w:val="none"/>
                      <w:u w:val="none"/>
                    </w:rPr>
                    <w:t>小型系统处理效率不得低于60%</w:t>
                  </w:r>
                </w:p>
              </w:tc>
              <w:tc>
                <w:tcPr>
                  <w:tcW w:w="1638" w:type="dxa"/>
                  <w:tcBorders>
                    <w:tl2br w:val="nil"/>
                    <w:tr2bl w:val="nil"/>
                  </w:tcBorders>
                  <w:vAlign w:val="center"/>
                </w:tcPr>
                <w:p w14:paraId="4CD3175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eastAsia"/>
                      <w:color w:val="auto"/>
                      <w:sz w:val="21"/>
                      <w:szCs w:val="21"/>
                      <w:highlight w:val="none"/>
                      <w:u w:val="none"/>
                    </w:rPr>
                    <w:t>2.0</w:t>
                  </w:r>
                </w:p>
              </w:tc>
            </w:tr>
          </w:tbl>
          <w:p w14:paraId="6C269A31">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2、废水排放标准</w:t>
            </w:r>
          </w:p>
          <w:p w14:paraId="28416A21">
            <w:pPr>
              <w:spacing w:line="360" w:lineRule="auto"/>
              <w:ind w:firstLine="480" w:firstLineChars="200"/>
              <w:rPr>
                <w:rFonts w:hint="eastAsia"/>
                <w:color w:val="auto"/>
                <w:sz w:val="24"/>
              </w:rPr>
            </w:pPr>
            <w:r>
              <w:rPr>
                <w:rFonts w:hint="eastAsia"/>
                <w:color w:val="auto"/>
                <w:sz w:val="24"/>
              </w:rPr>
              <w:t>本项目运营期无外排生产废水，生活污水经</w:t>
            </w:r>
            <w:r>
              <w:rPr>
                <w:rFonts w:hint="eastAsia"/>
                <w:color w:val="auto"/>
                <w:sz w:val="24"/>
                <w:lang w:val="en-US" w:eastAsia="zh-CN"/>
              </w:rPr>
              <w:t>化粪池</w:t>
            </w:r>
            <w:r>
              <w:rPr>
                <w:rFonts w:hint="eastAsia"/>
                <w:color w:val="auto"/>
                <w:sz w:val="24"/>
              </w:rPr>
              <w:t>处理后用作</w:t>
            </w:r>
            <w:r>
              <w:rPr>
                <w:rFonts w:hint="eastAsia"/>
                <w:color w:val="auto"/>
                <w:sz w:val="24"/>
                <w:lang w:val="en-US" w:eastAsia="zh-CN"/>
              </w:rPr>
              <w:t>农田施肥</w:t>
            </w:r>
            <w:r>
              <w:rPr>
                <w:rFonts w:hint="eastAsia"/>
                <w:color w:val="auto"/>
                <w:sz w:val="24"/>
              </w:rPr>
              <w:t>，不直接排入外环境。</w:t>
            </w:r>
          </w:p>
          <w:p w14:paraId="2CA8C32B">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噪声</w:t>
            </w:r>
            <w:r>
              <w:rPr>
                <w:rFonts w:hint="default" w:ascii="Times New Roman" w:hAnsi="Times New Roman" w:cs="Times New Roman"/>
                <w:b/>
                <w:bCs/>
                <w:color w:val="auto"/>
                <w:highlight w:val="none"/>
                <w:u w:val="none" w:color="auto"/>
              </w:rPr>
              <w:t>排放标准</w:t>
            </w:r>
          </w:p>
          <w:p w14:paraId="363F05D0">
            <w:pPr>
              <w:pStyle w:val="37"/>
              <w:bidi w:val="0"/>
              <w:spacing w:line="360" w:lineRule="auto"/>
              <w:rPr>
                <w:rFonts w:hint="default" w:ascii="Times New Roman" w:hAnsi="Times New Roman" w:cs="Times New Roman"/>
                <w:color w:val="auto"/>
                <w:highlight w:val="none"/>
                <w:u w:val="none" w:color="auto"/>
              </w:rPr>
            </w:pPr>
            <w:r>
              <w:rPr>
                <w:color w:val="auto"/>
                <w:spacing w:val="19"/>
              </w:rPr>
              <w:t>施工期噪声执</w:t>
            </w:r>
            <w:r>
              <w:rPr>
                <w:rFonts w:hint="default" w:ascii="Times New Roman" w:hAnsi="Times New Roman" w:cs="Times New Roman"/>
                <w:color w:val="auto"/>
                <w:highlight w:val="none"/>
                <w:u w:val="none" w:color="auto"/>
              </w:rPr>
              <w:t>行《</w:t>
            </w:r>
            <w:r>
              <w:rPr>
                <w:color w:val="auto"/>
                <w:spacing w:val="19"/>
              </w:rPr>
              <w:t>建筑施工厂界环境噪声排放标准》</w:t>
            </w:r>
            <w:r>
              <w:rPr>
                <w:color w:val="auto"/>
                <w:spacing w:val="2"/>
              </w:rPr>
              <w:t>（</w:t>
            </w:r>
            <w:r>
              <w:rPr>
                <w:rFonts w:ascii="Times New Roman" w:hAnsi="Times New Roman" w:eastAsia="Times New Roman" w:cs="Times New Roman"/>
                <w:color w:val="auto"/>
              </w:rPr>
              <w:t>GB</w:t>
            </w:r>
            <w:r>
              <w:rPr>
                <w:rFonts w:ascii="Times New Roman" w:hAnsi="Times New Roman" w:eastAsia="Times New Roman" w:cs="Times New Roman"/>
                <w:color w:val="auto"/>
                <w:spacing w:val="2"/>
              </w:rPr>
              <w:t>12532-2011</w:t>
            </w:r>
            <w:r>
              <w:rPr>
                <w:color w:val="auto"/>
                <w:spacing w:val="2"/>
              </w:rPr>
              <w:t>）的噪声限值，运营期噪声排放执行《工</w:t>
            </w:r>
            <w:r>
              <w:rPr>
                <w:color w:val="auto"/>
                <w:spacing w:val="1"/>
              </w:rPr>
              <w:t>业企业厂界环</w:t>
            </w:r>
            <w:r>
              <w:rPr>
                <w:color w:val="auto"/>
                <w:spacing w:val="-1"/>
              </w:rPr>
              <w:t>境噪声排放标准》（</w:t>
            </w:r>
            <w:r>
              <w:rPr>
                <w:rFonts w:ascii="Times New Roman" w:hAnsi="Times New Roman" w:eastAsia="Times New Roman" w:cs="Times New Roman"/>
                <w:color w:val="auto"/>
                <w:spacing w:val="-1"/>
              </w:rPr>
              <w:t>GB12348-2008</w:t>
            </w:r>
            <w:r>
              <w:rPr>
                <w:color w:val="auto"/>
                <w:spacing w:val="-1"/>
              </w:rPr>
              <w:t>）中</w:t>
            </w:r>
            <w:r>
              <w:rPr>
                <w:rFonts w:ascii="Times New Roman" w:hAnsi="Times New Roman" w:eastAsia="Times New Roman" w:cs="Times New Roman"/>
                <w:color w:val="auto"/>
                <w:spacing w:val="-1"/>
              </w:rPr>
              <w:t>2</w:t>
            </w:r>
            <w:r>
              <w:rPr>
                <w:color w:val="auto"/>
                <w:spacing w:val="-1"/>
              </w:rPr>
              <w:t>类标准。</w:t>
            </w:r>
          </w:p>
          <w:p w14:paraId="703971F0">
            <w:pPr>
              <w:pStyle w:val="42"/>
              <w:bidi w:val="0"/>
              <w:jc w:val="center"/>
              <w:rPr>
                <w:rFonts w:hint="default" w:ascii="Times New Roman" w:hAnsi="Times New Roman" w:eastAsia="宋体" w:cs="Times New Roman"/>
                <w:b/>
                <w:bCs/>
                <w:color w:val="auto"/>
                <w:kern w:val="2"/>
                <w:szCs w:val="24"/>
                <w:highlight w:val="none"/>
                <w:u w:val="none" w:color="auto"/>
                <w:lang w:val="en-US" w:eastAsia="zh-CN" w:bidi="en-US"/>
              </w:rPr>
            </w:pPr>
            <w:r>
              <w:rPr>
                <w:rFonts w:hint="default" w:ascii="Times New Roman" w:hAnsi="Times New Roman" w:cs="Times New Roman"/>
                <w:b/>
                <w:bCs/>
                <w:color w:val="auto"/>
                <w:highlight w:val="none"/>
                <w:u w:val="none" w:color="auto"/>
                <w:lang w:val="en-US" w:eastAsia="zh-CN"/>
              </w:rPr>
              <w:t>表3-</w:t>
            </w:r>
            <w:r>
              <w:rPr>
                <w:rFonts w:hint="eastAsia" w:cs="Times New Roman"/>
                <w:b/>
                <w:bCs/>
                <w:color w:val="auto"/>
                <w:highlight w:val="none"/>
                <w:u w:val="none" w:color="auto"/>
                <w:lang w:val="en-US" w:eastAsia="zh-CN"/>
              </w:rPr>
              <w:t>6</w:t>
            </w:r>
            <w:r>
              <w:rPr>
                <w:rFonts w:hint="default"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噪声排放标准限值表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49"/>
              <w:gridCol w:w="1321"/>
              <w:gridCol w:w="1016"/>
              <w:gridCol w:w="4174"/>
            </w:tblGrid>
            <w:tr w14:paraId="5BF94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1698" w:type="pct"/>
                  <w:gridSpan w:val="2"/>
                  <w:tcBorders>
                    <w:tl2br w:val="nil"/>
                    <w:tr2bl w:val="nil"/>
                  </w:tcBorders>
                  <w:noWrap w:val="0"/>
                  <w:vAlign w:val="center"/>
                </w:tcPr>
                <w:p w14:paraId="497651CE">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限值</w:t>
                  </w:r>
                </w:p>
              </w:tc>
              <w:tc>
                <w:tcPr>
                  <w:tcW w:w="646" w:type="pct"/>
                  <w:vMerge w:val="restart"/>
                  <w:tcBorders>
                    <w:tl2br w:val="nil"/>
                    <w:tr2bl w:val="nil"/>
                  </w:tcBorders>
                  <w:noWrap w:val="0"/>
                  <w:vAlign w:val="center"/>
                </w:tcPr>
                <w:p w14:paraId="781145A0">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单位</w:t>
                  </w:r>
                </w:p>
              </w:tc>
              <w:tc>
                <w:tcPr>
                  <w:tcW w:w="2654" w:type="pct"/>
                  <w:vMerge w:val="restart"/>
                  <w:tcBorders>
                    <w:tl2br w:val="nil"/>
                    <w:tr2bl w:val="nil"/>
                  </w:tcBorders>
                  <w:noWrap w:val="0"/>
                  <w:vAlign w:val="center"/>
                </w:tcPr>
                <w:p w14:paraId="4F17B06C">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标准</w:t>
                  </w:r>
                </w:p>
              </w:tc>
            </w:tr>
            <w:tr w14:paraId="42F47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8" w:type="pct"/>
                  <w:tcBorders>
                    <w:tl2br w:val="nil"/>
                    <w:tr2bl w:val="nil"/>
                  </w:tcBorders>
                  <w:noWrap w:val="0"/>
                  <w:vAlign w:val="center"/>
                </w:tcPr>
                <w:p w14:paraId="3B1D9E20">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昼间</w:t>
                  </w:r>
                </w:p>
              </w:tc>
              <w:tc>
                <w:tcPr>
                  <w:tcW w:w="840" w:type="pct"/>
                  <w:tcBorders>
                    <w:tl2br w:val="nil"/>
                    <w:tr2bl w:val="nil"/>
                  </w:tcBorders>
                  <w:noWrap w:val="0"/>
                  <w:vAlign w:val="center"/>
                </w:tcPr>
                <w:p w14:paraId="3F09004D">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夜间</w:t>
                  </w:r>
                </w:p>
              </w:tc>
              <w:tc>
                <w:tcPr>
                  <w:tcW w:w="646" w:type="pct"/>
                  <w:vMerge w:val="continue"/>
                  <w:tcBorders>
                    <w:tl2br w:val="nil"/>
                    <w:tr2bl w:val="nil"/>
                  </w:tcBorders>
                  <w:noWrap w:val="0"/>
                  <w:vAlign w:val="center"/>
                </w:tcPr>
                <w:p w14:paraId="2DFE7A68">
                  <w:pPr>
                    <w:pStyle w:val="42"/>
                    <w:autoSpaceDE w:val="0"/>
                    <w:autoSpaceDN w:val="0"/>
                    <w:bidi w:val="0"/>
                    <w:jc w:val="center"/>
                    <w:rPr>
                      <w:rFonts w:hint="default" w:ascii="Times New Roman" w:hAnsi="Times New Roman" w:cs="Times New Roman"/>
                      <w:color w:val="auto"/>
                      <w:highlight w:val="none"/>
                      <w:u w:val="none" w:color="auto"/>
                    </w:rPr>
                  </w:pPr>
                </w:p>
              </w:tc>
              <w:tc>
                <w:tcPr>
                  <w:tcW w:w="2654" w:type="pct"/>
                  <w:vMerge w:val="continue"/>
                  <w:tcBorders>
                    <w:tl2br w:val="nil"/>
                    <w:tr2bl w:val="nil"/>
                  </w:tcBorders>
                  <w:noWrap w:val="0"/>
                  <w:vAlign w:val="center"/>
                </w:tcPr>
                <w:p w14:paraId="2E706579">
                  <w:pPr>
                    <w:pStyle w:val="42"/>
                    <w:autoSpaceDE w:val="0"/>
                    <w:autoSpaceDN w:val="0"/>
                    <w:bidi w:val="0"/>
                    <w:jc w:val="center"/>
                    <w:rPr>
                      <w:rFonts w:hint="default" w:ascii="Times New Roman" w:hAnsi="Times New Roman" w:cs="Times New Roman"/>
                      <w:color w:val="auto"/>
                      <w:highlight w:val="none"/>
                      <w:u w:val="none" w:color="auto"/>
                    </w:rPr>
                  </w:pPr>
                </w:p>
              </w:tc>
            </w:tr>
            <w:tr w14:paraId="751ED0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8" w:type="pct"/>
                  <w:tcBorders>
                    <w:tl2br w:val="nil"/>
                    <w:tr2bl w:val="nil"/>
                  </w:tcBorders>
                  <w:noWrap w:val="0"/>
                  <w:vAlign w:val="center"/>
                </w:tcPr>
                <w:p w14:paraId="195B8BBB">
                  <w:pPr>
                    <w:pStyle w:val="4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6</w:t>
                  </w:r>
                  <w:r>
                    <w:rPr>
                      <w:rFonts w:hint="eastAsia" w:cs="Times New Roman"/>
                      <w:color w:val="auto"/>
                      <w:highlight w:val="none"/>
                      <w:u w:val="none" w:color="auto"/>
                      <w:lang w:val="en-US" w:eastAsia="zh-CN"/>
                    </w:rPr>
                    <w:t>0</w:t>
                  </w:r>
                </w:p>
              </w:tc>
              <w:tc>
                <w:tcPr>
                  <w:tcW w:w="840" w:type="pct"/>
                  <w:tcBorders>
                    <w:tl2br w:val="nil"/>
                    <w:tr2bl w:val="nil"/>
                  </w:tcBorders>
                  <w:noWrap w:val="0"/>
                  <w:vAlign w:val="center"/>
                </w:tcPr>
                <w:p w14:paraId="02784179">
                  <w:pPr>
                    <w:pStyle w:val="4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5</w:t>
                  </w:r>
                  <w:r>
                    <w:rPr>
                      <w:rFonts w:hint="eastAsia" w:cs="Times New Roman"/>
                      <w:color w:val="auto"/>
                      <w:highlight w:val="none"/>
                      <w:u w:val="none" w:color="auto"/>
                      <w:lang w:val="en-US" w:eastAsia="zh-CN"/>
                    </w:rPr>
                    <w:t>0</w:t>
                  </w:r>
                </w:p>
              </w:tc>
              <w:tc>
                <w:tcPr>
                  <w:tcW w:w="646" w:type="pct"/>
                  <w:vMerge w:val="restart"/>
                  <w:tcBorders>
                    <w:tl2br w:val="nil"/>
                    <w:tr2bl w:val="nil"/>
                  </w:tcBorders>
                  <w:noWrap w:val="0"/>
                  <w:vAlign w:val="center"/>
                </w:tcPr>
                <w:p w14:paraId="0D5DE0D4">
                  <w:pPr>
                    <w:pStyle w:val="4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dB（A）</w:t>
                  </w:r>
                </w:p>
              </w:tc>
              <w:tc>
                <w:tcPr>
                  <w:tcW w:w="2654" w:type="pct"/>
                  <w:tcBorders>
                    <w:tl2br w:val="nil"/>
                    <w:tr2bl w:val="nil"/>
                  </w:tcBorders>
                  <w:noWrap w:val="0"/>
                  <w:vAlign w:val="center"/>
                </w:tcPr>
                <w:p w14:paraId="025530D3">
                  <w:pPr>
                    <w:pStyle w:val="4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《工业企业厂界环境噪声排放标准》（GB12348-2008）</w:t>
                  </w:r>
                  <w:r>
                    <w:rPr>
                      <w:rFonts w:hint="eastAsia"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类标准</w:t>
                  </w:r>
                </w:p>
              </w:tc>
            </w:tr>
            <w:tr w14:paraId="10A3E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8" w:type="pct"/>
                  <w:tcBorders>
                    <w:tl2br w:val="nil"/>
                    <w:tr2bl w:val="nil"/>
                  </w:tcBorders>
                  <w:noWrap w:val="0"/>
                  <w:vAlign w:val="center"/>
                </w:tcPr>
                <w:p w14:paraId="0A1BA592">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70</w:t>
                  </w:r>
                </w:p>
              </w:tc>
              <w:tc>
                <w:tcPr>
                  <w:tcW w:w="840" w:type="pct"/>
                  <w:tcBorders>
                    <w:tl2br w:val="nil"/>
                    <w:tr2bl w:val="nil"/>
                  </w:tcBorders>
                  <w:noWrap w:val="0"/>
                  <w:vAlign w:val="center"/>
                </w:tcPr>
                <w:p w14:paraId="78B8EB34">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55</w:t>
                  </w:r>
                </w:p>
              </w:tc>
              <w:tc>
                <w:tcPr>
                  <w:tcW w:w="646" w:type="pct"/>
                  <w:vMerge w:val="continue"/>
                  <w:tcBorders>
                    <w:tl2br w:val="nil"/>
                    <w:tr2bl w:val="nil"/>
                  </w:tcBorders>
                  <w:noWrap w:val="0"/>
                  <w:vAlign w:val="center"/>
                </w:tcPr>
                <w:p w14:paraId="3EBBCD74">
                  <w:pPr>
                    <w:pStyle w:val="42"/>
                    <w:autoSpaceDE w:val="0"/>
                    <w:autoSpaceDN w:val="0"/>
                    <w:bidi w:val="0"/>
                    <w:jc w:val="center"/>
                    <w:rPr>
                      <w:rFonts w:hint="default" w:ascii="Times New Roman" w:hAnsi="Times New Roman" w:cs="Times New Roman"/>
                      <w:color w:val="auto"/>
                      <w:highlight w:val="none"/>
                      <w:u w:val="none" w:color="auto"/>
                    </w:rPr>
                  </w:pPr>
                </w:p>
              </w:tc>
              <w:tc>
                <w:tcPr>
                  <w:tcW w:w="2654" w:type="pct"/>
                  <w:tcBorders>
                    <w:tl2br w:val="nil"/>
                    <w:tr2bl w:val="nil"/>
                  </w:tcBorders>
                  <w:noWrap w:val="0"/>
                  <w:vAlign w:val="center"/>
                </w:tcPr>
                <w:p w14:paraId="5C241F83">
                  <w:pPr>
                    <w:pStyle w:val="4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《建筑施工厂界环境噪声排放标准》（GB12532-2011）</w:t>
                  </w:r>
                </w:p>
              </w:tc>
            </w:tr>
          </w:tbl>
          <w:p w14:paraId="59FE48B6">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4</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固废</w:t>
            </w:r>
            <w:r>
              <w:rPr>
                <w:rFonts w:hint="default" w:ascii="Times New Roman" w:hAnsi="Times New Roman" w:cs="Times New Roman"/>
                <w:b/>
                <w:bCs/>
                <w:color w:val="auto"/>
                <w:highlight w:val="none"/>
                <w:u w:val="none" w:color="auto"/>
              </w:rPr>
              <w:t>排放标准</w:t>
            </w:r>
          </w:p>
          <w:p w14:paraId="34080935">
            <w:pPr>
              <w:pStyle w:val="37"/>
              <w:keepNext w:val="0"/>
              <w:keepLines w:val="0"/>
              <w:pageBreakBefore w:val="0"/>
              <w:widowControl w:val="0"/>
              <w:kinsoku/>
              <w:wordWrap w:val="0"/>
              <w:overflowPunct/>
              <w:topLinePunct/>
              <w:autoSpaceDE/>
              <w:autoSpaceDN/>
              <w:bidi w:val="0"/>
              <w:adjustRightInd/>
              <w:snapToGrid/>
              <w:textAlignment w:val="auto"/>
              <w:rPr>
                <w:rFonts w:hint="eastAsia" w:ascii="Times New Roman" w:hAnsi="Times New Roman" w:eastAsia="宋体" w:cs="Times New Roman"/>
                <w:color w:val="auto"/>
                <w:kern w:val="0"/>
                <w:szCs w:val="21"/>
                <w:highlight w:val="green"/>
                <w:u w:val="none" w:color="auto"/>
                <w:lang w:eastAsia="zh-CN"/>
              </w:rPr>
            </w:pPr>
            <w:r>
              <w:rPr>
                <w:rFonts w:hint="default" w:ascii="Times New Roman" w:hAnsi="Times New Roman" w:cs="Times New Roman"/>
                <w:color w:val="auto"/>
                <w:highlight w:val="none"/>
                <w:u w:val="none" w:color="auto"/>
              </w:rPr>
              <w:t>一般固体废物贮存执行《一般工业固体废物贮存和填埋污染控制标准》（GB18599-2020）中有关要求；危险废物贮存执行《危险废物贮存污染控制标准》（GB18597-2023）中有关要求</w:t>
            </w:r>
            <w:r>
              <w:rPr>
                <w:rFonts w:hint="eastAsia" w:cs="Times New Roman"/>
                <w:color w:val="auto"/>
                <w:highlight w:val="none"/>
                <w:u w:val="none" w:color="auto"/>
                <w:lang w:eastAsia="zh-CN"/>
              </w:rPr>
              <w:t>。</w:t>
            </w:r>
          </w:p>
        </w:tc>
      </w:tr>
      <w:tr w14:paraId="2B5C3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234" w:type="pct"/>
            <w:noWrap w:val="0"/>
            <w:tcMar>
              <w:left w:w="28" w:type="dxa"/>
              <w:right w:w="28" w:type="dxa"/>
            </w:tcMar>
            <w:vAlign w:val="center"/>
          </w:tcPr>
          <w:p w14:paraId="24595F33">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总量</w:t>
            </w:r>
          </w:p>
          <w:p w14:paraId="4F07993F">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控制</w:t>
            </w:r>
          </w:p>
          <w:p w14:paraId="1B9D8B1A">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指标</w:t>
            </w:r>
          </w:p>
        </w:tc>
        <w:tc>
          <w:tcPr>
            <w:tcW w:w="4765" w:type="pct"/>
            <w:noWrap w:val="0"/>
            <w:vAlign w:val="center"/>
          </w:tcPr>
          <w:p w14:paraId="7C5B9A2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本项目生活污水经化粪池处理后用作农肥</w:t>
            </w:r>
            <w:r>
              <w:rPr>
                <w:rFonts w:hint="eastAsia" w:cs="Times New Roman"/>
                <w:color w:val="auto"/>
                <w:kern w:val="2"/>
                <w:sz w:val="24"/>
                <w:szCs w:val="24"/>
                <w:highlight w:val="none"/>
                <w:u w:val="none" w:color="auto"/>
                <w:shd w:val="clear" w:color="auto" w:fill="auto"/>
                <w:lang w:val="en-US" w:eastAsia="zh-CN" w:bidi="en-US"/>
              </w:rPr>
              <w:t>，</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不外排</w:t>
            </w:r>
            <w:r>
              <w:rPr>
                <w:rFonts w:hint="eastAsia" w:cs="Times New Roman"/>
                <w:color w:val="auto"/>
                <w:kern w:val="2"/>
                <w:sz w:val="24"/>
                <w:szCs w:val="24"/>
                <w:highlight w:val="none"/>
                <w:u w:val="none" w:color="auto"/>
                <w:shd w:val="clear" w:color="auto" w:fill="auto"/>
                <w:lang w:val="en-US" w:eastAsia="zh-CN" w:bidi="en-US"/>
              </w:rPr>
              <w:t>；生产用水</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循环使用不外排。本项目废气</w:t>
            </w:r>
            <w:r>
              <w:rPr>
                <w:rFonts w:hint="eastAsia" w:cs="Times New Roman"/>
                <w:color w:val="auto"/>
                <w:kern w:val="2"/>
                <w:sz w:val="24"/>
                <w:szCs w:val="24"/>
                <w:highlight w:val="none"/>
                <w:u w:val="none" w:color="auto"/>
                <w:shd w:val="clear" w:color="auto" w:fill="auto"/>
                <w:lang w:val="en-US" w:eastAsia="zh-CN" w:bidi="en-US"/>
              </w:rPr>
              <w:t>排</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放</w:t>
            </w:r>
            <w:r>
              <w:rPr>
                <w:rFonts w:hint="eastAsia"/>
                <w:color w:val="auto"/>
                <w:sz w:val="24"/>
                <w:szCs w:val="24"/>
                <w:lang w:val="en-US" w:eastAsia="zh-CN"/>
              </w:rPr>
              <w:t>污染物为颗粒物，本项目不涉及总量控制指标</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w:t>
            </w:r>
          </w:p>
        </w:tc>
      </w:tr>
    </w:tbl>
    <w:p w14:paraId="0E2A9EC4">
      <w:pPr>
        <w:rPr>
          <w:rFonts w:hint="default" w:ascii="Times New Roman" w:hAnsi="Times New Roman" w:eastAsia="宋体" w:cs="Times New Roman"/>
          <w:b/>
          <w:bCs/>
          <w:color w:val="auto"/>
          <w:kern w:val="44"/>
          <w:sz w:val="28"/>
          <w:szCs w:val="44"/>
          <w:highlight w:val="none"/>
          <w:u w:val="none" w:color="auto"/>
          <w:lang w:val="en-US" w:eastAsia="zh-CN" w:bidi="ar-SA"/>
        </w:rPr>
      </w:pPr>
      <w:bookmarkStart w:id="39" w:name="_Toc12291"/>
      <w:bookmarkStart w:id="40" w:name="_Toc17209"/>
      <w:bookmarkStart w:id="41" w:name="_Toc2672"/>
      <w:r>
        <w:rPr>
          <w:rFonts w:hint="default" w:ascii="Times New Roman" w:hAnsi="Times New Roman" w:eastAsia="宋体" w:cs="Times New Roman"/>
          <w:b/>
          <w:bCs/>
          <w:color w:val="auto"/>
          <w:kern w:val="44"/>
          <w:sz w:val="28"/>
          <w:szCs w:val="44"/>
          <w:highlight w:val="none"/>
          <w:u w:val="none" w:color="auto"/>
          <w:lang w:val="en-US" w:eastAsia="zh-CN" w:bidi="ar-SA"/>
        </w:rPr>
        <w:br w:type="page"/>
      </w:r>
    </w:p>
    <w:p w14:paraId="284E7ECD">
      <w:pPr>
        <w:pStyle w:val="20"/>
        <w:spacing w:before="0" w:beforeAutospacing="0" w:after="0" w:afterAutospacing="0" w:line="360" w:lineRule="auto"/>
        <w:jc w:val="center"/>
        <w:outlineLvl w:val="0"/>
        <w:rPr>
          <w:rFonts w:ascii="Times New Roman" w:hAnsi="Times New Roman" w:eastAsia="黑体"/>
          <w:snapToGrid w:val="0"/>
          <w:color w:val="auto"/>
          <w:sz w:val="30"/>
          <w:szCs w:val="30"/>
          <w:highlight w:val="none"/>
          <w:u w:val="none" w:color="auto"/>
        </w:rPr>
      </w:pPr>
      <w:r>
        <w:rPr>
          <w:rFonts w:hint="default" w:ascii="Times New Roman" w:hAnsi="Times New Roman" w:eastAsia="宋体" w:cs="Times New Roman"/>
          <w:b/>
          <w:bCs/>
          <w:color w:val="auto"/>
          <w:kern w:val="44"/>
          <w:sz w:val="28"/>
          <w:szCs w:val="44"/>
          <w:highlight w:val="none"/>
          <w:u w:val="none" w:color="auto"/>
          <w:lang w:val="en-US" w:eastAsia="zh-CN" w:bidi="ar-SA"/>
        </w:rPr>
        <w:t>四、主要环境影响和保护措施</w:t>
      </w:r>
      <w:bookmarkEnd w:id="39"/>
      <w:bookmarkEnd w:id="40"/>
      <w:bookmarkEnd w:id="41"/>
    </w:p>
    <w:tbl>
      <w:tblPr>
        <w:tblStyle w:val="23"/>
        <w:tblW w:w="50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486"/>
      </w:tblGrid>
      <w:tr w14:paraId="1DCEB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tcBorders>
              <w:tl2br w:val="nil"/>
              <w:tr2bl w:val="nil"/>
            </w:tcBorders>
            <w:tcMar>
              <w:left w:w="28" w:type="dxa"/>
              <w:right w:w="28" w:type="dxa"/>
            </w:tcMar>
            <w:vAlign w:val="center"/>
          </w:tcPr>
          <w:p w14:paraId="1AD43329">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施工</w:t>
            </w:r>
          </w:p>
          <w:p w14:paraId="7AA3D167">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期环</w:t>
            </w:r>
          </w:p>
          <w:p w14:paraId="182EB34F">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境保</w:t>
            </w:r>
          </w:p>
          <w:p w14:paraId="64A94552">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护措</w:t>
            </w:r>
          </w:p>
          <w:p w14:paraId="4FAF7091">
            <w:pPr>
              <w:pStyle w:val="20"/>
              <w:adjustRightInd w:val="0"/>
              <w:snapToGrid w:val="0"/>
              <w:spacing w:before="0" w:beforeAutospacing="0" w:after="0" w:afterAutospacing="0"/>
              <w:jc w:val="center"/>
              <w:rPr>
                <w:rFonts w:ascii="Times New Roman" w:hAnsi="Times New Roman"/>
                <w:bCs/>
                <w:color w:val="auto"/>
                <w:kern w:val="2"/>
                <w:szCs w:val="24"/>
                <w:highlight w:val="none"/>
                <w:u w:val="none" w:color="auto"/>
              </w:rPr>
            </w:pPr>
            <w:r>
              <w:rPr>
                <w:rFonts w:ascii="Times New Roman" w:hAnsi="Times New Roman"/>
                <w:color w:val="auto"/>
                <w:kern w:val="2"/>
                <w:szCs w:val="24"/>
                <w:highlight w:val="none"/>
                <w:u w:val="none" w:color="auto"/>
              </w:rPr>
              <w:t>施</w:t>
            </w:r>
          </w:p>
        </w:tc>
        <w:tc>
          <w:tcPr>
            <w:tcW w:w="4827" w:type="pct"/>
            <w:tcBorders>
              <w:tl2br w:val="nil"/>
              <w:tr2bl w:val="nil"/>
            </w:tcBorders>
            <w:vAlign w:val="center"/>
          </w:tcPr>
          <w:p w14:paraId="2AC3280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1、施工废气防治措施</w:t>
            </w:r>
          </w:p>
          <w:p w14:paraId="07F2EA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为进一步降低本项目扬尘影响，为此，本评价对施工过程提出以下要求：</w:t>
            </w:r>
          </w:p>
          <w:p w14:paraId="68D458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①项目施工过程中应制定科学的施工计划，从加强施工管理着手，提倡文明施工。加强运输管理，做好材料运输和使用过程中的防散失、防泄漏措施；</w:t>
            </w:r>
          </w:p>
          <w:p w14:paraId="349503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②物料运输不堆尖、不满出车厢，中速行驶，防止沿途散失和尘土飞扬；且进出场地时车速要小于5km/h；</w:t>
            </w:r>
          </w:p>
          <w:p w14:paraId="5C2E6E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③粉料应设置简易工棚储存，严禁露天堆放；建筑垃圾做到合理堆放，及时清运，对干燥建筑垃圾进行洒水，减轻装卸和运输过程产生的扬尘污染；</w:t>
            </w:r>
          </w:p>
          <w:p w14:paraId="21621D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④风速大于4m/s时，禁止进行存在起尘隐患的施工作业；且施工现场地面保持一定的湿度，地面干化后需立即进行喷水抑尘，特别是在大风天，每天地面洒水量不得小于4～5次；</w:t>
            </w:r>
          </w:p>
          <w:p w14:paraId="7A4179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⑤在作业区土方及道路洒水，或定期清理道路积土，以减少施工扬尘对周围环境空气的影响，使施工期环境空气影响降至最小；</w:t>
            </w:r>
          </w:p>
          <w:p w14:paraId="3D701D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⑥加高施工场地的围幕，可适当减小扬尘污染范围；</w:t>
            </w:r>
          </w:p>
          <w:p w14:paraId="25E9FA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⑦车辆驶出时需对车槽、车身、轮胎进行及时清洗，防止施工尘土带出对沿路空气质量和道路清洁产生影响。</w:t>
            </w:r>
          </w:p>
          <w:p w14:paraId="3F00C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本项目施工期扬尘防治措施主要为以下八点：</w:t>
            </w:r>
          </w:p>
          <w:p w14:paraId="48881D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①确保施工工地现场围挡和外架防护100%全封闭，围挡保持整洁美观，外架安全网无破损；</w:t>
            </w:r>
          </w:p>
          <w:p w14:paraId="34EA3C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②确保施工现场出入口及车行道路100%硬化；</w:t>
            </w:r>
          </w:p>
          <w:p w14:paraId="486D10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③确保施工现场出入口100%设置车辆冲洗设施；</w:t>
            </w:r>
          </w:p>
          <w:p w14:paraId="2BC594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④确保易起扬尘作业面100%湿法施工；</w:t>
            </w:r>
          </w:p>
          <w:p w14:paraId="48FCDA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⑤确保裸露黄土及易起尘物料100%覆盖；</w:t>
            </w:r>
          </w:p>
          <w:p w14:paraId="723FBA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⑥确保渣土实施100%密封运输；</w:t>
            </w:r>
          </w:p>
          <w:p w14:paraId="10A73C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⑦确保建筑垃圾100%规范管理，必须集中堆放、及时清运，严禁高空抛洒和焚烧；</w:t>
            </w:r>
          </w:p>
          <w:p w14:paraId="77BC6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⑧确保非道路移动工程机械尾气排放100%达标，严禁使用劣质油品，严禁冒烟作业。</w:t>
            </w:r>
          </w:p>
          <w:p w14:paraId="5CB7147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2、施工废水防治措施</w:t>
            </w:r>
          </w:p>
          <w:p w14:paraId="17D89D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本项目施工期产生的废水主要来自于施工人员的生活污水和施工废水，废水中基本无有害有毒的物质，主要污染物为SS、CODcr、NH</w:t>
            </w:r>
            <w:r>
              <w:rPr>
                <w:rFonts w:hint="default" w:ascii="Times New Roman" w:hAnsi="Times New Roman" w:eastAsia="宋体" w:cs="Times New Roman"/>
                <w:color w:val="auto"/>
                <w:kern w:val="0"/>
                <w:sz w:val="24"/>
                <w:szCs w:val="24"/>
                <w:vertAlign w:val="subscript"/>
                <w:lang w:val="en-US" w:eastAsia="zh-CN" w:bidi="ar"/>
              </w:rPr>
              <w:t>3</w:t>
            </w:r>
            <w:r>
              <w:rPr>
                <w:rFonts w:hint="default" w:ascii="Times New Roman" w:hAnsi="Times New Roman" w:eastAsia="宋体" w:cs="Times New Roman"/>
                <w:color w:val="auto"/>
                <w:kern w:val="0"/>
                <w:sz w:val="24"/>
                <w:szCs w:val="24"/>
                <w:lang w:val="en-US" w:eastAsia="zh-CN" w:bidi="ar"/>
              </w:rPr>
              <w:t>-N、BOD</w:t>
            </w:r>
            <w:r>
              <w:rPr>
                <w:rFonts w:hint="default" w:ascii="Times New Roman" w:hAnsi="Times New Roman" w:eastAsia="宋体" w:cs="Times New Roman"/>
                <w:color w:val="auto"/>
                <w:kern w:val="0"/>
                <w:sz w:val="24"/>
                <w:szCs w:val="24"/>
                <w:vertAlign w:val="subscript"/>
                <w:lang w:val="en-US" w:eastAsia="zh-CN" w:bidi="ar"/>
              </w:rPr>
              <w:t>5</w:t>
            </w:r>
            <w:r>
              <w:rPr>
                <w:rFonts w:hint="default" w:ascii="Times New Roman" w:hAnsi="Times New Roman" w:eastAsia="宋体" w:cs="Times New Roman"/>
                <w:color w:val="auto"/>
                <w:kern w:val="0"/>
                <w:sz w:val="24"/>
                <w:szCs w:val="24"/>
                <w:lang w:val="en-US" w:eastAsia="zh-CN" w:bidi="ar"/>
              </w:rPr>
              <w:t>等。</w:t>
            </w:r>
          </w:p>
          <w:p w14:paraId="366152CE">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施工生活污水</w:t>
            </w:r>
          </w:p>
          <w:p w14:paraId="0AE98E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主要为施工人员日常的生活用水。本项目施工高峰期预计进场工人约20人，施工人员不在厂内住宿，施工期生活污水可</w:t>
            </w:r>
            <w:r>
              <w:rPr>
                <w:rFonts w:hint="eastAsia" w:cs="Times New Roman"/>
                <w:color w:val="auto"/>
                <w:kern w:val="0"/>
                <w:sz w:val="24"/>
                <w:szCs w:val="24"/>
                <w:lang w:val="en-US" w:eastAsia="zh-CN" w:bidi="ar"/>
              </w:rPr>
              <w:t>经化粪池处理后用于周边农田施肥</w:t>
            </w:r>
            <w:r>
              <w:rPr>
                <w:rFonts w:hint="default" w:ascii="Times New Roman" w:hAnsi="Times New Roman" w:eastAsia="宋体" w:cs="Times New Roman"/>
                <w:color w:val="auto"/>
                <w:kern w:val="0"/>
                <w:sz w:val="24"/>
                <w:szCs w:val="24"/>
                <w:lang w:val="en-US" w:eastAsia="zh-CN" w:bidi="ar"/>
              </w:rPr>
              <w:t>。</w:t>
            </w:r>
          </w:p>
          <w:p w14:paraId="1EC93B46">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施工生产废水</w:t>
            </w:r>
          </w:p>
          <w:p w14:paraId="3864FC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本项目施工废水主要来自于施工机械的冲刷、楼地及墙面的冲洗、构件与建筑材料的保潮、墙体的浸润、材料的洗刷以及桩基础施工中排出的泥浆等。该部分废水中的主要污染物为COD、BOD</w:t>
            </w:r>
            <w:r>
              <w:rPr>
                <w:rFonts w:hint="default" w:ascii="Times New Roman" w:hAnsi="Times New Roman" w:eastAsia="宋体" w:cs="Times New Roman"/>
                <w:color w:val="auto"/>
                <w:kern w:val="0"/>
                <w:sz w:val="24"/>
                <w:szCs w:val="24"/>
                <w:vertAlign w:val="subscript"/>
                <w:lang w:val="en-US" w:eastAsia="zh-CN" w:bidi="ar"/>
              </w:rPr>
              <w:t>5</w:t>
            </w:r>
            <w:r>
              <w:rPr>
                <w:rFonts w:hint="default" w:ascii="Times New Roman" w:hAnsi="Times New Roman" w:eastAsia="宋体" w:cs="Times New Roman"/>
                <w:color w:val="auto"/>
                <w:kern w:val="0"/>
                <w:sz w:val="24"/>
                <w:szCs w:val="24"/>
                <w:lang w:val="en-US" w:eastAsia="zh-CN" w:bidi="ar"/>
              </w:rPr>
              <w:t>、SS，污水中COD浓度值最高约300m/L、BOD</w:t>
            </w:r>
            <w:r>
              <w:rPr>
                <w:rFonts w:hint="default" w:ascii="Times New Roman" w:hAnsi="Times New Roman" w:eastAsia="宋体" w:cs="Times New Roman"/>
                <w:color w:val="auto"/>
                <w:kern w:val="0"/>
                <w:sz w:val="24"/>
                <w:szCs w:val="24"/>
                <w:vertAlign w:val="subscript"/>
                <w:lang w:val="en-US" w:eastAsia="zh-CN" w:bidi="ar"/>
              </w:rPr>
              <w:t>5</w:t>
            </w:r>
            <w:r>
              <w:rPr>
                <w:rFonts w:hint="default" w:ascii="Times New Roman" w:hAnsi="Times New Roman" w:eastAsia="宋体" w:cs="Times New Roman"/>
                <w:color w:val="auto"/>
                <w:kern w:val="0"/>
                <w:sz w:val="24"/>
                <w:szCs w:val="24"/>
                <w:lang w:val="en-US" w:eastAsia="zh-CN" w:bidi="ar"/>
              </w:rPr>
              <w:t>约200mg/L、SS约500mg/L。本评价建议采用沉淀池，冲洗废水经沉淀池沉淀后回用于施工场地洒水降尘，不外排，对区域水环境影响较小。</w:t>
            </w:r>
          </w:p>
          <w:p w14:paraId="24F8DF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建设单位落实以上污水防治措施之后，可将施工期污水产生的环境影响降至最低。</w:t>
            </w:r>
          </w:p>
          <w:p w14:paraId="4335609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3、施工噪声防治措施</w:t>
            </w:r>
          </w:p>
          <w:p w14:paraId="6DBC16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为减少噪声对周边环境的影响，施工单位务必规范施工行为，建议采取以下措施：</w:t>
            </w:r>
          </w:p>
          <w:p w14:paraId="3817C6F8">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default" w:ascii="Times New Roman" w:hAnsi="Times New Roman" w:eastAsia="宋体" w:cs="Times New Roman"/>
                <w:color w:val="auto"/>
                <w:kern w:val="0"/>
                <w:sz w:val="24"/>
                <w:szCs w:val="24"/>
                <w:lang w:val="en-US" w:eastAsia="zh-CN" w:bidi="ar"/>
              </w:rPr>
              <w:t>合理布局建设区内施工设备，如将声源较强的振捣棒放置于远离抗援村等环境保护目标的位置；</w:t>
            </w:r>
          </w:p>
          <w:p w14:paraId="7560375A">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因施工期噪声不可避免，而对局部施工单位采取隔声降噪措施又不现实，建设单位必须对施工时段作统筹安排，尽量控制多高噪源同时进行</w:t>
            </w:r>
            <w:r>
              <w:rPr>
                <w:rFonts w:hint="eastAsia" w:ascii="Times New Roman" w:hAnsi="Times New Roman" w:eastAsia="宋体" w:cs="Times New Roman"/>
                <w:color w:val="auto"/>
                <w:kern w:val="0"/>
                <w:sz w:val="24"/>
                <w:szCs w:val="24"/>
                <w:lang w:val="en-US" w:eastAsia="zh-CN" w:bidi="ar"/>
              </w:rPr>
              <w:t>；</w:t>
            </w:r>
          </w:p>
          <w:p w14:paraId="4D9B424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期间必须按《建筑施工场界环境噪声排放标准》（GBl2523-2011）进行施工时间、施工噪声的控制，夜间禁止施工。如根据工况要求必须连续作业，必须得到当地环保部门的许可方可施工。且在施工现场，采用柔性吸声屏替代目前通用的尼龙质地的围幕，并在靠近敏感目标处将围幕加高，减轻施工噪声对敏感目标的影响；</w:t>
            </w:r>
          </w:p>
          <w:p w14:paraId="7055AC47">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禁止夜间（20：00-08:00）和午间（12:00-14:00）进行高噪声机械的施工。因特殊需要必须连续做业的，应当报经文明施工行政主管部门和环境保护行政管理部门批准，并公告附近居民；</w:t>
            </w:r>
          </w:p>
          <w:p w14:paraId="62A9F620">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引进施工设备时将设备噪声作为一项重要的选取指标，尽量引进低噪声设备，并对产生噪声的施工设备加强维护和维修工作，以减少机械故障噪声的产生；</w:t>
            </w:r>
          </w:p>
          <w:p w14:paraId="721EE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6）制定合理的运输线路，车辆运输应尽量避开特殊敏感点。结合本项目周边敏感点的分布情况，在施工期安排比较合理的运输路线，避开学校等环境敏感点。汽车进入居住区应减速慢行，晚间运输用灯光示警，禁鸣喇叭；</w:t>
            </w:r>
          </w:p>
          <w:p w14:paraId="686137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7）与施工单位签订控噪协议，督促和监督其施工控噪工作的有效实施；</w:t>
            </w:r>
          </w:p>
          <w:p w14:paraId="71A2F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8）夜间施工作业必需向周边居民公布施工的时间，并征求附近易受影响居民对工程建设的意见和建议，协调好与周边住户之间的关系，取得民众的理解，避免引起噪声投诉。</w:t>
            </w:r>
          </w:p>
          <w:p w14:paraId="5BF3A45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4、固体废物</w:t>
            </w:r>
          </w:p>
          <w:p w14:paraId="58A0BE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主要为碎砖、废沙石，水泥块、泥土等建筑垃圾、土石方和施工人员生活垃圾等。该部分固废通过统一收集之后交由相关环卫部门处理，同时加强对其的管理，保证固体废物能够得到妥善的处理，减轻固体废物对周边环境的影响。同时，本次环评还建议：</w:t>
            </w:r>
          </w:p>
          <w:p w14:paraId="0750174C">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建筑垃圾和生活垃圾妥善收集，严禁将生活垃圾与建筑垃圾混装混运。生活垃圾及时交由环卫部门清运，严禁随意丢弃影响环境；</w:t>
            </w:r>
          </w:p>
          <w:p w14:paraId="2CB0DCB5">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建筑垃圾应向城市市容环境卫生主管部门进行申报，委托相关部门清运施工余土和建筑垃圾。</w:t>
            </w:r>
          </w:p>
          <w:p w14:paraId="63113CED">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施工产生的土石方，应严格按照要求交由市政渣土部门清运。建设单位落实以上建议，可保证将固体废物对环境的影响降至最低。</w:t>
            </w:r>
          </w:p>
          <w:p w14:paraId="3B1059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5、生态环境保护目标 </w:t>
            </w:r>
          </w:p>
          <w:p w14:paraId="055228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highlight w:val="none"/>
                <w:u w:val="none" w:color="auto"/>
                <w:lang w:val="en-US"/>
              </w:rPr>
            </w:pPr>
            <w:r>
              <w:rPr>
                <w:rFonts w:hint="default" w:ascii="Times New Roman" w:hAnsi="Times New Roman" w:eastAsia="宋体" w:cs="Times New Roman"/>
                <w:color w:val="auto"/>
                <w:kern w:val="0"/>
                <w:sz w:val="24"/>
                <w:szCs w:val="24"/>
                <w:lang w:val="en-US" w:eastAsia="zh-CN" w:bidi="ar"/>
              </w:rPr>
              <w:t>评价范围内无名胜古迹、风景区、自然保护区、饮用水源保护区等生态保护目标，符合生态保护红线要求。</w:t>
            </w:r>
          </w:p>
        </w:tc>
      </w:tr>
      <w:tr w14:paraId="1CF00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2" w:hRule="atLeast"/>
          <w:jc w:val="center"/>
        </w:trPr>
        <w:tc>
          <w:tcPr>
            <w:tcW w:w="172" w:type="pct"/>
            <w:tcBorders>
              <w:tl2br w:val="nil"/>
              <w:tr2bl w:val="nil"/>
            </w:tcBorders>
            <w:tcMar>
              <w:left w:w="28" w:type="dxa"/>
              <w:right w:w="28" w:type="dxa"/>
            </w:tcMar>
            <w:vAlign w:val="center"/>
          </w:tcPr>
          <w:p w14:paraId="3C15ECD0">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运营</w:t>
            </w:r>
          </w:p>
          <w:p w14:paraId="195C76EC">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期环</w:t>
            </w:r>
          </w:p>
          <w:p w14:paraId="16E6A637">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境影</w:t>
            </w:r>
          </w:p>
          <w:p w14:paraId="72858AAF">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响和</w:t>
            </w:r>
          </w:p>
          <w:p w14:paraId="4928C467">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保护</w:t>
            </w:r>
          </w:p>
          <w:p w14:paraId="4B298A1E">
            <w:pPr>
              <w:adjustRightInd w:val="0"/>
              <w:snapToGrid w:val="0"/>
              <w:jc w:val="center"/>
              <w:rPr>
                <w:rFonts w:ascii="Times New Roman" w:hAnsi="Times New Roman"/>
                <w:color w:val="auto"/>
                <w:kern w:val="2"/>
                <w:szCs w:val="24"/>
                <w:highlight w:val="green"/>
                <w:u w:val="none" w:color="auto"/>
              </w:rPr>
            </w:pPr>
            <w:r>
              <w:rPr>
                <w:rFonts w:hint="default" w:ascii="Times New Roman" w:hAnsi="Times New Roman" w:cs="Times New Roman"/>
                <w:bCs/>
                <w:color w:val="auto"/>
                <w:szCs w:val="21"/>
                <w:highlight w:val="none"/>
                <w:u w:val="none" w:color="auto"/>
              </w:rPr>
              <w:t>措施</w:t>
            </w:r>
          </w:p>
        </w:tc>
        <w:tc>
          <w:tcPr>
            <w:tcW w:w="4827" w:type="pct"/>
            <w:tcBorders>
              <w:tl2br w:val="nil"/>
              <w:tr2bl w:val="nil"/>
            </w:tcBorders>
            <w:vAlign w:val="top"/>
          </w:tcPr>
          <w:p w14:paraId="62A4F77B">
            <w:pPr>
              <w:pStyle w:val="37"/>
              <w:bidi w:val="0"/>
              <w:ind w:left="0" w:leftChars="0" w:firstLine="0" w:firstLineChars="0"/>
              <w:jc w:val="both"/>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一、废气</w:t>
            </w:r>
          </w:p>
          <w:p w14:paraId="3792900B">
            <w:pPr>
              <w:pStyle w:val="37"/>
              <w:bidi w:val="0"/>
              <w:rPr>
                <w:rFonts w:hint="default"/>
                <w:b/>
                <w:bCs/>
                <w:color w:val="auto"/>
                <w:highlight w:val="none"/>
                <w:u w:val="none" w:color="auto"/>
              </w:rPr>
            </w:pPr>
            <w:r>
              <w:rPr>
                <w:rFonts w:hint="default"/>
                <w:b/>
                <w:bCs/>
                <w:color w:val="auto"/>
                <w:highlight w:val="none"/>
                <w:u w:val="none" w:color="auto"/>
                <w:lang w:val="en-US" w:eastAsia="zh-CN"/>
              </w:rPr>
              <w:t>1、</w:t>
            </w:r>
            <w:r>
              <w:rPr>
                <w:rFonts w:hint="default"/>
                <w:b/>
                <w:bCs/>
                <w:color w:val="auto"/>
                <w:highlight w:val="none"/>
                <w:u w:val="none" w:color="auto"/>
              </w:rPr>
              <w:t>工程产排污情况</w:t>
            </w:r>
          </w:p>
          <w:p w14:paraId="693FF81F">
            <w:pPr>
              <w:pStyle w:val="37"/>
              <w:bidi w:val="0"/>
              <w:rPr>
                <w:color w:val="auto"/>
                <w:highlight w:val="none"/>
                <w:u w:val="none" w:color="auto"/>
              </w:rPr>
            </w:pPr>
            <w:r>
              <w:rPr>
                <w:rFonts w:hint="default"/>
                <w:color w:val="auto"/>
                <w:highlight w:val="none"/>
                <w:u w:val="none" w:color="auto"/>
              </w:rPr>
              <w:t>本项目产生的大气污</w:t>
            </w:r>
            <w:r>
              <w:rPr>
                <w:rFonts w:hint="default" w:ascii="Times New Roman" w:hAnsi="Times New Roman" w:eastAsia="宋体" w:cs="Times New Roman"/>
                <w:color w:val="auto"/>
                <w:highlight w:val="none"/>
                <w:u w:val="none" w:color="auto"/>
              </w:rPr>
              <w:t>染主要</w:t>
            </w:r>
            <w:r>
              <w:rPr>
                <w:rFonts w:hint="eastAsia" w:ascii="Times New Roman" w:hAnsi="Times New Roman" w:eastAsia="宋体" w:cs="Times New Roman"/>
                <w:color w:val="auto"/>
                <w:highlight w:val="none"/>
                <w:u w:val="none" w:color="auto"/>
                <w:lang w:val="en-US" w:eastAsia="zh-CN"/>
              </w:rPr>
              <w:t>为装卸、喂料、筛选</w:t>
            </w:r>
            <w:r>
              <w:rPr>
                <w:rFonts w:hint="eastAsia" w:cs="Times New Roman"/>
                <w:color w:val="auto"/>
                <w:highlight w:val="none"/>
                <w:u w:val="none" w:color="auto"/>
                <w:lang w:val="en-US" w:eastAsia="zh-CN"/>
              </w:rPr>
              <w:t>、</w:t>
            </w:r>
            <w:r>
              <w:rPr>
                <w:rFonts w:hint="eastAsia" w:ascii="Times New Roman" w:hAnsi="Times New Roman" w:eastAsia="宋体" w:cs="Times New Roman"/>
                <w:color w:val="auto"/>
                <w:highlight w:val="none"/>
                <w:u w:val="none" w:color="auto"/>
                <w:lang w:val="en-US" w:eastAsia="zh-CN"/>
              </w:rPr>
              <w:t>破碎</w:t>
            </w:r>
            <w:r>
              <w:rPr>
                <w:rFonts w:hint="eastAsia" w:cs="Times New Roman"/>
                <w:color w:val="auto"/>
                <w:highlight w:val="none"/>
                <w:u w:val="none" w:color="auto"/>
                <w:lang w:val="en-US" w:eastAsia="zh-CN"/>
              </w:rPr>
              <w:t>、堆场、食堂油烟</w:t>
            </w:r>
            <w:r>
              <w:rPr>
                <w:rFonts w:hint="eastAsia"/>
                <w:color w:val="auto"/>
                <w:highlight w:val="none"/>
                <w:u w:val="none" w:color="auto"/>
                <w:lang w:val="en-US" w:eastAsia="zh-CN"/>
              </w:rPr>
              <w:t>及运输过程中</w:t>
            </w:r>
            <w:r>
              <w:rPr>
                <w:color w:val="auto"/>
                <w:highlight w:val="none"/>
                <w:u w:val="none" w:color="auto"/>
              </w:rPr>
              <w:t>产生的粉尘</w:t>
            </w:r>
            <w:r>
              <w:rPr>
                <w:rFonts w:hint="eastAsia"/>
                <w:color w:val="auto"/>
                <w:highlight w:val="none"/>
                <w:u w:val="none" w:color="auto"/>
                <w:lang w:val="en-US" w:eastAsia="zh-CN"/>
              </w:rPr>
              <w:t>。</w:t>
            </w:r>
          </w:p>
          <w:p w14:paraId="5F906082">
            <w:pPr>
              <w:pStyle w:val="37"/>
              <w:bidi w:val="0"/>
              <w:rPr>
                <w:rFonts w:hint="eastAsia" w:ascii="Times New Roman" w:hAnsi="Times New Roman" w:eastAsia="宋体" w:cs="Times New Roman"/>
                <w:color w:val="auto"/>
                <w:kern w:val="0"/>
                <w:sz w:val="24"/>
                <w:szCs w:val="24"/>
                <w:lang w:val="en-US" w:eastAsia="zh-CN" w:bidi="ar"/>
              </w:rPr>
            </w:pPr>
            <w:r>
              <w:rPr>
                <w:rFonts w:hint="default"/>
                <w:b/>
                <w:bCs/>
                <w:color w:val="auto"/>
                <w:highlight w:val="none"/>
                <w:u w:val="none" w:color="auto"/>
              </w:rPr>
              <w:t>①</w:t>
            </w:r>
            <w:r>
              <w:rPr>
                <w:rFonts w:hint="eastAsia"/>
                <w:b/>
                <w:bCs/>
                <w:color w:val="auto"/>
                <w:highlight w:val="none"/>
                <w:u w:val="none" w:color="auto"/>
                <w:lang w:val="en-US" w:eastAsia="zh-CN"/>
              </w:rPr>
              <w:t>装卸粉尘</w:t>
            </w:r>
          </w:p>
          <w:p w14:paraId="141FF44F">
            <w:pPr>
              <w:pStyle w:val="37"/>
              <w:bidi w:val="0"/>
              <w:rPr>
                <w:rFonts w:hint="default"/>
                <w:color w:val="auto"/>
                <w:highlight w:val="none"/>
                <w:u w:val="none" w:color="auto"/>
              </w:rPr>
            </w:pPr>
            <w:r>
              <w:rPr>
                <w:rFonts w:hint="eastAsia" w:ascii="Times New Roman" w:hAnsi="Times New Roman" w:eastAsia="宋体" w:cs="Times New Roman"/>
                <w:color w:val="auto"/>
                <w:kern w:val="0"/>
                <w:sz w:val="24"/>
                <w:szCs w:val="24"/>
                <w:lang w:val="en-US" w:eastAsia="zh-CN" w:bidi="ar"/>
              </w:rPr>
              <w:t>项目原料由汽车定期运往项目原料仓库堆放，项目原料用量</w:t>
            </w:r>
            <w:r>
              <w:rPr>
                <w:rFonts w:hint="eastAsia" w:ascii="宋体" w:hAnsi="宋体" w:eastAsia="宋体" w:cs="宋体"/>
                <w:color w:val="auto"/>
                <w:kern w:val="0"/>
                <w:sz w:val="24"/>
                <w:szCs w:val="24"/>
                <w:lang w:val="en-US" w:eastAsia="zh-CN" w:bidi="ar"/>
              </w:rPr>
              <w:t>为</w:t>
            </w:r>
            <w:r>
              <w:rPr>
                <w:rFonts w:hint="default" w:ascii="Times New Roman" w:hAnsi="Times New Roman" w:eastAsia="宋体" w:cs="Times New Roman"/>
                <w:color w:val="auto"/>
                <w:kern w:val="0"/>
                <w:sz w:val="24"/>
                <w:szCs w:val="24"/>
                <w:lang w:val="en-US" w:eastAsia="zh-CN" w:bidi="ar"/>
              </w:rPr>
              <w:t>10200吨/</w:t>
            </w:r>
            <w:r>
              <w:rPr>
                <w:rFonts w:hint="eastAsia" w:ascii="宋体" w:hAnsi="宋体" w:eastAsia="宋体" w:cs="宋体"/>
                <w:color w:val="auto"/>
                <w:kern w:val="0"/>
                <w:sz w:val="24"/>
                <w:szCs w:val="24"/>
                <w:lang w:val="en-US" w:eastAsia="zh-CN" w:bidi="ar"/>
              </w:rPr>
              <w:t>年，根据《逸散性</w:t>
            </w:r>
            <w:r>
              <w:rPr>
                <w:rFonts w:hint="eastAsia" w:ascii="宋体" w:hAnsi="宋体" w:eastAsia="宋体" w:cs="宋体"/>
                <w:color w:val="auto"/>
                <w:kern w:val="0"/>
                <w:sz w:val="24"/>
                <w:szCs w:val="24"/>
                <w:highlight w:val="none"/>
                <w:lang w:val="en-US" w:eastAsia="zh-CN" w:bidi="ar"/>
              </w:rPr>
              <w:t>工业粉尘控制技术》（中国环境科学出版社），粉尘排放因子为</w:t>
            </w:r>
            <w:r>
              <w:rPr>
                <w:rFonts w:hint="default" w:ascii="Times New Roman" w:hAnsi="Times New Roman" w:eastAsia="宋体" w:cs="Times New Roman"/>
                <w:color w:val="auto"/>
                <w:kern w:val="0"/>
                <w:sz w:val="24"/>
                <w:szCs w:val="24"/>
                <w:highlight w:val="none"/>
                <w:lang w:val="en-US" w:eastAsia="zh-CN" w:bidi="ar"/>
              </w:rPr>
              <w:t>0.02kg/t</w:t>
            </w:r>
            <w:r>
              <w:rPr>
                <w:rFonts w:hint="eastAsia" w:ascii="宋体" w:hAnsi="宋体" w:eastAsia="宋体" w:cs="宋体"/>
                <w:color w:val="auto"/>
                <w:kern w:val="0"/>
                <w:sz w:val="24"/>
                <w:szCs w:val="24"/>
                <w:highlight w:val="none"/>
                <w:lang w:val="en-US" w:eastAsia="zh-CN" w:bidi="ar"/>
              </w:rPr>
              <w:t>·原料，</w:t>
            </w:r>
            <w:r>
              <w:rPr>
                <w:color w:val="auto"/>
                <w:highlight w:val="none"/>
                <w:u w:val="none" w:color="auto"/>
              </w:rPr>
              <w:t>则粉尘产生量为</w:t>
            </w:r>
            <w:r>
              <w:rPr>
                <w:rFonts w:hint="eastAsia"/>
                <w:color w:val="auto"/>
                <w:highlight w:val="none"/>
                <w:u w:val="none" w:color="auto"/>
                <w:lang w:val="en-US" w:eastAsia="zh-CN"/>
              </w:rPr>
              <w:t>0.408</w:t>
            </w:r>
            <w:r>
              <w:rPr>
                <w:color w:val="auto"/>
                <w:highlight w:val="none"/>
                <w:u w:val="none" w:color="auto"/>
              </w:rPr>
              <w:t>t/a。</w:t>
            </w:r>
            <w:r>
              <w:rPr>
                <w:rFonts w:hint="eastAsia" w:ascii="Times New Roman" w:hAnsi="Times New Roman" w:cs="Times New Roman"/>
                <w:color w:val="auto"/>
                <w:highlight w:val="none"/>
                <w:u w:val="none" w:color="auto"/>
                <w:lang w:val="en-US" w:eastAsia="zh-CN"/>
              </w:rPr>
              <w:t>建议建设单位配备自动喷淋设施进行洒水降尘</w:t>
            </w:r>
            <w:r>
              <w:rPr>
                <w:color w:val="auto"/>
                <w:highlight w:val="none"/>
                <w:u w:val="none" w:color="auto"/>
              </w:rPr>
              <w:t>，</w:t>
            </w:r>
            <w:r>
              <w:rPr>
                <w:rFonts w:hint="eastAsia"/>
                <w:color w:val="auto"/>
                <w:highlight w:val="none"/>
                <w:u w:val="none" w:color="auto"/>
                <w:lang w:val="en-US" w:eastAsia="zh-CN"/>
              </w:rPr>
              <w:t>根据《固体物料堆存颗粒物产排污核算系数手册》附录</w:t>
            </w:r>
            <w:r>
              <w:rPr>
                <w:rFonts w:hint="default"/>
                <w:color w:val="auto"/>
                <w:highlight w:val="none"/>
                <w:u w:val="none" w:color="auto"/>
                <w:lang w:val="en-US" w:eastAsia="zh-CN"/>
              </w:rPr>
              <w:t>4</w:t>
            </w:r>
            <w:r>
              <w:rPr>
                <w:rFonts w:hint="eastAsia"/>
                <w:color w:val="auto"/>
                <w:highlight w:val="none"/>
                <w:u w:val="none" w:color="auto"/>
                <w:lang w:val="en-US" w:eastAsia="zh-CN"/>
              </w:rPr>
              <w:t>，</w:t>
            </w:r>
            <w:r>
              <w:rPr>
                <w:color w:val="auto"/>
                <w:highlight w:val="none"/>
                <w:u w:val="none" w:color="auto"/>
              </w:rPr>
              <w:t>除尘效率可达</w:t>
            </w:r>
            <w:r>
              <w:rPr>
                <w:rFonts w:hint="eastAsia"/>
                <w:color w:val="auto"/>
                <w:highlight w:val="none"/>
                <w:u w:val="none" w:color="auto"/>
                <w:lang w:val="en-US" w:eastAsia="zh-CN"/>
              </w:rPr>
              <w:t>7</w:t>
            </w:r>
            <w:r>
              <w:rPr>
                <w:rFonts w:hint="eastAsia"/>
                <w:bCs/>
                <w:color w:val="auto"/>
                <w:highlight w:val="none"/>
                <w:u w:val="none" w:color="auto"/>
                <w:lang w:val="en-US" w:eastAsia="zh-CN"/>
              </w:rPr>
              <w:t>4</w:t>
            </w:r>
            <w:r>
              <w:rPr>
                <w:bCs/>
                <w:color w:val="auto"/>
                <w:highlight w:val="none"/>
                <w:u w:val="none" w:color="auto"/>
              </w:rPr>
              <w:t>%，则原料装卸粉尘排放量为0.</w:t>
            </w:r>
            <w:r>
              <w:rPr>
                <w:rFonts w:hint="eastAsia"/>
                <w:bCs/>
                <w:color w:val="auto"/>
                <w:highlight w:val="none"/>
                <w:u w:val="none" w:color="auto"/>
                <w:lang w:val="en-US" w:eastAsia="zh-CN"/>
              </w:rPr>
              <w:t>102</w:t>
            </w:r>
            <w:r>
              <w:rPr>
                <w:bCs/>
                <w:color w:val="auto"/>
                <w:highlight w:val="none"/>
                <w:u w:val="none" w:color="auto"/>
              </w:rPr>
              <w:t>t/a</w:t>
            </w:r>
            <w:r>
              <w:rPr>
                <w:rFonts w:hint="eastAsia"/>
                <w:bCs/>
                <w:color w:val="auto"/>
                <w:highlight w:val="none"/>
                <w:u w:val="none" w:color="auto"/>
                <w:lang w:eastAsia="zh-CN"/>
              </w:rPr>
              <w:t>，</w:t>
            </w:r>
            <w:r>
              <w:rPr>
                <w:rFonts w:hint="eastAsia"/>
                <w:bCs/>
                <w:color w:val="auto"/>
                <w:highlight w:val="none"/>
                <w:u w:val="none" w:color="auto"/>
                <w:lang w:val="en-US" w:eastAsia="zh-CN"/>
              </w:rPr>
              <w:t>排放速率为0.021kg/h</w:t>
            </w:r>
            <w:r>
              <w:rPr>
                <w:bCs/>
                <w:color w:val="auto"/>
                <w:highlight w:val="none"/>
                <w:u w:val="none" w:color="auto"/>
              </w:rPr>
              <w:t>。</w:t>
            </w:r>
          </w:p>
          <w:p w14:paraId="688EE2D9">
            <w:pPr>
              <w:pStyle w:val="37"/>
              <w:bidi w:val="0"/>
              <w:rPr>
                <w:rFonts w:hint="eastAsia"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②</w:t>
            </w:r>
            <w:r>
              <w:rPr>
                <w:rFonts w:hint="eastAsia" w:ascii="Times New Roman" w:hAnsi="Times New Roman" w:cs="Times New Roman"/>
                <w:b/>
                <w:bCs/>
                <w:color w:val="auto"/>
                <w:highlight w:val="none"/>
                <w:u w:val="none" w:color="auto"/>
              </w:rPr>
              <w:t>破碎粉尘</w:t>
            </w:r>
          </w:p>
          <w:p w14:paraId="3CF01DDE">
            <w:pPr>
              <w:pStyle w:val="37"/>
              <w:bidi w:val="0"/>
              <w:rPr>
                <w:rFonts w:hint="eastAsia" w:ascii="Times New Roman" w:hAnsi="Times New Roman" w:cs="Times New Roman"/>
                <w:color w:val="auto"/>
                <w:highlight w:val="green"/>
                <w:u w:val="none" w:color="auto"/>
                <w:lang w:val="en-US" w:eastAsia="zh-CN"/>
              </w:rPr>
            </w:pPr>
            <w:r>
              <w:rPr>
                <w:rFonts w:hint="default"/>
                <w:color w:val="auto"/>
                <w:highlight w:val="none"/>
                <w:u w:val="none" w:color="auto"/>
                <w:lang w:val="en-US" w:eastAsia="zh-CN"/>
              </w:rPr>
              <w:t>项目</w:t>
            </w:r>
            <w:r>
              <w:rPr>
                <w:rFonts w:hint="eastAsia"/>
                <w:color w:val="auto"/>
                <w:highlight w:val="none"/>
                <w:u w:val="none" w:color="auto"/>
                <w:lang w:val="en-US" w:eastAsia="zh-CN"/>
              </w:rPr>
              <w:t>破碎过程中</w:t>
            </w:r>
            <w:r>
              <w:rPr>
                <w:rFonts w:hint="default"/>
                <w:color w:val="auto"/>
                <w:highlight w:val="none"/>
                <w:u w:val="none" w:color="auto"/>
                <w:lang w:val="en-US" w:eastAsia="zh-CN"/>
              </w:rPr>
              <w:t>会产生一定量的粉尘，参考《排放源统计调查产排污核</w:t>
            </w:r>
            <w:r>
              <w:rPr>
                <w:color w:val="auto"/>
                <w:highlight w:val="none"/>
                <w:u w:val="none" w:color="auto"/>
              </w:rPr>
              <w:t>算方法和系数手册</w:t>
            </w:r>
            <w:r>
              <w:rPr>
                <w:rFonts w:hint="eastAsia"/>
                <w:color w:val="auto"/>
                <w:highlight w:val="none"/>
                <w:u w:val="none" w:color="auto"/>
                <w:lang w:eastAsia="zh-CN"/>
              </w:rPr>
              <w:t>》（生态环境部公告2021年第24号）中3099其他非金属矿物制品制造行业系数手册-破碎-颗粒物产生量1.13千克/吨</w:t>
            </w:r>
            <w:r>
              <w:rPr>
                <w:rFonts w:hint="eastAsia"/>
                <w:color w:val="auto"/>
                <w:highlight w:val="none"/>
                <w:u w:val="none" w:color="auto"/>
                <w:lang w:val="en-US" w:eastAsia="zh-CN"/>
              </w:rPr>
              <w:t>-产品；</w:t>
            </w:r>
            <w:r>
              <w:rPr>
                <w:rFonts w:hint="eastAsia" w:ascii="Times New Roman" w:hAnsi="Times New Roman" w:eastAsia="宋体" w:cs="Times New Roman"/>
                <w:color w:val="auto"/>
                <w:kern w:val="0"/>
                <w:sz w:val="24"/>
                <w:szCs w:val="24"/>
                <w:lang w:val="en-US" w:eastAsia="zh-CN" w:bidi="ar"/>
              </w:rPr>
              <w:t>项目原料用量</w:t>
            </w:r>
            <w:r>
              <w:rPr>
                <w:rFonts w:hint="eastAsia" w:ascii="宋体" w:hAnsi="宋体" w:eastAsia="宋体" w:cs="宋体"/>
                <w:color w:val="auto"/>
                <w:kern w:val="0"/>
                <w:sz w:val="24"/>
                <w:szCs w:val="24"/>
                <w:lang w:val="en-US" w:eastAsia="zh-CN" w:bidi="ar"/>
              </w:rPr>
              <w:t>为</w:t>
            </w:r>
            <w:r>
              <w:rPr>
                <w:rFonts w:hint="default" w:ascii="Times New Roman" w:hAnsi="Times New Roman" w:eastAsia="宋体" w:cs="Times New Roman"/>
                <w:color w:val="auto"/>
                <w:kern w:val="0"/>
                <w:sz w:val="24"/>
                <w:szCs w:val="24"/>
                <w:lang w:val="en-US" w:eastAsia="zh-CN" w:bidi="ar"/>
              </w:rPr>
              <w:t>10200吨</w:t>
            </w:r>
            <w:r>
              <w:rPr>
                <w:rFonts w:hint="eastAsia" w:ascii="Times New Roman" w:hAnsi="Times New Roman" w:cs="Times New Roman"/>
                <w:color w:val="auto"/>
                <w:highlight w:val="none"/>
                <w:u w:val="none" w:color="auto"/>
                <w:lang w:val="en-US" w:eastAsia="zh-CN"/>
              </w:rPr>
              <w:t>，则破碎工序年产生粉尘量为</w:t>
            </w:r>
            <w:r>
              <w:rPr>
                <w:rFonts w:hint="eastAsia" w:cs="Times New Roman"/>
                <w:color w:val="auto"/>
                <w:highlight w:val="none"/>
                <w:u w:val="none" w:color="auto"/>
                <w:lang w:val="en-US" w:eastAsia="zh-CN"/>
              </w:rPr>
              <w:t>11.526</w:t>
            </w:r>
            <w:r>
              <w:rPr>
                <w:rFonts w:hint="eastAsia" w:ascii="Times New Roman" w:hAnsi="Times New Roman" w:cs="Times New Roman"/>
                <w:color w:val="auto"/>
                <w:highlight w:val="none"/>
                <w:u w:val="none" w:color="auto"/>
                <w:lang w:val="en-US" w:eastAsia="zh-CN"/>
              </w:rPr>
              <w:t>t/a；项目工序在半敞开式厂房中进行，产生粉尘均在车间内排放，建议建设单位配备自动喷淋设施进行洒水降尘，处理效率按7</w:t>
            </w:r>
            <w:r>
              <w:rPr>
                <w:rFonts w:hint="eastAsia" w:cs="Times New Roman"/>
                <w:color w:val="auto"/>
                <w:highlight w:val="none"/>
                <w:u w:val="none" w:color="auto"/>
                <w:lang w:val="en-US" w:eastAsia="zh-CN"/>
              </w:rPr>
              <w:t>4</w:t>
            </w:r>
            <w:r>
              <w:rPr>
                <w:rFonts w:hint="eastAsia" w:ascii="Times New Roman" w:hAnsi="Times New Roman" w:cs="Times New Roman"/>
                <w:color w:val="auto"/>
                <w:highlight w:val="none"/>
                <w:u w:val="none" w:color="auto"/>
                <w:lang w:val="en-US" w:eastAsia="zh-CN"/>
              </w:rPr>
              <w:t>%计算，则项目破碎工序无组织粉尘排放量约为</w:t>
            </w:r>
            <w:r>
              <w:rPr>
                <w:rFonts w:hint="eastAsia" w:cs="Times New Roman"/>
                <w:color w:val="auto"/>
                <w:highlight w:val="none"/>
                <w:u w:val="none" w:color="auto"/>
                <w:lang w:val="en-US" w:eastAsia="zh-CN"/>
              </w:rPr>
              <w:t>2.996</w:t>
            </w:r>
            <w:r>
              <w:rPr>
                <w:rFonts w:hint="eastAsia" w:ascii="Times New Roman" w:hAnsi="Times New Roman" w:cs="Times New Roman"/>
                <w:color w:val="auto"/>
                <w:highlight w:val="none"/>
                <w:u w:val="none" w:color="auto"/>
                <w:lang w:val="en-US" w:eastAsia="zh-CN"/>
              </w:rPr>
              <w:t>t/a，排放速率为</w:t>
            </w:r>
            <w:r>
              <w:rPr>
                <w:rFonts w:hint="eastAsia" w:cs="Times New Roman"/>
                <w:color w:val="auto"/>
                <w:highlight w:val="none"/>
                <w:u w:val="none" w:color="auto"/>
                <w:lang w:val="en-US" w:eastAsia="zh-CN"/>
              </w:rPr>
              <w:t>0.62</w:t>
            </w:r>
            <w:r>
              <w:rPr>
                <w:rFonts w:hint="eastAsia" w:ascii="Times New Roman" w:hAnsi="Times New Roman" w:cs="Times New Roman"/>
                <w:color w:val="auto"/>
                <w:highlight w:val="none"/>
                <w:u w:val="none" w:color="auto"/>
                <w:lang w:val="en-US" w:eastAsia="zh-CN"/>
              </w:rPr>
              <w:t>kg/h，车间内定期清扫，对周边环境影响较小。</w:t>
            </w:r>
          </w:p>
          <w:p w14:paraId="64287520">
            <w:pPr>
              <w:pStyle w:val="37"/>
              <w:bidi w:val="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③</w:t>
            </w:r>
            <w:r>
              <w:rPr>
                <w:rFonts w:hint="eastAsia" w:ascii="Times New Roman" w:hAnsi="Times New Roman" w:cs="Times New Roman"/>
                <w:b/>
                <w:bCs/>
                <w:color w:val="auto"/>
                <w:highlight w:val="none"/>
                <w:u w:val="none" w:color="auto"/>
                <w:lang w:val="en-US" w:eastAsia="zh-CN"/>
              </w:rPr>
              <w:t>筛分粉尘</w:t>
            </w:r>
          </w:p>
          <w:p w14:paraId="074E7A83">
            <w:pPr>
              <w:pStyle w:val="3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项目筛分工序会产生粉尘，参考《排放源统计调查产排污核算方法和系数手册》（生态环境部公告2021年第24号）中3099</w:t>
            </w:r>
            <w:r>
              <w:rPr>
                <w:rFonts w:hint="eastAsia" w:cs="Times New Roman"/>
                <w:color w:val="auto"/>
                <w:highlight w:val="none"/>
                <w:u w:val="none" w:color="auto"/>
                <w:lang w:val="en-US" w:eastAsia="zh-CN"/>
              </w:rPr>
              <w:t>其他非金属矿物制品制造</w:t>
            </w:r>
            <w:r>
              <w:rPr>
                <w:rFonts w:hint="eastAsia" w:ascii="Times New Roman" w:hAnsi="Times New Roman" w:cs="Times New Roman"/>
                <w:color w:val="auto"/>
                <w:highlight w:val="none"/>
                <w:u w:val="none" w:color="auto"/>
                <w:lang w:val="en-US" w:eastAsia="zh-CN"/>
              </w:rPr>
              <w:t>行业系数手册-筛分-颗粒物产生量1.13千克/吨-产品；项目原料用量为</w:t>
            </w:r>
            <w:r>
              <w:rPr>
                <w:rFonts w:hint="default" w:ascii="Times New Roman" w:hAnsi="Times New Roman" w:cs="Times New Roman"/>
                <w:color w:val="auto"/>
                <w:highlight w:val="none"/>
                <w:u w:val="none" w:color="auto"/>
                <w:lang w:val="en-US" w:eastAsia="zh-CN"/>
              </w:rPr>
              <w:t>10200吨</w:t>
            </w:r>
            <w:r>
              <w:rPr>
                <w:rFonts w:hint="eastAsia" w:ascii="Times New Roman" w:hAnsi="Times New Roman" w:cs="Times New Roman"/>
                <w:color w:val="auto"/>
                <w:highlight w:val="none"/>
                <w:u w:val="none" w:color="auto"/>
                <w:lang w:val="en-US" w:eastAsia="zh-CN"/>
              </w:rPr>
              <w:t>，则</w:t>
            </w:r>
            <w:r>
              <w:rPr>
                <w:rFonts w:hint="eastAsia" w:cs="Times New Roman"/>
                <w:color w:val="auto"/>
                <w:highlight w:val="none"/>
                <w:u w:val="none" w:color="auto"/>
                <w:lang w:val="en-US" w:eastAsia="zh-CN"/>
              </w:rPr>
              <w:t>筛分</w:t>
            </w:r>
            <w:r>
              <w:rPr>
                <w:rFonts w:hint="eastAsia" w:ascii="Times New Roman" w:hAnsi="Times New Roman" w:cs="Times New Roman"/>
                <w:color w:val="auto"/>
                <w:highlight w:val="none"/>
                <w:u w:val="none" w:color="auto"/>
                <w:lang w:val="en-US" w:eastAsia="zh-CN"/>
              </w:rPr>
              <w:t>工序年产生粉尘量为11.526t/a；项目工序在半敞开式厂房中进行，产生粉尘均在车间内排放，建议建设单位配备自动喷淋设施进行洒水降尘，处理效率按74%计算，则项目</w:t>
            </w:r>
            <w:r>
              <w:rPr>
                <w:rFonts w:hint="eastAsia" w:cs="Times New Roman"/>
                <w:color w:val="auto"/>
                <w:highlight w:val="none"/>
                <w:u w:val="none" w:color="auto"/>
                <w:lang w:val="en-US" w:eastAsia="zh-CN"/>
              </w:rPr>
              <w:t>筛分</w:t>
            </w:r>
            <w:r>
              <w:rPr>
                <w:rFonts w:hint="eastAsia" w:ascii="Times New Roman" w:hAnsi="Times New Roman" w:cs="Times New Roman"/>
                <w:color w:val="auto"/>
                <w:highlight w:val="none"/>
                <w:u w:val="none" w:color="auto"/>
                <w:lang w:val="en-US" w:eastAsia="zh-CN"/>
              </w:rPr>
              <w:t>工序无组织粉尘排放量约为2.996t/a，排放速率为0.62kg/h，车间内定期清扫，对周边环境影响较小。</w:t>
            </w:r>
          </w:p>
          <w:p w14:paraId="439E1DB4">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④运输粉尘</w:t>
            </w:r>
          </w:p>
          <w:p w14:paraId="04073B67">
            <w:pPr>
              <w:pStyle w:val="37"/>
              <w:bidi w:val="0"/>
              <w:rPr>
                <w:color w:val="auto"/>
                <w:highlight w:val="none"/>
                <w:u w:val="none" w:color="auto"/>
              </w:rPr>
            </w:pPr>
            <w:r>
              <w:rPr>
                <w:color w:val="auto"/>
                <w:highlight w:val="none"/>
                <w:u w:val="none" w:color="auto"/>
                <w:lang w:val="en-US" w:eastAsia="zh-CN"/>
              </w:rPr>
              <w:t>厂内</w:t>
            </w:r>
            <w:r>
              <w:rPr>
                <w:rFonts w:hint="eastAsia"/>
                <w:color w:val="auto"/>
                <w:highlight w:val="none"/>
                <w:u w:val="none" w:color="auto"/>
                <w:lang w:val="en-US" w:eastAsia="zh-CN"/>
              </w:rPr>
              <w:t xml:space="preserve">车辆运输会产生扬尘，车辆行驶产生的扬尘，在道路完全干燥的情况下，可用以下经验公式计算： </w:t>
            </w:r>
          </w:p>
          <w:p w14:paraId="6EE524E3">
            <w:pPr>
              <w:pStyle w:val="37"/>
              <w:bidi w:val="0"/>
              <w:ind w:left="0" w:leftChars="0" w:firstLine="0" w:firstLineChars="0"/>
              <w:jc w:val="center"/>
              <w:rPr>
                <w:color w:val="auto"/>
                <w:sz w:val="24"/>
                <w:highlight w:val="none"/>
                <w:u w:val="none" w:color="auto"/>
              </w:rPr>
            </w:pPr>
            <w:r>
              <w:rPr>
                <w:color w:val="auto"/>
                <w:sz w:val="24"/>
                <w:highlight w:val="none"/>
                <w:u w:val="none" w:color="auto"/>
              </w:rPr>
              <w:drawing>
                <wp:inline distT="0" distB="0" distL="114300" distR="114300">
                  <wp:extent cx="2318385" cy="935990"/>
                  <wp:effectExtent l="0" t="0" r="5715" b="1651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2"/>
                          <a:stretch>
                            <a:fillRect/>
                          </a:stretch>
                        </pic:blipFill>
                        <pic:spPr>
                          <a:xfrm>
                            <a:off x="0" y="0"/>
                            <a:ext cx="2318385" cy="935990"/>
                          </a:xfrm>
                          <a:prstGeom prst="rect">
                            <a:avLst/>
                          </a:prstGeom>
                          <a:noFill/>
                          <a:ln>
                            <a:noFill/>
                          </a:ln>
                        </pic:spPr>
                      </pic:pic>
                    </a:graphicData>
                  </a:graphic>
                </wp:inline>
              </w:drawing>
            </w:r>
          </w:p>
          <w:p w14:paraId="1D7DEEFE">
            <w:pPr>
              <w:pStyle w:val="37"/>
              <w:bidi w:val="0"/>
              <w:rPr>
                <w:color w:val="auto"/>
                <w:highlight w:val="none"/>
                <w:u w:val="none" w:color="auto"/>
                <w:lang w:val="en-US" w:eastAsia="zh-CN"/>
              </w:rPr>
            </w:pPr>
            <w:r>
              <w:rPr>
                <w:color w:val="auto"/>
                <w:highlight w:val="none"/>
                <w:u w:val="none" w:color="auto"/>
                <w:lang w:val="en-US" w:eastAsia="zh-CN"/>
              </w:rPr>
              <w:t>其中Qy</w:t>
            </w:r>
            <w:r>
              <w:rPr>
                <w:rFonts w:hint="eastAsia"/>
                <w:color w:val="auto"/>
                <w:highlight w:val="none"/>
                <w:u w:val="none" w:color="auto"/>
                <w:lang w:val="en-US" w:eastAsia="zh-CN"/>
              </w:rPr>
              <w:t>：</w:t>
            </w:r>
            <w:r>
              <w:rPr>
                <w:color w:val="auto"/>
                <w:highlight w:val="none"/>
                <w:u w:val="none" w:color="auto"/>
                <w:lang w:val="en-US" w:eastAsia="zh-CN"/>
              </w:rPr>
              <w:t>——交通运输起尘量，kg/km/辆</w:t>
            </w:r>
          </w:p>
          <w:p w14:paraId="74513F48">
            <w:pPr>
              <w:pStyle w:val="37"/>
              <w:bidi w:val="0"/>
              <w:rPr>
                <w:color w:val="auto"/>
                <w:highlight w:val="none"/>
                <w:u w:val="none" w:color="auto"/>
                <w:lang w:val="en-US" w:eastAsia="zh-CN"/>
              </w:rPr>
            </w:pPr>
            <w:r>
              <w:rPr>
                <w:color w:val="auto"/>
                <w:highlight w:val="none"/>
                <w:u w:val="none" w:color="auto"/>
                <w:lang w:val="en-US" w:eastAsia="zh-CN"/>
              </w:rPr>
              <w:t>QT</w:t>
            </w:r>
            <w:r>
              <w:rPr>
                <w:rFonts w:hint="eastAsia"/>
                <w:color w:val="auto"/>
                <w:highlight w:val="none"/>
                <w:u w:val="none" w:color="auto"/>
                <w:lang w:val="en-US" w:eastAsia="zh-CN"/>
              </w:rPr>
              <w:t>：</w:t>
            </w:r>
            <w:r>
              <w:rPr>
                <w:color w:val="auto"/>
                <w:highlight w:val="none"/>
                <w:u w:val="none" w:color="auto"/>
                <w:lang w:val="en-US" w:eastAsia="zh-CN"/>
              </w:rPr>
              <w:t>——运输途中起尘量，kg/a</w:t>
            </w:r>
          </w:p>
          <w:p w14:paraId="7954D602">
            <w:pPr>
              <w:pStyle w:val="37"/>
              <w:bidi w:val="0"/>
              <w:rPr>
                <w:color w:val="auto"/>
                <w:highlight w:val="none"/>
                <w:u w:val="none" w:color="auto"/>
                <w:lang w:val="en-US" w:eastAsia="zh-CN"/>
              </w:rPr>
            </w:pPr>
            <w:r>
              <w:rPr>
                <w:color w:val="auto"/>
                <w:highlight w:val="none"/>
                <w:u w:val="none" w:color="auto"/>
                <w:lang w:val="en-US" w:eastAsia="zh-CN"/>
              </w:rPr>
              <w:t>V</w:t>
            </w:r>
            <w:r>
              <w:rPr>
                <w:rFonts w:hint="eastAsia"/>
                <w:color w:val="auto"/>
                <w:highlight w:val="none"/>
                <w:u w:val="none" w:color="auto"/>
                <w:lang w:val="en-US" w:eastAsia="zh-CN"/>
              </w:rPr>
              <w:t>：</w:t>
            </w:r>
            <w:r>
              <w:rPr>
                <w:color w:val="auto"/>
                <w:highlight w:val="none"/>
                <w:u w:val="none" w:color="auto"/>
                <w:lang w:val="en-US" w:eastAsia="zh-CN"/>
              </w:rPr>
              <w:t>——车辆行驶速度，km/h</w:t>
            </w:r>
          </w:p>
          <w:p w14:paraId="1B06236C">
            <w:pPr>
              <w:pStyle w:val="37"/>
              <w:bidi w:val="0"/>
              <w:rPr>
                <w:color w:val="auto"/>
                <w:highlight w:val="none"/>
                <w:u w:val="none" w:color="auto"/>
                <w:lang w:val="en-US" w:eastAsia="zh-CN"/>
              </w:rPr>
            </w:pPr>
            <w:r>
              <w:rPr>
                <w:color w:val="auto"/>
                <w:highlight w:val="none"/>
                <w:u w:val="none" w:color="auto"/>
                <w:lang w:val="en-US" w:eastAsia="zh-CN"/>
              </w:rPr>
              <w:t>P</w:t>
            </w:r>
            <w:r>
              <w:rPr>
                <w:rFonts w:hint="eastAsia"/>
                <w:color w:val="auto"/>
                <w:highlight w:val="none"/>
                <w:u w:val="none" w:color="auto"/>
                <w:lang w:val="en-US" w:eastAsia="zh-CN"/>
              </w:rPr>
              <w:t>：</w:t>
            </w:r>
            <w:r>
              <w:rPr>
                <w:color w:val="auto"/>
                <w:highlight w:val="none"/>
                <w:u w:val="none" w:color="auto"/>
                <w:lang w:val="en-US" w:eastAsia="zh-CN"/>
              </w:rPr>
              <w:t>——</w:t>
            </w:r>
            <w:r>
              <w:rPr>
                <w:rFonts w:hint="eastAsia"/>
                <w:color w:val="auto"/>
                <w:highlight w:val="none"/>
                <w:u w:val="none" w:color="auto"/>
                <w:lang w:val="en-US" w:eastAsia="zh-CN"/>
              </w:rPr>
              <w:t>道路表面粉尘量</w:t>
            </w:r>
            <w:r>
              <w:rPr>
                <w:color w:val="auto"/>
                <w:highlight w:val="none"/>
                <w:u w:val="none" w:color="auto"/>
                <w:lang w:val="en-US" w:eastAsia="zh-CN"/>
              </w:rPr>
              <w:t>，以每平方米路面灰尘覆盖率表示，kg/m</w:t>
            </w:r>
            <w:r>
              <w:rPr>
                <w:color w:val="auto"/>
                <w:highlight w:val="none"/>
                <w:u w:val="none" w:color="auto"/>
                <w:vertAlign w:val="superscript"/>
                <w:lang w:val="en-US" w:eastAsia="zh-CN"/>
              </w:rPr>
              <w:t>2</w:t>
            </w:r>
          </w:p>
          <w:p w14:paraId="61C50AB0">
            <w:pPr>
              <w:pStyle w:val="37"/>
              <w:bidi w:val="0"/>
              <w:rPr>
                <w:color w:val="auto"/>
                <w:highlight w:val="none"/>
                <w:u w:val="none" w:color="auto"/>
                <w:lang w:val="en-US" w:eastAsia="zh-CN"/>
              </w:rPr>
            </w:pPr>
            <w:r>
              <w:rPr>
                <w:color w:val="auto"/>
                <w:highlight w:val="none"/>
                <w:u w:val="none" w:color="auto"/>
                <w:lang w:val="en-US" w:eastAsia="zh-CN"/>
              </w:rPr>
              <w:t>M</w:t>
            </w:r>
            <w:r>
              <w:rPr>
                <w:rFonts w:hint="eastAsia"/>
                <w:color w:val="auto"/>
                <w:highlight w:val="none"/>
                <w:u w:val="none" w:color="auto"/>
                <w:lang w:val="en-US" w:eastAsia="zh-CN"/>
              </w:rPr>
              <w:t>：</w:t>
            </w:r>
            <w:r>
              <w:rPr>
                <w:color w:val="auto"/>
                <w:highlight w:val="none"/>
                <w:u w:val="none" w:color="auto"/>
                <w:lang w:val="en-US" w:eastAsia="zh-CN"/>
              </w:rPr>
              <w:t>——车辆载重，t/辆</w:t>
            </w:r>
          </w:p>
          <w:p w14:paraId="37939AB9">
            <w:pPr>
              <w:pStyle w:val="37"/>
              <w:bidi w:val="0"/>
              <w:rPr>
                <w:color w:val="auto"/>
                <w:highlight w:val="none"/>
                <w:u w:val="none" w:color="auto"/>
                <w:lang w:val="en-US" w:eastAsia="zh-CN"/>
              </w:rPr>
            </w:pPr>
            <w:r>
              <w:rPr>
                <w:color w:val="auto"/>
                <w:highlight w:val="none"/>
                <w:u w:val="none" w:color="auto"/>
                <w:lang w:val="en-US" w:eastAsia="zh-CN"/>
              </w:rPr>
              <w:t>L</w:t>
            </w:r>
            <w:r>
              <w:rPr>
                <w:rFonts w:hint="eastAsia"/>
                <w:color w:val="auto"/>
                <w:highlight w:val="none"/>
                <w:u w:val="none" w:color="auto"/>
                <w:lang w:val="en-US" w:eastAsia="zh-CN"/>
              </w:rPr>
              <w:t>：</w:t>
            </w:r>
            <w:r>
              <w:rPr>
                <w:color w:val="auto"/>
                <w:highlight w:val="none"/>
                <w:u w:val="none" w:color="auto"/>
                <w:lang w:val="en-US" w:eastAsia="zh-CN"/>
              </w:rPr>
              <w:t>——运输距离，km</w:t>
            </w:r>
          </w:p>
          <w:p w14:paraId="13A5EF06">
            <w:pPr>
              <w:pStyle w:val="37"/>
              <w:bidi w:val="0"/>
              <w:rPr>
                <w:color w:val="auto"/>
                <w:highlight w:val="none"/>
                <w:u w:val="none" w:color="auto"/>
                <w:lang w:val="en-US" w:eastAsia="zh-CN"/>
              </w:rPr>
            </w:pPr>
            <w:r>
              <w:rPr>
                <w:color w:val="auto"/>
                <w:highlight w:val="none"/>
                <w:u w:val="none" w:color="auto"/>
                <w:lang w:val="en-US" w:eastAsia="zh-CN"/>
              </w:rPr>
              <w:t>Q</w:t>
            </w:r>
            <w:r>
              <w:rPr>
                <w:rFonts w:hint="eastAsia"/>
                <w:color w:val="auto"/>
                <w:highlight w:val="none"/>
                <w:u w:val="none" w:color="auto"/>
                <w:lang w:val="en-US" w:eastAsia="zh-CN"/>
              </w:rPr>
              <w:t>：</w:t>
            </w:r>
            <w:r>
              <w:rPr>
                <w:color w:val="auto"/>
                <w:highlight w:val="none"/>
                <w:u w:val="none" w:color="auto"/>
                <w:lang w:val="en-US" w:eastAsia="zh-CN"/>
              </w:rPr>
              <w:t>——运输量，t/a。</w:t>
            </w:r>
          </w:p>
          <w:p w14:paraId="07080E0B">
            <w:pPr>
              <w:autoSpaceDE w:val="0"/>
              <w:autoSpaceDN w:val="0"/>
              <w:adjustRightInd w:val="0"/>
              <w:spacing w:line="360" w:lineRule="auto"/>
              <w:ind w:firstLine="480" w:firstLineChars="200"/>
              <w:jc w:val="left"/>
              <w:rPr>
                <w:rFonts w:hint="eastAsia" w:ascii="Times New Roman" w:hAnsi="Times New Roman" w:eastAsia="宋体" w:cs="Times New Roman"/>
                <w:color w:val="auto"/>
                <w:sz w:val="24"/>
                <w:highlight w:val="none"/>
                <w:u w:val="none" w:color="auto"/>
                <w:lang w:val="en-US" w:eastAsia="zh-CN"/>
              </w:rPr>
            </w:pPr>
            <w:r>
              <w:rPr>
                <w:rFonts w:ascii="Times New Roman" w:hAnsi="Times New Roman" w:eastAsia="宋体" w:cs="Times New Roman"/>
                <w:color w:val="auto"/>
                <w:sz w:val="24"/>
                <w:highlight w:val="none"/>
                <w:u w:val="none" w:color="auto"/>
              </w:rPr>
              <w:t>项目年运输量合计约</w:t>
            </w:r>
            <w:r>
              <w:rPr>
                <w:rFonts w:hint="eastAsia" w:cs="Times New Roman"/>
                <w:color w:val="auto"/>
                <w:sz w:val="24"/>
                <w:highlight w:val="none"/>
                <w:u w:val="none" w:color="auto"/>
                <w:lang w:val="en-US" w:eastAsia="zh-CN"/>
              </w:rPr>
              <w:t>20.2</w:t>
            </w:r>
            <w:r>
              <w:rPr>
                <w:rFonts w:ascii="Times New Roman" w:hAnsi="Times New Roman" w:eastAsia="宋体" w:cs="Times New Roman"/>
                <w:color w:val="auto"/>
                <w:sz w:val="24"/>
                <w:highlight w:val="none"/>
                <w:u w:val="none" w:color="auto"/>
              </w:rPr>
              <w:t>万t</w:t>
            </w:r>
            <w:r>
              <w:rPr>
                <w:rFonts w:hint="eastAsia" w:cs="Times New Roman"/>
                <w:color w:val="auto"/>
                <w:sz w:val="24"/>
                <w:highlight w:val="none"/>
                <w:u w:val="none" w:color="auto"/>
                <w:lang w:val="en-US" w:eastAsia="zh-CN"/>
              </w:rPr>
              <w:t>/a</w:t>
            </w:r>
            <w:r>
              <w:rPr>
                <w:rFonts w:ascii="Times New Roman" w:hAnsi="Times New Roman" w:eastAsia="宋体" w:cs="Times New Roman"/>
                <w:color w:val="auto"/>
                <w:sz w:val="24"/>
                <w:highlight w:val="none"/>
                <w:u w:val="none" w:color="auto"/>
              </w:rPr>
              <w:t>，车辆载重M=2</w:t>
            </w:r>
            <w:r>
              <w:rPr>
                <w:rFonts w:hint="eastAsia" w:cs="Times New Roman"/>
                <w:color w:val="auto"/>
                <w:sz w:val="24"/>
                <w:highlight w:val="none"/>
                <w:u w:val="none" w:color="auto"/>
                <w:lang w:val="en-US" w:eastAsia="zh-CN"/>
              </w:rPr>
              <w:t>0</w:t>
            </w:r>
            <w:r>
              <w:rPr>
                <w:rFonts w:ascii="Times New Roman" w:hAnsi="Times New Roman" w:eastAsia="宋体" w:cs="Times New Roman"/>
                <w:color w:val="auto"/>
                <w:sz w:val="24"/>
                <w:highlight w:val="none"/>
                <w:u w:val="none" w:color="auto"/>
              </w:rPr>
              <w:t>t/辆，行驶速度V=10km/h，厂区运输道路L=</w:t>
            </w:r>
            <w:r>
              <w:rPr>
                <w:rFonts w:hint="eastAsia" w:cs="Times New Roman"/>
                <w:color w:val="auto"/>
                <w:sz w:val="24"/>
                <w:highlight w:val="none"/>
                <w:u w:val="none" w:color="auto"/>
                <w:lang w:val="en-US" w:eastAsia="zh-CN"/>
              </w:rPr>
              <w:t>50m</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道路表面粉尘量P</w:t>
            </w:r>
            <w:r>
              <w:rPr>
                <w:rFonts w:ascii="Times New Roman" w:hAnsi="Times New Roman" w:eastAsia="宋体" w:cs="Times New Roman"/>
                <w:color w:val="auto"/>
                <w:sz w:val="24"/>
                <w:highlight w:val="none"/>
                <w:u w:val="none" w:color="auto"/>
              </w:rPr>
              <w:t>取0.2kg/m2，计算可知运输总扬尘量</w:t>
            </w:r>
            <w:r>
              <w:rPr>
                <w:rFonts w:hint="eastAsia" w:ascii="Times New Roman" w:hAnsi="Times New Roman" w:eastAsia="宋体" w:cs="Times New Roman"/>
                <w:color w:val="auto"/>
                <w:sz w:val="24"/>
                <w:highlight w:val="none"/>
                <w:u w:val="none" w:color="auto"/>
                <w:lang w:val="en-US" w:eastAsia="zh-CN"/>
              </w:rPr>
              <w:t>Qy</w:t>
            </w:r>
            <w:r>
              <w:rPr>
                <w:rFonts w:ascii="Times New Roman" w:hAnsi="Times New Roman" w:eastAsia="宋体" w:cs="Times New Roman"/>
                <w:color w:val="auto"/>
                <w:sz w:val="24"/>
                <w:highlight w:val="none"/>
                <w:u w:val="none" w:color="auto"/>
              </w:rPr>
              <w:t>为</w:t>
            </w:r>
            <w:r>
              <w:rPr>
                <w:rFonts w:hint="eastAsia" w:ascii="Times New Roman" w:hAnsi="Times New Roman" w:eastAsia="宋体" w:cs="Times New Roman"/>
                <w:color w:val="auto"/>
                <w:sz w:val="24"/>
                <w:highlight w:val="none"/>
                <w:u w:val="none" w:color="auto"/>
                <w:lang w:val="en-US" w:eastAsia="zh-CN"/>
              </w:rPr>
              <w:t>0.492</w:t>
            </w:r>
            <w:r>
              <w:rPr>
                <w:rFonts w:ascii="Times New Roman" w:hAnsi="Times New Roman" w:eastAsia="宋体" w:cs="Times New Roman"/>
                <w:color w:val="auto"/>
                <w:sz w:val="24"/>
                <w:highlight w:val="none"/>
                <w:u w:val="none" w:color="auto"/>
              </w:rPr>
              <w:t>t/a</w:t>
            </w: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运输途中起尘量Qt为2.464t/a</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项</w:t>
            </w:r>
            <w:r>
              <w:rPr>
                <w:rFonts w:ascii="Times New Roman" w:hAnsi="Times New Roman" w:eastAsia="宋体" w:cs="Times New Roman"/>
                <w:color w:val="auto"/>
                <w:sz w:val="24"/>
                <w:highlight w:val="none"/>
                <w:u w:val="none" w:color="auto"/>
                <w:lang w:val="en-US" w:eastAsia="zh-CN"/>
              </w:rPr>
              <w:t>目运</w:t>
            </w:r>
            <w:r>
              <w:rPr>
                <w:rFonts w:hint="eastAsia" w:ascii="Times New Roman" w:hAnsi="Times New Roman" w:eastAsia="宋体" w:cs="Times New Roman"/>
                <w:color w:val="auto"/>
                <w:sz w:val="24"/>
                <w:highlight w:val="none"/>
                <w:u w:val="none" w:color="auto"/>
                <w:lang w:val="en-US" w:eastAsia="zh-CN"/>
              </w:rPr>
              <w:t>营期采用封闭式斗车运输物料及成品，且厂区地面定期清扫、洒水，可有效减少扬尘产生量，颗粒物控制措施控制效率取</w:t>
            </w:r>
            <w:r>
              <w:rPr>
                <w:rFonts w:hint="default" w:ascii="Times New Roman" w:hAnsi="Times New Roman" w:eastAsia="宋体" w:cs="Times New Roman"/>
                <w:color w:val="auto"/>
                <w:sz w:val="24"/>
                <w:highlight w:val="none"/>
                <w:u w:val="none" w:color="auto"/>
                <w:lang w:val="en-US" w:eastAsia="zh-CN"/>
              </w:rPr>
              <w:t>7</w:t>
            </w:r>
            <w:r>
              <w:rPr>
                <w:rFonts w:hint="eastAsia" w:ascii="Times New Roman" w:hAnsi="Times New Roman" w:eastAsia="宋体" w:cs="Times New Roman"/>
                <w:color w:val="auto"/>
                <w:sz w:val="24"/>
                <w:highlight w:val="none"/>
                <w:u w:val="none" w:color="auto"/>
                <w:lang w:val="en-US" w:eastAsia="zh-CN"/>
              </w:rPr>
              <w:t>4</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，则项目运营期道路运输粉尘排放量约为</w:t>
            </w:r>
            <w:r>
              <w:rPr>
                <w:rFonts w:hint="default" w:ascii="Times New Roman" w:hAnsi="Times New Roman" w:eastAsia="宋体" w:cs="Times New Roman"/>
                <w:color w:val="auto"/>
                <w:sz w:val="24"/>
                <w:highlight w:val="none"/>
                <w:u w:val="none" w:color="auto"/>
                <w:lang w:val="en-US" w:eastAsia="zh-CN"/>
              </w:rPr>
              <w:t>0.</w:t>
            </w:r>
            <w:r>
              <w:rPr>
                <w:rFonts w:hint="eastAsia" w:ascii="Times New Roman" w:hAnsi="Times New Roman" w:eastAsia="宋体" w:cs="Times New Roman"/>
                <w:color w:val="auto"/>
                <w:sz w:val="24"/>
                <w:highlight w:val="none"/>
                <w:u w:val="none" w:color="auto"/>
                <w:lang w:val="en-US" w:eastAsia="zh-CN"/>
              </w:rPr>
              <w:t>768</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，排放速率为0.16kg/h。</w:t>
            </w:r>
          </w:p>
          <w:p w14:paraId="10B1BAFC">
            <w:pPr>
              <w:pStyle w:val="3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32"/>
                <w:highlight w:val="none"/>
                <w:u w:val="none" w:color="auto"/>
                <w:lang w:val="en-US" w:eastAsia="zh-CN"/>
              </w:rPr>
            </w:pPr>
            <w:r>
              <w:rPr>
                <w:rFonts w:hint="eastAsia"/>
                <w:b/>
                <w:bCs/>
                <w:color w:val="auto"/>
                <w:sz w:val="24"/>
                <w:szCs w:val="32"/>
                <w:highlight w:val="none"/>
                <w:u w:val="none" w:color="auto"/>
                <w:lang w:val="en-US" w:eastAsia="zh-CN"/>
              </w:rPr>
              <w:t>⑤喂料粉尘</w:t>
            </w:r>
          </w:p>
          <w:p w14:paraId="38E8590A">
            <w:pPr>
              <w:autoSpaceDE w:val="0"/>
              <w:autoSpaceDN w:val="0"/>
              <w:adjustRightInd w:val="0"/>
              <w:spacing w:line="360" w:lineRule="auto"/>
              <w:ind w:firstLine="480" w:firstLineChars="200"/>
              <w:jc w:val="left"/>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项目投料过程由于重力落差会有一定量粉尘产生，参考《逸散性工业粉尘控制技术》中的经验估算，给料逸散尘的排放因子为</w:t>
            </w:r>
            <w:r>
              <w:rPr>
                <w:rFonts w:hint="default" w:ascii="Times New Roman" w:hAnsi="Times New Roman" w:eastAsia="宋体" w:cs="Times New Roman"/>
                <w:color w:val="auto"/>
                <w:sz w:val="24"/>
                <w:highlight w:val="none"/>
                <w:u w:val="none" w:color="auto"/>
                <w:lang w:val="en-US" w:eastAsia="zh-CN"/>
              </w:rPr>
              <w:t>0.01kg/t</w:t>
            </w:r>
            <w:r>
              <w:rPr>
                <w:rFonts w:hint="eastAsia" w:ascii="Times New Roman" w:hAnsi="Times New Roman" w:eastAsia="宋体" w:cs="Times New Roman"/>
                <w:color w:val="auto"/>
                <w:sz w:val="24"/>
                <w:highlight w:val="none"/>
                <w:u w:val="none" w:color="auto"/>
                <w:lang w:val="en-US" w:eastAsia="zh-CN"/>
              </w:rPr>
              <w:t>·原料，项目原料用量为</w:t>
            </w:r>
            <w:r>
              <w:rPr>
                <w:rFonts w:hint="eastAsia" w:cs="Times New Roman"/>
                <w:color w:val="auto"/>
                <w:sz w:val="24"/>
                <w:highlight w:val="none"/>
                <w:u w:val="none" w:color="auto"/>
                <w:lang w:val="en-US" w:eastAsia="zh-CN"/>
              </w:rPr>
              <w:t>10200</w:t>
            </w:r>
            <w:r>
              <w:rPr>
                <w:rFonts w:hint="eastAsia" w:ascii="Times New Roman" w:hAnsi="Times New Roman" w:eastAsia="宋体" w:cs="Times New Roman"/>
                <w:color w:val="auto"/>
                <w:sz w:val="24"/>
                <w:highlight w:val="none"/>
                <w:u w:val="none" w:color="auto"/>
                <w:lang w:val="en-US" w:eastAsia="zh-CN"/>
              </w:rPr>
              <w:t>吨</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年，则投料过程产生的粉尘为</w:t>
            </w:r>
            <w:r>
              <w:rPr>
                <w:rFonts w:hint="eastAsia" w:cs="Times New Roman"/>
                <w:color w:val="auto"/>
                <w:sz w:val="24"/>
                <w:highlight w:val="none"/>
                <w:u w:val="none" w:color="auto"/>
                <w:lang w:val="en-US" w:eastAsia="zh-CN"/>
              </w:rPr>
              <w:t>0.102</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。投料过程位于密闭机制砂车间，并在投料口设置喷淋设施，除尘效率取</w:t>
            </w:r>
            <w:r>
              <w:rPr>
                <w:rFonts w:hint="eastAsia" w:cs="Times New Roman"/>
                <w:color w:val="auto"/>
                <w:sz w:val="24"/>
                <w:highlight w:val="none"/>
                <w:u w:val="none" w:color="auto"/>
                <w:lang w:val="en-US" w:eastAsia="zh-CN"/>
              </w:rPr>
              <w:t>74</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，则原料装卸、堆放过程产生的粉尘产生量为</w:t>
            </w:r>
            <w:r>
              <w:rPr>
                <w:rFonts w:hint="default" w:ascii="Times New Roman" w:hAnsi="Times New Roman" w:eastAsia="宋体" w:cs="Times New Roman"/>
                <w:color w:val="auto"/>
                <w:sz w:val="24"/>
                <w:highlight w:val="none"/>
                <w:u w:val="none" w:color="auto"/>
                <w:lang w:val="en-US" w:eastAsia="zh-CN"/>
              </w:rPr>
              <w:t>0</w:t>
            </w:r>
            <w:r>
              <w:rPr>
                <w:rFonts w:hint="eastAsia" w:cs="Times New Roman"/>
                <w:color w:val="auto"/>
                <w:sz w:val="24"/>
                <w:highlight w:val="none"/>
                <w:u w:val="none" w:color="auto"/>
                <w:lang w:val="en-US" w:eastAsia="zh-CN"/>
              </w:rPr>
              <w:t>.02</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lang w:val="en-US" w:eastAsia="zh-CN"/>
              </w:rPr>
              <w:t>0.</w:t>
            </w:r>
            <w:r>
              <w:rPr>
                <w:rFonts w:hint="eastAsia" w:cs="Times New Roman"/>
                <w:color w:val="auto"/>
                <w:sz w:val="24"/>
                <w:highlight w:val="none"/>
                <w:u w:val="none" w:color="auto"/>
                <w:lang w:val="en-US" w:eastAsia="zh-CN"/>
              </w:rPr>
              <w:t>004</w:t>
            </w:r>
            <w:r>
              <w:rPr>
                <w:rFonts w:hint="default" w:ascii="Times New Roman" w:hAnsi="Times New Roman" w:eastAsia="宋体" w:cs="Times New Roman"/>
                <w:color w:val="auto"/>
                <w:sz w:val="24"/>
                <w:highlight w:val="none"/>
                <w:u w:val="none" w:color="auto"/>
                <w:lang w:val="en-US" w:eastAsia="zh-CN"/>
              </w:rPr>
              <w:t>kg/h</w:t>
            </w:r>
            <w:r>
              <w:rPr>
                <w:rFonts w:hint="eastAsia" w:ascii="Times New Roman" w:hAnsi="Times New Roman" w:eastAsia="宋体" w:cs="Times New Roman"/>
                <w:color w:val="auto"/>
                <w:sz w:val="24"/>
                <w:highlight w:val="none"/>
                <w:u w:val="none" w:color="auto"/>
                <w:lang w:val="en-US" w:eastAsia="zh-CN"/>
              </w:rPr>
              <w:t>），呈无组织排放形式。</w:t>
            </w:r>
          </w:p>
          <w:p w14:paraId="16ED11F0">
            <w:pPr>
              <w:keepNext w:val="0"/>
              <w:keepLines w:val="0"/>
              <w:pageBreakBefore w:val="0"/>
              <w:widowControl w:val="0"/>
              <w:kinsoku/>
              <w:wordWrap/>
              <w:overflowPunct/>
              <w:topLinePunct w:val="0"/>
              <w:autoSpaceDE w:val="0"/>
              <w:autoSpaceDN w:val="0"/>
              <w:bidi w:val="0"/>
              <w:adjustRightInd w:val="0"/>
              <w:snapToGrid/>
              <w:spacing w:line="360" w:lineRule="auto"/>
              <w:ind w:left="0" w:right="0" w:firstLine="482" w:firstLineChars="200"/>
              <w:jc w:val="both"/>
              <w:textAlignment w:val="auto"/>
              <w:rPr>
                <w:rFonts w:hint="eastAsia"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⑥食堂油烟</w:t>
            </w:r>
          </w:p>
          <w:p w14:paraId="0D0D1723">
            <w:pPr>
              <w:keepNext w:val="0"/>
              <w:keepLines w:val="0"/>
              <w:pageBreakBefore w:val="0"/>
              <w:widowControl w:val="0"/>
              <w:kinsoku/>
              <w:wordWrap/>
              <w:overflowPunct/>
              <w:topLinePunct w:val="0"/>
              <w:bidi w:val="0"/>
              <w:snapToGrid/>
              <w:spacing w:line="360" w:lineRule="auto"/>
              <w:ind w:left="0" w:right="0" w:firstLine="44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bCs/>
                <w:color w:val="auto"/>
                <w:spacing w:val="-10"/>
                <w:sz w:val="24"/>
                <w:highlight w:val="none"/>
                <w:u w:val="none"/>
              </w:rPr>
              <w:t>食堂油</w:t>
            </w:r>
            <w:r>
              <w:rPr>
                <w:bCs/>
                <w:color w:val="auto"/>
                <w:spacing w:val="-10"/>
                <w:sz w:val="24"/>
                <w:highlight w:val="none"/>
                <w:u w:val="none"/>
              </w:rPr>
              <w:t>烟废气是指食物烹饪、加工过程中挥发的油脂、有机质及其加热分解或裂解产物，本项目产生的厨房产生油烟由抽油烟机收集后由管</w:t>
            </w:r>
            <w:r>
              <w:rPr>
                <w:rFonts w:hint="eastAsia"/>
                <w:bCs/>
                <w:color w:val="auto"/>
                <w:spacing w:val="-10"/>
                <w:sz w:val="24"/>
                <w:highlight w:val="none"/>
                <w:u w:val="none"/>
                <w:lang w:val="en-US" w:eastAsia="zh-CN"/>
              </w:rPr>
              <w:t>道</w:t>
            </w:r>
            <w:r>
              <w:rPr>
                <w:bCs/>
                <w:color w:val="auto"/>
                <w:spacing w:val="-10"/>
                <w:sz w:val="24"/>
                <w:highlight w:val="none"/>
                <w:u w:val="none"/>
              </w:rPr>
              <w:t>引至屋外排放。</w:t>
            </w:r>
          </w:p>
          <w:p w14:paraId="20871CA7">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⑦堆放粉尘</w:t>
            </w:r>
          </w:p>
          <w:p w14:paraId="3E43ED73">
            <w:pPr>
              <w:pStyle w:val="50"/>
              <w:keepNext w:val="0"/>
              <w:keepLines w:val="0"/>
              <w:pageBreakBefore w:val="0"/>
              <w:widowControl w:val="0"/>
              <w:kinsoku/>
              <w:wordWrap/>
              <w:overflowPunct/>
              <w:topLinePunct w:val="0"/>
              <w:bidi w:val="0"/>
              <w:snapToGrid/>
              <w:spacing w:line="360" w:lineRule="auto"/>
              <w:ind w:left="0" w:right="0" w:firstLine="481"/>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本项目原料部分卸车后直接进入生产线，部分堆存在原料仓库，成品堆存 在生产加工厂房及成品仓库内。原料及成品堆场表面粒径较小的粉尘在外力作 用下扬起，会产生堆放粉尘。本评价采用清华大学在霍州电厂现场实验的模式对风蚀扬尘量进行计算：</w:t>
            </w:r>
          </w:p>
          <w:p w14:paraId="7B3A1529">
            <w:pPr>
              <w:bidi w:val="0"/>
              <w:jc w:val="center"/>
              <w:rPr>
                <w:rFonts w:hint="eastAsia"/>
                <w:color w:val="auto"/>
                <w:sz w:val="24"/>
                <w:szCs w:val="32"/>
                <w:lang w:val="en-US" w:eastAsia="zh-CN"/>
              </w:rPr>
            </w:pPr>
            <w:r>
              <w:rPr>
                <w:rFonts w:hint="eastAsia"/>
                <w:color w:val="auto"/>
                <w:sz w:val="24"/>
                <w:szCs w:val="32"/>
                <w:lang w:val="en-US" w:eastAsia="zh-CN"/>
              </w:rPr>
              <w:t>Q=11.7U</w:t>
            </w:r>
            <w:r>
              <w:rPr>
                <w:rFonts w:hint="eastAsia"/>
                <w:color w:val="auto"/>
                <w:sz w:val="24"/>
                <w:szCs w:val="32"/>
                <w:vertAlign w:val="superscript"/>
                <w:lang w:val="en-US" w:eastAsia="zh-CN"/>
              </w:rPr>
              <w:t>2.45</w:t>
            </w:r>
            <w:r>
              <w:rPr>
                <w:rFonts w:hint="eastAsia"/>
                <w:color w:val="auto"/>
                <w:sz w:val="24"/>
                <w:szCs w:val="32"/>
                <w:lang w:val="en-US" w:eastAsia="zh-CN"/>
              </w:rPr>
              <w:t>S</w:t>
            </w:r>
            <w:r>
              <w:rPr>
                <w:rFonts w:hint="eastAsia"/>
                <w:color w:val="auto"/>
                <w:sz w:val="24"/>
                <w:szCs w:val="32"/>
                <w:vertAlign w:val="superscript"/>
                <w:lang w:val="en-US" w:eastAsia="zh-CN"/>
              </w:rPr>
              <w:t>0.345</w:t>
            </w:r>
            <w:r>
              <w:rPr>
                <w:rFonts w:hint="eastAsia"/>
                <w:color w:val="auto"/>
                <w:sz w:val="24"/>
                <w:szCs w:val="32"/>
                <w:lang w:val="en-US" w:eastAsia="zh-CN"/>
              </w:rPr>
              <w:t>e</w:t>
            </w:r>
            <w:r>
              <w:rPr>
                <w:rFonts w:hint="eastAsia"/>
                <w:color w:val="auto"/>
                <w:sz w:val="24"/>
                <w:szCs w:val="32"/>
                <w:vertAlign w:val="superscript"/>
                <w:lang w:val="en-US" w:eastAsia="zh-CN"/>
              </w:rPr>
              <w:t>-0.5W</w:t>
            </w:r>
          </w:p>
          <w:p w14:paraId="662C70E0">
            <w:pPr>
              <w:pStyle w:val="50"/>
              <w:keepNext w:val="0"/>
              <w:keepLines w:val="0"/>
              <w:pageBreakBefore w:val="0"/>
              <w:widowControl w:val="0"/>
              <w:kinsoku/>
              <w:wordWrap/>
              <w:overflowPunct/>
              <w:topLinePunct w:val="0"/>
              <w:autoSpaceDE/>
              <w:autoSpaceDN/>
              <w:bidi w:val="0"/>
              <w:adjustRightInd/>
              <w:snapToGrid/>
              <w:spacing w:line="360" w:lineRule="auto"/>
              <w:ind w:right="0" w:firstLine="440" w:firstLineChars="200"/>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式中：Q—堆场起尘强度，mg/s；</w:t>
            </w:r>
          </w:p>
          <w:p w14:paraId="46C2E837">
            <w:pPr>
              <w:pStyle w:val="37"/>
              <w:bidi w:val="0"/>
              <w:spacing w:line="360" w:lineRule="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U—地面平均风速，2.5m/s；S—堆场表面积，</w:t>
            </w:r>
            <w:r>
              <w:rPr>
                <w:rFonts w:hint="eastAsia" w:cs="Times New Roman"/>
                <w:bCs/>
                <w:color w:val="auto"/>
                <w:spacing w:val="-10"/>
                <w:kern w:val="2"/>
                <w:sz w:val="24"/>
                <w:szCs w:val="24"/>
                <w:highlight w:val="none"/>
                <w:u w:val="none"/>
                <w:lang w:val="en-US" w:eastAsia="zh-CN" w:bidi="ar-SA"/>
              </w:rPr>
              <w:t>3000</w:t>
            </w:r>
            <w:r>
              <w:rPr>
                <w:rFonts w:hint="eastAsia" w:ascii="Times New Roman" w:hAnsi="Times New Roman" w:eastAsia="宋体" w:cs="Times New Roman"/>
                <w:bCs/>
                <w:color w:val="auto"/>
                <w:spacing w:val="-10"/>
                <w:kern w:val="2"/>
                <w:sz w:val="24"/>
                <w:szCs w:val="24"/>
                <w:highlight w:val="none"/>
                <w:u w:val="none"/>
                <w:lang w:val="en-US" w:eastAsia="zh-CN" w:bidi="ar-SA"/>
              </w:rPr>
              <w:t>m</w:t>
            </w:r>
            <w:r>
              <w:rPr>
                <w:rFonts w:hint="eastAsia" w:ascii="Times New Roman" w:hAnsi="Times New Roman" w:eastAsia="宋体" w:cs="Times New Roman"/>
                <w:bCs/>
                <w:color w:val="auto"/>
                <w:spacing w:val="-10"/>
                <w:kern w:val="2"/>
                <w:sz w:val="24"/>
                <w:szCs w:val="24"/>
                <w:highlight w:val="none"/>
                <w:u w:val="none"/>
                <w:vertAlign w:val="superscript"/>
                <w:lang w:val="en-US" w:eastAsia="zh-CN" w:bidi="ar-SA"/>
              </w:rPr>
              <w:t>2</w:t>
            </w:r>
            <w:r>
              <w:rPr>
                <w:rFonts w:hint="eastAsia" w:ascii="Times New Roman" w:hAnsi="Times New Roman" w:eastAsia="宋体" w:cs="Times New Roman"/>
                <w:bCs/>
                <w:color w:val="auto"/>
                <w:spacing w:val="-10"/>
                <w:kern w:val="2"/>
                <w:sz w:val="24"/>
                <w:szCs w:val="24"/>
                <w:highlight w:val="none"/>
                <w:u w:val="none"/>
                <w:lang w:val="en-US" w:eastAsia="zh-CN" w:bidi="ar-SA"/>
              </w:rPr>
              <w:t>；</w:t>
            </w:r>
          </w:p>
          <w:p w14:paraId="1950DD3C">
            <w:pPr>
              <w:pStyle w:val="50"/>
              <w:keepNext w:val="0"/>
              <w:keepLines w:val="0"/>
              <w:pageBreakBefore w:val="0"/>
              <w:widowControl w:val="0"/>
              <w:kinsoku/>
              <w:overflowPunct/>
              <w:autoSpaceDE/>
              <w:autoSpaceDN/>
              <w:bidi w:val="0"/>
              <w:adjustRightInd/>
              <w:snapToGrid/>
              <w:spacing w:line="360" w:lineRule="auto"/>
              <w:ind w:left="0" w:firstLine="440" w:firstLineChars="200"/>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W—堆场产品含水率，5%。</w:t>
            </w:r>
          </w:p>
          <w:p w14:paraId="50336E18">
            <w:pPr>
              <w:pStyle w:val="37"/>
              <w:keepNext w:val="0"/>
              <w:keepLines w:val="0"/>
              <w:pageBreakBefore w:val="0"/>
              <w:widowControl w:val="0"/>
              <w:kinsoku/>
              <w:overflowPunct/>
              <w:autoSpaceDE/>
              <w:autoSpaceDN/>
              <w:bidi w:val="0"/>
              <w:adjustRightInd/>
              <w:snapToGrid/>
              <w:spacing w:line="360" w:lineRule="auto"/>
              <w:ind w:left="0" w:firstLine="440" w:firstLineChars="200"/>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堆场扬尘强度为110.16mg/s，则本项目堆场扬尘产生量约</w:t>
            </w:r>
            <w:r>
              <w:rPr>
                <w:rFonts w:hint="eastAsia" w:cs="Times New Roman"/>
                <w:bCs/>
                <w:color w:val="auto"/>
                <w:spacing w:val="-10"/>
                <w:kern w:val="2"/>
                <w:sz w:val="24"/>
                <w:szCs w:val="24"/>
                <w:highlight w:val="none"/>
                <w:u w:val="none"/>
                <w:lang w:val="en-US" w:eastAsia="zh-CN" w:bidi="ar-SA"/>
              </w:rPr>
              <w:t>4</w:t>
            </w:r>
            <w:r>
              <w:rPr>
                <w:rFonts w:hint="eastAsia" w:ascii="Times New Roman" w:hAnsi="Times New Roman" w:eastAsia="宋体" w:cs="Times New Roman"/>
                <w:bCs/>
                <w:color w:val="auto"/>
                <w:spacing w:val="-10"/>
                <w:kern w:val="2"/>
                <w:sz w:val="24"/>
                <w:szCs w:val="24"/>
                <w:highlight w:val="none"/>
                <w:u w:val="none"/>
                <w:lang w:val="en-US" w:eastAsia="zh-CN" w:bidi="ar-SA"/>
              </w:rPr>
              <w:t>.</w:t>
            </w:r>
            <w:r>
              <w:rPr>
                <w:rFonts w:hint="eastAsia" w:cs="Times New Roman"/>
                <w:bCs/>
                <w:color w:val="auto"/>
                <w:spacing w:val="-10"/>
                <w:kern w:val="2"/>
                <w:sz w:val="24"/>
                <w:szCs w:val="24"/>
                <w:highlight w:val="none"/>
                <w:u w:val="none"/>
                <w:lang w:val="en-US" w:eastAsia="zh-CN" w:bidi="ar-SA"/>
              </w:rPr>
              <w:t>2</w:t>
            </w:r>
            <w:r>
              <w:rPr>
                <w:rFonts w:hint="eastAsia" w:ascii="Times New Roman" w:hAnsi="Times New Roman" w:eastAsia="宋体" w:cs="Times New Roman"/>
                <w:bCs/>
                <w:color w:val="auto"/>
                <w:spacing w:val="-10"/>
                <w:kern w:val="2"/>
                <w:sz w:val="24"/>
                <w:szCs w:val="24"/>
                <w:highlight w:val="none"/>
                <w:u w:val="none"/>
                <w:lang w:val="en-US" w:eastAsia="zh-CN" w:bidi="ar-SA"/>
              </w:rPr>
              <w:t>74t/a。厂房仓库采取喷淋降尘，粉尘去除效率为</w:t>
            </w:r>
            <w:r>
              <w:rPr>
                <w:rFonts w:hint="eastAsia" w:cs="Times New Roman"/>
                <w:bCs/>
                <w:color w:val="auto"/>
                <w:spacing w:val="-10"/>
                <w:kern w:val="2"/>
                <w:sz w:val="24"/>
                <w:szCs w:val="24"/>
                <w:highlight w:val="none"/>
                <w:u w:val="none"/>
                <w:lang w:val="en-US" w:eastAsia="zh-CN" w:bidi="ar-SA"/>
              </w:rPr>
              <w:t>74</w:t>
            </w:r>
            <w:r>
              <w:rPr>
                <w:rFonts w:hint="eastAsia" w:ascii="Times New Roman" w:hAnsi="Times New Roman" w:eastAsia="宋体" w:cs="Times New Roman"/>
                <w:bCs/>
                <w:color w:val="auto"/>
                <w:spacing w:val="-10"/>
                <w:kern w:val="2"/>
                <w:sz w:val="24"/>
                <w:szCs w:val="24"/>
                <w:highlight w:val="none"/>
                <w:u w:val="none"/>
                <w:lang w:val="en-US" w:eastAsia="zh-CN" w:bidi="ar-SA"/>
              </w:rPr>
              <w:t>%，则本项目堆放粉尘无组织排放量为</w:t>
            </w:r>
            <w:r>
              <w:rPr>
                <w:rFonts w:hint="eastAsia" w:cs="Times New Roman"/>
                <w:bCs/>
                <w:color w:val="auto"/>
                <w:spacing w:val="-10"/>
                <w:kern w:val="2"/>
                <w:sz w:val="24"/>
                <w:szCs w:val="24"/>
                <w:highlight w:val="none"/>
                <w:u w:val="none"/>
                <w:lang w:val="en-US" w:eastAsia="zh-CN" w:bidi="ar-SA"/>
              </w:rPr>
              <w:t>1.111</w:t>
            </w:r>
            <w:r>
              <w:rPr>
                <w:rFonts w:hint="eastAsia" w:ascii="Times New Roman" w:hAnsi="Times New Roman" w:eastAsia="宋体" w:cs="Times New Roman"/>
                <w:bCs/>
                <w:color w:val="auto"/>
                <w:spacing w:val="-10"/>
                <w:kern w:val="2"/>
                <w:sz w:val="24"/>
                <w:szCs w:val="24"/>
                <w:highlight w:val="none"/>
                <w:u w:val="none"/>
                <w:lang w:val="en-US" w:eastAsia="zh-CN" w:bidi="ar-SA"/>
              </w:rPr>
              <w:t>t/a。</w:t>
            </w:r>
          </w:p>
          <w:p w14:paraId="203E390E">
            <w:pPr>
              <w:pStyle w:val="37"/>
              <w:bidi w:val="0"/>
              <w:spacing w:line="360" w:lineRule="auto"/>
              <w:rPr>
                <w:rFonts w:hint="default"/>
                <w:color w:val="auto"/>
                <w:highlight w:val="none"/>
                <w:u w:val="none" w:color="auto"/>
                <w:lang w:val="en-US" w:eastAsia="zh-CN"/>
              </w:rPr>
            </w:pPr>
            <w:r>
              <w:rPr>
                <w:rFonts w:hint="eastAsia"/>
                <w:color w:val="auto"/>
                <w:highlight w:val="none"/>
                <w:u w:val="none" w:color="auto"/>
                <w:lang w:val="en-US" w:eastAsia="zh-CN"/>
              </w:rPr>
              <w:t>综上，本项目产排废气见下表4-1。</w:t>
            </w:r>
          </w:p>
          <w:p w14:paraId="6708EDDE">
            <w:pPr>
              <w:pStyle w:val="50"/>
              <w:keepNext w:val="0"/>
              <w:keepLines w:val="0"/>
              <w:pageBreakBefore w:val="0"/>
              <w:widowControl w:val="0"/>
              <w:kinsoku/>
              <w:wordWrap/>
              <w:overflowPunct/>
              <w:topLinePunct w:val="0"/>
              <w:autoSpaceDE/>
              <w:autoSpaceDN/>
              <w:bidi w:val="0"/>
              <w:adjustRightInd/>
              <w:snapToGrid/>
              <w:spacing w:line="224" w:lineRule="auto"/>
              <w:jc w:val="center"/>
              <w:textAlignment w:val="auto"/>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表4-</w:t>
            </w:r>
            <w:r>
              <w:rPr>
                <w:rFonts w:hint="eastAsia" w:ascii="Times New Roman" w:hAnsi="Times New Roman" w:cs="Times New Roman"/>
                <w:b/>
                <w:bCs/>
                <w:color w:val="auto"/>
                <w:kern w:val="0"/>
                <w:sz w:val="21"/>
                <w:szCs w:val="20"/>
                <w:highlight w:val="none"/>
                <w:u w:val="none" w:color="auto"/>
                <w:lang w:val="en-US" w:eastAsia="zh-CN" w:bidi="ar-SA"/>
              </w:rPr>
              <w:t xml:space="preserve">1   </w:t>
            </w:r>
            <w:r>
              <w:rPr>
                <w:rFonts w:hint="default" w:ascii="Times New Roman" w:hAnsi="Times New Roman" w:eastAsia="宋体" w:cs="Times New Roman"/>
                <w:b/>
                <w:bCs/>
                <w:color w:val="auto"/>
                <w:kern w:val="0"/>
                <w:sz w:val="21"/>
                <w:szCs w:val="20"/>
                <w:highlight w:val="none"/>
                <w:u w:val="none" w:color="auto"/>
                <w:lang w:val="en-US" w:eastAsia="zh-CN" w:bidi="ar-SA"/>
              </w:rPr>
              <w:t>废气</w:t>
            </w:r>
            <w:r>
              <w:rPr>
                <w:rFonts w:hint="eastAsia" w:ascii="Times New Roman" w:hAnsi="Times New Roman" w:cs="Times New Roman"/>
                <w:b/>
                <w:bCs/>
                <w:color w:val="auto"/>
                <w:kern w:val="0"/>
                <w:sz w:val="21"/>
                <w:szCs w:val="20"/>
                <w:highlight w:val="none"/>
                <w:u w:val="none" w:color="auto"/>
                <w:lang w:val="en-US" w:eastAsia="zh-CN" w:bidi="ar-SA"/>
              </w:rPr>
              <w:t>污染源强核算</w:t>
            </w:r>
            <w:r>
              <w:rPr>
                <w:rFonts w:hint="default" w:ascii="Times New Roman" w:hAnsi="Times New Roman" w:eastAsia="宋体" w:cs="Times New Roman"/>
                <w:b/>
                <w:bCs/>
                <w:color w:val="auto"/>
                <w:kern w:val="0"/>
                <w:sz w:val="21"/>
                <w:szCs w:val="20"/>
                <w:highlight w:val="none"/>
                <w:u w:val="none" w:color="auto"/>
                <w:lang w:val="en-US" w:eastAsia="zh-CN" w:bidi="ar-SA"/>
              </w:rPr>
              <w:t>一览表</w:t>
            </w:r>
          </w:p>
          <w:tbl>
            <w:tblPr>
              <w:tblStyle w:val="53"/>
              <w:tblW w:w="4994"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882"/>
              <w:gridCol w:w="478"/>
              <w:gridCol w:w="787"/>
              <w:gridCol w:w="761"/>
              <w:gridCol w:w="544"/>
              <w:gridCol w:w="751"/>
              <w:gridCol w:w="796"/>
              <w:gridCol w:w="1099"/>
              <w:gridCol w:w="1203"/>
              <w:gridCol w:w="929"/>
            </w:tblGrid>
            <w:tr w14:paraId="5C5CF27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vMerge w:val="restart"/>
                  <w:tcBorders>
                    <w:tl2br w:val="nil"/>
                    <w:tr2bl w:val="nil"/>
                  </w:tcBorders>
                  <w:vAlign w:val="center"/>
                </w:tcPr>
                <w:p w14:paraId="57B026DC">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产排</w:t>
                  </w:r>
                </w:p>
                <w:p w14:paraId="044D90B9">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污环</w:t>
                  </w:r>
                </w:p>
                <w:p w14:paraId="4CD636F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节</w:t>
                  </w:r>
                </w:p>
              </w:tc>
              <w:tc>
                <w:tcPr>
                  <w:tcW w:w="290" w:type="pct"/>
                  <w:vMerge w:val="restart"/>
                  <w:tcBorders>
                    <w:tl2br w:val="nil"/>
                    <w:tr2bl w:val="nil"/>
                  </w:tcBorders>
                  <w:vAlign w:val="center"/>
                </w:tcPr>
                <w:p w14:paraId="70435195">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污染物</w:t>
                  </w:r>
                </w:p>
              </w:tc>
              <w:tc>
                <w:tcPr>
                  <w:tcW w:w="478" w:type="pct"/>
                  <w:vMerge w:val="restart"/>
                  <w:tcBorders>
                    <w:tl2br w:val="nil"/>
                    <w:tr2bl w:val="nil"/>
                  </w:tcBorders>
                  <w:vAlign w:val="center"/>
                </w:tcPr>
                <w:p w14:paraId="14EB15B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产生量</w:t>
                  </w:r>
                </w:p>
                <w:p w14:paraId="352EA167">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w:t>
                  </w:r>
                  <w:r>
                    <w:rPr>
                      <w:rFonts w:hint="default"/>
                      <w:b/>
                      <w:bCs/>
                      <w:color w:val="auto"/>
                      <w:highlight w:val="none"/>
                      <w:u w:val="none" w:color="auto"/>
                      <w:lang w:val="en-US" w:eastAsia="zh-CN"/>
                    </w:rPr>
                    <w:t>t</w:t>
                  </w:r>
                  <w:r>
                    <w:rPr>
                      <w:rFonts w:hint="default"/>
                      <w:b/>
                      <w:bCs/>
                      <w:color w:val="auto"/>
                      <w:highlight w:val="none"/>
                      <w:u w:val="none" w:color="auto"/>
                    </w:rPr>
                    <w:t>/a)</w:t>
                  </w:r>
                </w:p>
              </w:tc>
              <w:tc>
                <w:tcPr>
                  <w:tcW w:w="462" w:type="pct"/>
                  <w:vMerge w:val="restart"/>
                  <w:tcBorders>
                    <w:tl2br w:val="nil"/>
                    <w:tr2bl w:val="nil"/>
                  </w:tcBorders>
                  <w:vAlign w:val="center"/>
                </w:tcPr>
                <w:p w14:paraId="26FB31F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治理设施</w:t>
                  </w:r>
                </w:p>
              </w:tc>
              <w:tc>
                <w:tcPr>
                  <w:tcW w:w="330" w:type="pct"/>
                  <w:vMerge w:val="restart"/>
                  <w:tcBorders>
                    <w:tl2br w:val="nil"/>
                    <w:tr2bl w:val="nil"/>
                  </w:tcBorders>
                  <w:vAlign w:val="center"/>
                </w:tcPr>
                <w:p w14:paraId="6E3A7877">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收集效率</w:t>
                  </w:r>
                </w:p>
              </w:tc>
              <w:tc>
                <w:tcPr>
                  <w:tcW w:w="456" w:type="pct"/>
                  <w:vMerge w:val="restart"/>
                  <w:tcBorders>
                    <w:tl2br w:val="nil"/>
                    <w:tr2bl w:val="nil"/>
                  </w:tcBorders>
                  <w:vAlign w:val="center"/>
                </w:tcPr>
                <w:p w14:paraId="5BB0A95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去除</w:t>
                  </w:r>
                  <w:r>
                    <w:rPr>
                      <w:rFonts w:hint="default"/>
                      <w:b/>
                      <w:bCs/>
                      <w:color w:val="auto"/>
                      <w:highlight w:val="none"/>
                      <w:u w:val="none" w:color="auto"/>
                    </w:rPr>
                    <w:t>效率</w:t>
                  </w:r>
                </w:p>
              </w:tc>
              <w:tc>
                <w:tcPr>
                  <w:tcW w:w="483" w:type="pct"/>
                  <w:vMerge w:val="restart"/>
                  <w:tcBorders>
                    <w:tl2br w:val="nil"/>
                    <w:tr2bl w:val="nil"/>
                  </w:tcBorders>
                  <w:vAlign w:val="center"/>
                </w:tcPr>
                <w:p w14:paraId="71C5F3A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是否为可行技术</w:t>
                  </w:r>
                </w:p>
              </w:tc>
              <w:tc>
                <w:tcPr>
                  <w:tcW w:w="1397" w:type="pct"/>
                  <w:gridSpan w:val="2"/>
                  <w:tcBorders>
                    <w:tl2br w:val="nil"/>
                    <w:tr2bl w:val="nil"/>
                  </w:tcBorders>
                  <w:vAlign w:val="center"/>
                </w:tcPr>
                <w:p w14:paraId="30D17B5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无组织废气</w:t>
                  </w:r>
                </w:p>
              </w:tc>
              <w:tc>
                <w:tcPr>
                  <w:tcW w:w="564" w:type="pct"/>
                  <w:vMerge w:val="restart"/>
                  <w:tcBorders>
                    <w:tl2br w:val="nil"/>
                    <w:tr2bl w:val="nil"/>
                  </w:tcBorders>
                  <w:vAlign w:val="center"/>
                </w:tcPr>
                <w:p w14:paraId="4BE439E9">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排放时间（h）</w:t>
                  </w:r>
                </w:p>
              </w:tc>
            </w:tr>
            <w:tr w14:paraId="0CD18D0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vMerge w:val="continue"/>
                  <w:tcBorders>
                    <w:tl2br w:val="nil"/>
                    <w:tr2bl w:val="nil"/>
                  </w:tcBorders>
                  <w:vAlign w:val="center"/>
                </w:tcPr>
                <w:p w14:paraId="29FF5286">
                  <w:pPr>
                    <w:pStyle w:val="42"/>
                    <w:autoSpaceDE w:val="0"/>
                    <w:autoSpaceDN w:val="0"/>
                    <w:bidi w:val="0"/>
                    <w:jc w:val="center"/>
                    <w:rPr>
                      <w:rFonts w:hint="default"/>
                      <w:color w:val="auto"/>
                      <w:highlight w:val="none"/>
                      <w:u w:val="none" w:color="auto"/>
                    </w:rPr>
                  </w:pPr>
                </w:p>
              </w:tc>
              <w:tc>
                <w:tcPr>
                  <w:tcW w:w="290" w:type="pct"/>
                  <w:vMerge w:val="continue"/>
                  <w:tcBorders>
                    <w:tl2br w:val="nil"/>
                    <w:tr2bl w:val="nil"/>
                  </w:tcBorders>
                  <w:vAlign w:val="center"/>
                </w:tcPr>
                <w:p w14:paraId="310C7E0E">
                  <w:pPr>
                    <w:pStyle w:val="42"/>
                    <w:autoSpaceDE w:val="0"/>
                    <w:autoSpaceDN w:val="0"/>
                    <w:bidi w:val="0"/>
                    <w:jc w:val="center"/>
                    <w:rPr>
                      <w:rFonts w:hint="default"/>
                      <w:color w:val="auto"/>
                      <w:highlight w:val="none"/>
                      <w:u w:val="none" w:color="auto"/>
                    </w:rPr>
                  </w:pPr>
                </w:p>
              </w:tc>
              <w:tc>
                <w:tcPr>
                  <w:tcW w:w="478" w:type="pct"/>
                  <w:vMerge w:val="continue"/>
                  <w:tcBorders>
                    <w:tl2br w:val="nil"/>
                    <w:tr2bl w:val="nil"/>
                  </w:tcBorders>
                  <w:vAlign w:val="center"/>
                </w:tcPr>
                <w:p w14:paraId="44363D82">
                  <w:pPr>
                    <w:pStyle w:val="42"/>
                    <w:autoSpaceDE w:val="0"/>
                    <w:autoSpaceDN w:val="0"/>
                    <w:bidi w:val="0"/>
                    <w:jc w:val="center"/>
                    <w:rPr>
                      <w:rFonts w:hint="default"/>
                      <w:color w:val="auto"/>
                      <w:highlight w:val="none"/>
                      <w:u w:val="none" w:color="auto"/>
                    </w:rPr>
                  </w:pPr>
                </w:p>
              </w:tc>
              <w:tc>
                <w:tcPr>
                  <w:tcW w:w="462" w:type="pct"/>
                  <w:vMerge w:val="continue"/>
                  <w:tcBorders>
                    <w:tl2br w:val="nil"/>
                    <w:tr2bl w:val="nil"/>
                  </w:tcBorders>
                  <w:vAlign w:val="center"/>
                </w:tcPr>
                <w:p w14:paraId="625806DE">
                  <w:pPr>
                    <w:pStyle w:val="42"/>
                    <w:autoSpaceDE w:val="0"/>
                    <w:autoSpaceDN w:val="0"/>
                    <w:bidi w:val="0"/>
                    <w:jc w:val="center"/>
                    <w:rPr>
                      <w:rFonts w:hint="default"/>
                      <w:color w:val="auto"/>
                      <w:highlight w:val="none"/>
                      <w:u w:val="none" w:color="auto"/>
                    </w:rPr>
                  </w:pPr>
                </w:p>
              </w:tc>
              <w:tc>
                <w:tcPr>
                  <w:tcW w:w="330" w:type="pct"/>
                  <w:vMerge w:val="continue"/>
                  <w:tcBorders>
                    <w:tl2br w:val="nil"/>
                    <w:tr2bl w:val="nil"/>
                  </w:tcBorders>
                  <w:vAlign w:val="center"/>
                </w:tcPr>
                <w:p w14:paraId="0A41E57C">
                  <w:pPr>
                    <w:pStyle w:val="42"/>
                    <w:autoSpaceDE w:val="0"/>
                    <w:autoSpaceDN w:val="0"/>
                    <w:bidi w:val="0"/>
                    <w:jc w:val="center"/>
                    <w:rPr>
                      <w:rFonts w:hint="default"/>
                      <w:color w:val="auto"/>
                      <w:highlight w:val="none"/>
                      <w:u w:val="none" w:color="auto"/>
                    </w:rPr>
                  </w:pPr>
                </w:p>
              </w:tc>
              <w:tc>
                <w:tcPr>
                  <w:tcW w:w="456" w:type="pct"/>
                  <w:vMerge w:val="continue"/>
                  <w:tcBorders>
                    <w:tl2br w:val="nil"/>
                    <w:tr2bl w:val="nil"/>
                  </w:tcBorders>
                  <w:vAlign w:val="center"/>
                </w:tcPr>
                <w:p w14:paraId="7D779BED">
                  <w:pPr>
                    <w:pStyle w:val="42"/>
                    <w:autoSpaceDE w:val="0"/>
                    <w:autoSpaceDN w:val="0"/>
                    <w:bidi w:val="0"/>
                    <w:jc w:val="center"/>
                    <w:rPr>
                      <w:rFonts w:hint="default"/>
                      <w:color w:val="auto"/>
                      <w:highlight w:val="none"/>
                      <w:u w:val="none" w:color="auto"/>
                    </w:rPr>
                  </w:pPr>
                </w:p>
              </w:tc>
              <w:tc>
                <w:tcPr>
                  <w:tcW w:w="483" w:type="pct"/>
                  <w:vMerge w:val="continue"/>
                  <w:tcBorders>
                    <w:tl2br w:val="nil"/>
                    <w:tr2bl w:val="nil"/>
                  </w:tcBorders>
                  <w:vAlign w:val="center"/>
                </w:tcPr>
                <w:p w14:paraId="1A5B583A">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04EA4C46">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排放量</w:t>
                  </w:r>
                </w:p>
                <w:p w14:paraId="504659C8">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w:t>
                  </w:r>
                  <w:r>
                    <w:rPr>
                      <w:rFonts w:hint="default"/>
                      <w:b/>
                      <w:bCs/>
                      <w:color w:val="auto"/>
                      <w:highlight w:val="none"/>
                      <w:u w:val="none" w:color="auto"/>
                      <w:lang w:val="en-US" w:eastAsia="zh-CN"/>
                    </w:rPr>
                    <w:t>t</w:t>
                  </w:r>
                  <w:r>
                    <w:rPr>
                      <w:rFonts w:hint="default"/>
                      <w:b/>
                      <w:bCs/>
                      <w:color w:val="auto"/>
                      <w:highlight w:val="none"/>
                      <w:u w:val="none" w:color="auto"/>
                    </w:rPr>
                    <w:t>/a)</w:t>
                  </w:r>
                </w:p>
              </w:tc>
              <w:tc>
                <w:tcPr>
                  <w:tcW w:w="729" w:type="pct"/>
                  <w:tcBorders>
                    <w:tl2br w:val="nil"/>
                    <w:tr2bl w:val="nil"/>
                  </w:tcBorders>
                  <w:vAlign w:val="center"/>
                </w:tcPr>
                <w:p w14:paraId="2D99AB88">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排放速率（kg/h)</w:t>
                  </w:r>
                </w:p>
              </w:tc>
              <w:tc>
                <w:tcPr>
                  <w:tcW w:w="564" w:type="pct"/>
                  <w:vMerge w:val="continue"/>
                  <w:tcBorders>
                    <w:tl2br w:val="nil"/>
                    <w:tr2bl w:val="nil"/>
                  </w:tcBorders>
                  <w:vAlign w:val="center"/>
                </w:tcPr>
                <w:p w14:paraId="7C21041F">
                  <w:pPr>
                    <w:pStyle w:val="42"/>
                    <w:autoSpaceDE w:val="0"/>
                    <w:autoSpaceDN w:val="0"/>
                    <w:bidi w:val="0"/>
                    <w:jc w:val="center"/>
                    <w:rPr>
                      <w:rFonts w:hint="default"/>
                      <w:color w:val="auto"/>
                      <w:highlight w:val="green"/>
                      <w:u w:val="none" w:color="auto"/>
                    </w:rPr>
                  </w:pPr>
                </w:p>
              </w:tc>
            </w:tr>
            <w:tr w14:paraId="454B506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67C66CF8">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w:t>
                  </w:r>
                </w:p>
              </w:tc>
              <w:tc>
                <w:tcPr>
                  <w:tcW w:w="290" w:type="pct"/>
                  <w:vMerge w:val="restart"/>
                  <w:tcBorders>
                    <w:tl2br w:val="nil"/>
                    <w:tr2bl w:val="nil"/>
                  </w:tcBorders>
                  <w:vAlign w:val="center"/>
                </w:tcPr>
                <w:p w14:paraId="48BB8880">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颗粒物</w:t>
                  </w:r>
                </w:p>
              </w:tc>
              <w:tc>
                <w:tcPr>
                  <w:tcW w:w="478" w:type="pct"/>
                  <w:tcBorders>
                    <w:tl2br w:val="nil"/>
                    <w:tr2bl w:val="nil"/>
                  </w:tcBorders>
                  <w:vAlign w:val="center"/>
                </w:tcPr>
                <w:p w14:paraId="1FD8B5C7">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0.408</w:t>
                  </w:r>
                </w:p>
              </w:tc>
              <w:tc>
                <w:tcPr>
                  <w:tcW w:w="462" w:type="pct"/>
                  <w:vMerge w:val="restart"/>
                  <w:tcBorders>
                    <w:tl2br w:val="nil"/>
                    <w:tr2bl w:val="nil"/>
                  </w:tcBorders>
                  <w:vAlign w:val="center"/>
                </w:tcPr>
                <w:p w14:paraId="5004FDA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定期清扫、喷淋设施洒水抑尘</w:t>
                  </w:r>
                </w:p>
              </w:tc>
              <w:tc>
                <w:tcPr>
                  <w:tcW w:w="330" w:type="pct"/>
                  <w:tcBorders>
                    <w:tl2br w:val="nil"/>
                    <w:tr2bl w:val="nil"/>
                  </w:tcBorders>
                  <w:vAlign w:val="center"/>
                </w:tcPr>
                <w:p w14:paraId="699F3B36">
                  <w:pPr>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45F4DF9D">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restart"/>
                  <w:tcBorders>
                    <w:tl2br w:val="nil"/>
                    <w:tr2bl w:val="nil"/>
                  </w:tcBorders>
                  <w:vAlign w:val="center"/>
                </w:tcPr>
                <w:p w14:paraId="1286188F">
                  <w:pPr>
                    <w:pStyle w:val="42"/>
                    <w:autoSpaceDE w:val="0"/>
                    <w:autoSpaceDN w:val="0"/>
                    <w:bidi w:val="0"/>
                    <w:jc w:val="center"/>
                    <w:rPr>
                      <w:rFonts w:hint="default"/>
                      <w:color w:val="auto"/>
                      <w:highlight w:val="none"/>
                      <w:u w:val="none" w:color="auto"/>
                    </w:rPr>
                  </w:pPr>
                  <w:r>
                    <w:rPr>
                      <w:rFonts w:hint="default"/>
                      <w:color w:val="auto"/>
                      <w:highlight w:val="none"/>
                      <w:u w:val="none" w:color="auto"/>
                    </w:rPr>
                    <w:t>是</w:t>
                  </w:r>
                </w:p>
              </w:tc>
              <w:tc>
                <w:tcPr>
                  <w:tcW w:w="667" w:type="pct"/>
                  <w:tcBorders>
                    <w:tl2br w:val="nil"/>
                    <w:tr2bl w:val="nil"/>
                  </w:tcBorders>
                  <w:vAlign w:val="center"/>
                </w:tcPr>
                <w:p w14:paraId="7D36B402">
                  <w:pPr>
                    <w:pStyle w:val="42"/>
                    <w:autoSpaceDE w:val="0"/>
                    <w:autoSpaceDN w:val="0"/>
                    <w:bidi w:val="0"/>
                    <w:jc w:val="center"/>
                    <w:rPr>
                      <w:rFonts w:hint="default" w:eastAsia="宋体"/>
                      <w:color w:val="auto"/>
                      <w:highlight w:val="none"/>
                      <w:u w:val="none" w:color="auto"/>
                      <w:lang w:val="en-US" w:eastAsia="zh-CN"/>
                    </w:rPr>
                  </w:pPr>
                  <w:r>
                    <w:rPr>
                      <w:rFonts w:hint="eastAsia"/>
                      <w:bCs/>
                      <w:color w:val="auto"/>
                      <w:highlight w:val="none"/>
                      <w:u w:val="none" w:color="auto"/>
                      <w:lang w:val="en-US" w:eastAsia="zh-CN"/>
                    </w:rPr>
                    <w:t>0.102</w:t>
                  </w:r>
                </w:p>
              </w:tc>
              <w:tc>
                <w:tcPr>
                  <w:tcW w:w="729" w:type="pct"/>
                  <w:tcBorders>
                    <w:tl2br w:val="nil"/>
                    <w:tr2bl w:val="nil"/>
                  </w:tcBorders>
                  <w:vAlign w:val="center"/>
                </w:tcPr>
                <w:p w14:paraId="1D89F16D">
                  <w:pPr>
                    <w:pStyle w:val="42"/>
                    <w:autoSpaceDE w:val="0"/>
                    <w:autoSpaceDN w:val="0"/>
                    <w:bidi w:val="0"/>
                    <w:jc w:val="center"/>
                    <w:rPr>
                      <w:rFonts w:hint="default"/>
                      <w:color w:val="auto"/>
                      <w:highlight w:val="none"/>
                      <w:u w:val="none" w:color="auto"/>
                      <w:lang w:val="en-US" w:eastAsia="zh-CN"/>
                    </w:rPr>
                  </w:pPr>
                  <w:r>
                    <w:rPr>
                      <w:rFonts w:hint="eastAsia"/>
                      <w:bCs/>
                      <w:color w:val="auto"/>
                      <w:highlight w:val="none"/>
                      <w:u w:val="none" w:color="auto"/>
                      <w:lang w:val="en-US" w:eastAsia="zh-CN"/>
                    </w:rPr>
                    <w:t>0.02</w:t>
                  </w:r>
                </w:p>
              </w:tc>
              <w:tc>
                <w:tcPr>
                  <w:tcW w:w="564" w:type="pct"/>
                  <w:vMerge w:val="restart"/>
                  <w:tcBorders>
                    <w:tl2br w:val="nil"/>
                    <w:tr2bl w:val="nil"/>
                  </w:tcBorders>
                  <w:vAlign w:val="center"/>
                </w:tcPr>
                <w:p w14:paraId="6D8A6734">
                  <w:pPr>
                    <w:pStyle w:val="44"/>
                    <w:autoSpaceDE w:val="0"/>
                    <w:autoSpaceDN w:val="0"/>
                    <w:rPr>
                      <w:rFonts w:hint="default"/>
                      <w:color w:val="auto"/>
                      <w:highlight w:val="green"/>
                      <w:u w:val="none" w:color="auto"/>
                      <w:lang w:val="en-US" w:eastAsia="zh-CN"/>
                    </w:rPr>
                  </w:pPr>
                  <w:r>
                    <w:rPr>
                      <w:rFonts w:hint="eastAsia"/>
                      <w:b w:val="0"/>
                      <w:bCs/>
                      <w:color w:val="auto"/>
                      <w:highlight w:val="none"/>
                      <w:u w:val="none" w:color="auto"/>
                      <w:lang w:val="en-US" w:eastAsia="zh-CN"/>
                    </w:rPr>
                    <w:t>4800</w:t>
                  </w:r>
                </w:p>
              </w:tc>
            </w:tr>
            <w:tr w14:paraId="6D18B62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60C28D3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筛分</w:t>
                  </w:r>
                </w:p>
              </w:tc>
              <w:tc>
                <w:tcPr>
                  <w:tcW w:w="290" w:type="pct"/>
                  <w:vMerge w:val="continue"/>
                  <w:tcBorders>
                    <w:tl2br w:val="nil"/>
                    <w:tr2bl w:val="nil"/>
                  </w:tcBorders>
                  <w:vAlign w:val="center"/>
                </w:tcPr>
                <w:p w14:paraId="4741A028">
                  <w:pPr>
                    <w:pStyle w:val="42"/>
                    <w:autoSpaceDE w:val="0"/>
                    <w:autoSpaceDN w:val="0"/>
                    <w:bidi w:val="0"/>
                    <w:jc w:val="center"/>
                    <w:rPr>
                      <w:rFonts w:hint="default"/>
                      <w:color w:val="auto"/>
                      <w:highlight w:val="none"/>
                      <w:u w:val="none" w:color="auto"/>
                      <w:lang w:val="en-US" w:eastAsia="zh-CN"/>
                    </w:rPr>
                  </w:pPr>
                </w:p>
              </w:tc>
              <w:tc>
                <w:tcPr>
                  <w:tcW w:w="478" w:type="pct"/>
                  <w:tcBorders>
                    <w:tl2br w:val="nil"/>
                    <w:tr2bl w:val="nil"/>
                  </w:tcBorders>
                  <w:vAlign w:val="center"/>
                </w:tcPr>
                <w:p w14:paraId="4BE7ABB7">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11.526</w:t>
                  </w:r>
                </w:p>
              </w:tc>
              <w:tc>
                <w:tcPr>
                  <w:tcW w:w="462" w:type="pct"/>
                  <w:vMerge w:val="continue"/>
                  <w:tcBorders>
                    <w:tl2br w:val="nil"/>
                    <w:tr2bl w:val="nil"/>
                  </w:tcBorders>
                  <w:vAlign w:val="center"/>
                </w:tcPr>
                <w:p w14:paraId="61DA4BC0">
                  <w:pPr>
                    <w:pStyle w:val="42"/>
                    <w:autoSpaceDE w:val="0"/>
                    <w:autoSpaceDN w:val="0"/>
                    <w:bidi w:val="0"/>
                    <w:ind w:firstLine="0" w:firstLineChars="0"/>
                    <w:jc w:val="center"/>
                    <w:rPr>
                      <w:rFonts w:hint="eastAsia" w:ascii="Times New Roman" w:hAnsi="Times New Roman" w:eastAsia="宋体" w:cs="Times New Roman"/>
                      <w:color w:val="auto"/>
                      <w:highlight w:val="none"/>
                      <w:u w:val="none" w:color="auto"/>
                      <w:lang w:val="en-US" w:eastAsia="zh-CN"/>
                    </w:rPr>
                  </w:pPr>
                </w:p>
              </w:tc>
              <w:tc>
                <w:tcPr>
                  <w:tcW w:w="330" w:type="pct"/>
                  <w:tcBorders>
                    <w:tl2br w:val="nil"/>
                    <w:tr2bl w:val="nil"/>
                  </w:tcBorders>
                  <w:vAlign w:val="center"/>
                </w:tcPr>
                <w:p w14:paraId="1E09C4E1">
                  <w:pPr>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7CCC0994">
                  <w:pPr>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6E30EFE0">
                  <w:pPr>
                    <w:pStyle w:val="42"/>
                    <w:autoSpaceDE w:val="0"/>
                    <w:autoSpaceDN w:val="0"/>
                    <w:bidi w:val="0"/>
                    <w:ind w:firstLine="0" w:firstLineChars="0"/>
                    <w:jc w:val="center"/>
                    <w:rPr>
                      <w:rFonts w:hint="default"/>
                      <w:color w:val="auto"/>
                      <w:highlight w:val="none"/>
                      <w:u w:val="none" w:color="auto"/>
                    </w:rPr>
                  </w:pPr>
                </w:p>
              </w:tc>
              <w:tc>
                <w:tcPr>
                  <w:tcW w:w="667" w:type="pct"/>
                  <w:tcBorders>
                    <w:tl2br w:val="nil"/>
                    <w:tr2bl w:val="nil"/>
                  </w:tcBorders>
                  <w:vAlign w:val="center"/>
                </w:tcPr>
                <w:p w14:paraId="633A4796">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2.996</w:t>
                  </w:r>
                </w:p>
              </w:tc>
              <w:tc>
                <w:tcPr>
                  <w:tcW w:w="729" w:type="pct"/>
                  <w:tcBorders>
                    <w:tl2br w:val="nil"/>
                    <w:tr2bl w:val="nil"/>
                  </w:tcBorders>
                  <w:vAlign w:val="center"/>
                </w:tcPr>
                <w:p w14:paraId="46C568EF">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0.62</w:t>
                  </w:r>
                </w:p>
              </w:tc>
              <w:tc>
                <w:tcPr>
                  <w:tcW w:w="564" w:type="pct"/>
                  <w:vMerge w:val="continue"/>
                  <w:tcBorders>
                    <w:tl2br w:val="nil"/>
                    <w:tr2bl w:val="nil"/>
                  </w:tcBorders>
                  <w:vAlign w:val="center"/>
                </w:tcPr>
                <w:p w14:paraId="2EDCDF18">
                  <w:pPr>
                    <w:pStyle w:val="42"/>
                    <w:autoSpaceDE w:val="0"/>
                    <w:autoSpaceDN w:val="0"/>
                    <w:bidi w:val="0"/>
                    <w:jc w:val="center"/>
                    <w:rPr>
                      <w:rFonts w:hint="default"/>
                      <w:color w:val="auto"/>
                      <w:highlight w:val="green"/>
                      <w:u w:val="none" w:color="auto"/>
                      <w:lang w:val="en-US" w:eastAsia="zh-CN"/>
                    </w:rPr>
                  </w:pPr>
                </w:p>
              </w:tc>
            </w:tr>
            <w:tr w14:paraId="11680F1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09DB847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破碎</w:t>
                  </w:r>
                </w:p>
              </w:tc>
              <w:tc>
                <w:tcPr>
                  <w:tcW w:w="290" w:type="pct"/>
                  <w:vMerge w:val="continue"/>
                  <w:tcBorders>
                    <w:tl2br w:val="nil"/>
                    <w:tr2bl w:val="nil"/>
                  </w:tcBorders>
                  <w:vAlign w:val="center"/>
                </w:tcPr>
                <w:p w14:paraId="6D2CB155">
                  <w:pPr>
                    <w:pStyle w:val="42"/>
                    <w:autoSpaceDE w:val="0"/>
                    <w:autoSpaceDN w:val="0"/>
                    <w:bidi w:val="0"/>
                    <w:jc w:val="center"/>
                    <w:rPr>
                      <w:rFonts w:hint="eastAsia"/>
                      <w:color w:val="auto"/>
                      <w:highlight w:val="none"/>
                      <w:u w:val="none" w:color="auto"/>
                      <w:lang w:val="en-US" w:eastAsia="zh-CN"/>
                    </w:rPr>
                  </w:pPr>
                </w:p>
              </w:tc>
              <w:tc>
                <w:tcPr>
                  <w:tcW w:w="478" w:type="pct"/>
                  <w:tcBorders>
                    <w:tl2br w:val="nil"/>
                    <w:tr2bl w:val="nil"/>
                  </w:tcBorders>
                  <w:vAlign w:val="center"/>
                </w:tcPr>
                <w:p w14:paraId="44D73E73">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11.526</w:t>
                  </w:r>
                </w:p>
              </w:tc>
              <w:tc>
                <w:tcPr>
                  <w:tcW w:w="462" w:type="pct"/>
                  <w:vMerge w:val="continue"/>
                  <w:tcBorders>
                    <w:tl2br w:val="nil"/>
                    <w:tr2bl w:val="nil"/>
                  </w:tcBorders>
                  <w:vAlign w:val="center"/>
                </w:tcPr>
                <w:p w14:paraId="089ED062">
                  <w:pPr>
                    <w:pStyle w:val="42"/>
                    <w:autoSpaceDE w:val="0"/>
                    <w:autoSpaceDN w:val="0"/>
                    <w:bidi w:val="0"/>
                    <w:jc w:val="center"/>
                    <w:rPr>
                      <w:rFonts w:hint="eastAsia"/>
                      <w:color w:val="auto"/>
                      <w:highlight w:val="none"/>
                      <w:u w:val="none" w:color="auto"/>
                      <w:lang w:val="en-US" w:eastAsia="zh-CN"/>
                    </w:rPr>
                  </w:pPr>
                </w:p>
              </w:tc>
              <w:tc>
                <w:tcPr>
                  <w:tcW w:w="330" w:type="pct"/>
                  <w:tcBorders>
                    <w:tl2br w:val="nil"/>
                    <w:tr2bl w:val="nil"/>
                  </w:tcBorders>
                  <w:vAlign w:val="center"/>
                </w:tcPr>
                <w:p w14:paraId="7B4A0F25">
                  <w:pPr>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3BC0DD64">
                  <w:pPr>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1FFAD140">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5C4CF3D3">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2.996</w:t>
                  </w:r>
                </w:p>
              </w:tc>
              <w:tc>
                <w:tcPr>
                  <w:tcW w:w="729" w:type="pct"/>
                  <w:tcBorders>
                    <w:tl2br w:val="nil"/>
                    <w:tr2bl w:val="nil"/>
                  </w:tcBorders>
                  <w:vAlign w:val="center"/>
                </w:tcPr>
                <w:p w14:paraId="34547F71">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0.62</w:t>
                  </w:r>
                </w:p>
              </w:tc>
              <w:tc>
                <w:tcPr>
                  <w:tcW w:w="564" w:type="pct"/>
                  <w:vMerge w:val="continue"/>
                  <w:tcBorders>
                    <w:tl2br w:val="nil"/>
                    <w:tr2bl w:val="nil"/>
                  </w:tcBorders>
                  <w:vAlign w:val="center"/>
                </w:tcPr>
                <w:p w14:paraId="7D9E0A0A">
                  <w:pPr>
                    <w:pStyle w:val="42"/>
                    <w:autoSpaceDE w:val="0"/>
                    <w:autoSpaceDN w:val="0"/>
                    <w:bidi w:val="0"/>
                    <w:jc w:val="center"/>
                    <w:rPr>
                      <w:rFonts w:hint="eastAsia"/>
                      <w:color w:val="auto"/>
                      <w:highlight w:val="green"/>
                      <w:u w:val="none" w:color="auto"/>
                      <w:lang w:val="en-US" w:eastAsia="zh-CN"/>
                    </w:rPr>
                  </w:pPr>
                </w:p>
              </w:tc>
            </w:tr>
            <w:tr w14:paraId="21D68B5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14F3120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运输</w:t>
                  </w:r>
                </w:p>
              </w:tc>
              <w:tc>
                <w:tcPr>
                  <w:tcW w:w="290" w:type="pct"/>
                  <w:vMerge w:val="continue"/>
                  <w:tcBorders>
                    <w:tl2br w:val="nil"/>
                    <w:tr2bl w:val="nil"/>
                  </w:tcBorders>
                  <w:vAlign w:val="center"/>
                </w:tcPr>
                <w:p w14:paraId="57DCBB53">
                  <w:pPr>
                    <w:pStyle w:val="42"/>
                    <w:autoSpaceDE w:val="0"/>
                    <w:autoSpaceDN w:val="0"/>
                    <w:bidi w:val="0"/>
                    <w:jc w:val="center"/>
                    <w:rPr>
                      <w:rFonts w:hint="eastAsia"/>
                      <w:color w:val="auto"/>
                      <w:highlight w:val="none"/>
                      <w:u w:val="none" w:color="auto"/>
                      <w:lang w:val="en-US" w:eastAsia="zh-CN"/>
                    </w:rPr>
                  </w:pPr>
                </w:p>
              </w:tc>
              <w:tc>
                <w:tcPr>
                  <w:tcW w:w="478" w:type="pct"/>
                  <w:tcBorders>
                    <w:tl2br w:val="nil"/>
                    <w:tr2bl w:val="nil"/>
                  </w:tcBorders>
                  <w:vAlign w:val="center"/>
                </w:tcPr>
                <w:p w14:paraId="271EC624">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2.464</w:t>
                  </w:r>
                </w:p>
              </w:tc>
              <w:tc>
                <w:tcPr>
                  <w:tcW w:w="462" w:type="pct"/>
                  <w:vMerge w:val="continue"/>
                  <w:tcBorders>
                    <w:tl2br w:val="nil"/>
                    <w:tr2bl w:val="nil"/>
                  </w:tcBorders>
                  <w:vAlign w:val="center"/>
                </w:tcPr>
                <w:p w14:paraId="52EA9950">
                  <w:pPr>
                    <w:pStyle w:val="42"/>
                    <w:autoSpaceDE w:val="0"/>
                    <w:autoSpaceDN w:val="0"/>
                    <w:bidi w:val="0"/>
                    <w:jc w:val="center"/>
                    <w:rPr>
                      <w:rFonts w:hint="eastAsia" w:ascii="Times New Roman" w:hAnsi="Times New Roman" w:eastAsia="宋体" w:cs="Times New Roman"/>
                      <w:color w:val="auto"/>
                      <w:highlight w:val="none"/>
                      <w:u w:val="none" w:color="auto"/>
                      <w:lang w:val="en-US" w:eastAsia="zh-CN"/>
                    </w:rPr>
                  </w:pPr>
                </w:p>
              </w:tc>
              <w:tc>
                <w:tcPr>
                  <w:tcW w:w="330" w:type="pct"/>
                  <w:tcBorders>
                    <w:tl2br w:val="nil"/>
                    <w:tr2bl w:val="nil"/>
                  </w:tcBorders>
                  <w:vAlign w:val="center"/>
                </w:tcPr>
                <w:p w14:paraId="045DB707">
                  <w:pPr>
                    <w:autoSpaceDE w:val="0"/>
                    <w:autoSpaceDN w:val="0"/>
                    <w:bidi w:val="0"/>
                    <w:jc w:val="center"/>
                    <w:rPr>
                      <w:rFonts w:hint="eastAsia"/>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041F02AE">
                  <w:pPr>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3649B43B">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0B9D5FA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0.798</w:t>
                  </w:r>
                </w:p>
              </w:tc>
              <w:tc>
                <w:tcPr>
                  <w:tcW w:w="729" w:type="pct"/>
                  <w:tcBorders>
                    <w:tl2br w:val="nil"/>
                    <w:tr2bl w:val="nil"/>
                  </w:tcBorders>
                  <w:vAlign w:val="center"/>
                </w:tcPr>
                <w:p w14:paraId="7FBD5FA0">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0.16</w:t>
                  </w:r>
                </w:p>
              </w:tc>
              <w:tc>
                <w:tcPr>
                  <w:tcW w:w="564" w:type="pct"/>
                  <w:vMerge w:val="continue"/>
                  <w:tcBorders>
                    <w:tl2br w:val="nil"/>
                    <w:tr2bl w:val="nil"/>
                  </w:tcBorders>
                  <w:vAlign w:val="center"/>
                </w:tcPr>
                <w:p w14:paraId="7857E537">
                  <w:pPr>
                    <w:pStyle w:val="42"/>
                    <w:autoSpaceDE w:val="0"/>
                    <w:autoSpaceDN w:val="0"/>
                    <w:bidi w:val="0"/>
                    <w:jc w:val="center"/>
                    <w:rPr>
                      <w:rFonts w:hint="eastAsia"/>
                      <w:color w:val="auto"/>
                      <w:highlight w:val="green"/>
                      <w:u w:val="none" w:color="auto"/>
                      <w:lang w:val="en-US" w:eastAsia="zh-CN"/>
                    </w:rPr>
                  </w:pPr>
                </w:p>
              </w:tc>
            </w:tr>
            <w:tr w14:paraId="21B850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7E5B54B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喂料</w:t>
                  </w:r>
                </w:p>
              </w:tc>
              <w:tc>
                <w:tcPr>
                  <w:tcW w:w="290" w:type="pct"/>
                  <w:vMerge w:val="continue"/>
                  <w:tcBorders>
                    <w:tl2br w:val="nil"/>
                    <w:tr2bl w:val="nil"/>
                  </w:tcBorders>
                  <w:vAlign w:val="center"/>
                </w:tcPr>
                <w:p w14:paraId="2C2B5133">
                  <w:pPr>
                    <w:pStyle w:val="42"/>
                    <w:autoSpaceDE w:val="0"/>
                    <w:autoSpaceDN w:val="0"/>
                    <w:bidi w:val="0"/>
                    <w:jc w:val="center"/>
                    <w:rPr>
                      <w:rFonts w:hint="eastAsia"/>
                      <w:color w:val="auto"/>
                      <w:highlight w:val="none"/>
                      <w:u w:val="none" w:color="auto"/>
                      <w:lang w:val="en-US" w:eastAsia="zh-CN"/>
                    </w:rPr>
                  </w:pPr>
                </w:p>
              </w:tc>
              <w:tc>
                <w:tcPr>
                  <w:tcW w:w="478" w:type="pct"/>
                  <w:tcBorders>
                    <w:tl2br w:val="nil"/>
                    <w:tr2bl w:val="nil"/>
                  </w:tcBorders>
                  <w:vAlign w:val="center"/>
                </w:tcPr>
                <w:p w14:paraId="07A96EE0">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0.102</w:t>
                  </w:r>
                </w:p>
              </w:tc>
              <w:tc>
                <w:tcPr>
                  <w:tcW w:w="462" w:type="pct"/>
                  <w:vMerge w:val="continue"/>
                  <w:tcBorders>
                    <w:tl2br w:val="nil"/>
                    <w:tr2bl w:val="nil"/>
                  </w:tcBorders>
                  <w:vAlign w:val="center"/>
                </w:tcPr>
                <w:p w14:paraId="73CEFC80">
                  <w:pPr>
                    <w:pStyle w:val="42"/>
                    <w:autoSpaceDE w:val="0"/>
                    <w:autoSpaceDN w:val="0"/>
                    <w:bidi w:val="0"/>
                    <w:jc w:val="center"/>
                    <w:rPr>
                      <w:rFonts w:hint="eastAsia" w:ascii="Times New Roman" w:hAnsi="Times New Roman" w:eastAsia="宋体" w:cs="Times New Roman"/>
                      <w:color w:val="auto"/>
                      <w:highlight w:val="none"/>
                      <w:u w:val="none" w:color="auto"/>
                      <w:lang w:val="en-US" w:eastAsia="zh-CN"/>
                    </w:rPr>
                  </w:pPr>
                </w:p>
              </w:tc>
              <w:tc>
                <w:tcPr>
                  <w:tcW w:w="330" w:type="pct"/>
                  <w:tcBorders>
                    <w:tl2br w:val="nil"/>
                    <w:tr2bl w:val="nil"/>
                  </w:tcBorders>
                  <w:vAlign w:val="center"/>
                </w:tcPr>
                <w:p w14:paraId="4827381D">
                  <w:pPr>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6FA10289">
                  <w:pPr>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5AC96D28">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296DA6ED">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0.02</w:t>
                  </w:r>
                </w:p>
              </w:tc>
              <w:tc>
                <w:tcPr>
                  <w:tcW w:w="729" w:type="pct"/>
                  <w:tcBorders>
                    <w:tl2br w:val="nil"/>
                    <w:tr2bl w:val="nil"/>
                  </w:tcBorders>
                  <w:vAlign w:val="center"/>
                </w:tcPr>
                <w:p w14:paraId="1FA7F513">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0.</w:t>
                  </w:r>
                  <w:r>
                    <w:rPr>
                      <w:rFonts w:hint="eastAsia" w:ascii="Times New Roman" w:hAnsi="Times New Roman" w:eastAsia="宋体" w:cs="Times New Roman"/>
                      <w:color w:val="auto"/>
                      <w:highlight w:val="none"/>
                      <w:u w:val="none" w:color="auto"/>
                      <w:lang w:val="en-US" w:eastAsia="zh-CN"/>
                    </w:rPr>
                    <w:t>004</w:t>
                  </w:r>
                </w:p>
              </w:tc>
              <w:tc>
                <w:tcPr>
                  <w:tcW w:w="564" w:type="pct"/>
                  <w:vMerge w:val="continue"/>
                  <w:tcBorders>
                    <w:tl2br w:val="nil"/>
                    <w:tr2bl w:val="nil"/>
                  </w:tcBorders>
                  <w:vAlign w:val="center"/>
                </w:tcPr>
                <w:p w14:paraId="57249153">
                  <w:pPr>
                    <w:pStyle w:val="42"/>
                    <w:autoSpaceDE w:val="0"/>
                    <w:autoSpaceDN w:val="0"/>
                    <w:bidi w:val="0"/>
                    <w:jc w:val="center"/>
                    <w:rPr>
                      <w:rFonts w:hint="eastAsia"/>
                      <w:color w:val="auto"/>
                      <w:highlight w:val="green"/>
                      <w:u w:val="none" w:color="auto"/>
                      <w:lang w:val="en-US" w:eastAsia="zh-CN"/>
                    </w:rPr>
                  </w:pPr>
                </w:p>
              </w:tc>
            </w:tr>
            <w:tr w14:paraId="55B6022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707B1DC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bCs/>
                      <w:color w:val="auto"/>
                      <w:spacing w:val="-10"/>
                      <w:kern w:val="2"/>
                      <w:sz w:val="24"/>
                      <w:szCs w:val="24"/>
                      <w:highlight w:val="none"/>
                      <w:u w:val="none"/>
                      <w:lang w:val="en-US" w:eastAsia="zh-CN" w:bidi="ar-SA"/>
                    </w:rPr>
                    <w:t>堆场</w:t>
                  </w:r>
                </w:p>
              </w:tc>
              <w:tc>
                <w:tcPr>
                  <w:tcW w:w="290" w:type="pct"/>
                  <w:vMerge w:val="continue"/>
                  <w:tcBorders>
                    <w:tl2br w:val="nil"/>
                    <w:tr2bl w:val="nil"/>
                  </w:tcBorders>
                  <w:vAlign w:val="center"/>
                </w:tcPr>
                <w:p w14:paraId="2907E906">
                  <w:pPr>
                    <w:pStyle w:val="42"/>
                    <w:autoSpaceDE w:val="0"/>
                    <w:autoSpaceDN w:val="0"/>
                    <w:bidi w:val="0"/>
                    <w:jc w:val="center"/>
                    <w:rPr>
                      <w:rFonts w:hint="eastAsia"/>
                      <w:color w:val="auto"/>
                      <w:highlight w:val="none"/>
                      <w:u w:val="none" w:color="auto"/>
                      <w:lang w:val="en-US" w:eastAsia="zh-CN"/>
                    </w:rPr>
                  </w:pPr>
                </w:p>
              </w:tc>
              <w:tc>
                <w:tcPr>
                  <w:tcW w:w="478" w:type="pct"/>
                  <w:tcBorders>
                    <w:tl2br w:val="nil"/>
                    <w:tr2bl w:val="nil"/>
                  </w:tcBorders>
                  <w:vAlign w:val="center"/>
                </w:tcPr>
                <w:p w14:paraId="34E3FF6A">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4.274</w:t>
                  </w:r>
                </w:p>
              </w:tc>
              <w:tc>
                <w:tcPr>
                  <w:tcW w:w="462" w:type="pct"/>
                  <w:vMerge w:val="continue"/>
                  <w:tcBorders>
                    <w:tl2br w:val="nil"/>
                    <w:tr2bl w:val="nil"/>
                  </w:tcBorders>
                  <w:vAlign w:val="center"/>
                </w:tcPr>
                <w:p w14:paraId="6B9C43DE">
                  <w:pPr>
                    <w:pStyle w:val="42"/>
                    <w:autoSpaceDE w:val="0"/>
                    <w:autoSpaceDN w:val="0"/>
                    <w:bidi w:val="0"/>
                    <w:jc w:val="center"/>
                    <w:rPr>
                      <w:rFonts w:hint="eastAsia" w:ascii="Times New Roman" w:hAnsi="Times New Roman" w:eastAsia="宋体" w:cs="Times New Roman"/>
                      <w:color w:val="auto"/>
                      <w:highlight w:val="none"/>
                      <w:u w:val="none" w:color="auto"/>
                      <w:lang w:val="en-US" w:eastAsia="zh-CN"/>
                    </w:rPr>
                  </w:pPr>
                </w:p>
              </w:tc>
              <w:tc>
                <w:tcPr>
                  <w:tcW w:w="330" w:type="pct"/>
                  <w:tcBorders>
                    <w:tl2br w:val="nil"/>
                    <w:tr2bl w:val="nil"/>
                  </w:tcBorders>
                  <w:vAlign w:val="center"/>
                </w:tcPr>
                <w:p w14:paraId="29D35740">
                  <w:pPr>
                    <w:autoSpaceDE w:val="0"/>
                    <w:autoSpaceDN w:val="0"/>
                    <w:bidi w:val="0"/>
                    <w:jc w:val="center"/>
                    <w:rPr>
                      <w:rFonts w:hint="eastAsia" w:eastAsia="宋体"/>
                      <w:color w:val="auto"/>
                      <w:highlight w:val="none"/>
                      <w:u w:val="none" w:color="auto"/>
                      <w:lang w:val="en-US" w:eastAsia="zh-CN"/>
                    </w:rPr>
                  </w:pPr>
                  <w:r>
                    <w:rPr>
                      <w:rFonts w:hint="eastAsia" w:eastAsia="宋体"/>
                      <w:color w:val="auto"/>
                      <w:highlight w:val="none"/>
                      <w:u w:val="none" w:color="auto"/>
                      <w:lang w:val="en-US" w:eastAsia="zh-CN"/>
                    </w:rPr>
                    <w:t>/</w:t>
                  </w:r>
                </w:p>
              </w:tc>
              <w:tc>
                <w:tcPr>
                  <w:tcW w:w="456" w:type="pct"/>
                  <w:tcBorders>
                    <w:tl2br w:val="nil"/>
                    <w:tr2bl w:val="nil"/>
                  </w:tcBorders>
                  <w:vAlign w:val="center"/>
                </w:tcPr>
                <w:p w14:paraId="11375E8A">
                  <w:pPr>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5B97F98E">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1983401B">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1.111</w:t>
                  </w:r>
                </w:p>
              </w:tc>
              <w:tc>
                <w:tcPr>
                  <w:tcW w:w="729" w:type="pct"/>
                  <w:tcBorders>
                    <w:tl2br w:val="nil"/>
                    <w:tr2bl w:val="nil"/>
                  </w:tcBorders>
                  <w:vAlign w:val="center"/>
                </w:tcPr>
                <w:p w14:paraId="5C7E2E55">
                  <w:pPr>
                    <w:pStyle w:val="4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0.23</w:t>
                  </w:r>
                </w:p>
              </w:tc>
              <w:tc>
                <w:tcPr>
                  <w:tcW w:w="564" w:type="pct"/>
                  <w:vMerge w:val="continue"/>
                  <w:tcBorders>
                    <w:tl2br w:val="nil"/>
                    <w:tr2bl w:val="nil"/>
                  </w:tcBorders>
                  <w:vAlign w:val="center"/>
                </w:tcPr>
                <w:p w14:paraId="544D1775">
                  <w:pPr>
                    <w:pStyle w:val="42"/>
                    <w:autoSpaceDE w:val="0"/>
                    <w:autoSpaceDN w:val="0"/>
                    <w:bidi w:val="0"/>
                    <w:jc w:val="center"/>
                    <w:rPr>
                      <w:rFonts w:hint="eastAsia"/>
                      <w:color w:val="auto"/>
                      <w:highlight w:val="green"/>
                      <w:u w:val="none" w:color="auto"/>
                      <w:lang w:val="en-US" w:eastAsia="zh-CN"/>
                    </w:rPr>
                  </w:pPr>
                </w:p>
              </w:tc>
            </w:tr>
            <w:tr w14:paraId="456D4C4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179901C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食堂</w:t>
                  </w:r>
                </w:p>
              </w:tc>
              <w:tc>
                <w:tcPr>
                  <w:tcW w:w="290" w:type="pct"/>
                  <w:tcBorders>
                    <w:tl2br w:val="nil"/>
                    <w:tr2bl w:val="nil"/>
                  </w:tcBorders>
                  <w:vAlign w:val="center"/>
                </w:tcPr>
                <w:p w14:paraId="7F70B302">
                  <w:pPr>
                    <w:pStyle w:val="42"/>
                    <w:autoSpaceDE w:val="0"/>
                    <w:autoSpaceDN w:val="0"/>
                    <w:bidi w:val="0"/>
                    <w:ind w:firstLine="0" w:firstLineChars="0"/>
                    <w:jc w:val="center"/>
                    <w:rPr>
                      <w:rFonts w:hint="eastAsia"/>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油烟</w:t>
                  </w:r>
                </w:p>
              </w:tc>
              <w:tc>
                <w:tcPr>
                  <w:tcW w:w="478" w:type="pct"/>
                  <w:tcBorders>
                    <w:tl2br w:val="nil"/>
                    <w:tr2bl w:val="nil"/>
                  </w:tcBorders>
                  <w:vAlign w:val="center"/>
                </w:tcPr>
                <w:p w14:paraId="5F7B6DF8">
                  <w:pPr>
                    <w:pStyle w:val="42"/>
                    <w:autoSpaceDE w:val="0"/>
                    <w:autoSpaceDN w:val="0"/>
                    <w:bidi w:val="0"/>
                    <w:ind w:firstLine="0" w:firstLineChars="0"/>
                    <w:jc w:val="center"/>
                    <w:rPr>
                      <w:rFonts w:hint="eastAsia"/>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462" w:type="pct"/>
                  <w:tcBorders>
                    <w:tl2br w:val="nil"/>
                    <w:tr2bl w:val="nil"/>
                  </w:tcBorders>
                  <w:vAlign w:val="center"/>
                </w:tcPr>
                <w:p w14:paraId="44F3AD14">
                  <w:pPr>
                    <w:pStyle w:val="42"/>
                    <w:autoSpaceDE w:val="0"/>
                    <w:autoSpaceDN w:val="0"/>
                    <w:bidi w:val="0"/>
                    <w:ind w:firstLine="0" w:firstLineChars="0"/>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抽油烟机收集后由管道引至屋外排放</w:t>
                  </w:r>
                </w:p>
              </w:tc>
              <w:tc>
                <w:tcPr>
                  <w:tcW w:w="330" w:type="pct"/>
                  <w:tcBorders>
                    <w:tl2br w:val="nil"/>
                    <w:tr2bl w:val="nil"/>
                  </w:tcBorders>
                  <w:vAlign w:val="center"/>
                </w:tcPr>
                <w:p w14:paraId="78220AF0">
                  <w:pPr>
                    <w:autoSpaceDE w:val="0"/>
                    <w:autoSpaceDN w:val="0"/>
                    <w:bidi w:val="0"/>
                    <w:jc w:val="center"/>
                    <w:rPr>
                      <w:rFonts w:hint="eastAsia" w:eastAsia="宋体"/>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456" w:type="pct"/>
                  <w:tcBorders>
                    <w:tl2br w:val="nil"/>
                    <w:tr2bl w:val="nil"/>
                  </w:tcBorders>
                  <w:vAlign w:val="center"/>
                </w:tcPr>
                <w:p w14:paraId="70DA64C8">
                  <w:pPr>
                    <w:autoSpaceDE w:val="0"/>
                    <w:autoSpaceDN w:val="0"/>
                    <w:bidi w:val="0"/>
                    <w:jc w:val="center"/>
                    <w:rPr>
                      <w:rFonts w:hint="eastAsia"/>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60%</w:t>
                  </w:r>
                </w:p>
              </w:tc>
              <w:tc>
                <w:tcPr>
                  <w:tcW w:w="483" w:type="pct"/>
                  <w:vMerge w:val="continue"/>
                  <w:tcBorders>
                    <w:tl2br w:val="nil"/>
                    <w:tr2bl w:val="nil"/>
                  </w:tcBorders>
                  <w:vAlign w:val="center"/>
                </w:tcPr>
                <w:p w14:paraId="25C46395">
                  <w:pPr>
                    <w:pStyle w:val="42"/>
                    <w:autoSpaceDE w:val="0"/>
                    <w:autoSpaceDN w:val="0"/>
                    <w:bidi w:val="0"/>
                    <w:ind w:firstLine="0" w:firstLineChars="0"/>
                    <w:jc w:val="center"/>
                    <w:rPr>
                      <w:rFonts w:hint="default"/>
                      <w:color w:val="auto"/>
                      <w:highlight w:val="none"/>
                      <w:u w:val="none" w:color="auto"/>
                    </w:rPr>
                  </w:pPr>
                </w:p>
              </w:tc>
              <w:tc>
                <w:tcPr>
                  <w:tcW w:w="667" w:type="pct"/>
                  <w:tcBorders>
                    <w:tl2br w:val="nil"/>
                    <w:tr2bl w:val="nil"/>
                  </w:tcBorders>
                  <w:vAlign w:val="center"/>
                </w:tcPr>
                <w:p w14:paraId="624BB0D3">
                  <w:pPr>
                    <w:pStyle w:val="42"/>
                    <w:autoSpaceDE w:val="0"/>
                    <w:autoSpaceDN w:val="0"/>
                    <w:bidi w:val="0"/>
                    <w:ind w:firstLine="0" w:firstLineChars="0"/>
                    <w:jc w:val="center"/>
                    <w:rPr>
                      <w:rFonts w:hint="eastAsia"/>
                      <w:color w:val="auto"/>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729" w:type="pct"/>
                  <w:tcBorders>
                    <w:tl2br w:val="nil"/>
                    <w:tr2bl w:val="nil"/>
                  </w:tcBorders>
                  <w:vAlign w:val="center"/>
                </w:tcPr>
                <w:p w14:paraId="0166E99A">
                  <w:pPr>
                    <w:pStyle w:val="42"/>
                    <w:autoSpaceDE w:val="0"/>
                    <w:autoSpaceDN w:val="0"/>
                    <w:bidi w:val="0"/>
                    <w:ind w:firstLine="0" w:firstLineChars="0"/>
                    <w:jc w:val="center"/>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564" w:type="pct"/>
                  <w:tcBorders>
                    <w:tl2br w:val="nil"/>
                    <w:tr2bl w:val="nil"/>
                  </w:tcBorders>
                  <w:vAlign w:val="center"/>
                </w:tcPr>
                <w:p w14:paraId="56DBE837">
                  <w:pPr>
                    <w:pStyle w:val="42"/>
                    <w:autoSpaceDE w:val="0"/>
                    <w:autoSpaceDN w:val="0"/>
                    <w:bidi w:val="0"/>
                    <w:ind w:firstLine="0" w:firstLineChars="0"/>
                    <w:jc w:val="center"/>
                    <w:rPr>
                      <w:rFonts w:hint="eastAsia"/>
                      <w:color w:val="auto"/>
                      <w:highlight w:val="green"/>
                      <w:u w:val="none" w:color="auto"/>
                      <w:lang w:val="en-US" w:eastAsia="zh-CN"/>
                    </w:rPr>
                  </w:pPr>
                  <w:r>
                    <w:rPr>
                      <w:rFonts w:hint="eastAsia" w:ascii="Times New Roman" w:hAnsi="Times New Roman" w:eastAsia="宋体" w:cs="Times New Roman"/>
                      <w:color w:val="auto"/>
                      <w:kern w:val="0"/>
                      <w:sz w:val="21"/>
                      <w:szCs w:val="20"/>
                      <w:highlight w:val="none"/>
                      <w:u w:val="none" w:color="auto"/>
                      <w:lang w:val="en-US" w:eastAsia="zh-CN" w:bidi="ar-SA"/>
                    </w:rPr>
                    <w:t>1120</w:t>
                  </w:r>
                </w:p>
              </w:tc>
            </w:tr>
          </w:tbl>
          <w:p w14:paraId="024E31E3">
            <w:pPr>
              <w:pStyle w:val="37"/>
              <w:bidi w:val="0"/>
              <w:rPr>
                <w:rFonts w:hint="default" w:ascii="Times New Roman" w:hAnsi="Times New Roman" w:eastAsia="宋体"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eastAsia" w:ascii="Times New Roman" w:hAnsi="Times New Roman" w:eastAsia="宋体" w:cs="Times New Roman"/>
                <w:b/>
                <w:bCs/>
                <w:color w:val="auto"/>
                <w:highlight w:val="none"/>
                <w:u w:val="none" w:color="auto"/>
                <w:lang w:val="en-US" w:eastAsia="zh-CN"/>
              </w:rPr>
              <w:t>无组织粉尘防治措施可行性</w:t>
            </w:r>
            <w:r>
              <w:rPr>
                <w:rFonts w:hint="default" w:ascii="Times New Roman" w:hAnsi="Times New Roman" w:eastAsia="宋体" w:cs="Times New Roman"/>
                <w:b/>
                <w:bCs/>
                <w:color w:val="auto"/>
                <w:highlight w:val="none"/>
                <w:u w:val="none" w:color="auto"/>
              </w:rPr>
              <w:t>分析</w:t>
            </w:r>
          </w:p>
          <w:p w14:paraId="614AEB2E">
            <w:pPr>
              <w:pStyle w:val="37"/>
              <w:bidi w:val="0"/>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本项目排放的废气污染物主要为颗粒物，本项目无组织粉尘防治措施主要为通过喷淋措施进行洒水降尘，根据《排污许可证申请与核发技术规范石墨及</w:t>
            </w:r>
            <w:r>
              <w:rPr>
                <w:rFonts w:hint="eastAsia" w:cs="Times New Roman"/>
                <w:color w:val="auto"/>
                <w:highlight w:val="none"/>
                <w:u w:val="none" w:color="auto"/>
                <w:lang w:val="en-US" w:eastAsia="zh-CN"/>
              </w:rPr>
              <w:t>其他非金属矿物制品制造</w:t>
            </w:r>
            <w:r>
              <w:rPr>
                <w:rFonts w:hint="eastAsia" w:ascii="Times New Roman" w:hAnsi="Times New Roman" w:eastAsia="宋体" w:cs="Times New Roman"/>
                <w:color w:val="auto"/>
                <w:highlight w:val="none"/>
                <w:u w:val="none" w:color="auto"/>
                <w:lang w:val="en-US" w:eastAsia="zh-CN"/>
              </w:rPr>
              <w:t>》（HJ1119—2020）中水喷淋为推荐可行技术，因此本项目采用喷淋进行洒水降尘是可行的。</w:t>
            </w:r>
          </w:p>
          <w:p w14:paraId="2B1218ED">
            <w:pPr>
              <w:pStyle w:val="3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监测要求</w:t>
            </w:r>
          </w:p>
          <w:p w14:paraId="0FF864BC">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根据《排污单位自行监测技术指南</w:t>
            </w:r>
            <w:r>
              <w:rPr>
                <w:rFonts w:hint="eastAsia"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rPr>
              <w:t>总则》（HJ819-2017）确定本项目监测要求见表4-</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p>
          <w:p w14:paraId="35F30F96">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-2  </w:t>
            </w:r>
            <w:r>
              <w:rPr>
                <w:rFonts w:hint="default" w:ascii="Times New Roman" w:hAnsi="Times New Roman" w:cs="Times New Roman"/>
                <w:b/>
                <w:bCs/>
                <w:color w:val="auto"/>
                <w:highlight w:val="none"/>
                <w:u w:val="none" w:color="auto"/>
              </w:rPr>
              <w:t xml:space="preserve"> 废气监测计划一览表</w:t>
            </w:r>
          </w:p>
          <w:tbl>
            <w:tblPr>
              <w:tblStyle w:val="53"/>
              <w:tblW w:w="4993"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1080"/>
              <w:gridCol w:w="1029"/>
              <w:gridCol w:w="1029"/>
              <w:gridCol w:w="4089"/>
            </w:tblGrid>
            <w:tr w14:paraId="72A9A5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08" w:type="pct"/>
                  <w:tcBorders>
                    <w:tl2br w:val="nil"/>
                    <w:tr2bl w:val="nil"/>
                  </w:tcBorders>
                  <w:vAlign w:val="center"/>
                </w:tcPr>
                <w:p w14:paraId="4BD108A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监测项目</w:t>
                  </w:r>
                </w:p>
              </w:tc>
              <w:tc>
                <w:tcPr>
                  <w:tcW w:w="656" w:type="pct"/>
                  <w:tcBorders>
                    <w:tl2br w:val="nil"/>
                    <w:tr2bl w:val="nil"/>
                  </w:tcBorders>
                  <w:vAlign w:val="center"/>
                </w:tcPr>
                <w:p w14:paraId="75139EE4">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监测点位</w:t>
                  </w:r>
                </w:p>
              </w:tc>
              <w:tc>
                <w:tcPr>
                  <w:tcW w:w="625" w:type="pct"/>
                  <w:tcBorders>
                    <w:tl2br w:val="nil"/>
                    <w:tr2bl w:val="nil"/>
                  </w:tcBorders>
                  <w:vAlign w:val="center"/>
                </w:tcPr>
                <w:p w14:paraId="73AD998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监测因子</w:t>
                  </w:r>
                </w:p>
              </w:tc>
              <w:tc>
                <w:tcPr>
                  <w:tcW w:w="625" w:type="pct"/>
                  <w:tcBorders>
                    <w:tl2br w:val="nil"/>
                    <w:tr2bl w:val="nil"/>
                  </w:tcBorders>
                  <w:vAlign w:val="center"/>
                </w:tcPr>
                <w:p w14:paraId="36520AE6">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监测频次</w:t>
                  </w:r>
                </w:p>
              </w:tc>
              <w:tc>
                <w:tcPr>
                  <w:tcW w:w="2484" w:type="pct"/>
                  <w:tcBorders>
                    <w:tl2br w:val="nil"/>
                    <w:tr2bl w:val="nil"/>
                  </w:tcBorders>
                  <w:vAlign w:val="center"/>
                </w:tcPr>
                <w:p w14:paraId="475FECC1">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eastAsia" w:ascii="Times New Roman" w:hAnsi="Times New Roman" w:cs="Times New Roman"/>
                      <w:b/>
                      <w:bCs/>
                      <w:color w:val="auto"/>
                      <w:spacing w:val="8"/>
                      <w:sz w:val="21"/>
                      <w:szCs w:val="21"/>
                      <w:highlight w:val="none"/>
                      <w:u w:val="none" w:color="auto"/>
                      <w:lang w:val="en-US" w:eastAsia="zh-CN"/>
                    </w:rPr>
                    <w:t>执行</w:t>
                  </w:r>
                  <w:r>
                    <w:rPr>
                      <w:rFonts w:hint="default" w:ascii="Times New Roman" w:hAnsi="Times New Roman" w:eastAsia="宋体" w:cs="Times New Roman"/>
                      <w:b/>
                      <w:bCs/>
                      <w:color w:val="auto"/>
                      <w:spacing w:val="8"/>
                      <w:sz w:val="21"/>
                      <w:szCs w:val="21"/>
                      <w:highlight w:val="none"/>
                      <w:u w:val="none" w:color="auto"/>
                    </w:rPr>
                    <w:t>标准</w:t>
                  </w:r>
                </w:p>
              </w:tc>
            </w:tr>
            <w:tr w14:paraId="57A4C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8" w:type="pct"/>
                  <w:tcBorders>
                    <w:tl2br w:val="nil"/>
                    <w:tr2bl w:val="nil"/>
                  </w:tcBorders>
                  <w:vAlign w:val="center"/>
                </w:tcPr>
                <w:p w14:paraId="3DCED968">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大气</w:t>
                  </w:r>
                </w:p>
                <w:p w14:paraId="2F64605A">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污染</w:t>
                  </w:r>
                  <w:r>
                    <w:rPr>
                      <w:rFonts w:hint="default" w:ascii="Times New Roman" w:hAnsi="Times New Roman" w:eastAsia="宋体" w:cs="Times New Roman"/>
                      <w:color w:val="auto"/>
                      <w:sz w:val="21"/>
                      <w:szCs w:val="21"/>
                      <w:highlight w:val="none"/>
                      <w:u w:val="none" w:color="auto"/>
                    </w:rPr>
                    <w:t>物</w:t>
                  </w:r>
                </w:p>
              </w:tc>
              <w:tc>
                <w:tcPr>
                  <w:tcW w:w="656" w:type="pct"/>
                  <w:tcBorders>
                    <w:tl2br w:val="nil"/>
                    <w:tr2bl w:val="nil"/>
                  </w:tcBorders>
                  <w:vAlign w:val="center"/>
                </w:tcPr>
                <w:p w14:paraId="58CFFCE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厂界</w:t>
                  </w:r>
                </w:p>
              </w:tc>
              <w:tc>
                <w:tcPr>
                  <w:tcW w:w="625" w:type="pct"/>
                  <w:tcBorders>
                    <w:tl2br w:val="nil"/>
                    <w:tr2bl w:val="nil"/>
                  </w:tcBorders>
                  <w:vAlign w:val="center"/>
                </w:tcPr>
                <w:p w14:paraId="5DBB9316">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7"/>
                      <w:sz w:val="21"/>
                      <w:szCs w:val="21"/>
                      <w:highlight w:val="none"/>
                      <w:u w:val="none" w:color="auto"/>
                      <w:vertAlign w:val="baseline"/>
                      <w:lang w:val="en-US" w:eastAsia="zh-CN"/>
                    </w:rPr>
                  </w:pPr>
                  <w:r>
                    <w:rPr>
                      <w:rFonts w:hint="eastAsia" w:ascii="Times New Roman" w:hAnsi="Times New Roman" w:cs="Times New Roman"/>
                      <w:color w:val="auto"/>
                      <w:spacing w:val="7"/>
                      <w:sz w:val="21"/>
                      <w:szCs w:val="21"/>
                      <w:highlight w:val="none"/>
                      <w:u w:val="none" w:color="auto"/>
                      <w:lang w:val="en-US" w:eastAsia="zh-CN"/>
                    </w:rPr>
                    <w:t>颗粒物</w:t>
                  </w:r>
                </w:p>
              </w:tc>
              <w:tc>
                <w:tcPr>
                  <w:tcW w:w="625" w:type="pct"/>
                  <w:tcBorders>
                    <w:tl2br w:val="nil"/>
                    <w:tr2bl w:val="nil"/>
                  </w:tcBorders>
                  <w:vAlign w:val="center"/>
                </w:tcPr>
                <w:p w14:paraId="6E09656F">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color w:val="auto"/>
                      <w:spacing w:val="-1"/>
                      <w:position w:val="1"/>
                      <w:sz w:val="21"/>
                      <w:szCs w:val="21"/>
                      <w:highlight w:val="none"/>
                      <w:u w:val="none" w:color="auto"/>
                      <w:lang w:val="en-US" w:eastAsia="zh-CN"/>
                    </w:rPr>
                    <w:t>每</w:t>
                  </w:r>
                  <w:r>
                    <w:rPr>
                      <w:color w:val="auto"/>
                      <w:spacing w:val="-1"/>
                      <w:position w:val="1"/>
                      <w:sz w:val="21"/>
                      <w:szCs w:val="21"/>
                      <w:highlight w:val="none"/>
                      <w:u w:val="none" w:color="auto"/>
                    </w:rPr>
                    <w:t>年</w:t>
                  </w:r>
                  <w:r>
                    <w:rPr>
                      <w:rFonts w:hint="eastAsia"/>
                      <w:color w:val="auto"/>
                      <w:spacing w:val="-1"/>
                      <w:position w:val="1"/>
                      <w:sz w:val="21"/>
                      <w:szCs w:val="21"/>
                      <w:highlight w:val="none"/>
                      <w:u w:val="none" w:color="auto"/>
                      <w:lang w:val="en-US" w:eastAsia="zh-CN"/>
                    </w:rPr>
                    <w:t>一次</w:t>
                  </w:r>
                </w:p>
              </w:tc>
              <w:tc>
                <w:tcPr>
                  <w:tcW w:w="2484" w:type="pct"/>
                  <w:tcBorders>
                    <w:tl2br w:val="nil"/>
                    <w:tr2bl w:val="nil"/>
                  </w:tcBorders>
                  <w:vAlign w:val="top"/>
                </w:tcPr>
                <w:p w14:paraId="36294F9A">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eastAsia="zh-CN"/>
                    </w:rPr>
                  </w:pPr>
                  <w:r>
                    <w:rPr>
                      <w:color w:val="auto"/>
                      <w:spacing w:val="8"/>
                      <w:sz w:val="21"/>
                      <w:szCs w:val="21"/>
                      <w:highlight w:val="none"/>
                      <w:u w:val="none" w:color="auto"/>
                    </w:rPr>
                    <w:t>《大气污染物综合排放标</w:t>
                  </w:r>
                  <w:r>
                    <w:rPr>
                      <w:color w:val="auto"/>
                      <w:spacing w:val="4"/>
                      <w:sz w:val="21"/>
                      <w:szCs w:val="21"/>
                      <w:highlight w:val="none"/>
                      <w:u w:val="none" w:color="auto"/>
                    </w:rPr>
                    <w:t>准》（</w:t>
                  </w:r>
                  <w:r>
                    <w:rPr>
                      <w:rFonts w:ascii="Times New Roman" w:hAnsi="Times New Roman" w:eastAsia="Times New Roman" w:cs="Times New Roman"/>
                      <w:color w:val="auto"/>
                      <w:sz w:val="21"/>
                      <w:szCs w:val="21"/>
                      <w:highlight w:val="none"/>
                      <w:u w:val="none" w:color="auto"/>
                    </w:rPr>
                    <w:t>GB</w:t>
                  </w:r>
                  <w:r>
                    <w:rPr>
                      <w:rFonts w:ascii="Times New Roman" w:hAnsi="Times New Roman" w:eastAsia="Times New Roman" w:cs="Times New Roman"/>
                      <w:color w:val="auto"/>
                      <w:spacing w:val="4"/>
                      <w:sz w:val="21"/>
                      <w:szCs w:val="21"/>
                      <w:highlight w:val="none"/>
                      <w:u w:val="none" w:color="auto"/>
                    </w:rPr>
                    <w:t>16297-1996</w:t>
                  </w:r>
                  <w:r>
                    <w:rPr>
                      <w:color w:val="auto"/>
                      <w:spacing w:val="4"/>
                      <w:sz w:val="21"/>
                      <w:szCs w:val="21"/>
                      <w:highlight w:val="none"/>
                      <w:u w:val="none" w:color="auto"/>
                    </w:rPr>
                    <w:t>）中表</w:t>
                  </w:r>
                  <w:r>
                    <w:rPr>
                      <w:rFonts w:ascii="Times New Roman" w:hAnsi="Times New Roman" w:eastAsia="Times New Roman" w:cs="Times New Roman"/>
                      <w:color w:val="auto"/>
                      <w:spacing w:val="11"/>
                      <w:sz w:val="21"/>
                      <w:szCs w:val="21"/>
                      <w:highlight w:val="none"/>
                      <w:u w:val="none" w:color="auto"/>
                    </w:rPr>
                    <w:t>2</w:t>
                  </w:r>
                  <w:r>
                    <w:rPr>
                      <w:color w:val="auto"/>
                      <w:spacing w:val="11"/>
                      <w:sz w:val="21"/>
                      <w:szCs w:val="21"/>
                      <w:highlight w:val="none"/>
                      <w:u w:val="none" w:color="auto"/>
                    </w:rPr>
                    <w:t>无组织排放监控浓度限值</w:t>
                  </w:r>
                </w:p>
              </w:tc>
            </w:tr>
          </w:tbl>
          <w:p w14:paraId="65CA09B6">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二、废水</w:t>
            </w:r>
          </w:p>
          <w:p w14:paraId="2EEAF1D0">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废水排放源强</w:t>
            </w:r>
          </w:p>
          <w:p w14:paraId="5C841296">
            <w:pPr>
              <w:pStyle w:val="37"/>
              <w:bidi w:val="0"/>
              <w:rPr>
                <w:rFonts w:hint="eastAsia" w:ascii="Times New Roman" w:hAnsi="Times New Roman" w:eastAsia="宋体" w:cs="Times New Roman"/>
                <w:color w:val="auto"/>
                <w:highlight w:val="none"/>
                <w:u w:val="none" w:color="auto"/>
                <w:lang w:val="en-US" w:eastAsia="zh-CN"/>
              </w:rPr>
            </w:pPr>
            <w:r>
              <w:rPr>
                <w:rFonts w:hint="default"/>
                <w:color w:val="auto"/>
                <w:highlight w:val="none"/>
                <w:u w:val="none" w:color="auto"/>
              </w:rPr>
              <w:t>项目运营期</w:t>
            </w:r>
            <w:r>
              <w:rPr>
                <w:rFonts w:hint="eastAsia"/>
                <w:color w:val="auto"/>
                <w:lang w:val="en-US" w:eastAsia="zh-CN"/>
              </w:rPr>
              <w:t>外排的废水</w:t>
            </w:r>
            <w:r>
              <w:rPr>
                <w:rFonts w:hint="default"/>
                <w:color w:val="auto"/>
                <w:highlight w:val="none"/>
                <w:u w:val="none" w:color="auto"/>
              </w:rPr>
              <w:t>主要为生活污水</w:t>
            </w:r>
            <w:r>
              <w:rPr>
                <w:rFonts w:hint="eastAsia"/>
                <w:color w:val="auto"/>
                <w:highlight w:val="none"/>
                <w:u w:val="none" w:color="auto"/>
                <w:lang w:eastAsia="zh-CN"/>
              </w:rPr>
              <w:t>；</w:t>
            </w:r>
            <w:r>
              <w:rPr>
                <w:rFonts w:hint="default" w:ascii="Times New Roman" w:hAnsi="Times New Roman" w:eastAsia="宋体" w:cs="Times New Roman"/>
                <w:color w:val="auto"/>
                <w:highlight w:val="none"/>
                <w:u w:val="none" w:color="auto"/>
              </w:rPr>
              <w:t>无生产废水</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营运期用水主要为生活用水及生产用水（初期雨水、洗砂用水、抑尘</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w:t>
            </w:r>
            <w:r>
              <w:rPr>
                <w:rFonts w:hint="eastAsia" w:ascii="Times New Roman" w:hAnsi="Times New Roman" w:eastAsia="宋体" w:cs="Times New Roman"/>
                <w:color w:val="auto"/>
                <w:highlight w:val="none"/>
                <w:u w:val="none" w:color="auto"/>
                <w:lang w:val="en-US" w:eastAsia="zh-CN"/>
              </w:rPr>
              <w:t>场区冲洗</w:t>
            </w:r>
            <w:r>
              <w:rPr>
                <w:rFonts w:hint="default" w:ascii="Times New Roman" w:hAnsi="Times New Roman" w:eastAsia="宋体" w:cs="Times New Roman"/>
                <w:color w:val="auto"/>
                <w:highlight w:val="none"/>
                <w:u w:val="none" w:color="auto"/>
                <w:lang w:val="en-US" w:eastAsia="zh-CN"/>
              </w:rPr>
              <w:t>用水、车辆冲洗</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水），其中：生活污水经化粪池处理后用作周边农肥，不外排；抑尘用水全部自然蒸发；车辆冲洗废</w:t>
            </w:r>
            <w:r>
              <w:rPr>
                <w:rFonts w:hint="eastAsia" w:ascii="Times New Roman" w:hAnsi="Times New Roman" w:eastAsia="宋体" w:cs="Times New Roman"/>
                <w:color w:val="auto"/>
                <w:highlight w:val="none"/>
                <w:u w:val="none" w:color="auto"/>
                <w:lang w:val="en-US" w:eastAsia="zh-CN"/>
              </w:rPr>
              <w:t>水与场区冲洗用水</w:t>
            </w:r>
            <w:r>
              <w:rPr>
                <w:rFonts w:hint="default" w:ascii="Times New Roman" w:hAnsi="Times New Roman" w:eastAsia="宋体" w:cs="Times New Roman"/>
                <w:color w:val="auto"/>
                <w:highlight w:val="none"/>
                <w:u w:val="none" w:color="auto"/>
                <w:lang w:val="en-US" w:eastAsia="zh-CN"/>
              </w:rPr>
              <w:t>经</w:t>
            </w:r>
            <w:r>
              <w:rPr>
                <w:rFonts w:hint="eastAsia" w:ascii="Times New Roman" w:hAnsi="Times New Roman" w:eastAsia="宋体" w:cs="Times New Roman"/>
                <w:color w:val="auto"/>
                <w:highlight w:val="none"/>
                <w:u w:val="none" w:color="auto"/>
                <w:lang w:val="en-US" w:eastAsia="zh-CN"/>
              </w:rPr>
              <w:t>洗车槽</w:t>
            </w:r>
            <w:r>
              <w:rPr>
                <w:rFonts w:hint="default" w:ascii="Times New Roman" w:hAnsi="Times New Roman" w:eastAsia="宋体" w:cs="Times New Roman"/>
                <w:color w:val="auto"/>
                <w:highlight w:val="none"/>
                <w:u w:val="none" w:color="auto"/>
                <w:lang w:val="en-US" w:eastAsia="zh-CN"/>
              </w:rPr>
              <w:t>沉淀池处理后回用于洗车，不外排；初期雨水经初期雨水池沉淀后回用于抑尘</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水，不外排。</w:t>
            </w:r>
          </w:p>
          <w:p w14:paraId="63994A3E">
            <w:pPr>
              <w:spacing w:line="360" w:lineRule="auto"/>
              <w:ind w:firstLine="480" w:firstLineChars="200"/>
              <w:rPr>
                <w:rFonts w:hint="eastAsia"/>
                <w:color w:val="auto"/>
                <w:sz w:val="24"/>
                <w:szCs w:val="24"/>
                <w:highlight w:val="none"/>
                <w:u w:val="none" w:color="auto"/>
                <w:lang w:val="en-US" w:eastAsia="zh-CN"/>
              </w:rPr>
            </w:pPr>
            <w:r>
              <w:rPr>
                <w:rFonts w:hint="eastAsia" w:cs="Times New Roman"/>
                <w:color w:val="auto"/>
                <w:sz w:val="24"/>
                <w:highlight w:val="none"/>
                <w:u w:val="none" w:color="auto"/>
                <w:lang w:val="en-US" w:eastAsia="zh-CN"/>
              </w:rPr>
              <w:t>①</w:t>
            </w:r>
            <w:r>
              <w:rPr>
                <w:rFonts w:hint="default" w:ascii="Times New Roman" w:hAnsi="Times New Roman" w:eastAsia="宋体" w:cs="Times New Roman"/>
                <w:color w:val="auto"/>
                <w:sz w:val="24"/>
                <w:highlight w:val="none"/>
                <w:u w:val="none" w:color="auto"/>
              </w:rPr>
              <w:t>生活用水：本项目劳动定</w:t>
            </w:r>
            <w:r>
              <w:rPr>
                <w:rFonts w:hint="default" w:ascii="Times New Roman" w:hAnsi="Times New Roman" w:cs="Times New Roman"/>
                <w:color w:val="auto"/>
                <w:sz w:val="24"/>
                <w:highlight w:val="none"/>
                <w:u w:val="none" w:color="auto"/>
              </w:rPr>
              <w:t>员</w:t>
            </w:r>
            <w:r>
              <w:rPr>
                <w:rFonts w:hint="eastAsia" w:cs="Times New Roman"/>
                <w:color w:val="auto"/>
                <w:sz w:val="24"/>
                <w:highlight w:val="none"/>
                <w:u w:val="none" w:color="auto"/>
                <w:lang w:val="en-US" w:eastAsia="zh-CN"/>
              </w:rPr>
              <w:t>15</w:t>
            </w:r>
            <w:r>
              <w:rPr>
                <w:rFonts w:hint="default" w:ascii="Times New Roman" w:hAnsi="Times New Roman" w:cs="Times New Roman"/>
                <w:color w:val="auto"/>
                <w:sz w:val="24"/>
                <w:highlight w:val="none"/>
                <w:u w:val="none" w:color="auto"/>
                <w:lang w:val="en-US" w:eastAsia="zh-CN"/>
              </w:rPr>
              <w:t>人</w:t>
            </w:r>
            <w:r>
              <w:rPr>
                <w:rFonts w:hint="default" w:ascii="Times New Roman" w:hAnsi="Times New Roman" w:cs="Times New Roman"/>
                <w:color w:val="auto"/>
                <w:sz w:val="24"/>
                <w:highlight w:val="none"/>
                <w:u w:val="none" w:color="auto"/>
              </w:rPr>
              <w:t>，年工作</w:t>
            </w:r>
            <w:r>
              <w:rPr>
                <w:rFonts w:hint="eastAsia" w:cs="Times New Roman"/>
                <w:color w:val="auto"/>
                <w:sz w:val="24"/>
                <w:highlight w:val="none"/>
                <w:u w:val="none" w:color="auto"/>
                <w:lang w:val="en-US" w:eastAsia="zh-CN"/>
              </w:rPr>
              <w:t>30</w:t>
            </w:r>
            <w:r>
              <w:rPr>
                <w:rFonts w:hint="default" w:ascii="Times New Roman" w:hAnsi="Times New Roman" w:cs="Times New Roman"/>
                <w:color w:val="auto"/>
                <w:sz w:val="24"/>
                <w:highlight w:val="none"/>
                <w:u w:val="none" w:color="auto"/>
                <w:lang w:val="en-US" w:eastAsia="zh-CN"/>
              </w:rPr>
              <w:t>0天，</w:t>
            </w:r>
            <w:r>
              <w:rPr>
                <w:rFonts w:hint="default" w:ascii="Times New Roman" w:hAnsi="Times New Roman" w:cs="Times New Roman"/>
                <w:color w:val="auto"/>
                <w:sz w:val="24"/>
                <w:highlight w:val="none"/>
                <w:u w:val="none" w:color="auto"/>
              </w:rPr>
              <w:t>厂区提供食宿</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按照《湖南省用水定额》（DB43/T388-</w:t>
            </w:r>
            <w:r>
              <w:rPr>
                <w:rFonts w:hint="default" w:ascii="Times New Roman" w:hAnsi="Times New Roman" w:cs="Times New Roman"/>
                <w:color w:val="auto"/>
                <w:sz w:val="24"/>
                <w:highlight w:val="none"/>
                <w:u w:val="none" w:color="auto"/>
                <w:lang w:val="en-US" w:eastAsia="zh-CN"/>
              </w:rPr>
              <w:t>2020</w:t>
            </w:r>
            <w:r>
              <w:rPr>
                <w:rFonts w:hint="default" w:ascii="Times New Roman" w:hAnsi="Times New Roman" w:cs="Times New Roman"/>
                <w:color w:val="auto"/>
                <w:sz w:val="24"/>
                <w:highlight w:val="none"/>
                <w:u w:val="none" w:color="auto"/>
              </w:rPr>
              <w:t>）中的指标计算，职工生活用水量按</w:t>
            </w:r>
            <w:r>
              <w:rPr>
                <w:rFonts w:hint="eastAsia" w:ascii="Times New Roman" w:hAnsi="Times New Roman" w:cs="Times New Roman"/>
                <w:color w:val="auto"/>
                <w:sz w:val="24"/>
                <w:highlight w:val="none"/>
                <w:u w:val="none" w:color="auto"/>
                <w:lang w:val="en-US" w:eastAsia="zh-CN"/>
              </w:rPr>
              <w:t>155L</w:t>
            </w:r>
            <w:r>
              <w:rPr>
                <w:rFonts w:hint="eastAsia" w:cs="Times New Roman"/>
                <w:color w:val="auto"/>
                <w:sz w:val="24"/>
                <w:highlight w:val="none"/>
                <w:u w:val="none" w:color="auto"/>
                <w:lang w:val="en-US" w:eastAsia="zh-CN"/>
              </w:rPr>
              <w:t>/人·d</w:t>
            </w:r>
            <w:r>
              <w:rPr>
                <w:rFonts w:hint="default" w:ascii="Times New Roman" w:hAnsi="Times New Roman" w:cs="Times New Roman"/>
                <w:color w:val="auto"/>
                <w:sz w:val="24"/>
                <w:highlight w:val="none"/>
                <w:u w:val="none" w:color="auto"/>
              </w:rPr>
              <w:t>计。则本项目生活用水量为</w:t>
            </w:r>
            <w:r>
              <w:rPr>
                <w:rFonts w:hint="eastAsia" w:cs="Times New Roman"/>
                <w:color w:val="auto"/>
                <w:sz w:val="24"/>
                <w:highlight w:val="none"/>
                <w:u w:val="none" w:color="auto"/>
                <w:lang w:val="en-US" w:eastAsia="zh-CN"/>
              </w:rPr>
              <w:t>2.352</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val="en-US" w:eastAsia="zh-CN"/>
              </w:rPr>
              <w:t>697.5</w:t>
            </w:r>
            <w:r>
              <w:rPr>
                <w:rFonts w:hint="default" w:ascii="Times New Roman" w:hAnsi="Times New Roman" w:cs="Times New Roman"/>
                <w:color w:val="auto"/>
                <w:sz w:val="24"/>
                <w:highlight w:val="none"/>
                <w:u w:val="none" w:color="auto"/>
              </w:rPr>
              <w:t>m³/a）</w:t>
            </w:r>
            <w:r>
              <w:rPr>
                <w:rFonts w:hint="default" w:ascii="Times New Roman" w:hAnsi="Times New Roman" w:cs="Times New Roman"/>
                <w:color w:val="auto"/>
                <w:sz w:val="24"/>
                <w:highlight w:val="none"/>
                <w:u w:val="none" w:color="auto"/>
                <w:lang w:eastAsia="zh-CN"/>
              </w:rPr>
              <w:t>。</w:t>
            </w:r>
            <w:r>
              <w:rPr>
                <w:rStyle w:val="48"/>
                <w:rFonts w:hint="default" w:ascii="Times New Roman" w:hAnsi="Times New Roman" w:cs="Times New Roman"/>
                <w:color w:val="auto"/>
                <w:highlight w:val="none"/>
                <w:u w:val="none" w:color="auto"/>
                <w:lang w:val="en-US" w:eastAsia="zh-CN"/>
              </w:rPr>
              <w:t>排放量以用水量的</w:t>
            </w:r>
            <w:r>
              <w:rPr>
                <w:rStyle w:val="48"/>
                <w:rFonts w:hint="eastAsia" w:cs="Times New Roman"/>
                <w:color w:val="auto"/>
                <w:highlight w:val="none"/>
                <w:u w:val="none" w:color="auto"/>
                <w:lang w:val="en-US" w:eastAsia="zh-CN"/>
              </w:rPr>
              <w:t>8</w:t>
            </w:r>
            <w:r>
              <w:rPr>
                <w:rStyle w:val="48"/>
                <w:rFonts w:hint="default" w:ascii="Times New Roman" w:hAnsi="Times New Roman" w:cs="Times New Roman"/>
                <w:color w:val="auto"/>
                <w:highlight w:val="none"/>
                <w:u w:val="none" w:color="auto"/>
                <w:lang w:val="en-US" w:eastAsia="zh-CN"/>
              </w:rPr>
              <w:t>0%计，</w:t>
            </w:r>
            <w:r>
              <w:rPr>
                <w:rFonts w:hint="default" w:ascii="Times New Roman" w:hAnsi="Times New Roman" w:cs="Times New Roman"/>
                <w:color w:val="auto"/>
                <w:sz w:val="24"/>
                <w:highlight w:val="none"/>
                <w:u w:val="none" w:color="auto"/>
              </w:rPr>
              <w:t>则生活污水排放量为</w:t>
            </w:r>
            <w:r>
              <w:rPr>
                <w:rFonts w:hint="eastAsia" w:cs="Times New Roman"/>
                <w:color w:val="auto"/>
                <w:sz w:val="24"/>
                <w:highlight w:val="none"/>
                <w:u w:val="none" w:color="auto"/>
                <w:lang w:val="en-US" w:eastAsia="zh-CN"/>
              </w:rPr>
              <w:t>1.86</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558</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r>
              <w:rPr>
                <w:rFonts w:hint="default"/>
                <w:color w:val="auto"/>
                <w:sz w:val="24"/>
                <w:szCs w:val="24"/>
                <w:highlight w:val="none"/>
                <w:u w:val="none" w:color="auto"/>
              </w:rPr>
              <w:t>项目员工生活污水水质较为简单，主要污染物为COD、BOD</w:t>
            </w:r>
            <w:r>
              <w:rPr>
                <w:rFonts w:hint="default"/>
                <w:color w:val="auto"/>
                <w:sz w:val="24"/>
                <w:szCs w:val="24"/>
                <w:highlight w:val="none"/>
                <w:u w:val="none" w:color="auto"/>
                <w:vertAlign w:val="subscript"/>
              </w:rPr>
              <w:t>5</w:t>
            </w:r>
            <w:r>
              <w:rPr>
                <w:rFonts w:hint="default"/>
                <w:color w:val="auto"/>
                <w:sz w:val="24"/>
                <w:szCs w:val="24"/>
                <w:highlight w:val="none"/>
                <w:u w:val="none" w:color="auto"/>
              </w:rPr>
              <w:t>、SS、氨氮</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总氮、总磷</w:t>
            </w:r>
            <w:r>
              <w:rPr>
                <w:rFonts w:hint="default"/>
                <w:color w:val="auto"/>
                <w:sz w:val="24"/>
                <w:szCs w:val="24"/>
                <w:highlight w:val="none"/>
                <w:u w:val="none" w:color="auto"/>
              </w:rPr>
              <w:t>等</w:t>
            </w:r>
            <w:r>
              <w:rPr>
                <w:rFonts w:hint="eastAsia"/>
                <w:color w:val="auto"/>
                <w:sz w:val="24"/>
                <w:szCs w:val="24"/>
                <w:highlight w:val="none"/>
                <w:u w:val="none" w:color="auto"/>
                <w:lang w:eastAsia="zh-CN"/>
              </w:rPr>
              <w:t>，</w:t>
            </w:r>
            <w:r>
              <w:rPr>
                <w:rFonts w:hint="default"/>
                <w:color w:val="auto"/>
                <w:sz w:val="24"/>
                <w:szCs w:val="24"/>
                <w:highlight w:val="none"/>
                <w:u w:val="none" w:color="auto"/>
              </w:rPr>
              <w:t>根据查阅相关资料，化粪池对COD、SS、BOD</w:t>
            </w:r>
            <w:r>
              <w:rPr>
                <w:rFonts w:hint="default"/>
                <w:color w:val="auto"/>
                <w:sz w:val="24"/>
                <w:szCs w:val="24"/>
                <w:highlight w:val="none"/>
                <w:u w:val="none" w:color="auto"/>
                <w:vertAlign w:val="subscript"/>
              </w:rPr>
              <w:t>5</w:t>
            </w:r>
            <w:r>
              <w:rPr>
                <w:rFonts w:hint="default"/>
                <w:color w:val="auto"/>
                <w:sz w:val="24"/>
                <w:szCs w:val="24"/>
                <w:highlight w:val="none"/>
                <w:u w:val="none" w:color="auto"/>
              </w:rPr>
              <w:t>、氨氮</w:t>
            </w:r>
            <w:r>
              <w:rPr>
                <w:rFonts w:hint="default"/>
                <w:color w:val="auto"/>
                <w:sz w:val="24"/>
                <w:szCs w:val="24"/>
                <w:highlight w:val="none"/>
                <w:u w:val="none" w:color="auto"/>
                <w:lang w:eastAsia="zh-CN"/>
              </w:rPr>
              <w:t>、</w:t>
            </w:r>
            <w:r>
              <w:rPr>
                <w:rFonts w:hint="default"/>
                <w:color w:val="auto"/>
                <w:sz w:val="24"/>
                <w:szCs w:val="24"/>
                <w:highlight w:val="none"/>
                <w:u w:val="none" w:color="auto"/>
              </w:rPr>
              <w:t>总氮、总磷的去除率分别为</w:t>
            </w:r>
            <w:r>
              <w:rPr>
                <w:rFonts w:hint="eastAsia"/>
                <w:color w:val="auto"/>
                <w:sz w:val="24"/>
                <w:szCs w:val="24"/>
                <w:highlight w:val="none"/>
                <w:u w:val="none" w:color="auto"/>
                <w:lang w:val="en-US" w:eastAsia="zh-CN"/>
              </w:rPr>
              <w:t>30</w:t>
            </w:r>
            <w:r>
              <w:rPr>
                <w:rFonts w:hint="default"/>
                <w:color w:val="auto"/>
                <w:sz w:val="24"/>
                <w:szCs w:val="24"/>
                <w:highlight w:val="none"/>
                <w:u w:val="none" w:color="auto"/>
              </w:rPr>
              <w:t>%、</w:t>
            </w:r>
            <w:r>
              <w:rPr>
                <w:rFonts w:hint="eastAsia"/>
                <w:color w:val="auto"/>
                <w:sz w:val="24"/>
                <w:szCs w:val="24"/>
                <w:highlight w:val="none"/>
                <w:u w:val="none" w:color="auto"/>
                <w:lang w:val="en-US" w:eastAsia="zh-CN"/>
              </w:rPr>
              <w:t>20</w:t>
            </w:r>
            <w:r>
              <w:rPr>
                <w:rFonts w:hint="default"/>
                <w:color w:val="auto"/>
                <w:sz w:val="24"/>
                <w:szCs w:val="24"/>
                <w:highlight w:val="none"/>
                <w:u w:val="none" w:color="auto"/>
              </w:rPr>
              <w:t>%、9%、3%、3%、5%</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参考《排放源统计调查产排污核算方法和系数手册》（</w:t>
            </w:r>
            <w:r>
              <w:rPr>
                <w:rFonts w:hint="default"/>
                <w:color w:val="auto"/>
                <w:sz w:val="24"/>
                <w:szCs w:val="24"/>
                <w:highlight w:val="none"/>
                <w:u w:val="none" w:color="auto"/>
                <w:lang w:val="en-US" w:eastAsia="zh-CN"/>
              </w:rPr>
              <w:t>2021</w:t>
            </w:r>
            <w:r>
              <w:rPr>
                <w:rFonts w:hint="eastAsia"/>
                <w:color w:val="auto"/>
                <w:sz w:val="24"/>
                <w:szCs w:val="24"/>
                <w:highlight w:val="none"/>
                <w:u w:val="none" w:color="auto"/>
                <w:lang w:val="en-US" w:eastAsia="zh-CN"/>
              </w:rPr>
              <w:t>年版）</w:t>
            </w:r>
            <w:r>
              <w:rPr>
                <w:rFonts w:hint="default"/>
                <w:color w:val="auto"/>
                <w:sz w:val="24"/>
                <w:szCs w:val="24"/>
                <w:highlight w:val="none"/>
                <w:u w:val="none" w:color="auto"/>
                <w:lang w:val="en-US" w:eastAsia="zh-CN"/>
              </w:rPr>
              <w:t>——</w:t>
            </w:r>
            <w:r>
              <w:rPr>
                <w:rFonts w:hint="eastAsia"/>
                <w:color w:val="auto"/>
                <w:sz w:val="24"/>
                <w:szCs w:val="24"/>
                <w:highlight w:val="none"/>
                <w:u w:val="none" w:color="auto"/>
                <w:lang w:val="en-US" w:eastAsia="zh-CN"/>
              </w:rPr>
              <w:t>《生活污染源产排污系数手册》中的表</w:t>
            </w:r>
            <w:r>
              <w:rPr>
                <w:rFonts w:hint="default"/>
                <w:color w:val="auto"/>
                <w:sz w:val="24"/>
                <w:szCs w:val="24"/>
                <w:highlight w:val="none"/>
                <w:u w:val="none" w:color="auto"/>
                <w:lang w:val="en-US" w:eastAsia="zh-CN"/>
              </w:rPr>
              <w:t>1-1</w:t>
            </w:r>
            <w:r>
              <w:rPr>
                <w:rFonts w:hint="eastAsia"/>
                <w:color w:val="auto"/>
                <w:sz w:val="24"/>
                <w:szCs w:val="24"/>
                <w:highlight w:val="none"/>
                <w:u w:val="none" w:color="auto"/>
                <w:lang w:val="en-US" w:eastAsia="zh-CN"/>
              </w:rPr>
              <w:t>，湖南属于五区，主要污染物浓度</w:t>
            </w:r>
            <w:r>
              <w:rPr>
                <w:rFonts w:hint="default"/>
                <w:color w:val="auto"/>
                <w:sz w:val="24"/>
                <w:szCs w:val="24"/>
                <w:highlight w:val="none"/>
                <w:u w:val="none" w:color="auto"/>
                <w:lang w:val="en-US" w:eastAsia="zh-CN"/>
              </w:rPr>
              <w:t>CODcr</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285mg/L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BOD</w:t>
            </w:r>
            <w:r>
              <w:rPr>
                <w:rFonts w:hint="default"/>
                <w:color w:val="auto"/>
                <w:sz w:val="24"/>
                <w:szCs w:val="24"/>
                <w:highlight w:val="none"/>
                <w:u w:val="none" w:color="auto"/>
                <w:vertAlign w:val="subscript"/>
                <w:lang w:val="en-US" w:eastAsia="zh-CN"/>
              </w:rPr>
              <w:t>5</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5</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SS</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8</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NH</w:t>
            </w:r>
            <w:r>
              <w:rPr>
                <w:rFonts w:hint="default"/>
                <w:color w:val="auto"/>
                <w:sz w:val="24"/>
                <w:szCs w:val="24"/>
                <w:highlight w:val="none"/>
                <w:u w:val="none" w:color="auto"/>
                <w:vertAlign w:val="subscript"/>
                <w:lang w:val="en-US" w:eastAsia="zh-CN"/>
              </w:rPr>
              <w:t>3</w:t>
            </w:r>
            <w:r>
              <w:rPr>
                <w:rFonts w:hint="default"/>
                <w:color w:val="auto"/>
                <w:sz w:val="24"/>
                <w:szCs w:val="24"/>
                <w:highlight w:val="none"/>
                <w:u w:val="none" w:color="auto"/>
                <w:lang w:val="en-US" w:eastAsia="zh-CN"/>
              </w:rPr>
              <w:t>-N</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28.3mg/L</w:t>
            </w:r>
            <w:r>
              <w:rPr>
                <w:rFonts w:hint="eastAsia"/>
                <w:color w:val="auto"/>
                <w:sz w:val="24"/>
                <w:szCs w:val="24"/>
                <w:highlight w:val="none"/>
                <w:u w:val="none" w:color="auto"/>
                <w:lang w:val="en-US" w:eastAsia="zh-CN"/>
              </w:rPr>
              <w:t>、总氮：39.4、总磷：4.1。</w:t>
            </w:r>
          </w:p>
          <w:p w14:paraId="1ECAAC2C">
            <w:pPr>
              <w:pStyle w:val="42"/>
              <w:bidi w:val="0"/>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-3  </w:t>
            </w:r>
            <w:r>
              <w:rPr>
                <w:rFonts w:hint="default" w:ascii="Times New Roman" w:hAnsi="Times New Roman" w:cs="Times New Roman"/>
                <w:b/>
                <w:bCs/>
                <w:color w:val="auto"/>
                <w:highlight w:val="none"/>
                <w:u w:val="none" w:color="auto"/>
              </w:rPr>
              <w:t xml:space="preserve"> </w:t>
            </w:r>
            <w:r>
              <w:rPr>
                <w:rFonts w:hint="eastAsia" w:cs="Times New Roman"/>
                <w:b/>
                <w:bCs/>
                <w:color w:val="auto"/>
                <w:highlight w:val="none"/>
                <w:u w:val="none" w:color="auto"/>
                <w:lang w:val="en-US" w:eastAsia="zh-CN"/>
              </w:rPr>
              <w:t>废水污染防治措施一览表</w:t>
            </w:r>
          </w:p>
          <w:tbl>
            <w:tblPr>
              <w:tblStyle w:val="24"/>
              <w:tblW w:w="8012" w:type="dxa"/>
              <w:tblInd w:w="-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35"/>
              <w:gridCol w:w="1335"/>
              <w:gridCol w:w="1486"/>
              <w:gridCol w:w="1397"/>
              <w:gridCol w:w="1123"/>
              <w:gridCol w:w="1336"/>
            </w:tblGrid>
            <w:tr w14:paraId="5991D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35" w:type="dxa"/>
                  <w:tcBorders>
                    <w:tl2br w:val="nil"/>
                    <w:tr2bl w:val="nil"/>
                  </w:tcBorders>
                  <w:vAlign w:val="center"/>
                </w:tcPr>
                <w:p w14:paraId="66EE92D9">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产排污</w:t>
                  </w:r>
                  <w:r>
                    <w:rPr>
                      <w:b/>
                      <w:bCs/>
                      <w:color w:val="auto"/>
                      <w:spacing w:val="3"/>
                      <w:sz w:val="21"/>
                      <w:szCs w:val="21"/>
                    </w:rPr>
                    <w:t>环节</w:t>
                  </w:r>
                </w:p>
              </w:tc>
              <w:tc>
                <w:tcPr>
                  <w:tcW w:w="1335" w:type="dxa"/>
                  <w:tcBorders>
                    <w:tl2br w:val="nil"/>
                    <w:tr2bl w:val="nil"/>
                  </w:tcBorders>
                  <w:vAlign w:val="center"/>
                </w:tcPr>
                <w:p w14:paraId="1863A9E0">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治理措施</w:t>
                  </w:r>
                </w:p>
              </w:tc>
              <w:tc>
                <w:tcPr>
                  <w:tcW w:w="1486" w:type="dxa"/>
                  <w:tcBorders>
                    <w:tl2br w:val="nil"/>
                    <w:tr2bl w:val="nil"/>
                  </w:tcBorders>
                  <w:vAlign w:val="center"/>
                </w:tcPr>
                <w:p w14:paraId="2F5F82DA">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处理能力</w:t>
                  </w:r>
                  <w:r>
                    <w:rPr>
                      <w:b/>
                      <w:bCs/>
                      <w:color w:val="auto"/>
                      <w:spacing w:val="1"/>
                      <w:sz w:val="21"/>
                      <w:szCs w:val="21"/>
                    </w:rPr>
                    <w:t>（</w:t>
                  </w:r>
                  <w:r>
                    <w:rPr>
                      <w:rFonts w:ascii="Times New Roman" w:hAnsi="Times New Roman" w:eastAsia="Times New Roman" w:cs="Times New Roman"/>
                      <w:b/>
                      <w:bCs/>
                      <w:color w:val="auto"/>
                      <w:spacing w:val="1"/>
                      <w:sz w:val="21"/>
                      <w:szCs w:val="21"/>
                    </w:rPr>
                    <w:t>m</w:t>
                  </w:r>
                  <w:r>
                    <w:rPr>
                      <w:rFonts w:ascii="Times New Roman" w:hAnsi="Times New Roman" w:eastAsia="Times New Roman" w:cs="Times New Roman"/>
                      <w:b/>
                      <w:bCs/>
                      <w:color w:val="auto"/>
                      <w:spacing w:val="1"/>
                      <w:position w:val="6"/>
                      <w:sz w:val="21"/>
                      <w:szCs w:val="21"/>
                    </w:rPr>
                    <w:t>3</w:t>
                  </w:r>
                  <w:r>
                    <w:rPr>
                      <w:rFonts w:ascii="Times New Roman" w:hAnsi="Times New Roman" w:eastAsia="Times New Roman" w:cs="Times New Roman"/>
                      <w:b/>
                      <w:bCs/>
                      <w:color w:val="auto"/>
                      <w:spacing w:val="1"/>
                      <w:sz w:val="21"/>
                      <w:szCs w:val="21"/>
                    </w:rPr>
                    <w:t>/d</w:t>
                  </w:r>
                  <w:r>
                    <w:rPr>
                      <w:b/>
                      <w:bCs/>
                      <w:color w:val="auto"/>
                      <w:spacing w:val="1"/>
                      <w:sz w:val="21"/>
                      <w:szCs w:val="21"/>
                    </w:rPr>
                    <w:t>）</w:t>
                  </w:r>
                </w:p>
              </w:tc>
              <w:tc>
                <w:tcPr>
                  <w:tcW w:w="1397" w:type="dxa"/>
                  <w:tcBorders>
                    <w:tl2br w:val="nil"/>
                    <w:tr2bl w:val="nil"/>
                  </w:tcBorders>
                  <w:vAlign w:val="center"/>
                </w:tcPr>
                <w:p w14:paraId="7F27B4CC">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是否为可行技</w:t>
                  </w:r>
                  <w:r>
                    <w:rPr>
                      <w:b/>
                      <w:bCs/>
                      <w:color w:val="auto"/>
                      <w:spacing w:val="-3"/>
                      <w:sz w:val="21"/>
                      <w:szCs w:val="21"/>
                    </w:rPr>
                    <w:t>术</w:t>
                  </w:r>
                </w:p>
              </w:tc>
              <w:tc>
                <w:tcPr>
                  <w:tcW w:w="1123" w:type="dxa"/>
                  <w:tcBorders>
                    <w:tl2br w:val="nil"/>
                    <w:tr2bl w:val="nil"/>
                  </w:tcBorders>
                  <w:vAlign w:val="center"/>
                </w:tcPr>
                <w:p w14:paraId="6FFA2E58">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排放去向</w:t>
                  </w:r>
                </w:p>
              </w:tc>
              <w:tc>
                <w:tcPr>
                  <w:tcW w:w="1336" w:type="dxa"/>
                  <w:tcBorders>
                    <w:tl2br w:val="nil"/>
                    <w:tr2bl w:val="nil"/>
                  </w:tcBorders>
                  <w:vAlign w:val="center"/>
                </w:tcPr>
                <w:p w14:paraId="159733EB">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排放口编</w:t>
                  </w:r>
                  <w:r>
                    <w:rPr>
                      <w:b/>
                      <w:bCs/>
                      <w:color w:val="auto"/>
                      <w:spacing w:val="-3"/>
                      <w:sz w:val="21"/>
                      <w:szCs w:val="21"/>
                    </w:rPr>
                    <w:t>号</w:t>
                  </w:r>
                </w:p>
              </w:tc>
            </w:tr>
            <w:tr w14:paraId="1CECB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35" w:type="dxa"/>
                  <w:tcBorders>
                    <w:tl2br w:val="nil"/>
                    <w:tr2bl w:val="nil"/>
                  </w:tcBorders>
                  <w:vAlign w:val="center"/>
                </w:tcPr>
                <w:p w14:paraId="2B9BC229">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员工生活</w:t>
                  </w:r>
                </w:p>
              </w:tc>
              <w:tc>
                <w:tcPr>
                  <w:tcW w:w="1335" w:type="dxa"/>
                  <w:tcBorders>
                    <w:tl2br w:val="nil"/>
                    <w:tr2bl w:val="nil"/>
                  </w:tcBorders>
                  <w:vAlign w:val="center"/>
                </w:tcPr>
                <w:p w14:paraId="45095A13">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化粪池</w:t>
                  </w:r>
                </w:p>
              </w:tc>
              <w:tc>
                <w:tcPr>
                  <w:tcW w:w="1486" w:type="dxa"/>
                  <w:tcBorders>
                    <w:tl2br w:val="nil"/>
                    <w:tr2bl w:val="nil"/>
                  </w:tcBorders>
                  <w:vAlign w:val="center"/>
                </w:tcPr>
                <w:p w14:paraId="4ABEE638">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lang w:val="en-US" w:eastAsia="zh-CN"/>
                    </w:rPr>
                    <w:t>5</w:t>
                  </w:r>
                </w:p>
              </w:tc>
              <w:tc>
                <w:tcPr>
                  <w:tcW w:w="1397" w:type="dxa"/>
                  <w:tcBorders>
                    <w:tl2br w:val="nil"/>
                    <w:tr2bl w:val="nil"/>
                  </w:tcBorders>
                  <w:vAlign w:val="center"/>
                </w:tcPr>
                <w:p w14:paraId="113D8026">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color w:val="auto"/>
                      <w:sz w:val="21"/>
                      <w:szCs w:val="21"/>
                    </w:rPr>
                    <w:t>是</w:t>
                  </w:r>
                </w:p>
              </w:tc>
              <w:tc>
                <w:tcPr>
                  <w:tcW w:w="1123" w:type="dxa"/>
                  <w:tcBorders>
                    <w:tl2br w:val="nil"/>
                    <w:tr2bl w:val="nil"/>
                  </w:tcBorders>
                  <w:vAlign w:val="center"/>
                </w:tcPr>
                <w:p w14:paraId="4A35D916">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color w:val="auto"/>
                      <w:spacing w:val="7"/>
                      <w:sz w:val="21"/>
                      <w:szCs w:val="21"/>
                    </w:rPr>
                    <w:t>周边农肥</w:t>
                  </w:r>
                </w:p>
              </w:tc>
              <w:tc>
                <w:tcPr>
                  <w:tcW w:w="1336" w:type="dxa"/>
                  <w:tcBorders>
                    <w:tl2br w:val="nil"/>
                    <w:tr2bl w:val="nil"/>
                  </w:tcBorders>
                  <w:vAlign w:val="center"/>
                </w:tcPr>
                <w:p w14:paraId="36036E02">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w:t>
                  </w:r>
                </w:p>
              </w:tc>
            </w:tr>
          </w:tbl>
          <w:p w14:paraId="49B70E45">
            <w:pPr>
              <w:pStyle w:val="37"/>
              <w:bidi w:val="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②</w:t>
            </w:r>
            <w:r>
              <w:rPr>
                <w:rFonts w:hint="eastAsia" w:cs="Times New Roman"/>
                <w:color w:val="auto"/>
                <w:highlight w:val="none"/>
                <w:u w:val="none" w:color="auto"/>
                <w:lang w:val="en-US" w:eastAsia="zh-CN"/>
              </w:rPr>
              <w:t>抑尘</w:t>
            </w:r>
            <w:r>
              <w:rPr>
                <w:rFonts w:hint="eastAsia"/>
                <w:color w:val="auto"/>
                <w:highlight w:val="none"/>
                <w:u w:val="none" w:color="auto"/>
                <w:lang w:val="en-US" w:eastAsia="zh-CN"/>
              </w:rPr>
              <w:t>用水：</w:t>
            </w:r>
            <w:r>
              <w:rPr>
                <w:rFonts w:hint="default"/>
                <w:color w:val="auto"/>
                <w:highlight w:val="none"/>
                <w:u w:val="none" w:color="auto"/>
                <w:lang w:val="en-US" w:eastAsia="zh-CN"/>
              </w:rPr>
              <w:t>为减少粉尘的产生和排放，本项目在厂区原材料区、厂区空地和道路等</w:t>
            </w:r>
            <w:r>
              <w:rPr>
                <w:rFonts w:hint="eastAsia"/>
                <w:color w:val="auto"/>
                <w:highlight w:val="none"/>
                <w:u w:val="none" w:color="auto"/>
                <w:lang w:val="en-US" w:eastAsia="zh-CN"/>
              </w:rPr>
              <w:t>采取</w:t>
            </w:r>
            <w:r>
              <w:rPr>
                <w:rFonts w:hint="default"/>
                <w:color w:val="auto"/>
                <w:highlight w:val="none"/>
                <w:u w:val="none" w:color="auto"/>
                <w:lang w:val="en-US" w:eastAsia="zh-CN"/>
              </w:rPr>
              <w:t>定期</w:t>
            </w:r>
            <w:r>
              <w:rPr>
                <w:rFonts w:hint="eastAsia"/>
                <w:color w:val="auto"/>
                <w:highlight w:val="none"/>
                <w:u w:val="none" w:color="auto"/>
                <w:lang w:val="en-US" w:eastAsia="zh-CN"/>
              </w:rPr>
              <w:t>洒</w:t>
            </w:r>
            <w:r>
              <w:rPr>
                <w:rFonts w:hint="default"/>
                <w:color w:val="auto"/>
                <w:highlight w:val="none"/>
                <w:u w:val="none" w:color="auto"/>
                <w:lang w:val="en-US" w:eastAsia="zh-CN"/>
              </w:rPr>
              <w:t>水抑尘的方式进行处理</w:t>
            </w:r>
            <w:r>
              <w:rPr>
                <w:rFonts w:hint="eastAsia"/>
                <w:color w:val="auto"/>
                <w:highlight w:val="none"/>
                <w:u w:val="none" w:color="auto"/>
                <w:lang w:val="en-US" w:eastAsia="zh-CN"/>
              </w:rPr>
              <w:t>；</w:t>
            </w:r>
            <w:r>
              <w:rPr>
                <w:rFonts w:hint="default" w:ascii="Times New Roman" w:hAnsi="Times New Roman" w:eastAsia="宋体" w:cs="Times New Roman"/>
                <w:color w:val="auto"/>
                <w:kern w:val="0"/>
                <w:sz w:val="24"/>
                <w:szCs w:val="24"/>
                <w:highlight w:val="none"/>
                <w:u w:val="none" w:color="auto"/>
                <w:lang w:val="en-US" w:eastAsia="zh-CN" w:bidi="ar-SA"/>
              </w:rPr>
              <w:t>本项目生产加工厂房、原料仓库、成品仓库需喷淋抑尘，类比同类工程，喷淋抑尘用水量按照2L/m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计，每天喷洒2次，喷淋面积</w:t>
            </w:r>
            <w:r>
              <w:rPr>
                <w:rFonts w:hint="eastAsia" w:ascii="Times New Roman" w:hAnsi="Times New Roman" w:cs="Times New Roman"/>
                <w:color w:val="auto"/>
                <w:kern w:val="0"/>
                <w:sz w:val="24"/>
                <w:szCs w:val="24"/>
                <w:highlight w:val="none"/>
                <w:u w:val="none" w:color="auto"/>
                <w:lang w:val="en-US" w:eastAsia="zh-CN" w:bidi="ar-SA"/>
              </w:rPr>
              <w:t>5000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，则喷淋抑尘用水量为</w:t>
            </w:r>
            <w:r>
              <w:rPr>
                <w:rFonts w:hint="eastAsia" w:ascii="Times New Roman" w:hAnsi="Times New Roman" w:cs="Times New Roman"/>
                <w:color w:val="auto"/>
                <w:kern w:val="0"/>
                <w:sz w:val="24"/>
                <w:szCs w:val="24"/>
                <w:highlight w:val="none"/>
                <w:u w:val="none" w:color="auto"/>
                <w:lang w:val="en-US" w:eastAsia="zh-CN" w:bidi="ar-SA"/>
              </w:rPr>
              <w:t>20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/d（</w:t>
            </w:r>
            <w:r>
              <w:rPr>
                <w:rFonts w:hint="eastAsia" w:ascii="Times New Roman" w:hAnsi="Times New Roman" w:cs="Times New Roman"/>
                <w:color w:val="auto"/>
                <w:kern w:val="0"/>
                <w:sz w:val="24"/>
                <w:szCs w:val="24"/>
                <w:highlight w:val="none"/>
                <w:u w:val="none" w:color="auto"/>
                <w:lang w:val="en-US" w:eastAsia="zh-CN" w:bidi="ar-SA"/>
              </w:rPr>
              <w:t>6000</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/a）。</w:t>
            </w:r>
            <w:r>
              <w:rPr>
                <w:rFonts w:hint="default" w:ascii="Times New Roman" w:hAnsi="Times New Roman" w:cs="Times New Roman"/>
                <w:color w:val="auto"/>
                <w:sz w:val="24"/>
                <w:highlight w:val="none"/>
                <w:u w:val="none" w:color="auto"/>
              </w:rPr>
              <w:t>抑尘用水可利用</w:t>
            </w:r>
            <w:r>
              <w:rPr>
                <w:rFonts w:hint="eastAsia" w:ascii="Times New Roman" w:hAnsi="Times New Roman" w:cs="Times New Roman"/>
                <w:color w:val="auto"/>
                <w:sz w:val="24"/>
                <w:highlight w:val="none"/>
                <w:u w:val="none" w:color="auto"/>
                <w:lang w:val="en-US" w:eastAsia="zh-CN"/>
              </w:rPr>
              <w:t>循环水池</w:t>
            </w:r>
            <w:r>
              <w:rPr>
                <w:rFonts w:hint="default" w:ascii="Times New Roman" w:hAnsi="Times New Roman" w:cs="Times New Roman"/>
                <w:color w:val="auto"/>
                <w:sz w:val="24"/>
                <w:highlight w:val="none"/>
                <w:u w:val="none" w:color="auto"/>
              </w:rPr>
              <w:t>内暂存水，抑尘用水被产品带走或蒸发损耗，不外排。</w:t>
            </w:r>
          </w:p>
          <w:p w14:paraId="0E6D140E">
            <w:pPr>
              <w:spacing w:line="360" w:lineRule="auto"/>
              <w:ind w:firstLine="480" w:firstLineChars="200"/>
              <w:rPr>
                <w:rFonts w:hint="eastAsia"/>
                <w:color w:val="auto"/>
                <w:highlight w:val="green"/>
                <w:u w:val="none" w:color="auto"/>
                <w:lang w:val="en-US" w:eastAsia="zh-CN"/>
              </w:rPr>
            </w:pPr>
            <w:r>
              <w:rPr>
                <w:rFonts w:hint="eastAsia" w:ascii="Times New Roman" w:hAnsi="Times New Roman" w:cs="Times New Roman"/>
                <w:color w:val="auto"/>
                <w:sz w:val="24"/>
                <w:szCs w:val="24"/>
                <w:highlight w:val="none"/>
                <w:u w:val="none" w:color="auto"/>
                <w:lang w:val="en-US" w:eastAsia="zh-CN"/>
              </w:rPr>
              <w:t>③</w:t>
            </w:r>
            <w:r>
              <w:rPr>
                <w:rFonts w:hint="default" w:ascii="Times New Roman" w:hAnsi="Times New Roman" w:cs="Times New Roman"/>
                <w:color w:val="auto"/>
                <w:sz w:val="24"/>
                <w:highlight w:val="none"/>
                <w:u w:val="none" w:color="auto"/>
              </w:rPr>
              <w:t>洗砂用水</w:t>
            </w:r>
            <w:r>
              <w:rPr>
                <w:rFonts w:hint="eastAsia" w:ascii="Times New Roman" w:hAnsi="Times New Roman" w:cs="Times New Roman"/>
                <w:color w:val="auto"/>
                <w:highlight w:val="none"/>
                <w:u w:val="none" w:color="auto"/>
                <w:lang w:val="en-US" w:eastAsia="zh-CN"/>
              </w:rPr>
              <w:t>：</w:t>
            </w:r>
            <w:r>
              <w:rPr>
                <w:rFonts w:hint="eastAsia" w:cs="Times New Roman"/>
                <w:color w:val="auto"/>
                <w:sz w:val="24"/>
                <w:highlight w:val="none"/>
                <w:u w:val="none"/>
                <w:lang w:val="en-US" w:eastAsia="zh-CN"/>
              </w:rPr>
              <w:t>据工程分析可知（详见第二章）</w:t>
            </w:r>
            <w:r>
              <w:rPr>
                <w:rFonts w:hint="default"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rPr>
              <w:t>本项目</w:t>
            </w:r>
            <w:r>
              <w:rPr>
                <w:rFonts w:hint="default" w:ascii="Times New Roman" w:hAnsi="Times New Roman" w:cs="Times New Roman"/>
                <w:color w:val="auto"/>
                <w:sz w:val="24"/>
                <w:highlight w:val="none"/>
                <w:u w:val="none"/>
                <w:lang w:val="en-US" w:eastAsia="zh-CN"/>
              </w:rPr>
              <w:t>按</w:t>
            </w:r>
            <w:r>
              <w:rPr>
                <w:rFonts w:hint="eastAsia" w:ascii="Times New Roman" w:hAnsi="Times New Roman" w:cs="Times New Roman"/>
                <w:color w:val="auto"/>
                <w:sz w:val="24"/>
                <w:highlight w:val="none"/>
                <w:u w:val="none"/>
                <w:lang w:val="en-US" w:eastAsia="zh-CN"/>
              </w:rPr>
              <w:t>1</w:t>
            </w:r>
            <w:r>
              <w:rPr>
                <w:rFonts w:hint="default" w:ascii="Times New Roman" w:hAnsi="Times New Roman" w:cs="Times New Roman"/>
                <w:color w:val="auto"/>
                <w:sz w:val="24"/>
                <w:highlight w:val="none"/>
                <w:u w:val="none"/>
                <w:lang w:eastAsia="zh-CN"/>
              </w:rPr>
              <w:t>0万</w:t>
            </w:r>
            <w:r>
              <w:rPr>
                <w:rFonts w:hint="default" w:ascii="Times New Roman" w:hAnsi="Times New Roman" w:cs="Times New Roman"/>
                <w:color w:val="auto"/>
                <w:sz w:val="24"/>
                <w:highlight w:val="none"/>
                <w:u w:val="none"/>
              </w:rPr>
              <w:t>吨/年</w:t>
            </w:r>
            <w:r>
              <w:rPr>
                <w:rFonts w:hint="default" w:ascii="Times New Roman" w:hAnsi="Times New Roman" w:cs="Times New Roman"/>
                <w:color w:val="auto"/>
                <w:sz w:val="24"/>
                <w:highlight w:val="none"/>
                <w:u w:val="none"/>
                <w:lang w:val="en-US" w:eastAsia="zh-CN"/>
              </w:rPr>
              <w:t>加工量计算</w:t>
            </w:r>
            <w:r>
              <w:rPr>
                <w:rFonts w:hint="default" w:ascii="Times New Roman" w:hAnsi="Times New Roman" w:cs="Times New Roman"/>
                <w:color w:val="auto"/>
                <w:sz w:val="24"/>
                <w:highlight w:val="none"/>
                <w:u w:val="none"/>
              </w:rPr>
              <w:t>，洗砂过程用水量预计为</w:t>
            </w:r>
            <w:r>
              <w:rPr>
                <w:rFonts w:hint="eastAsia"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rPr>
              <w:t>万m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w:t>
            </w:r>
            <w:r>
              <w:rPr>
                <w:rFonts w:hint="default"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color="auto"/>
              </w:rPr>
              <w:t>生产过程废水经沉淀处理后回用于洗砂机工序及厂区内抑尘用水，不外排，每</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rPr>
              <w:t>需补充新鲜水</w:t>
            </w:r>
            <w:r>
              <w:rPr>
                <w:rFonts w:hint="eastAsia" w:ascii="Times New Roman" w:hAnsi="Times New Roman" w:cs="Times New Roman"/>
                <w:color w:val="auto"/>
                <w:sz w:val="24"/>
                <w:highlight w:val="none"/>
                <w:u w:val="none" w:color="auto"/>
                <w:lang w:val="en-US" w:eastAsia="zh-CN"/>
              </w:rPr>
              <w:t>16.7</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14:paraId="21B0A8E4">
            <w:pPr>
              <w:pStyle w:val="37"/>
              <w:bidi w:val="0"/>
              <w:rPr>
                <w:rFonts w:eastAsia="宋体"/>
                <w:color w:val="auto"/>
                <w:sz w:val="24"/>
                <w:highlight w:val="none"/>
                <w:u w:val="none"/>
              </w:rPr>
            </w:pPr>
            <w:r>
              <w:rPr>
                <w:rFonts w:hint="eastAsia" w:ascii="Times New Roman" w:hAnsi="Times New Roman" w:eastAsia="宋体" w:cs="Times New Roman"/>
                <w:color w:val="auto"/>
                <w:sz w:val="24"/>
                <w:highlight w:val="none"/>
                <w:u w:val="none"/>
                <w:lang w:val="en-US" w:eastAsia="zh-CN"/>
              </w:rPr>
              <w:t>④</w:t>
            </w:r>
            <w:r>
              <w:rPr>
                <w:rFonts w:hint="default" w:ascii="Times New Roman" w:hAnsi="Times New Roman" w:eastAsia="宋体" w:cs="Times New Roman"/>
                <w:color w:val="auto"/>
                <w:sz w:val="24"/>
                <w:highlight w:val="none"/>
                <w:u w:val="none"/>
                <w:lang w:eastAsia="zh-CN"/>
              </w:rPr>
              <w:t>初期雨水：</w:t>
            </w:r>
            <w:r>
              <w:rPr>
                <w:rFonts w:hint="eastAsia" w:cs="Times New Roman"/>
                <w:color w:val="auto"/>
                <w:sz w:val="24"/>
                <w:highlight w:val="none"/>
                <w:u w:val="none"/>
                <w:lang w:val="en-US" w:eastAsia="zh-CN"/>
              </w:rPr>
              <w:t>据工程分析可知（详见第二章），</w:t>
            </w:r>
            <w:r>
              <w:rPr>
                <w:rFonts w:hint="default" w:ascii="Times New Roman" w:hAnsi="Times New Roman" w:cs="Times New Roman"/>
                <w:color w:val="auto"/>
                <w:sz w:val="24"/>
                <w:highlight w:val="none"/>
                <w:u w:val="none"/>
              </w:rPr>
              <w:t>本项目初期雨水每次量为</w:t>
            </w:r>
            <w:r>
              <w:rPr>
                <w:rFonts w:hint="eastAsia" w:cs="Times New Roman"/>
                <w:color w:val="auto"/>
                <w:sz w:val="24"/>
                <w:highlight w:val="none"/>
                <w:u w:val="none"/>
                <w:lang w:val="en-US" w:eastAsia="zh-CN"/>
              </w:rPr>
              <w:t>28.1</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，年降雨时间按</w:t>
            </w:r>
            <w:r>
              <w:rPr>
                <w:rFonts w:hint="eastAsia" w:cs="Times New Roman"/>
                <w:color w:val="auto"/>
                <w:sz w:val="24"/>
                <w:highlight w:val="none"/>
                <w:u w:val="none"/>
                <w:lang w:val="en-US" w:eastAsia="zh-CN"/>
              </w:rPr>
              <w:t>120</w:t>
            </w:r>
            <w:r>
              <w:rPr>
                <w:rFonts w:hint="default" w:ascii="Times New Roman" w:hAnsi="Times New Roman" w:cs="Times New Roman"/>
                <w:color w:val="auto"/>
                <w:sz w:val="24"/>
                <w:highlight w:val="none"/>
                <w:u w:val="none"/>
              </w:rPr>
              <w:t>天计，则初期雨水产生量约为</w:t>
            </w:r>
            <w:r>
              <w:rPr>
                <w:rFonts w:hint="eastAsia" w:cs="Times New Roman"/>
                <w:color w:val="auto"/>
                <w:sz w:val="24"/>
                <w:highlight w:val="none"/>
                <w:u w:val="none"/>
                <w:lang w:val="en-US" w:eastAsia="zh-CN"/>
              </w:rPr>
              <w:t>3372</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/a。初期雨水</w:t>
            </w:r>
            <w:r>
              <w:rPr>
                <w:rFonts w:hint="eastAsia" w:ascii="Times New Roman" w:hAnsi="Times New Roman" w:cs="Times New Roman"/>
                <w:color w:val="auto"/>
                <w:sz w:val="24"/>
                <w:highlight w:val="none"/>
                <w:u w:val="none"/>
                <w:lang w:val="en-US" w:eastAsia="zh-CN"/>
              </w:rPr>
              <w:t>通过污水处理站处理后进入循环水池</w:t>
            </w:r>
            <w:r>
              <w:rPr>
                <w:color w:val="auto"/>
                <w:sz w:val="24"/>
                <w:highlight w:val="none"/>
              </w:rPr>
              <w:t>回用</w:t>
            </w:r>
            <w:r>
              <w:rPr>
                <w:rFonts w:hint="eastAsia" w:ascii="Times New Roman" w:hAnsi="Times New Roman" w:cs="Times New Roman"/>
                <w:color w:val="auto"/>
                <w:sz w:val="24"/>
                <w:highlight w:val="none"/>
                <w:u w:val="none"/>
                <w:lang w:val="en-US" w:eastAsia="zh-CN"/>
              </w:rPr>
              <w:t>。</w:t>
            </w:r>
          </w:p>
          <w:p w14:paraId="691C21DE">
            <w:pPr>
              <w:pStyle w:val="37"/>
              <w:bidi w:val="0"/>
              <w:rPr>
                <w:color w:val="auto"/>
                <w:sz w:val="24"/>
                <w:highlight w:val="none"/>
              </w:rPr>
            </w:pPr>
            <w:r>
              <w:rPr>
                <w:rFonts w:hint="eastAsia"/>
                <w:color w:val="auto"/>
                <w:highlight w:val="none"/>
                <w:lang w:eastAsia="zh-CN"/>
              </w:rPr>
              <w:t>⑤</w:t>
            </w:r>
            <w:r>
              <w:rPr>
                <w:rFonts w:hint="eastAsia"/>
                <w:color w:val="auto"/>
                <w:highlight w:val="none"/>
                <w:lang w:val="en-US" w:eastAsia="zh-CN"/>
              </w:rPr>
              <w:t>车辆冲洗用水：</w:t>
            </w:r>
            <w:r>
              <w:rPr>
                <w:rFonts w:hint="eastAsia" w:cs="Times New Roman"/>
                <w:color w:val="auto"/>
                <w:sz w:val="24"/>
                <w:highlight w:val="none"/>
                <w:u w:val="none"/>
                <w:lang w:val="en-US" w:eastAsia="zh-CN"/>
              </w:rPr>
              <w:t>据工程分析可知（详见第二章），本项目</w:t>
            </w:r>
            <w:r>
              <w:rPr>
                <w:color w:val="auto"/>
                <w:sz w:val="24"/>
                <w:highlight w:val="none"/>
              </w:rPr>
              <w:t>车辆清洗用水为</w:t>
            </w:r>
            <w:r>
              <w:rPr>
                <w:rFonts w:hint="eastAsia"/>
                <w:color w:val="auto"/>
                <w:sz w:val="24"/>
                <w:highlight w:val="none"/>
                <w:lang w:val="en-US" w:eastAsia="zh-CN"/>
              </w:rPr>
              <w:t>1.68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505</w:t>
            </w:r>
            <w:r>
              <w:rPr>
                <w:color w:val="auto"/>
                <w:sz w:val="24"/>
                <w:highlight w:val="none"/>
              </w:rPr>
              <w:t>m</w:t>
            </w:r>
            <w:r>
              <w:rPr>
                <w:color w:val="auto"/>
                <w:sz w:val="24"/>
                <w:highlight w:val="none"/>
                <w:vertAlign w:val="superscript"/>
              </w:rPr>
              <w:t>3</w:t>
            </w:r>
            <w:r>
              <w:rPr>
                <w:color w:val="auto"/>
                <w:sz w:val="24"/>
                <w:highlight w:val="none"/>
              </w:rPr>
              <w:t>/a），排放系数按0.</w:t>
            </w:r>
            <w:r>
              <w:rPr>
                <w:rFonts w:hint="eastAsia"/>
                <w:color w:val="auto"/>
                <w:sz w:val="24"/>
                <w:highlight w:val="none"/>
                <w:lang w:val="en-US" w:eastAsia="zh-CN"/>
              </w:rPr>
              <w:t>9</w:t>
            </w:r>
            <w:r>
              <w:rPr>
                <w:color w:val="auto"/>
                <w:sz w:val="24"/>
                <w:highlight w:val="none"/>
              </w:rPr>
              <w:t>计，车辆清洗废水产生量为</w:t>
            </w:r>
            <w:r>
              <w:rPr>
                <w:rFonts w:hint="eastAsia"/>
                <w:color w:val="auto"/>
                <w:sz w:val="24"/>
                <w:highlight w:val="none"/>
                <w:lang w:val="en-US" w:eastAsia="zh-CN"/>
              </w:rPr>
              <w:t>1.512</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454.5</w:t>
            </w:r>
            <w:r>
              <w:rPr>
                <w:color w:val="auto"/>
                <w:sz w:val="24"/>
                <w:highlight w:val="none"/>
              </w:rPr>
              <w:t>m</w:t>
            </w:r>
            <w:r>
              <w:rPr>
                <w:color w:val="auto"/>
                <w:sz w:val="24"/>
                <w:highlight w:val="none"/>
                <w:vertAlign w:val="superscript"/>
              </w:rPr>
              <w:t>3</w:t>
            </w:r>
            <w:r>
              <w:rPr>
                <w:color w:val="auto"/>
                <w:sz w:val="24"/>
                <w:highlight w:val="none"/>
              </w:rPr>
              <w:t>/a），废水经</w:t>
            </w:r>
            <w:r>
              <w:rPr>
                <w:rFonts w:hint="eastAsia" w:ascii="Times New Roman" w:hAnsi="Times New Roman" w:cs="Times New Roman"/>
                <w:color w:val="auto"/>
                <w:sz w:val="24"/>
                <w:highlight w:val="none"/>
                <w:u w:val="none"/>
                <w:lang w:val="en-US" w:eastAsia="zh-CN"/>
              </w:rPr>
              <w:t>污水处理站处理后进入循环水池</w:t>
            </w:r>
            <w:r>
              <w:rPr>
                <w:color w:val="auto"/>
                <w:sz w:val="24"/>
                <w:highlight w:val="none"/>
              </w:rPr>
              <w:t>回用。</w:t>
            </w:r>
          </w:p>
          <w:p w14:paraId="1771DB95">
            <w:pPr>
              <w:pStyle w:val="37"/>
              <w:bidi w:val="0"/>
              <w:rPr>
                <w:rFonts w:hint="default" w:ascii="Times New Roman" w:hAnsi="Times New Roman" w:cs="Times New Roman"/>
                <w:color w:val="auto"/>
                <w:sz w:val="24"/>
                <w:highlight w:val="none"/>
                <w:u w:val="none"/>
              </w:rPr>
            </w:pPr>
            <w:r>
              <w:rPr>
                <w:rFonts w:hint="eastAsia" w:ascii="Times New Roman" w:hAnsi="Times New Roman" w:cs="Times New Roman"/>
                <w:color w:val="auto"/>
                <w:highlight w:val="none"/>
                <w:u w:val="none"/>
                <w:lang w:eastAsia="zh-CN"/>
              </w:rPr>
              <w:t>⑥</w:t>
            </w:r>
            <w:r>
              <w:rPr>
                <w:rFonts w:hint="default" w:ascii="Times New Roman" w:hAnsi="Times New Roman" w:cs="Times New Roman"/>
                <w:color w:val="auto"/>
                <w:highlight w:val="none"/>
                <w:u w:val="none"/>
                <w:lang w:eastAsia="zh-CN"/>
              </w:rPr>
              <w:t>场地冲洗用水：</w:t>
            </w:r>
            <w:r>
              <w:rPr>
                <w:rFonts w:hint="eastAsia" w:cs="Times New Roman"/>
                <w:color w:val="auto"/>
                <w:sz w:val="24"/>
                <w:highlight w:val="none"/>
                <w:u w:val="none"/>
                <w:lang w:val="en-US" w:eastAsia="zh-CN"/>
              </w:rPr>
              <w:t>据工程分析可知（详见第二章），本项目</w:t>
            </w:r>
            <w:r>
              <w:rPr>
                <w:rFonts w:hint="default" w:ascii="Times New Roman" w:hAnsi="Times New Roman" w:cs="Times New Roman"/>
                <w:color w:val="auto"/>
                <w:sz w:val="24"/>
                <w:highlight w:val="none"/>
                <w:u w:val="none"/>
              </w:rPr>
              <w:t>该部分用水量为</w:t>
            </w:r>
            <w:r>
              <w:rPr>
                <w:rFonts w:hint="eastAsia" w:ascii="Times New Roman" w:hAnsi="Times New Roman" w:cs="Times New Roman"/>
                <w:color w:val="auto"/>
                <w:sz w:val="24"/>
                <w:highlight w:val="none"/>
                <w:u w:val="none"/>
                <w:lang w:val="en-US" w:eastAsia="zh-CN"/>
              </w:rPr>
              <w:t>22.5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1080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/a），排放系数按0.</w:t>
            </w:r>
            <w:r>
              <w:rPr>
                <w:rFonts w:hint="eastAsia" w:cs="Times New Roman"/>
                <w:color w:val="auto"/>
                <w:sz w:val="24"/>
                <w:highlight w:val="none"/>
                <w:u w:val="none"/>
                <w:lang w:val="en-US" w:eastAsia="zh-CN"/>
              </w:rPr>
              <w:t>9</w:t>
            </w:r>
            <w:r>
              <w:rPr>
                <w:rFonts w:hint="default" w:ascii="Times New Roman" w:hAnsi="Times New Roman" w:cs="Times New Roman"/>
                <w:color w:val="auto"/>
                <w:sz w:val="24"/>
                <w:highlight w:val="none"/>
                <w:u w:val="none"/>
              </w:rPr>
              <w:t>计算，则废水排放量为</w:t>
            </w:r>
            <w:r>
              <w:rPr>
                <w:rFonts w:hint="eastAsia" w:cs="Times New Roman"/>
                <w:color w:val="auto"/>
                <w:sz w:val="24"/>
                <w:highlight w:val="none"/>
                <w:u w:val="none"/>
                <w:lang w:val="en-US" w:eastAsia="zh-CN"/>
              </w:rPr>
              <w:t>20.25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cs="Times New Roman"/>
                <w:color w:val="auto"/>
                <w:sz w:val="24"/>
                <w:highlight w:val="none"/>
                <w:u w:val="none"/>
                <w:lang w:val="en-US" w:eastAsia="zh-CN"/>
              </w:rPr>
              <w:t>972</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/a），废水</w:t>
            </w:r>
            <w:r>
              <w:rPr>
                <w:color w:val="auto"/>
                <w:sz w:val="24"/>
                <w:highlight w:val="none"/>
              </w:rPr>
              <w:t>经</w:t>
            </w:r>
            <w:r>
              <w:rPr>
                <w:rFonts w:hint="eastAsia" w:ascii="Times New Roman" w:hAnsi="Times New Roman" w:cs="Times New Roman"/>
                <w:color w:val="auto"/>
                <w:sz w:val="24"/>
                <w:highlight w:val="none"/>
                <w:u w:val="none"/>
                <w:lang w:val="en-US" w:eastAsia="zh-CN"/>
              </w:rPr>
              <w:t>污水处理站处理后进入循环水池</w:t>
            </w:r>
            <w:r>
              <w:rPr>
                <w:color w:val="auto"/>
                <w:sz w:val="24"/>
                <w:highlight w:val="none"/>
              </w:rPr>
              <w:t>回用</w:t>
            </w:r>
            <w:r>
              <w:rPr>
                <w:rFonts w:hint="default" w:ascii="Times New Roman" w:hAnsi="Times New Roman" w:cs="Times New Roman"/>
                <w:color w:val="auto"/>
                <w:sz w:val="24"/>
                <w:highlight w:val="none"/>
                <w:u w:val="none"/>
              </w:rPr>
              <w:t>。</w:t>
            </w:r>
          </w:p>
          <w:p w14:paraId="36D2D20A">
            <w:pPr>
              <w:pStyle w:val="3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废水治理设施进行处理的可</w:t>
            </w:r>
            <w:r>
              <w:rPr>
                <w:rFonts w:hint="eastAsia" w:cs="Times New Roman"/>
                <w:b/>
                <w:bCs/>
                <w:color w:val="auto"/>
                <w:highlight w:val="none"/>
                <w:u w:val="none" w:color="auto"/>
                <w:lang w:val="en-US" w:eastAsia="zh-CN"/>
              </w:rPr>
              <w:t>行</w:t>
            </w:r>
            <w:r>
              <w:rPr>
                <w:rFonts w:hint="default" w:ascii="Times New Roman" w:hAnsi="Times New Roman" w:cs="Times New Roman"/>
                <w:b/>
                <w:bCs/>
                <w:color w:val="auto"/>
                <w:highlight w:val="none"/>
                <w:u w:val="none" w:color="auto"/>
              </w:rPr>
              <w:t>性分析</w:t>
            </w:r>
          </w:p>
          <w:p w14:paraId="200E35AC">
            <w:pPr>
              <w:pStyle w:val="37"/>
              <w:bidi w:val="0"/>
              <w:rPr>
                <w:rFonts w:hint="eastAsia" w:cs="Times New Roman"/>
                <w:color w:val="auto"/>
                <w:highlight w:val="none"/>
                <w:u w:val="none" w:color="auto"/>
                <w:lang w:val="en-US" w:eastAsia="zh-CN"/>
              </w:rPr>
            </w:pPr>
            <w:r>
              <w:rPr>
                <w:rFonts w:hint="default" w:ascii="Times New Roman" w:hAnsi="Times New Roman" w:cs="Times New Roman"/>
                <w:color w:val="auto"/>
                <w:highlight w:val="none"/>
                <w:u w:val="none" w:color="auto"/>
              </w:rPr>
              <w:t>（1）</w:t>
            </w:r>
            <w:r>
              <w:rPr>
                <w:rFonts w:hint="eastAsia" w:cs="Times New Roman"/>
                <w:color w:val="auto"/>
                <w:highlight w:val="none"/>
                <w:u w:val="none" w:color="auto"/>
                <w:lang w:val="en-US" w:eastAsia="zh-CN"/>
              </w:rPr>
              <w:t>采用“化粪池”预处理设施可行性分析</w:t>
            </w:r>
          </w:p>
          <w:p w14:paraId="3B5C6D51">
            <w:pPr>
              <w:pStyle w:val="3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化粪池是一种传统的污水处理设施，通过厌氧发酵原理，对污水中的有机物进行分解和稳定。技术成熟、操作简单，适用于各类规模的污水预处理。</w:t>
            </w:r>
          </w:p>
          <w:p w14:paraId="0B473B85">
            <w:pPr>
              <w:pStyle w:val="37"/>
              <w:bidi w:val="0"/>
              <w:ind w:left="0" w:leftChars="0" w:firstLine="0" w:firstLineChars="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其成本相对较低，维护管理简便。同时，化粪池能够有效减少污水中的有机物含量，减轻后续处理设施的压力，降低整体污水处理成本。化粪池能够减少污水中的病原体和臭味物质。</w:t>
            </w:r>
          </w:p>
          <w:p w14:paraId="794BA0C0">
            <w:pPr>
              <w:pStyle w:val="37"/>
              <w:bidi w:val="0"/>
              <w:rPr>
                <w:rFonts w:hint="eastAsia" w:cs="Times New Roman"/>
                <w:color w:val="auto"/>
                <w:highlight w:val="none"/>
                <w:u w:val="none" w:color="auto"/>
                <w:lang w:val="en-US" w:eastAsia="zh-CN"/>
              </w:rPr>
            </w:pP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eastAsia="zh-CN"/>
              </w:rPr>
              <w:t>污水处理站</w:t>
            </w:r>
            <w:r>
              <w:rPr>
                <w:rFonts w:hint="eastAsia" w:cs="Times New Roman"/>
                <w:color w:val="auto"/>
                <w:highlight w:val="none"/>
                <w:u w:val="none" w:color="auto"/>
                <w:lang w:val="en-US" w:eastAsia="zh-CN"/>
              </w:rPr>
              <w:t>设施可行性分析</w:t>
            </w:r>
          </w:p>
          <w:p w14:paraId="1C8419D2">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color w:val="auto"/>
              </w:rPr>
            </w:pPr>
            <w:r>
              <w:rPr>
                <w:color w:val="auto"/>
              </w:rPr>
              <w:drawing>
                <wp:inline distT="0" distB="0" distL="114300" distR="114300">
                  <wp:extent cx="4511040" cy="1158875"/>
                  <wp:effectExtent l="0" t="0" r="0" b="1460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3"/>
                          <a:stretch>
                            <a:fillRect/>
                          </a:stretch>
                        </pic:blipFill>
                        <pic:spPr>
                          <a:xfrm>
                            <a:off x="0" y="0"/>
                            <a:ext cx="4511040" cy="1158875"/>
                          </a:xfrm>
                          <a:prstGeom prst="rect">
                            <a:avLst/>
                          </a:prstGeom>
                          <a:noFill/>
                          <a:ln>
                            <a:noFill/>
                          </a:ln>
                        </pic:spPr>
                      </pic:pic>
                    </a:graphicData>
                  </a:graphic>
                </wp:inline>
              </w:drawing>
            </w:r>
          </w:p>
          <w:p w14:paraId="5058E7B7">
            <w:pPr>
              <w:pStyle w:val="37"/>
              <w:keepNext w:val="0"/>
              <w:keepLines w:val="0"/>
              <w:pageBreakBefore w:val="0"/>
              <w:widowControl w:val="0"/>
              <w:kinsoku/>
              <w:wordWrap w:val="0"/>
              <w:overflowPunct/>
              <w:topLinePunct/>
              <w:autoSpaceDE/>
              <w:autoSpaceDN/>
              <w:bidi w:val="0"/>
              <w:adjustRightInd/>
              <w:snapToGrid/>
              <w:spacing w:line="240" w:lineRule="auto"/>
              <w:ind w:left="0" w:leftChars="0" w:firstLine="422" w:firstLineChars="200"/>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图4-1   污水处理站工艺流程图</w:t>
            </w:r>
          </w:p>
          <w:p w14:paraId="16392B48">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本项目生产废水污染因子主要为SS，通过采用絮凝沉淀原理将水中杂质进行分离，上清液回用于生产，泥渣通过板式压滤机制成泥饼外售。絮凝沉淀主要采用絮凝剂PAC+PAM，PAC先作为混凝剂将悬浮物凝聚成较大的颗粒，然后PAM作为絮凝剂进一步将这些颗粒凝聚成更大的矾花，从而实现污染物的有效分离</w:t>
            </w:r>
            <w:r>
              <w:rPr>
                <w:rFonts w:hint="default" w:cs="Times New Roman"/>
                <w:color w:val="auto"/>
                <w:highlight w:val="none"/>
                <w:u w:val="none" w:color="auto"/>
                <w:lang w:val="en-US" w:eastAsia="zh-CN"/>
              </w:rPr>
              <w:t>。</w:t>
            </w:r>
          </w:p>
          <w:p w14:paraId="71B37A73">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（3）生产废水回用可行性分析</w:t>
            </w:r>
          </w:p>
          <w:p w14:paraId="203DCFB2">
            <w:pPr>
              <w:pStyle w:val="50"/>
              <w:spacing w:before="31" w:line="356" w:lineRule="auto"/>
              <w:ind w:left="100" w:right="96" w:firstLine="481"/>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本项目制砂废水为含泥废水，经浓缩罐沉淀后的沉渣主要成分为废泥渣，无有毒有害成分。含泥废水具有含泥率高、悬浮物沉降性好、污染物成分较单一等特点，含泥废水经絮凝剂沉淀处理后，上层清水进入循环</w:t>
            </w:r>
            <w:r>
              <w:rPr>
                <w:rFonts w:hint="eastAsia" w:ascii="Times New Roman" w:hAnsi="Times New Roman" w:cs="Times New Roman"/>
                <w:color w:val="auto"/>
                <w:kern w:val="0"/>
                <w:sz w:val="24"/>
                <w:szCs w:val="24"/>
                <w:highlight w:val="none"/>
                <w:u w:val="none" w:color="auto"/>
                <w:lang w:val="en-US" w:eastAsia="zh-CN" w:bidi="ar-SA"/>
              </w:rPr>
              <w:t>水池</w:t>
            </w:r>
            <w:r>
              <w:rPr>
                <w:rFonts w:hint="eastAsia" w:ascii="Times New Roman" w:hAnsi="Times New Roman" w:eastAsia="宋体" w:cs="Times New Roman"/>
                <w:color w:val="auto"/>
                <w:kern w:val="0"/>
                <w:sz w:val="24"/>
                <w:szCs w:val="24"/>
                <w:highlight w:val="none"/>
                <w:u w:val="none" w:color="auto"/>
                <w:lang w:val="en-US" w:eastAsia="zh-CN" w:bidi="ar-SA"/>
              </w:rPr>
              <w:t>回用于洗砂工序，不外排，此工艺对SS具有90%的处理能力。洗砂废水产生量为</w:t>
            </w:r>
            <w:r>
              <w:rPr>
                <w:rFonts w:hint="eastAsia" w:ascii="Times New Roman" w:hAnsi="Times New Roman" w:cs="Times New Roman"/>
                <w:color w:val="auto"/>
                <w:kern w:val="0"/>
                <w:sz w:val="24"/>
                <w:szCs w:val="24"/>
                <w:highlight w:val="none"/>
                <w:u w:val="none" w:color="auto"/>
                <w:lang w:val="en-US" w:eastAsia="zh-CN" w:bidi="ar-SA"/>
              </w:rPr>
              <w:t>45000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/a，年生产</w:t>
            </w:r>
            <w:r>
              <w:rPr>
                <w:rFonts w:hint="eastAsia" w:ascii="Times New Roman" w:hAnsi="Times New Roman" w:cs="Times New Roman"/>
                <w:color w:val="auto"/>
                <w:kern w:val="0"/>
                <w:sz w:val="24"/>
                <w:szCs w:val="24"/>
                <w:highlight w:val="none"/>
                <w:u w:val="none" w:color="auto"/>
                <w:lang w:val="en-US" w:eastAsia="zh-CN" w:bidi="ar-SA"/>
              </w:rPr>
              <w:t>4800</w:t>
            </w:r>
            <w:r>
              <w:rPr>
                <w:rFonts w:hint="eastAsia" w:ascii="Times New Roman" w:hAnsi="Times New Roman" w:eastAsia="宋体" w:cs="Times New Roman"/>
                <w:color w:val="auto"/>
                <w:kern w:val="0"/>
                <w:sz w:val="24"/>
                <w:szCs w:val="24"/>
                <w:highlight w:val="none"/>
                <w:u w:val="none" w:color="auto"/>
                <w:lang w:val="en-US" w:eastAsia="zh-CN" w:bidi="ar-SA"/>
              </w:rPr>
              <w:t>h，则洗砂废水每小时产生量为</w:t>
            </w:r>
            <w:r>
              <w:rPr>
                <w:rFonts w:hint="eastAsia" w:ascii="Times New Roman" w:hAnsi="Times New Roman" w:cs="Times New Roman"/>
                <w:color w:val="auto"/>
                <w:kern w:val="0"/>
                <w:sz w:val="24"/>
                <w:szCs w:val="24"/>
                <w:highlight w:val="none"/>
                <w:u w:val="none" w:color="auto"/>
                <w:lang w:val="en-US" w:eastAsia="zh-CN" w:bidi="ar-SA"/>
              </w:rPr>
              <w:t>9.37</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，项目设置一个容积为</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w:t>
            </w:r>
            <w:r>
              <w:rPr>
                <w:rFonts w:hint="eastAsia" w:ascii="Times New Roman" w:hAnsi="Times New Roman" w:cs="Times New Roman"/>
                <w:color w:val="auto"/>
                <w:kern w:val="0"/>
                <w:sz w:val="24"/>
                <w:szCs w:val="24"/>
                <w:highlight w:val="none"/>
                <w:u w:val="none" w:color="auto"/>
                <w:lang w:val="en-US" w:eastAsia="zh-CN" w:bidi="ar-SA"/>
              </w:rPr>
              <w:t>PAC+PAM</w:t>
            </w:r>
            <w:r>
              <w:rPr>
                <w:rFonts w:hint="eastAsia" w:ascii="Times New Roman" w:hAnsi="Times New Roman" w:eastAsia="宋体" w:cs="Times New Roman"/>
                <w:color w:val="auto"/>
                <w:kern w:val="0"/>
                <w:sz w:val="24"/>
                <w:szCs w:val="24"/>
                <w:highlight w:val="none"/>
                <w:u w:val="none" w:color="auto"/>
                <w:lang w:val="en-US" w:eastAsia="zh-CN" w:bidi="ar-SA"/>
              </w:rPr>
              <w:t>处理一次洗沙废水需要约半小时左右，抽取</w:t>
            </w:r>
            <w:r>
              <w:rPr>
                <w:rFonts w:hint="eastAsia" w:ascii="Times New Roman" w:hAnsi="Times New Roman" w:cs="Times New Roman"/>
                <w:color w:val="auto"/>
                <w:kern w:val="0"/>
                <w:sz w:val="24"/>
                <w:szCs w:val="24"/>
                <w:highlight w:val="none"/>
                <w:u w:val="none" w:color="auto"/>
                <w:lang w:val="en-US" w:eastAsia="zh-CN" w:bidi="ar-SA"/>
              </w:rPr>
              <w:t>1000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上层清液和污泥水至清水罐及泥浆池约需要1小时，完成一次洗砂废水循环大约需要1.5h。洗沙废水每小时产生量为</w:t>
            </w:r>
            <w:r>
              <w:rPr>
                <w:rFonts w:hint="eastAsia" w:ascii="Times New Roman" w:hAnsi="Times New Roman" w:cs="Times New Roman"/>
                <w:color w:val="auto"/>
                <w:kern w:val="0"/>
                <w:sz w:val="24"/>
                <w:szCs w:val="24"/>
                <w:highlight w:val="none"/>
                <w:u w:val="none" w:color="auto"/>
                <w:lang w:val="en-US" w:eastAsia="zh-CN" w:bidi="ar-SA"/>
              </w:rPr>
              <w:t>9.37</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，故本项目采用</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处理洗砂废水是可行的。</w:t>
            </w:r>
          </w:p>
          <w:p w14:paraId="37C48EB8">
            <w:pPr>
              <w:pStyle w:val="37"/>
              <w:bidi w:val="0"/>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洗车槽</w:t>
            </w:r>
            <w:r>
              <w:rPr>
                <w:rFonts w:hint="eastAsia"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本项目设洗车区对进出场车辆轮胎进行冲洗</w:t>
            </w:r>
            <w:r>
              <w:rPr>
                <w:rFonts w:hint="eastAsia" w:ascii="Times New Roman" w:hAnsi="Times New Roman"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车辆冲洗废水产生量为0.1m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/h</w:t>
            </w:r>
            <w:r>
              <w:rPr>
                <w:rFonts w:hint="eastAsia" w:ascii="Times New Roman" w:hAnsi="Times New Roman" w:cs="Times New Roman"/>
                <w:color w:val="auto"/>
                <w:kern w:val="0"/>
                <w:sz w:val="24"/>
                <w:szCs w:val="24"/>
                <w:highlight w:val="none"/>
                <w:u w:val="none" w:color="auto"/>
                <w:lang w:val="en-US" w:eastAsia="zh-CN" w:bidi="ar-SA"/>
              </w:rPr>
              <w:t>；</w:t>
            </w:r>
            <w:r>
              <w:rPr>
                <w:rFonts w:hint="default" w:ascii="Times New Roman" w:hAnsi="Times New Roman" w:cs="Times New Roman"/>
                <w:color w:val="auto"/>
                <w:sz w:val="24"/>
                <w:highlight w:val="none"/>
                <w:u w:val="none"/>
              </w:rPr>
              <w:t>本项目</w:t>
            </w:r>
            <w:r>
              <w:rPr>
                <w:rFonts w:hint="eastAsia" w:cs="Times New Roman"/>
                <w:color w:val="auto"/>
                <w:sz w:val="24"/>
                <w:highlight w:val="none"/>
                <w:u w:val="none"/>
                <w:lang w:val="en-US" w:eastAsia="zh-CN"/>
              </w:rPr>
              <w:t>场区</w:t>
            </w:r>
            <w:r>
              <w:rPr>
                <w:rFonts w:hint="default" w:ascii="Times New Roman" w:hAnsi="Times New Roman" w:cs="Times New Roman"/>
                <w:color w:val="auto"/>
                <w:sz w:val="24"/>
                <w:highlight w:val="none"/>
                <w:u w:val="none"/>
              </w:rPr>
              <w:t>地面及道路需定期清扫及冲洗，</w:t>
            </w:r>
            <w:r>
              <w:rPr>
                <w:rFonts w:hint="eastAsia" w:cs="Times New Roman"/>
                <w:color w:val="auto"/>
                <w:sz w:val="24"/>
                <w:highlight w:val="none"/>
                <w:u w:val="none"/>
                <w:lang w:val="en-US" w:eastAsia="zh-CN"/>
              </w:rPr>
              <w:t>场区冲洗</w:t>
            </w:r>
            <w:r>
              <w:rPr>
                <w:rFonts w:hint="default" w:ascii="Times New Roman" w:hAnsi="Times New Roman" w:cs="Times New Roman"/>
                <w:color w:val="auto"/>
                <w:sz w:val="24"/>
                <w:highlight w:val="none"/>
                <w:u w:val="none"/>
              </w:rPr>
              <w:t>废水</w:t>
            </w:r>
            <w:r>
              <w:rPr>
                <w:rFonts w:hint="eastAsia" w:cs="Times New Roman"/>
                <w:color w:val="auto"/>
                <w:sz w:val="24"/>
                <w:highlight w:val="none"/>
                <w:u w:val="none"/>
                <w:lang w:val="en-US" w:eastAsia="zh-CN"/>
              </w:rPr>
              <w:t>生产</w:t>
            </w:r>
            <w:r>
              <w:rPr>
                <w:rFonts w:hint="default" w:ascii="Times New Roman" w:hAnsi="Times New Roman" w:cs="Times New Roman"/>
                <w:color w:val="auto"/>
                <w:sz w:val="24"/>
                <w:highlight w:val="none"/>
                <w:u w:val="none"/>
              </w:rPr>
              <w:t>量为</w:t>
            </w:r>
            <w:r>
              <w:rPr>
                <w:rFonts w:hint="eastAsia" w:cs="Times New Roman"/>
                <w:color w:val="auto"/>
                <w:sz w:val="24"/>
                <w:highlight w:val="none"/>
                <w:u w:val="none"/>
                <w:lang w:val="en-US" w:eastAsia="zh-CN"/>
              </w:rPr>
              <w:t>1.56</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/h</w:t>
            </w:r>
            <w:r>
              <w:rPr>
                <w:rFonts w:hint="eastAsia" w:cs="Times New Roman"/>
                <w:color w:val="auto"/>
                <w:kern w:val="0"/>
                <w:sz w:val="24"/>
                <w:szCs w:val="24"/>
                <w:highlight w:val="none"/>
                <w:u w:val="none" w:color="auto"/>
                <w:lang w:val="en-US" w:eastAsia="zh-CN" w:bidi="ar-SA"/>
              </w:rPr>
              <w:t>，本项目在地势低洼处设置</w:t>
            </w:r>
            <w:r>
              <w:rPr>
                <w:rFonts w:hint="eastAsia" w:ascii="Times New Roman" w:hAnsi="Times New Roman" w:eastAsia="宋体" w:cs="Times New Roman"/>
                <w:color w:val="auto"/>
                <w:kern w:val="0"/>
                <w:sz w:val="24"/>
                <w:szCs w:val="24"/>
                <w:highlight w:val="none"/>
                <w:u w:val="none" w:color="auto"/>
                <w:lang w:val="en-US" w:eastAsia="zh-CN" w:bidi="ar-SA"/>
              </w:rPr>
              <w:t>洗车区</w:t>
            </w:r>
            <w:r>
              <w:rPr>
                <w:rFonts w:hint="eastAsia" w:cs="Times New Roman"/>
                <w:color w:val="auto"/>
                <w:kern w:val="0"/>
                <w:sz w:val="24"/>
                <w:szCs w:val="24"/>
                <w:highlight w:val="none"/>
                <w:u w:val="none" w:color="auto"/>
                <w:lang w:val="en-US" w:eastAsia="zh-CN" w:bidi="ar-SA"/>
              </w:rPr>
              <w:t>，洗车区</w:t>
            </w:r>
            <w:r>
              <w:rPr>
                <w:rFonts w:hint="eastAsia" w:ascii="Times New Roman" w:hAnsi="Times New Roman" w:eastAsia="宋体" w:cs="Times New Roman"/>
                <w:color w:val="auto"/>
                <w:kern w:val="0"/>
                <w:sz w:val="24"/>
                <w:szCs w:val="24"/>
                <w:highlight w:val="none"/>
                <w:u w:val="none" w:color="auto"/>
                <w:lang w:val="en-US" w:eastAsia="zh-CN" w:bidi="ar-SA"/>
              </w:rPr>
              <w:t>设一处15m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专用洗车槽。本项目对车辆冲洗用水</w:t>
            </w:r>
            <w:r>
              <w:rPr>
                <w:rFonts w:hint="eastAsia" w:cs="Times New Roman"/>
                <w:color w:val="auto"/>
                <w:kern w:val="0"/>
                <w:sz w:val="24"/>
                <w:szCs w:val="24"/>
                <w:highlight w:val="none"/>
                <w:u w:val="none" w:color="auto"/>
                <w:lang w:val="en-US" w:eastAsia="zh-CN" w:bidi="ar-SA"/>
              </w:rPr>
              <w:t>与</w:t>
            </w:r>
            <w:r>
              <w:rPr>
                <w:rFonts w:hint="eastAsia" w:cs="Times New Roman"/>
                <w:color w:val="auto"/>
                <w:sz w:val="24"/>
                <w:highlight w:val="none"/>
                <w:u w:val="none"/>
                <w:lang w:val="en-US" w:eastAsia="zh-CN"/>
              </w:rPr>
              <w:t>场区</w:t>
            </w:r>
            <w:r>
              <w:rPr>
                <w:rFonts w:hint="default" w:ascii="Times New Roman" w:hAnsi="Times New Roman" w:cs="Times New Roman"/>
                <w:color w:val="auto"/>
                <w:sz w:val="24"/>
                <w:highlight w:val="none"/>
                <w:u w:val="none"/>
              </w:rPr>
              <w:t>地面及道路</w:t>
            </w:r>
            <w:r>
              <w:rPr>
                <w:rFonts w:hint="eastAsia" w:ascii="Times New Roman" w:hAnsi="Times New Roman" w:eastAsia="宋体" w:cs="Times New Roman"/>
                <w:color w:val="auto"/>
                <w:kern w:val="0"/>
                <w:sz w:val="24"/>
                <w:szCs w:val="24"/>
                <w:highlight w:val="none"/>
                <w:u w:val="none" w:color="auto"/>
                <w:lang w:val="en-US" w:eastAsia="zh-CN" w:bidi="ar-SA"/>
              </w:rPr>
              <w:t>洗用水要求低，且洗车槽容量能满足废水量，所以车辆冲洗废水经洗车槽处理后循环使用是可行的。</w:t>
            </w:r>
          </w:p>
          <w:p w14:paraId="564703C6">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cs="Times New Roman"/>
                <w:color w:val="auto"/>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初期雨水：本项目初期雨水量为</w:t>
            </w:r>
            <w:r>
              <w:rPr>
                <w:rFonts w:hint="eastAsia" w:ascii="Times New Roman" w:hAnsi="Times New Roman" w:cs="Times New Roman"/>
                <w:color w:val="auto"/>
                <w:kern w:val="0"/>
                <w:sz w:val="24"/>
                <w:szCs w:val="24"/>
                <w:highlight w:val="none"/>
                <w:u w:val="none" w:color="auto"/>
                <w:lang w:val="en-US" w:eastAsia="zh-CN" w:bidi="ar-SA"/>
              </w:rPr>
              <w:t>28.1</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/次。本次评价按</w:t>
            </w:r>
            <w:r>
              <w:rPr>
                <w:rFonts w:hint="eastAsia" w:ascii="Times New Roman" w:hAnsi="Times New Roman" w:cs="Times New Roman"/>
                <w:color w:val="auto"/>
                <w:kern w:val="0"/>
                <w:sz w:val="24"/>
                <w:szCs w:val="24"/>
                <w:highlight w:val="none"/>
                <w:u w:val="none" w:color="auto"/>
                <w:lang w:val="en-US" w:eastAsia="zh-CN" w:bidi="ar-SA"/>
              </w:rPr>
              <w:t>120</w:t>
            </w:r>
            <w:r>
              <w:rPr>
                <w:rFonts w:hint="eastAsia" w:ascii="Times New Roman" w:hAnsi="Times New Roman" w:eastAsia="宋体" w:cs="Times New Roman"/>
                <w:color w:val="auto"/>
                <w:kern w:val="0"/>
                <w:sz w:val="24"/>
                <w:szCs w:val="24"/>
                <w:highlight w:val="none"/>
                <w:u w:val="none" w:color="auto"/>
                <w:lang w:val="en-US" w:eastAsia="zh-CN" w:bidi="ar-SA"/>
              </w:rPr>
              <w:t>次每年进行估算，则本项目初期雨水年产生量为</w:t>
            </w:r>
            <w:r>
              <w:rPr>
                <w:rFonts w:hint="eastAsia" w:ascii="Times New Roman" w:hAnsi="Times New Roman" w:cs="Times New Roman"/>
                <w:color w:val="auto"/>
                <w:kern w:val="0"/>
                <w:sz w:val="24"/>
                <w:szCs w:val="24"/>
                <w:highlight w:val="none"/>
                <w:u w:val="none" w:color="auto"/>
                <w:lang w:val="en-US" w:eastAsia="zh-CN" w:bidi="ar-SA"/>
              </w:rPr>
              <w:t>3372</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/a。项目初期雨水收集至</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，初期雨水所含污染物主要为悬浮物，经</w:t>
            </w:r>
            <w:r>
              <w:rPr>
                <w:rFonts w:hint="eastAsia" w:ascii="Times New Roman" w:hAnsi="Times New Roman" w:cs="Times New Roman"/>
                <w:color w:val="auto"/>
                <w:kern w:val="0"/>
                <w:sz w:val="24"/>
                <w:szCs w:val="24"/>
                <w:highlight w:val="none"/>
                <w:u w:val="none" w:color="auto"/>
                <w:lang w:val="en-US" w:eastAsia="zh-CN" w:bidi="ar-SA"/>
              </w:rPr>
              <w:t>絮凝沉淀</w:t>
            </w:r>
            <w:r>
              <w:rPr>
                <w:rFonts w:hint="eastAsia" w:ascii="Times New Roman" w:hAnsi="Times New Roman" w:eastAsia="宋体" w:cs="Times New Roman"/>
                <w:color w:val="auto"/>
                <w:kern w:val="0"/>
                <w:sz w:val="24"/>
                <w:szCs w:val="24"/>
                <w:highlight w:val="none"/>
                <w:u w:val="none" w:color="auto"/>
                <w:lang w:val="en-US" w:eastAsia="zh-CN" w:bidi="ar-SA"/>
              </w:rPr>
              <w:t>处理后，悬浮物含量大幅度降低，能作为厂区内道路洒水抑尘用水；并且，本项目初期雨水年产生量为</w:t>
            </w:r>
            <w:r>
              <w:rPr>
                <w:rFonts w:hint="eastAsia" w:ascii="Times New Roman" w:hAnsi="Times New Roman" w:cs="Times New Roman"/>
                <w:color w:val="auto"/>
                <w:kern w:val="0"/>
                <w:sz w:val="24"/>
                <w:szCs w:val="24"/>
                <w:highlight w:val="none"/>
                <w:u w:val="none" w:color="auto"/>
                <w:lang w:val="en-US" w:eastAsia="zh-CN" w:bidi="ar-SA"/>
              </w:rPr>
              <w:t>3372</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/a，低于厂区内洒水抑尘用水的年用水量，则从水量考虑，本项目初期雨水经处理后，能全部回用于厂区内道路洒水抑尘及车辆冲洗，不外排。</w:t>
            </w:r>
          </w:p>
          <w:p w14:paraId="674C43F8">
            <w:pPr>
              <w:pStyle w:val="37"/>
              <w:bidi w:val="0"/>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综上，本项目废水治理设施是合理可行的。</w:t>
            </w:r>
          </w:p>
          <w:p w14:paraId="398EED23">
            <w:pPr>
              <w:pStyle w:val="37"/>
              <w:bidi w:val="0"/>
              <w:rPr>
                <w:rFonts w:hint="default" w:ascii="Times New Roman" w:hAnsi="Times New Roman" w:cs="Times New Roman"/>
                <w:b/>
                <w:bCs/>
                <w:color w:val="auto"/>
                <w:highlight w:val="none"/>
                <w:u w:val="none" w:color="auto"/>
                <w:lang w:val="en-US" w:eastAsia="zh-CN"/>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44479AA6">
            <w:pPr>
              <w:pStyle w:val="37"/>
              <w:bidi w:val="0"/>
              <w:rPr>
                <w:rFonts w:hint="default"/>
                <w:color w:val="auto"/>
                <w:highlight w:val="none"/>
                <w:u w:val="none" w:color="auto"/>
              </w:rPr>
            </w:pPr>
            <w:r>
              <w:rPr>
                <w:rFonts w:hint="default"/>
                <w:color w:val="auto"/>
                <w:highlight w:val="none"/>
                <w:u w:val="none" w:color="auto"/>
              </w:rPr>
              <w:t>本项目的生活污水经化粪池处理后用作农肥，不外排。因此无废水污染物排放监测要求。</w:t>
            </w:r>
          </w:p>
          <w:p w14:paraId="3B2E1474">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三、噪声</w:t>
            </w:r>
          </w:p>
          <w:p w14:paraId="78A508F2">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源强分析</w:t>
            </w:r>
          </w:p>
          <w:p w14:paraId="302084B8">
            <w:pPr>
              <w:spacing w:line="360" w:lineRule="auto"/>
              <w:ind w:firstLine="480" w:firstLineChars="200"/>
              <w:rPr>
                <w:rFonts w:hint="default" w:ascii="Times New Roman" w:hAnsi="Times New Roman" w:cs="Times New Roman"/>
                <w:color w:val="auto"/>
                <w:highlight w:val="none"/>
                <w:u w:val="none" w:color="auto"/>
              </w:rPr>
            </w:pPr>
            <w:r>
              <w:rPr>
                <w:color w:val="auto"/>
                <w:sz w:val="24"/>
                <w:highlight w:val="none"/>
                <w:u w:val="none" w:color="auto"/>
              </w:rPr>
              <w:t>项目噪声主要来源于生产设备运行时产生的噪声，其噪声值在</w:t>
            </w:r>
            <w:r>
              <w:rPr>
                <w:rFonts w:hint="eastAsia"/>
                <w:color w:val="auto"/>
                <w:sz w:val="24"/>
                <w:highlight w:val="none"/>
                <w:u w:val="none" w:color="auto"/>
                <w:lang w:val="en-US" w:eastAsia="zh-CN"/>
              </w:rPr>
              <w:t>70</w:t>
            </w:r>
            <w:r>
              <w:rPr>
                <w:color w:val="auto"/>
                <w:sz w:val="24"/>
                <w:highlight w:val="none"/>
                <w:u w:val="none" w:color="auto"/>
              </w:rPr>
              <w:t>~</w:t>
            </w:r>
            <w:r>
              <w:rPr>
                <w:rFonts w:hint="eastAsia"/>
                <w:color w:val="auto"/>
                <w:sz w:val="24"/>
                <w:highlight w:val="none"/>
                <w:u w:val="none" w:color="auto"/>
                <w:lang w:val="en-US" w:eastAsia="zh-CN"/>
              </w:rPr>
              <w:t>80</w:t>
            </w:r>
            <w:r>
              <w:rPr>
                <w:color w:val="auto"/>
                <w:sz w:val="24"/>
                <w:highlight w:val="none"/>
                <w:u w:val="none" w:color="auto"/>
              </w:rPr>
              <w:t>dB（A）之间，生产设备均位于室内。各噪声源源强见下</w:t>
            </w:r>
            <w:r>
              <w:rPr>
                <w:rFonts w:hint="default" w:ascii="Times New Roman" w:hAnsi="Times New Roman" w:eastAsia="宋体" w:cs="Times New Roman"/>
                <w:b w:val="0"/>
                <w:bCs w:val="0"/>
                <w:color w:val="auto"/>
                <w:kern w:val="0"/>
                <w:sz w:val="24"/>
                <w:szCs w:val="24"/>
                <w:highlight w:val="none"/>
                <w:u w:val="none" w:color="auto"/>
                <w:lang w:val="en-US" w:eastAsia="zh-CN" w:bidi="ar-SA"/>
              </w:rPr>
              <w:t>表4-</w:t>
            </w:r>
            <w:r>
              <w:rPr>
                <w:rFonts w:hint="eastAsia" w:cs="Times New Roman"/>
                <w:b w:val="0"/>
                <w:bCs w:val="0"/>
                <w:color w:val="auto"/>
                <w:kern w:val="0"/>
                <w:sz w:val="24"/>
                <w:szCs w:val="24"/>
                <w:highlight w:val="none"/>
                <w:u w:val="none" w:color="auto"/>
                <w:lang w:val="en-US" w:eastAsia="zh-CN" w:bidi="ar-SA"/>
              </w:rPr>
              <w:t>4</w:t>
            </w:r>
            <w:r>
              <w:rPr>
                <w:rFonts w:hint="default" w:ascii="Times New Roman" w:hAnsi="Times New Roman" w:eastAsia="宋体" w:cs="Times New Roman"/>
                <w:b w:val="0"/>
                <w:bCs w:val="0"/>
                <w:color w:val="auto"/>
                <w:kern w:val="0"/>
                <w:sz w:val="24"/>
                <w:szCs w:val="24"/>
                <w:highlight w:val="none"/>
                <w:u w:val="none" w:color="auto"/>
                <w:lang w:val="en-US" w:eastAsia="zh-CN" w:bidi="ar-SA"/>
              </w:rPr>
              <w:t>。</w:t>
            </w:r>
          </w:p>
          <w:p w14:paraId="4DC67CC1">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4   </w:t>
            </w:r>
            <w:r>
              <w:rPr>
                <w:rFonts w:hint="default" w:ascii="Times New Roman" w:hAnsi="Times New Roman" w:cs="Times New Roman"/>
                <w:b/>
                <w:bCs/>
                <w:color w:val="auto"/>
                <w:highlight w:val="none"/>
                <w:u w:val="none" w:color="auto"/>
              </w:rPr>
              <w:t>工程设备噪声源强一览表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7"/>
              <w:gridCol w:w="427"/>
              <w:gridCol w:w="427"/>
              <w:gridCol w:w="823"/>
              <w:gridCol w:w="636"/>
              <w:gridCol w:w="426"/>
              <w:gridCol w:w="496"/>
              <w:gridCol w:w="357"/>
              <w:gridCol w:w="426"/>
              <w:gridCol w:w="426"/>
              <w:gridCol w:w="823"/>
              <w:gridCol w:w="531"/>
              <w:gridCol w:w="765"/>
              <w:gridCol w:w="823"/>
              <w:gridCol w:w="427"/>
            </w:tblGrid>
            <w:tr w14:paraId="045C47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restart"/>
                  <w:noWrap w:val="0"/>
                  <w:vAlign w:val="center"/>
                </w:tcPr>
                <w:p w14:paraId="015CF43B">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序</w:t>
                  </w:r>
                </w:p>
                <w:p w14:paraId="2833D92F">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号</w:t>
                  </w:r>
                </w:p>
              </w:tc>
              <w:tc>
                <w:tcPr>
                  <w:tcW w:w="427" w:type="dxa"/>
                  <w:vMerge w:val="restart"/>
                  <w:noWrap w:val="0"/>
                  <w:vAlign w:val="center"/>
                </w:tcPr>
                <w:p w14:paraId="162A0AE5">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w:t>
                  </w:r>
                </w:p>
                <w:p w14:paraId="633BCAA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名称</w:t>
                  </w:r>
                </w:p>
              </w:tc>
              <w:tc>
                <w:tcPr>
                  <w:tcW w:w="427" w:type="dxa"/>
                  <w:vMerge w:val="restart"/>
                  <w:noWrap w:val="0"/>
                  <w:vAlign w:val="center"/>
                </w:tcPr>
                <w:p w14:paraId="17650FE2">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声源名</w:t>
                  </w:r>
                </w:p>
                <w:p w14:paraId="4E116653">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称</w:t>
                  </w:r>
                </w:p>
              </w:tc>
              <w:tc>
                <w:tcPr>
                  <w:tcW w:w="823" w:type="dxa"/>
                  <w:vMerge w:val="restart"/>
                  <w:noWrap w:val="0"/>
                  <w:vAlign w:val="center"/>
                </w:tcPr>
                <w:p w14:paraId="5DEDF54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声功率级</w:t>
                  </w:r>
                </w:p>
                <w:p w14:paraId="4BCBA49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636" w:type="dxa"/>
                  <w:vMerge w:val="restart"/>
                  <w:noWrap w:val="0"/>
                  <w:vAlign w:val="center"/>
                </w:tcPr>
                <w:p w14:paraId="68A6DAC1">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声源控</w:t>
                  </w:r>
                </w:p>
                <w:p w14:paraId="4BD2ADB2">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0"/>
                      <w:sz w:val="21"/>
                      <w:szCs w:val="21"/>
                      <w:highlight w:val="none"/>
                      <w:u w:val="none" w:color="auto"/>
                      <w:lang w:bidi="ar"/>
                    </w:rPr>
                    <w:t>制措施</w:t>
                  </w:r>
                </w:p>
              </w:tc>
              <w:tc>
                <w:tcPr>
                  <w:tcW w:w="1292" w:type="dxa"/>
                  <w:gridSpan w:val="3"/>
                  <w:noWrap w:val="0"/>
                  <w:vAlign w:val="center"/>
                </w:tcPr>
                <w:p w14:paraId="0ABC3991">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空间相对位置/m</w:t>
                  </w:r>
                </w:p>
              </w:tc>
              <w:tc>
                <w:tcPr>
                  <w:tcW w:w="772" w:type="dxa"/>
                  <w:gridSpan w:val="2"/>
                  <w:vMerge w:val="restart"/>
                  <w:noWrap w:val="0"/>
                  <w:vAlign w:val="center"/>
                </w:tcPr>
                <w:p w14:paraId="463CD41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距室内边</w:t>
                  </w:r>
                </w:p>
                <w:p w14:paraId="73D5D572">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界距离/m</w:t>
                  </w:r>
                </w:p>
              </w:tc>
              <w:tc>
                <w:tcPr>
                  <w:tcW w:w="721" w:type="dxa"/>
                  <w:vMerge w:val="restart"/>
                  <w:noWrap w:val="0"/>
                  <w:vAlign w:val="center"/>
                </w:tcPr>
                <w:p w14:paraId="5373A59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室内边界</w:t>
                  </w:r>
                </w:p>
                <w:p w14:paraId="3A0F549B">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声级</w:t>
                  </w:r>
                </w:p>
                <w:p w14:paraId="0EFBEA3B">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438" w:type="dxa"/>
                  <w:vMerge w:val="restart"/>
                  <w:noWrap w:val="0"/>
                  <w:vAlign w:val="center"/>
                </w:tcPr>
                <w:p w14:paraId="209EA7A4">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运行时</w:t>
                  </w:r>
                </w:p>
                <w:p w14:paraId="1DC078B8">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段</w:t>
                  </w:r>
                </w:p>
              </w:tc>
              <w:tc>
                <w:tcPr>
                  <w:tcW w:w="766" w:type="dxa"/>
                  <w:vMerge w:val="restart"/>
                  <w:noWrap w:val="0"/>
                  <w:vAlign w:val="center"/>
                </w:tcPr>
                <w:p w14:paraId="597F044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建筑物插入损</w:t>
                  </w:r>
                </w:p>
                <w:p w14:paraId="499A969E">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失/</w:t>
                  </w:r>
                </w:p>
                <w:p w14:paraId="6565108D">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1253" w:type="dxa"/>
                  <w:gridSpan w:val="2"/>
                  <w:noWrap w:val="0"/>
                  <w:vAlign w:val="center"/>
                </w:tcPr>
                <w:p w14:paraId="247E79DD">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建筑物外噪声</w:t>
                  </w:r>
                </w:p>
              </w:tc>
            </w:tr>
            <w:tr w14:paraId="5DB9B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continue"/>
                  <w:noWrap w:val="0"/>
                  <w:vAlign w:val="center"/>
                </w:tcPr>
                <w:p w14:paraId="7C58B595">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631715B2">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72E48BED">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38F4A68B">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6EB66EF6">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6" w:type="dxa"/>
                  <w:noWrap w:val="0"/>
                  <w:vAlign w:val="center"/>
                </w:tcPr>
                <w:p w14:paraId="736744F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X</w:t>
                  </w:r>
                </w:p>
              </w:tc>
              <w:tc>
                <w:tcPr>
                  <w:tcW w:w="496" w:type="dxa"/>
                  <w:noWrap w:val="0"/>
                  <w:vAlign w:val="center"/>
                </w:tcPr>
                <w:p w14:paraId="3FCBC19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Y</w:t>
                  </w:r>
                </w:p>
              </w:tc>
              <w:tc>
                <w:tcPr>
                  <w:tcW w:w="370" w:type="dxa"/>
                  <w:noWrap w:val="0"/>
                  <w:vAlign w:val="center"/>
                </w:tcPr>
                <w:p w14:paraId="3B8AAC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Z</w:t>
                  </w:r>
                </w:p>
              </w:tc>
              <w:tc>
                <w:tcPr>
                  <w:tcW w:w="772" w:type="dxa"/>
                  <w:gridSpan w:val="2"/>
                  <w:vMerge w:val="continue"/>
                  <w:noWrap w:val="0"/>
                  <w:vAlign w:val="center"/>
                </w:tcPr>
                <w:p w14:paraId="0B6E9CC9">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721" w:type="dxa"/>
                  <w:vMerge w:val="continue"/>
                  <w:noWrap w:val="0"/>
                  <w:vAlign w:val="center"/>
                </w:tcPr>
                <w:p w14:paraId="4C36C2DA">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38" w:type="dxa"/>
                  <w:vMerge w:val="continue"/>
                  <w:noWrap w:val="0"/>
                  <w:vAlign w:val="center"/>
                </w:tcPr>
                <w:p w14:paraId="22743FD0">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30387E4">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4" w:type="dxa"/>
                  <w:noWrap w:val="0"/>
                  <w:vAlign w:val="center"/>
                </w:tcPr>
                <w:p w14:paraId="436D6293">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声压级</w:t>
                  </w:r>
                </w:p>
                <w:p w14:paraId="03487979">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429" w:type="dxa"/>
                  <w:noWrap w:val="0"/>
                  <w:vAlign w:val="center"/>
                </w:tcPr>
                <w:p w14:paraId="1FAB427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w:t>
                  </w:r>
                </w:p>
                <w:p w14:paraId="0F7ABCFF">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外距离</w:t>
                  </w:r>
                </w:p>
              </w:tc>
            </w:tr>
            <w:tr w14:paraId="7E393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restart"/>
                  <w:noWrap w:val="0"/>
                  <w:vAlign w:val="center"/>
                </w:tcPr>
                <w:p w14:paraId="0FF0117E">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z w:val="21"/>
                      <w:szCs w:val="21"/>
                      <w:highlight w:val="none"/>
                      <w:u w:val="none" w:color="auto"/>
                    </w:rPr>
                    <w:t>l</w:t>
                  </w:r>
                </w:p>
              </w:tc>
              <w:tc>
                <w:tcPr>
                  <w:tcW w:w="427" w:type="dxa"/>
                  <w:vMerge w:val="restart"/>
                  <w:noWrap w:val="0"/>
                  <w:vAlign w:val="center"/>
                </w:tcPr>
                <w:p w14:paraId="62F86AB3">
                  <w:pPr>
                    <w:keepNext w:val="0"/>
                    <w:keepLines w:val="0"/>
                    <w:pageBreakBefore w:val="0"/>
                    <w:kinsoku/>
                    <w:wordWrap/>
                    <w:overflowPunct/>
                    <w:topLinePunct w:val="0"/>
                    <w:autoSpaceDE/>
                    <w:autoSpaceDN/>
                    <w:bidi w:val="0"/>
                    <w:snapToGrid/>
                    <w:jc w:val="center"/>
                    <w:rPr>
                      <w:rFonts w:hint="default"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rPr>
                    <w:t>生产</w:t>
                  </w:r>
                  <w:r>
                    <w:rPr>
                      <w:rFonts w:hint="default" w:ascii="Times New Roman" w:hAnsi="Times New Roman" w:eastAsia="宋体" w:cs="Times New Roman"/>
                      <w:b w:val="0"/>
                      <w:bCs w:val="0"/>
                      <w:color w:val="auto"/>
                      <w:sz w:val="21"/>
                      <w:szCs w:val="21"/>
                      <w:highlight w:val="none"/>
                      <w:u w:val="none" w:color="auto"/>
                      <w:lang w:val="en-US" w:eastAsia="zh-CN"/>
                    </w:rPr>
                    <w:t>厂房</w:t>
                  </w:r>
                </w:p>
              </w:tc>
              <w:tc>
                <w:tcPr>
                  <w:tcW w:w="427" w:type="dxa"/>
                  <w:vMerge w:val="restart"/>
                  <w:noWrap w:val="0"/>
                  <w:vAlign w:val="center"/>
                </w:tcPr>
                <w:p w14:paraId="2E3EC7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板式压滤机</w:t>
                  </w:r>
                </w:p>
              </w:tc>
              <w:tc>
                <w:tcPr>
                  <w:tcW w:w="823" w:type="dxa"/>
                  <w:vMerge w:val="restart"/>
                  <w:noWrap w:val="0"/>
                  <w:vAlign w:val="center"/>
                </w:tcPr>
                <w:p w14:paraId="2DB119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75</w:t>
                  </w:r>
                </w:p>
              </w:tc>
              <w:tc>
                <w:tcPr>
                  <w:tcW w:w="636" w:type="dxa"/>
                  <w:vMerge w:val="restart"/>
                  <w:noWrap w:val="0"/>
                  <w:vAlign w:val="center"/>
                </w:tcPr>
                <w:p w14:paraId="41B0EA4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合理布置、基础减震、隔声处理，绿化带、围墙隔声，加强管理和设备的保养，防止异常</w:t>
                  </w:r>
                  <w:r>
                    <w:rPr>
                      <w:rFonts w:hint="eastAsia" w:cs="Times New Roman"/>
                      <w:b w:val="0"/>
                      <w:bCs w:val="0"/>
                      <w:color w:val="auto"/>
                      <w:spacing w:val="0"/>
                      <w:position w:val="0"/>
                      <w:sz w:val="21"/>
                      <w:szCs w:val="21"/>
                      <w:highlight w:val="none"/>
                      <w:u w:val="none" w:color="auto"/>
                      <w:lang w:eastAsia="zh-CN"/>
                    </w:rPr>
                    <w:t>噪染</w:t>
                  </w:r>
                </w:p>
              </w:tc>
              <w:tc>
                <w:tcPr>
                  <w:tcW w:w="426" w:type="dxa"/>
                  <w:vMerge w:val="restart"/>
                  <w:noWrap w:val="0"/>
                  <w:vAlign w:val="center"/>
                </w:tcPr>
                <w:p w14:paraId="5B1EFA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20</w:t>
                  </w:r>
                </w:p>
              </w:tc>
              <w:tc>
                <w:tcPr>
                  <w:tcW w:w="496" w:type="dxa"/>
                  <w:vMerge w:val="restart"/>
                  <w:noWrap w:val="0"/>
                  <w:vAlign w:val="center"/>
                </w:tcPr>
                <w:p w14:paraId="2615CE3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-20</w:t>
                  </w:r>
                </w:p>
              </w:tc>
              <w:tc>
                <w:tcPr>
                  <w:tcW w:w="370" w:type="dxa"/>
                  <w:vMerge w:val="restart"/>
                  <w:noWrap w:val="0"/>
                  <w:vAlign w:val="center"/>
                </w:tcPr>
                <w:p w14:paraId="25F7C974">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5</w:t>
                  </w:r>
                </w:p>
              </w:tc>
              <w:tc>
                <w:tcPr>
                  <w:tcW w:w="325" w:type="dxa"/>
                  <w:noWrap w:val="0"/>
                  <w:vAlign w:val="center"/>
                </w:tcPr>
                <w:p w14:paraId="1982F7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7D947D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w:t>
                  </w:r>
                </w:p>
              </w:tc>
              <w:tc>
                <w:tcPr>
                  <w:tcW w:w="721" w:type="dxa"/>
                  <w:noWrap w:val="0"/>
                  <w:vAlign w:val="center"/>
                </w:tcPr>
                <w:p w14:paraId="135FF09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60.03</w:t>
                  </w:r>
                </w:p>
              </w:tc>
              <w:tc>
                <w:tcPr>
                  <w:tcW w:w="438" w:type="dxa"/>
                  <w:vMerge w:val="restart"/>
                  <w:noWrap w:val="0"/>
                  <w:vAlign w:val="center"/>
                </w:tcPr>
                <w:p w14:paraId="011DBF9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16h</w:t>
                  </w:r>
                </w:p>
              </w:tc>
              <w:tc>
                <w:tcPr>
                  <w:tcW w:w="766" w:type="dxa"/>
                  <w:vMerge w:val="restart"/>
                  <w:noWrap w:val="0"/>
                  <w:vAlign w:val="center"/>
                </w:tcPr>
                <w:p w14:paraId="69C5F45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w:t>
                  </w:r>
                </w:p>
              </w:tc>
              <w:tc>
                <w:tcPr>
                  <w:tcW w:w="824" w:type="dxa"/>
                  <w:noWrap w:val="0"/>
                  <w:vAlign w:val="center"/>
                </w:tcPr>
                <w:p w14:paraId="5FB5BAB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45.03</w:t>
                  </w:r>
                </w:p>
              </w:tc>
              <w:tc>
                <w:tcPr>
                  <w:tcW w:w="429" w:type="dxa"/>
                  <w:noWrap w:val="0"/>
                  <w:vAlign w:val="center"/>
                </w:tcPr>
                <w:p w14:paraId="04A8BDA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C0DCE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442F2F4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381A51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661B6AD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290847F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1863C1A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44603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B54A55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604EB45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19AC63C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1A9B70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w:t>
                  </w:r>
                </w:p>
              </w:tc>
              <w:tc>
                <w:tcPr>
                  <w:tcW w:w="721" w:type="dxa"/>
                  <w:noWrap w:val="0"/>
                  <w:vAlign w:val="center"/>
                </w:tcPr>
                <w:p w14:paraId="4087A47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64.95</w:t>
                  </w:r>
                </w:p>
              </w:tc>
              <w:tc>
                <w:tcPr>
                  <w:tcW w:w="438" w:type="dxa"/>
                  <w:vMerge w:val="continue"/>
                  <w:noWrap w:val="0"/>
                  <w:vAlign w:val="center"/>
                </w:tcPr>
                <w:p w14:paraId="7CCA70A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6558B2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4A41A7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49.95</w:t>
                  </w:r>
                </w:p>
              </w:tc>
              <w:tc>
                <w:tcPr>
                  <w:tcW w:w="429" w:type="dxa"/>
                  <w:noWrap w:val="0"/>
                  <w:vAlign w:val="center"/>
                </w:tcPr>
                <w:p w14:paraId="1358AE7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114F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continue"/>
                  <w:noWrap w:val="0"/>
                  <w:vAlign w:val="center"/>
                </w:tcPr>
                <w:p w14:paraId="61D64F9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6AF276A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0494D0F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FF647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BD749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81E05C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59F7FB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61FC38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54312A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414643C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60</w:t>
                  </w:r>
                </w:p>
              </w:tc>
              <w:tc>
                <w:tcPr>
                  <w:tcW w:w="721" w:type="dxa"/>
                  <w:noWrap w:val="0"/>
                  <w:vAlign w:val="center"/>
                </w:tcPr>
                <w:p w14:paraId="59D556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40.33</w:t>
                  </w:r>
                </w:p>
              </w:tc>
              <w:tc>
                <w:tcPr>
                  <w:tcW w:w="438" w:type="dxa"/>
                  <w:vMerge w:val="continue"/>
                  <w:noWrap w:val="0"/>
                  <w:vAlign w:val="center"/>
                </w:tcPr>
                <w:p w14:paraId="3012E81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72D667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216425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25.33</w:t>
                  </w:r>
                </w:p>
              </w:tc>
              <w:tc>
                <w:tcPr>
                  <w:tcW w:w="429" w:type="dxa"/>
                  <w:noWrap w:val="0"/>
                  <w:vAlign w:val="center"/>
                </w:tcPr>
                <w:p w14:paraId="2A3FEF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7159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continue"/>
                  <w:noWrap w:val="0"/>
                  <w:vAlign w:val="center"/>
                </w:tcPr>
                <w:p w14:paraId="5B2A0B1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09B26E19">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64B642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75CFC7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EC884C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4E1B8E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917183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5B026A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4E946C9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68802A1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40</w:t>
                  </w:r>
                </w:p>
              </w:tc>
              <w:tc>
                <w:tcPr>
                  <w:tcW w:w="721" w:type="dxa"/>
                  <w:noWrap w:val="0"/>
                  <w:vAlign w:val="center"/>
                </w:tcPr>
                <w:p w14:paraId="3CD0FE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48.16</w:t>
                  </w:r>
                </w:p>
              </w:tc>
              <w:tc>
                <w:tcPr>
                  <w:tcW w:w="438" w:type="dxa"/>
                  <w:vMerge w:val="continue"/>
                  <w:noWrap w:val="0"/>
                  <w:vAlign w:val="center"/>
                </w:tcPr>
                <w:p w14:paraId="78A34F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9AF388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193F9D2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33.16</w:t>
                  </w:r>
                </w:p>
              </w:tc>
              <w:tc>
                <w:tcPr>
                  <w:tcW w:w="429" w:type="dxa"/>
                  <w:noWrap w:val="0"/>
                  <w:vAlign w:val="center"/>
                </w:tcPr>
                <w:p w14:paraId="3BC219E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50FE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restart"/>
                  <w:noWrap w:val="0"/>
                  <w:vAlign w:val="center"/>
                </w:tcPr>
                <w:p w14:paraId="464E345B">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val="0"/>
                      <w:bCs w:val="0"/>
                      <w:color w:val="auto"/>
                      <w:szCs w:val="21"/>
                      <w:highlight w:val="none"/>
                      <w:u w:val="none" w:color="auto"/>
                      <w:lang w:val="en-US" w:eastAsia="zh-CN"/>
                    </w:rPr>
                  </w:pPr>
                  <w:r>
                    <w:rPr>
                      <w:rFonts w:hint="eastAsia" w:ascii="Times New Roman" w:hAnsi="Times New Roman" w:eastAsia="宋体" w:cs="Times New Roman"/>
                      <w:b w:val="0"/>
                      <w:bCs w:val="0"/>
                      <w:color w:val="auto"/>
                      <w:szCs w:val="21"/>
                      <w:highlight w:val="none"/>
                      <w:u w:val="none" w:color="auto"/>
                      <w:lang w:val="en-US" w:eastAsia="zh-CN"/>
                    </w:rPr>
                    <w:t>2</w:t>
                  </w:r>
                </w:p>
              </w:tc>
              <w:tc>
                <w:tcPr>
                  <w:tcW w:w="427" w:type="dxa"/>
                  <w:vMerge w:val="continue"/>
                  <w:noWrap w:val="0"/>
                  <w:vAlign w:val="center"/>
                </w:tcPr>
                <w:p w14:paraId="259E468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restart"/>
                  <w:noWrap w:val="0"/>
                  <w:vAlign w:val="center"/>
                </w:tcPr>
                <w:p w14:paraId="706CD9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脱水筛</w:t>
                  </w:r>
                </w:p>
              </w:tc>
              <w:tc>
                <w:tcPr>
                  <w:tcW w:w="823" w:type="dxa"/>
                  <w:vMerge w:val="restart"/>
                  <w:noWrap w:val="0"/>
                  <w:vAlign w:val="center"/>
                </w:tcPr>
                <w:p w14:paraId="0C7FDDC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75</w:t>
                  </w:r>
                </w:p>
              </w:tc>
              <w:tc>
                <w:tcPr>
                  <w:tcW w:w="636" w:type="dxa"/>
                  <w:vMerge w:val="continue"/>
                  <w:noWrap w:val="0"/>
                  <w:vAlign w:val="center"/>
                </w:tcPr>
                <w:p w14:paraId="5942B3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restart"/>
                  <w:noWrap w:val="0"/>
                  <w:vAlign w:val="center"/>
                </w:tcPr>
                <w:p w14:paraId="175966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15</w:t>
                  </w:r>
                </w:p>
              </w:tc>
              <w:tc>
                <w:tcPr>
                  <w:tcW w:w="496" w:type="dxa"/>
                  <w:vMerge w:val="restart"/>
                  <w:noWrap w:val="0"/>
                  <w:vAlign w:val="center"/>
                </w:tcPr>
                <w:p w14:paraId="56E19424">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-15</w:t>
                  </w:r>
                </w:p>
              </w:tc>
              <w:tc>
                <w:tcPr>
                  <w:tcW w:w="370" w:type="dxa"/>
                  <w:vMerge w:val="restart"/>
                  <w:noWrap w:val="0"/>
                  <w:vAlign w:val="center"/>
                </w:tcPr>
                <w:p w14:paraId="5391C33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3</w:t>
                  </w:r>
                </w:p>
              </w:tc>
              <w:tc>
                <w:tcPr>
                  <w:tcW w:w="325" w:type="dxa"/>
                  <w:noWrap w:val="0"/>
                  <w:vAlign w:val="center"/>
                </w:tcPr>
                <w:p w14:paraId="47CBE9D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03B999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w:t>
                  </w:r>
                </w:p>
              </w:tc>
              <w:tc>
                <w:tcPr>
                  <w:tcW w:w="721" w:type="dxa"/>
                  <w:noWrap w:val="0"/>
                  <w:vAlign w:val="center"/>
                </w:tcPr>
                <w:p w14:paraId="64BA6FE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62.46</w:t>
                  </w:r>
                </w:p>
              </w:tc>
              <w:tc>
                <w:tcPr>
                  <w:tcW w:w="438" w:type="dxa"/>
                  <w:vMerge w:val="continue"/>
                  <w:noWrap w:val="0"/>
                  <w:vAlign w:val="center"/>
                </w:tcPr>
                <w:p w14:paraId="651EE7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6A4F285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67D82E3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47.46</w:t>
                  </w:r>
                </w:p>
              </w:tc>
              <w:tc>
                <w:tcPr>
                  <w:tcW w:w="429" w:type="dxa"/>
                  <w:noWrap w:val="0"/>
                  <w:vAlign w:val="center"/>
                </w:tcPr>
                <w:p w14:paraId="6BF79E1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91F78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76C2F8E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60D567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258E935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14422DA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6B7A9D1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A1FEC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3F78BB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59311CF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0C15E2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5443A3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721" w:type="dxa"/>
                  <w:noWrap w:val="0"/>
                  <w:vAlign w:val="center"/>
                </w:tcPr>
                <w:p w14:paraId="1586196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64.06</w:t>
                  </w:r>
                </w:p>
              </w:tc>
              <w:tc>
                <w:tcPr>
                  <w:tcW w:w="438" w:type="dxa"/>
                  <w:vMerge w:val="continue"/>
                  <w:noWrap w:val="0"/>
                  <w:vAlign w:val="center"/>
                </w:tcPr>
                <w:p w14:paraId="3026ADA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04C0E7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17EF797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49.06</w:t>
                  </w:r>
                </w:p>
              </w:tc>
              <w:tc>
                <w:tcPr>
                  <w:tcW w:w="429" w:type="dxa"/>
                  <w:noWrap w:val="0"/>
                  <w:vAlign w:val="center"/>
                </w:tcPr>
                <w:p w14:paraId="233CB6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851E4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28F83FC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371CDAA">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BC381B4">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B1FC0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A56573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D56340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3A1505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35CDC91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0DDD3B3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26E4D4C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55</w:t>
                  </w:r>
                </w:p>
              </w:tc>
              <w:tc>
                <w:tcPr>
                  <w:tcW w:w="721" w:type="dxa"/>
                  <w:noWrap w:val="0"/>
                  <w:vAlign w:val="center"/>
                </w:tcPr>
                <w:p w14:paraId="6E7802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41.03</w:t>
                  </w:r>
                </w:p>
              </w:tc>
              <w:tc>
                <w:tcPr>
                  <w:tcW w:w="438" w:type="dxa"/>
                  <w:vMerge w:val="continue"/>
                  <w:noWrap w:val="0"/>
                  <w:vAlign w:val="center"/>
                </w:tcPr>
                <w:p w14:paraId="73C625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0E3478A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678168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26.03</w:t>
                  </w:r>
                </w:p>
              </w:tc>
              <w:tc>
                <w:tcPr>
                  <w:tcW w:w="429" w:type="dxa"/>
                  <w:noWrap w:val="0"/>
                  <w:vAlign w:val="center"/>
                </w:tcPr>
                <w:p w14:paraId="236E7A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80517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5090ADBA">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4AD99C9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353C541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2A0698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5E53DC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2CB0C0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710B92D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7DC3C45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6F5B51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5904816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721" w:type="dxa"/>
                  <w:noWrap w:val="0"/>
                  <w:vAlign w:val="center"/>
                </w:tcPr>
                <w:p w14:paraId="708BC4D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48.27</w:t>
                  </w:r>
                </w:p>
              </w:tc>
              <w:tc>
                <w:tcPr>
                  <w:tcW w:w="438" w:type="dxa"/>
                  <w:vMerge w:val="continue"/>
                  <w:noWrap w:val="0"/>
                  <w:vAlign w:val="center"/>
                </w:tcPr>
                <w:p w14:paraId="314AD72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7E3B5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04870D8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43.27</w:t>
                  </w:r>
                </w:p>
              </w:tc>
              <w:tc>
                <w:tcPr>
                  <w:tcW w:w="429" w:type="dxa"/>
                  <w:noWrap w:val="0"/>
                  <w:vAlign w:val="center"/>
                </w:tcPr>
                <w:p w14:paraId="5213A4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9BF17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restart"/>
                  <w:noWrap w:val="0"/>
                  <w:vAlign w:val="center"/>
                </w:tcPr>
                <w:p w14:paraId="5BDFAB71">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val="0"/>
                      <w:bCs w:val="0"/>
                      <w:color w:val="auto"/>
                      <w:szCs w:val="21"/>
                      <w:highlight w:val="none"/>
                      <w:u w:val="none" w:color="auto"/>
                      <w:lang w:val="en-US" w:eastAsia="zh-CN"/>
                    </w:rPr>
                  </w:pPr>
                  <w:r>
                    <w:rPr>
                      <w:rFonts w:hint="eastAsia" w:ascii="Times New Roman" w:hAnsi="Times New Roman" w:eastAsia="宋体" w:cs="Times New Roman"/>
                      <w:b w:val="0"/>
                      <w:bCs w:val="0"/>
                      <w:color w:val="auto"/>
                      <w:szCs w:val="21"/>
                      <w:highlight w:val="none"/>
                      <w:u w:val="none" w:color="auto"/>
                      <w:lang w:val="en-US" w:eastAsia="zh-CN"/>
                    </w:rPr>
                    <w:t>3</w:t>
                  </w:r>
                </w:p>
              </w:tc>
              <w:tc>
                <w:tcPr>
                  <w:tcW w:w="427" w:type="dxa"/>
                  <w:vMerge w:val="continue"/>
                  <w:noWrap w:val="0"/>
                  <w:vAlign w:val="center"/>
                </w:tcPr>
                <w:p w14:paraId="597531B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restart"/>
                  <w:noWrap w:val="0"/>
                  <w:vAlign w:val="center"/>
                </w:tcPr>
                <w:p w14:paraId="1011BD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喂料机</w:t>
                  </w:r>
                </w:p>
              </w:tc>
              <w:tc>
                <w:tcPr>
                  <w:tcW w:w="823" w:type="dxa"/>
                  <w:vMerge w:val="restart"/>
                  <w:noWrap w:val="0"/>
                  <w:vAlign w:val="center"/>
                </w:tcPr>
                <w:p w14:paraId="61FB57F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80</w:t>
                  </w:r>
                </w:p>
              </w:tc>
              <w:tc>
                <w:tcPr>
                  <w:tcW w:w="636" w:type="dxa"/>
                  <w:vMerge w:val="continue"/>
                  <w:noWrap w:val="0"/>
                  <w:vAlign w:val="center"/>
                </w:tcPr>
                <w:p w14:paraId="26BC5F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restart"/>
                  <w:noWrap w:val="0"/>
                  <w:vAlign w:val="center"/>
                </w:tcPr>
                <w:p w14:paraId="65C26E1B">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5</w:t>
                  </w:r>
                </w:p>
              </w:tc>
              <w:tc>
                <w:tcPr>
                  <w:tcW w:w="496" w:type="dxa"/>
                  <w:vMerge w:val="restart"/>
                  <w:noWrap w:val="0"/>
                  <w:vAlign w:val="center"/>
                </w:tcPr>
                <w:p w14:paraId="07B9B4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-2</w:t>
                  </w:r>
                </w:p>
              </w:tc>
              <w:tc>
                <w:tcPr>
                  <w:tcW w:w="370" w:type="dxa"/>
                  <w:vMerge w:val="restart"/>
                  <w:noWrap w:val="0"/>
                  <w:vAlign w:val="center"/>
                </w:tcPr>
                <w:p w14:paraId="2B84A086">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3</w:t>
                  </w:r>
                </w:p>
              </w:tc>
              <w:tc>
                <w:tcPr>
                  <w:tcW w:w="325" w:type="dxa"/>
                  <w:noWrap w:val="0"/>
                  <w:vAlign w:val="center"/>
                </w:tcPr>
                <w:p w14:paraId="5B7497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4F9D91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55</w:t>
                  </w:r>
                </w:p>
              </w:tc>
              <w:tc>
                <w:tcPr>
                  <w:tcW w:w="721" w:type="dxa"/>
                  <w:noWrap w:val="0"/>
                  <w:vAlign w:val="center"/>
                </w:tcPr>
                <w:p w14:paraId="4874A7A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39.67</w:t>
                  </w:r>
                </w:p>
              </w:tc>
              <w:tc>
                <w:tcPr>
                  <w:tcW w:w="438" w:type="dxa"/>
                  <w:vMerge w:val="continue"/>
                  <w:noWrap w:val="0"/>
                  <w:vAlign w:val="center"/>
                </w:tcPr>
                <w:p w14:paraId="7E01F4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C2F639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29A067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24.67</w:t>
                  </w:r>
                </w:p>
              </w:tc>
              <w:tc>
                <w:tcPr>
                  <w:tcW w:w="429" w:type="dxa"/>
                  <w:noWrap w:val="0"/>
                  <w:vAlign w:val="center"/>
                </w:tcPr>
                <w:p w14:paraId="24F20F4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ABAC2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06C6473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A0E6BF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2253515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374CC6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7D3F7CD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52F08A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4E20D34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39FBC0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25F9A6E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0B91949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45</w:t>
                  </w:r>
                </w:p>
              </w:tc>
              <w:tc>
                <w:tcPr>
                  <w:tcW w:w="721" w:type="dxa"/>
                  <w:noWrap w:val="0"/>
                  <w:vAlign w:val="center"/>
                </w:tcPr>
                <w:p w14:paraId="591D48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45.09</w:t>
                  </w:r>
                </w:p>
              </w:tc>
              <w:tc>
                <w:tcPr>
                  <w:tcW w:w="438" w:type="dxa"/>
                  <w:vMerge w:val="continue"/>
                  <w:noWrap w:val="0"/>
                  <w:vAlign w:val="center"/>
                </w:tcPr>
                <w:p w14:paraId="626A157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C0426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070AEA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30.09</w:t>
                  </w:r>
                </w:p>
              </w:tc>
              <w:tc>
                <w:tcPr>
                  <w:tcW w:w="429" w:type="dxa"/>
                  <w:noWrap w:val="0"/>
                  <w:vAlign w:val="center"/>
                </w:tcPr>
                <w:p w14:paraId="24D2897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B7EBB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1E0D853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8E1E5DE">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585FB75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AA87E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5CB313B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082AC7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4606256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7D344B3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36D201E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37CB405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721" w:type="dxa"/>
                  <w:noWrap w:val="0"/>
                  <w:vAlign w:val="center"/>
                </w:tcPr>
                <w:p w14:paraId="581CA03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63.28</w:t>
                  </w:r>
                </w:p>
              </w:tc>
              <w:tc>
                <w:tcPr>
                  <w:tcW w:w="438" w:type="dxa"/>
                  <w:vMerge w:val="continue"/>
                  <w:noWrap w:val="0"/>
                  <w:vAlign w:val="center"/>
                </w:tcPr>
                <w:p w14:paraId="27BE28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5DE150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33DE3B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48.28</w:t>
                  </w:r>
                </w:p>
              </w:tc>
              <w:tc>
                <w:tcPr>
                  <w:tcW w:w="429" w:type="dxa"/>
                  <w:noWrap w:val="0"/>
                  <w:vAlign w:val="center"/>
                </w:tcPr>
                <w:p w14:paraId="7BA03B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AEAC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6AE2835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5457C04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47BD8044">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71480EB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4D8F19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E43F4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59382D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70" w:type="dxa"/>
                  <w:vMerge w:val="continue"/>
                  <w:noWrap w:val="0"/>
                  <w:vAlign w:val="center"/>
                </w:tcPr>
                <w:p w14:paraId="4DA04A7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25" w:type="dxa"/>
                  <w:noWrap w:val="0"/>
                  <w:vAlign w:val="center"/>
                </w:tcPr>
                <w:p w14:paraId="0B490F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7F9C88D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721" w:type="dxa"/>
                  <w:noWrap w:val="0"/>
                  <w:vAlign w:val="center"/>
                </w:tcPr>
                <w:p w14:paraId="4FDF84E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64.01</w:t>
                  </w:r>
                </w:p>
              </w:tc>
              <w:tc>
                <w:tcPr>
                  <w:tcW w:w="438" w:type="dxa"/>
                  <w:vMerge w:val="continue"/>
                  <w:noWrap w:val="0"/>
                  <w:vAlign w:val="center"/>
                </w:tcPr>
                <w:p w14:paraId="602424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39F87CC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79A74C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49.01</w:t>
                  </w:r>
                </w:p>
              </w:tc>
              <w:tc>
                <w:tcPr>
                  <w:tcW w:w="429" w:type="dxa"/>
                  <w:noWrap w:val="0"/>
                  <w:vAlign w:val="center"/>
                </w:tcPr>
                <w:p w14:paraId="55E36E6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A389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4DC0EB1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w:t>
                  </w:r>
                </w:p>
              </w:tc>
              <w:tc>
                <w:tcPr>
                  <w:tcW w:w="427" w:type="dxa"/>
                  <w:vMerge w:val="continue"/>
                  <w:noWrap w:val="0"/>
                  <w:vAlign w:val="center"/>
                </w:tcPr>
                <w:p w14:paraId="4505F6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2B94E7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滚筒洗石机</w:t>
                  </w:r>
                </w:p>
              </w:tc>
              <w:tc>
                <w:tcPr>
                  <w:tcW w:w="823" w:type="dxa"/>
                  <w:vMerge w:val="restart"/>
                  <w:noWrap w:val="0"/>
                  <w:vAlign w:val="center"/>
                </w:tcPr>
                <w:p w14:paraId="500AD31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75</w:t>
                  </w:r>
                </w:p>
              </w:tc>
              <w:tc>
                <w:tcPr>
                  <w:tcW w:w="636" w:type="dxa"/>
                  <w:vMerge w:val="continue"/>
                  <w:noWrap w:val="0"/>
                  <w:vAlign w:val="center"/>
                </w:tcPr>
                <w:p w14:paraId="28C90DF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2FA8752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10</w:t>
                  </w:r>
                </w:p>
              </w:tc>
              <w:tc>
                <w:tcPr>
                  <w:tcW w:w="496" w:type="dxa"/>
                  <w:vMerge w:val="restart"/>
                  <w:noWrap w:val="0"/>
                  <w:vAlign w:val="center"/>
                </w:tcPr>
                <w:p w14:paraId="7262CB8B">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-10</w:t>
                  </w:r>
                </w:p>
              </w:tc>
              <w:tc>
                <w:tcPr>
                  <w:tcW w:w="370" w:type="dxa"/>
                  <w:vMerge w:val="restart"/>
                  <w:noWrap w:val="0"/>
                  <w:vAlign w:val="center"/>
                </w:tcPr>
                <w:p w14:paraId="76C9316B">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25" w:type="dxa"/>
                  <w:noWrap w:val="0"/>
                  <w:vAlign w:val="center"/>
                </w:tcPr>
                <w:p w14:paraId="54B45F6B">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07DD7F3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40</w:t>
                  </w:r>
                </w:p>
              </w:tc>
              <w:tc>
                <w:tcPr>
                  <w:tcW w:w="721" w:type="dxa"/>
                  <w:noWrap w:val="0"/>
                  <w:vAlign w:val="center"/>
                </w:tcPr>
                <w:p w14:paraId="35818B87">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41.26</w:t>
                  </w:r>
                </w:p>
              </w:tc>
              <w:tc>
                <w:tcPr>
                  <w:tcW w:w="438" w:type="dxa"/>
                  <w:vMerge w:val="continue"/>
                  <w:noWrap w:val="0"/>
                  <w:vAlign w:val="center"/>
                </w:tcPr>
                <w:p w14:paraId="2748DE7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03B1E50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1C1181E1">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26.26</w:t>
                  </w:r>
                </w:p>
              </w:tc>
              <w:tc>
                <w:tcPr>
                  <w:tcW w:w="429" w:type="dxa"/>
                  <w:noWrap w:val="0"/>
                  <w:vAlign w:val="center"/>
                </w:tcPr>
                <w:p w14:paraId="13C1A6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37F62B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42FEFA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B5337E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5F6BC1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919764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9DAA77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11EEA2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9B7D0F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2DEE139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3359656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248D7B41">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40</w:t>
                  </w:r>
                </w:p>
              </w:tc>
              <w:tc>
                <w:tcPr>
                  <w:tcW w:w="721" w:type="dxa"/>
                  <w:noWrap w:val="0"/>
                  <w:vAlign w:val="center"/>
                </w:tcPr>
                <w:p w14:paraId="198E1A03">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41.58</w:t>
                  </w:r>
                </w:p>
              </w:tc>
              <w:tc>
                <w:tcPr>
                  <w:tcW w:w="438" w:type="dxa"/>
                  <w:vMerge w:val="continue"/>
                  <w:noWrap w:val="0"/>
                  <w:vAlign w:val="center"/>
                </w:tcPr>
                <w:p w14:paraId="0A7EE2C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7399DD4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7E18E21C">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26.58</w:t>
                  </w:r>
                </w:p>
              </w:tc>
              <w:tc>
                <w:tcPr>
                  <w:tcW w:w="429" w:type="dxa"/>
                  <w:noWrap w:val="0"/>
                  <w:vAlign w:val="center"/>
                </w:tcPr>
                <w:p w14:paraId="0921BE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654A38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427" w:type="dxa"/>
                  <w:vMerge w:val="continue"/>
                  <w:noWrap w:val="0"/>
                  <w:vAlign w:val="center"/>
                </w:tcPr>
                <w:p w14:paraId="1CAA68E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5F0EE2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D957449">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2BAD374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5919A8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682F7A3">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18DE1A7B">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64E12E5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68CA62B1">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74A4048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25</w:t>
                  </w:r>
                </w:p>
              </w:tc>
              <w:tc>
                <w:tcPr>
                  <w:tcW w:w="721" w:type="dxa"/>
                  <w:noWrap w:val="0"/>
                  <w:vAlign w:val="center"/>
                </w:tcPr>
                <w:p w14:paraId="6E35A6B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62.07</w:t>
                  </w:r>
                </w:p>
              </w:tc>
              <w:tc>
                <w:tcPr>
                  <w:tcW w:w="438" w:type="dxa"/>
                  <w:vMerge w:val="continue"/>
                  <w:noWrap w:val="0"/>
                  <w:vAlign w:val="center"/>
                </w:tcPr>
                <w:p w14:paraId="60EEA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4B970D7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10E6D559">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47.07</w:t>
                  </w:r>
                </w:p>
              </w:tc>
              <w:tc>
                <w:tcPr>
                  <w:tcW w:w="429" w:type="dxa"/>
                  <w:noWrap w:val="0"/>
                  <w:vAlign w:val="center"/>
                </w:tcPr>
                <w:p w14:paraId="73F63FA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0D4853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5B75572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7A9B49F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337D9D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7EFED4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E8C3CC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0C2377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F651EFF">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28A0422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5F77018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7A6F85F3">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20</w:t>
                  </w:r>
                </w:p>
              </w:tc>
              <w:tc>
                <w:tcPr>
                  <w:tcW w:w="721" w:type="dxa"/>
                  <w:noWrap w:val="0"/>
                  <w:vAlign w:val="center"/>
                </w:tcPr>
                <w:p w14:paraId="08300D8B">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64.28</w:t>
                  </w:r>
                </w:p>
              </w:tc>
              <w:tc>
                <w:tcPr>
                  <w:tcW w:w="438" w:type="dxa"/>
                  <w:vMerge w:val="continue"/>
                  <w:noWrap w:val="0"/>
                  <w:vAlign w:val="center"/>
                </w:tcPr>
                <w:p w14:paraId="3150B19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3C299F1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7137DB04">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49.28</w:t>
                  </w:r>
                </w:p>
              </w:tc>
              <w:tc>
                <w:tcPr>
                  <w:tcW w:w="429" w:type="dxa"/>
                  <w:noWrap w:val="0"/>
                  <w:vAlign w:val="center"/>
                </w:tcPr>
                <w:p w14:paraId="4419BD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227B6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3CED7C6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5</w:t>
                  </w:r>
                </w:p>
              </w:tc>
              <w:tc>
                <w:tcPr>
                  <w:tcW w:w="427" w:type="dxa"/>
                  <w:vMerge w:val="continue"/>
                  <w:noWrap w:val="0"/>
                  <w:vAlign w:val="center"/>
                </w:tcPr>
                <w:p w14:paraId="490338F9">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42A26E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双叉洗石机</w:t>
                  </w:r>
                </w:p>
              </w:tc>
              <w:tc>
                <w:tcPr>
                  <w:tcW w:w="823" w:type="dxa"/>
                  <w:vMerge w:val="restart"/>
                  <w:noWrap w:val="0"/>
                  <w:vAlign w:val="center"/>
                </w:tcPr>
                <w:p w14:paraId="3C95997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75</w:t>
                  </w:r>
                </w:p>
              </w:tc>
              <w:tc>
                <w:tcPr>
                  <w:tcW w:w="636" w:type="dxa"/>
                  <w:vMerge w:val="continue"/>
                  <w:noWrap w:val="0"/>
                  <w:vAlign w:val="center"/>
                </w:tcPr>
                <w:p w14:paraId="1EB1FD3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7C5DF44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10</w:t>
                  </w:r>
                </w:p>
              </w:tc>
              <w:tc>
                <w:tcPr>
                  <w:tcW w:w="496" w:type="dxa"/>
                  <w:vMerge w:val="restart"/>
                  <w:noWrap w:val="0"/>
                  <w:vAlign w:val="center"/>
                </w:tcPr>
                <w:p w14:paraId="417866A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-13</w:t>
                  </w:r>
                </w:p>
              </w:tc>
              <w:tc>
                <w:tcPr>
                  <w:tcW w:w="370" w:type="dxa"/>
                  <w:vMerge w:val="restart"/>
                  <w:noWrap w:val="0"/>
                  <w:vAlign w:val="center"/>
                </w:tcPr>
                <w:p w14:paraId="1B6D52BE">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25" w:type="dxa"/>
                  <w:noWrap w:val="0"/>
                  <w:vAlign w:val="center"/>
                </w:tcPr>
                <w:p w14:paraId="3035EC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629549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val="en-US" w:eastAsia="zh-CN"/>
                    </w:rPr>
                  </w:pPr>
                  <w:r>
                    <w:rPr>
                      <w:rFonts w:hint="eastAsia" w:cs="Times New Roman"/>
                      <w:b w:val="0"/>
                      <w:bCs w:val="0"/>
                      <w:color w:val="auto"/>
                      <w:spacing w:val="0"/>
                      <w:position w:val="0"/>
                      <w:sz w:val="21"/>
                      <w:szCs w:val="21"/>
                      <w:highlight w:val="none"/>
                      <w:u w:val="none" w:color="auto"/>
                      <w:lang w:val="en-US" w:eastAsia="zh-CN"/>
                    </w:rPr>
                    <w:t>40</w:t>
                  </w:r>
                </w:p>
              </w:tc>
              <w:tc>
                <w:tcPr>
                  <w:tcW w:w="721" w:type="dxa"/>
                  <w:noWrap w:val="0"/>
                  <w:vAlign w:val="center"/>
                </w:tcPr>
                <w:p w14:paraId="525C6F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i w:val="0"/>
                      <w:iCs w:val="0"/>
                      <w:color w:val="auto"/>
                      <w:spacing w:val="0"/>
                      <w:position w:val="0"/>
                      <w:sz w:val="21"/>
                      <w:szCs w:val="21"/>
                      <w:highlight w:val="none"/>
                      <w:u w:val="none" w:color="auto"/>
                      <w:lang w:val="en-US" w:eastAsia="zh-CN"/>
                    </w:rPr>
                  </w:pPr>
                  <w:r>
                    <w:rPr>
                      <w:rFonts w:hint="eastAsia" w:cs="Times New Roman"/>
                      <w:b w:val="0"/>
                      <w:bCs w:val="0"/>
                      <w:i w:val="0"/>
                      <w:iCs w:val="0"/>
                      <w:color w:val="auto"/>
                      <w:spacing w:val="0"/>
                      <w:position w:val="0"/>
                      <w:sz w:val="21"/>
                      <w:szCs w:val="21"/>
                      <w:highlight w:val="none"/>
                      <w:u w:val="none" w:color="auto"/>
                      <w:lang w:val="en-US" w:eastAsia="zh-CN"/>
                    </w:rPr>
                    <w:t>40.89</w:t>
                  </w:r>
                </w:p>
              </w:tc>
              <w:tc>
                <w:tcPr>
                  <w:tcW w:w="438" w:type="dxa"/>
                  <w:vMerge w:val="continue"/>
                  <w:noWrap w:val="0"/>
                  <w:vAlign w:val="center"/>
                </w:tcPr>
                <w:p w14:paraId="6C7DCDB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21C5EDC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1B8E5A61">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spacing w:val="0"/>
                      <w:position w:val="0"/>
                      <w:sz w:val="21"/>
                      <w:szCs w:val="21"/>
                      <w:highlight w:val="none"/>
                      <w:u w:val="none" w:color="auto"/>
                      <w:lang w:val="en-US" w:eastAsia="zh-CN"/>
                    </w:rPr>
                    <w:t>25.89</w:t>
                  </w:r>
                </w:p>
              </w:tc>
              <w:tc>
                <w:tcPr>
                  <w:tcW w:w="429" w:type="dxa"/>
                  <w:noWrap w:val="0"/>
                  <w:vAlign w:val="center"/>
                </w:tcPr>
                <w:p w14:paraId="15CC8FFE">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58CE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3DD827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A7CE8C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DFDBB6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69DDB6F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2774127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C743C21">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43FA50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14B3EA0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73CAF4E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4BE69CD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val="en-US" w:eastAsia="zh-CN"/>
                    </w:rPr>
                  </w:pPr>
                  <w:r>
                    <w:rPr>
                      <w:rFonts w:hint="eastAsia" w:cs="Times New Roman"/>
                      <w:b w:val="0"/>
                      <w:bCs w:val="0"/>
                      <w:color w:val="auto"/>
                      <w:spacing w:val="0"/>
                      <w:position w:val="0"/>
                      <w:sz w:val="21"/>
                      <w:szCs w:val="21"/>
                      <w:highlight w:val="none"/>
                      <w:u w:val="none" w:color="auto"/>
                      <w:lang w:val="en-US" w:eastAsia="zh-CN"/>
                    </w:rPr>
                    <w:t>35</w:t>
                  </w:r>
                </w:p>
              </w:tc>
              <w:tc>
                <w:tcPr>
                  <w:tcW w:w="721" w:type="dxa"/>
                  <w:noWrap w:val="0"/>
                  <w:vAlign w:val="center"/>
                </w:tcPr>
                <w:p w14:paraId="14C7557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i w:val="0"/>
                      <w:iCs w:val="0"/>
                      <w:color w:val="auto"/>
                      <w:spacing w:val="0"/>
                      <w:position w:val="0"/>
                      <w:sz w:val="21"/>
                      <w:szCs w:val="21"/>
                      <w:highlight w:val="none"/>
                      <w:u w:val="none" w:color="auto"/>
                      <w:lang w:val="en-US" w:eastAsia="zh-CN"/>
                    </w:rPr>
                  </w:pPr>
                  <w:r>
                    <w:rPr>
                      <w:rFonts w:hint="eastAsia" w:cs="Times New Roman"/>
                      <w:b w:val="0"/>
                      <w:bCs w:val="0"/>
                      <w:i w:val="0"/>
                      <w:iCs w:val="0"/>
                      <w:color w:val="auto"/>
                      <w:spacing w:val="0"/>
                      <w:position w:val="0"/>
                      <w:sz w:val="21"/>
                      <w:szCs w:val="21"/>
                      <w:highlight w:val="none"/>
                      <w:u w:val="none" w:color="auto"/>
                      <w:lang w:val="en-US" w:eastAsia="zh-CN"/>
                    </w:rPr>
                    <w:t>45.26</w:t>
                  </w:r>
                </w:p>
              </w:tc>
              <w:tc>
                <w:tcPr>
                  <w:tcW w:w="438" w:type="dxa"/>
                  <w:vMerge w:val="continue"/>
                  <w:noWrap w:val="0"/>
                  <w:vAlign w:val="center"/>
                </w:tcPr>
                <w:p w14:paraId="6011B26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766" w:type="dxa"/>
                  <w:vMerge w:val="continue"/>
                  <w:noWrap w:val="0"/>
                  <w:vAlign w:val="center"/>
                </w:tcPr>
                <w:p w14:paraId="498E8F0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4" w:type="dxa"/>
                  <w:noWrap w:val="0"/>
                  <w:vAlign w:val="center"/>
                </w:tcPr>
                <w:p w14:paraId="44CB2A22">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spacing w:val="0"/>
                      <w:position w:val="0"/>
                      <w:sz w:val="21"/>
                      <w:szCs w:val="21"/>
                      <w:highlight w:val="none"/>
                      <w:u w:val="none" w:color="auto"/>
                      <w:lang w:val="en-US" w:eastAsia="zh-CN"/>
                    </w:rPr>
                    <w:t>30.26</w:t>
                  </w:r>
                </w:p>
              </w:tc>
              <w:tc>
                <w:tcPr>
                  <w:tcW w:w="429" w:type="dxa"/>
                  <w:noWrap w:val="0"/>
                  <w:vAlign w:val="center"/>
                </w:tcPr>
                <w:p w14:paraId="72E12C7A">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B2D7D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3267A4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E9F21C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010A95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DC1119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935CD9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72B0BD3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B712E1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259263F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5E9643F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1FBB7E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25</w:t>
                  </w:r>
                </w:p>
              </w:tc>
              <w:tc>
                <w:tcPr>
                  <w:tcW w:w="721" w:type="dxa"/>
                  <w:noWrap w:val="0"/>
                  <w:vAlign w:val="center"/>
                </w:tcPr>
                <w:p w14:paraId="270685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58.64</w:t>
                  </w:r>
                </w:p>
              </w:tc>
              <w:tc>
                <w:tcPr>
                  <w:tcW w:w="438" w:type="dxa"/>
                  <w:vMerge w:val="continue"/>
                  <w:noWrap w:val="0"/>
                  <w:vAlign w:val="center"/>
                </w:tcPr>
                <w:p w14:paraId="697A283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F80C78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3D38AA7">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43.64</w:t>
                  </w:r>
                </w:p>
              </w:tc>
              <w:tc>
                <w:tcPr>
                  <w:tcW w:w="429" w:type="dxa"/>
                  <w:noWrap w:val="0"/>
                  <w:vAlign w:val="center"/>
                </w:tcPr>
                <w:p w14:paraId="69C843B5">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1B004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F389BB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08C1C0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C36D73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1EE123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F65EF5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2A635683">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581973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5F86342E">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59A74F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6B9B56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25</w:t>
                  </w:r>
                </w:p>
              </w:tc>
              <w:tc>
                <w:tcPr>
                  <w:tcW w:w="721" w:type="dxa"/>
                  <w:noWrap w:val="0"/>
                  <w:vAlign w:val="center"/>
                </w:tcPr>
                <w:p w14:paraId="479C8FC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58.92</w:t>
                  </w:r>
                </w:p>
              </w:tc>
              <w:tc>
                <w:tcPr>
                  <w:tcW w:w="438" w:type="dxa"/>
                  <w:vMerge w:val="continue"/>
                  <w:noWrap w:val="0"/>
                  <w:vAlign w:val="center"/>
                </w:tcPr>
                <w:p w14:paraId="1C6F4E7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5F49815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5E412A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43.92</w:t>
                  </w:r>
                </w:p>
              </w:tc>
              <w:tc>
                <w:tcPr>
                  <w:tcW w:w="429" w:type="dxa"/>
                  <w:noWrap w:val="0"/>
                  <w:vAlign w:val="center"/>
                </w:tcPr>
                <w:p w14:paraId="6578A7C3">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192F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7CC753B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6</w:t>
                  </w:r>
                </w:p>
              </w:tc>
              <w:tc>
                <w:tcPr>
                  <w:tcW w:w="427" w:type="dxa"/>
                  <w:vMerge w:val="continue"/>
                  <w:noWrap w:val="0"/>
                  <w:vAlign w:val="center"/>
                </w:tcPr>
                <w:p w14:paraId="63F91A7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30A61B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滚筒分筛</w:t>
                  </w:r>
                </w:p>
              </w:tc>
              <w:tc>
                <w:tcPr>
                  <w:tcW w:w="823" w:type="dxa"/>
                  <w:vMerge w:val="restart"/>
                  <w:noWrap w:val="0"/>
                  <w:vAlign w:val="center"/>
                </w:tcPr>
                <w:p w14:paraId="151C26E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80</w:t>
                  </w:r>
                </w:p>
              </w:tc>
              <w:tc>
                <w:tcPr>
                  <w:tcW w:w="636" w:type="dxa"/>
                  <w:vMerge w:val="continue"/>
                  <w:noWrap w:val="0"/>
                  <w:vAlign w:val="center"/>
                </w:tcPr>
                <w:p w14:paraId="35583AC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24B93AB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10</w:t>
                  </w:r>
                </w:p>
              </w:tc>
              <w:tc>
                <w:tcPr>
                  <w:tcW w:w="496" w:type="dxa"/>
                  <w:vMerge w:val="restart"/>
                  <w:noWrap w:val="0"/>
                  <w:vAlign w:val="center"/>
                </w:tcPr>
                <w:p w14:paraId="68E88980">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-18</w:t>
                  </w:r>
                </w:p>
              </w:tc>
              <w:tc>
                <w:tcPr>
                  <w:tcW w:w="370" w:type="dxa"/>
                  <w:vMerge w:val="restart"/>
                  <w:noWrap w:val="0"/>
                  <w:vAlign w:val="center"/>
                </w:tcPr>
                <w:p w14:paraId="1390A246">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25" w:type="dxa"/>
                  <w:noWrap w:val="0"/>
                  <w:vAlign w:val="center"/>
                </w:tcPr>
                <w:p w14:paraId="28CECD2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5CD146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40</w:t>
                  </w:r>
                </w:p>
              </w:tc>
              <w:tc>
                <w:tcPr>
                  <w:tcW w:w="721" w:type="dxa"/>
                  <w:noWrap w:val="0"/>
                  <w:vAlign w:val="center"/>
                </w:tcPr>
                <w:p w14:paraId="08C6531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43.38</w:t>
                  </w:r>
                </w:p>
              </w:tc>
              <w:tc>
                <w:tcPr>
                  <w:tcW w:w="438" w:type="dxa"/>
                  <w:vMerge w:val="continue"/>
                  <w:noWrap w:val="0"/>
                  <w:vAlign w:val="center"/>
                </w:tcPr>
                <w:p w14:paraId="5D5C503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B84BF0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3B6F5E4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28.38</w:t>
                  </w:r>
                </w:p>
              </w:tc>
              <w:tc>
                <w:tcPr>
                  <w:tcW w:w="429" w:type="dxa"/>
                  <w:noWrap w:val="0"/>
                  <w:vAlign w:val="center"/>
                </w:tcPr>
                <w:p w14:paraId="1FED87A9">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43D04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05F019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0384D8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11DE4A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43C0131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236AE0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2E1C73B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114413D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61857C3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458AB0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24FC40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313EDD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51.02</w:t>
                  </w:r>
                </w:p>
              </w:tc>
              <w:tc>
                <w:tcPr>
                  <w:tcW w:w="438" w:type="dxa"/>
                  <w:vMerge w:val="continue"/>
                  <w:noWrap w:val="0"/>
                  <w:vAlign w:val="center"/>
                </w:tcPr>
                <w:p w14:paraId="2C7C559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B79A09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0BB12625">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36.02</w:t>
                  </w:r>
                </w:p>
              </w:tc>
              <w:tc>
                <w:tcPr>
                  <w:tcW w:w="429" w:type="dxa"/>
                  <w:noWrap w:val="0"/>
                  <w:vAlign w:val="center"/>
                </w:tcPr>
                <w:p w14:paraId="1B206B91">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B9B3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55FD9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DC931D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BFE104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0D44CB2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76FBD34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87A745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B37C360">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0C1F74D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746D141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10D5C2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25</w:t>
                  </w:r>
                </w:p>
              </w:tc>
              <w:tc>
                <w:tcPr>
                  <w:tcW w:w="721" w:type="dxa"/>
                  <w:noWrap w:val="0"/>
                  <w:vAlign w:val="center"/>
                </w:tcPr>
                <w:p w14:paraId="1AB14E5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56.27</w:t>
                  </w:r>
                </w:p>
              </w:tc>
              <w:tc>
                <w:tcPr>
                  <w:tcW w:w="438" w:type="dxa"/>
                  <w:vMerge w:val="continue"/>
                  <w:noWrap w:val="0"/>
                  <w:vAlign w:val="center"/>
                </w:tcPr>
                <w:p w14:paraId="07E065E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8955F2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78FDE8D4">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41.27</w:t>
                  </w:r>
                </w:p>
              </w:tc>
              <w:tc>
                <w:tcPr>
                  <w:tcW w:w="429" w:type="dxa"/>
                  <w:noWrap w:val="0"/>
                  <w:vAlign w:val="center"/>
                </w:tcPr>
                <w:p w14:paraId="023D59BC">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1E75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11753F7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3CA63D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FB98DE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51E2822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A41B4A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11C0C0FA">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EC2400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6C70972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119817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364F7F4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3BA73E6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54.20</w:t>
                  </w:r>
                </w:p>
              </w:tc>
              <w:tc>
                <w:tcPr>
                  <w:tcW w:w="438" w:type="dxa"/>
                  <w:vMerge w:val="continue"/>
                  <w:noWrap w:val="0"/>
                  <w:vAlign w:val="center"/>
                </w:tcPr>
                <w:p w14:paraId="153028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5AB6D3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BF5C16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39.20</w:t>
                  </w:r>
                </w:p>
              </w:tc>
              <w:tc>
                <w:tcPr>
                  <w:tcW w:w="429" w:type="dxa"/>
                  <w:noWrap w:val="0"/>
                  <w:vAlign w:val="center"/>
                </w:tcPr>
                <w:p w14:paraId="2808CFC0">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8958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427" w:type="dxa"/>
                  <w:vMerge w:val="restart"/>
                  <w:noWrap w:val="0"/>
                  <w:vAlign w:val="center"/>
                </w:tcPr>
                <w:p w14:paraId="65C6E95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w:t>
                  </w:r>
                </w:p>
              </w:tc>
              <w:tc>
                <w:tcPr>
                  <w:tcW w:w="427" w:type="dxa"/>
                  <w:vMerge w:val="continue"/>
                  <w:noWrap w:val="0"/>
                  <w:vAlign w:val="center"/>
                </w:tcPr>
                <w:p w14:paraId="4842BAA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6776DE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破碎机</w:t>
                  </w:r>
                </w:p>
              </w:tc>
              <w:tc>
                <w:tcPr>
                  <w:tcW w:w="823" w:type="dxa"/>
                  <w:vMerge w:val="restart"/>
                  <w:noWrap w:val="0"/>
                  <w:vAlign w:val="center"/>
                </w:tcPr>
                <w:p w14:paraId="34E1E66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80</w:t>
                  </w:r>
                </w:p>
              </w:tc>
              <w:tc>
                <w:tcPr>
                  <w:tcW w:w="636" w:type="dxa"/>
                  <w:vMerge w:val="continue"/>
                  <w:noWrap w:val="0"/>
                  <w:vAlign w:val="center"/>
                </w:tcPr>
                <w:p w14:paraId="4B00FDC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45AEA8E5">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15</w:t>
                  </w:r>
                </w:p>
              </w:tc>
              <w:tc>
                <w:tcPr>
                  <w:tcW w:w="496" w:type="dxa"/>
                  <w:vMerge w:val="restart"/>
                  <w:noWrap w:val="0"/>
                  <w:vAlign w:val="center"/>
                </w:tcPr>
                <w:p w14:paraId="28169ED3">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-15</w:t>
                  </w:r>
                </w:p>
              </w:tc>
              <w:tc>
                <w:tcPr>
                  <w:tcW w:w="370" w:type="dxa"/>
                  <w:vMerge w:val="restart"/>
                  <w:noWrap w:val="0"/>
                  <w:vAlign w:val="center"/>
                </w:tcPr>
                <w:p w14:paraId="3D4A432A">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25" w:type="dxa"/>
                  <w:noWrap w:val="0"/>
                  <w:vAlign w:val="center"/>
                </w:tcPr>
                <w:p w14:paraId="473FDF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2F84B7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009728F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51.76</w:t>
                  </w:r>
                </w:p>
              </w:tc>
              <w:tc>
                <w:tcPr>
                  <w:tcW w:w="438" w:type="dxa"/>
                  <w:vMerge w:val="continue"/>
                  <w:noWrap w:val="0"/>
                  <w:vAlign w:val="center"/>
                </w:tcPr>
                <w:p w14:paraId="165ABB2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5027C2C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25D44D8">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39.76</w:t>
                  </w:r>
                </w:p>
              </w:tc>
              <w:tc>
                <w:tcPr>
                  <w:tcW w:w="429" w:type="dxa"/>
                  <w:noWrap w:val="0"/>
                  <w:vAlign w:val="center"/>
                </w:tcPr>
                <w:p w14:paraId="44532EA2">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78637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4E8DF62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9C5FE5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C1BF98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6986EF5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0D77FC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5394E3E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3D830D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59A2733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7A80A58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69A99D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38</w:t>
                  </w:r>
                </w:p>
              </w:tc>
              <w:tc>
                <w:tcPr>
                  <w:tcW w:w="721" w:type="dxa"/>
                  <w:noWrap w:val="0"/>
                  <w:vAlign w:val="center"/>
                </w:tcPr>
                <w:p w14:paraId="71CB4E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50.64</w:t>
                  </w:r>
                </w:p>
              </w:tc>
              <w:tc>
                <w:tcPr>
                  <w:tcW w:w="438" w:type="dxa"/>
                  <w:vMerge w:val="continue"/>
                  <w:noWrap w:val="0"/>
                  <w:vAlign w:val="center"/>
                </w:tcPr>
                <w:p w14:paraId="030F01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3D1FF1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68E7204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35.64</w:t>
                  </w:r>
                </w:p>
              </w:tc>
              <w:tc>
                <w:tcPr>
                  <w:tcW w:w="429" w:type="dxa"/>
                  <w:noWrap w:val="0"/>
                  <w:vAlign w:val="center"/>
                </w:tcPr>
                <w:p w14:paraId="3BCA5AB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01953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22E096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BD0C7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7E3BB91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0C4B65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1E29A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439A87B">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39A12ED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78EC7C1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765273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264DC1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6BA479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56.48</w:t>
                  </w:r>
                </w:p>
              </w:tc>
              <w:tc>
                <w:tcPr>
                  <w:tcW w:w="438" w:type="dxa"/>
                  <w:vMerge w:val="continue"/>
                  <w:noWrap w:val="0"/>
                  <w:vAlign w:val="center"/>
                </w:tcPr>
                <w:p w14:paraId="2D1F963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3FCEC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42CC7C35">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41.48</w:t>
                  </w:r>
                </w:p>
              </w:tc>
              <w:tc>
                <w:tcPr>
                  <w:tcW w:w="429" w:type="dxa"/>
                  <w:noWrap w:val="0"/>
                  <w:vAlign w:val="center"/>
                </w:tcPr>
                <w:p w14:paraId="74443E6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CF516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57FEB4D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C21994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EFA1B0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2F6A37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75F13F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35284D2">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D46999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0345174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45537C3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05AD126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25</w:t>
                  </w:r>
                </w:p>
              </w:tc>
              <w:tc>
                <w:tcPr>
                  <w:tcW w:w="721" w:type="dxa"/>
                  <w:noWrap w:val="0"/>
                  <w:vAlign w:val="center"/>
                </w:tcPr>
                <w:p w14:paraId="4297AB7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62.54</w:t>
                  </w:r>
                </w:p>
              </w:tc>
              <w:tc>
                <w:tcPr>
                  <w:tcW w:w="438" w:type="dxa"/>
                  <w:vMerge w:val="continue"/>
                  <w:noWrap w:val="0"/>
                  <w:vAlign w:val="center"/>
                </w:tcPr>
                <w:p w14:paraId="1F7C907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742035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4CC746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47.54</w:t>
                  </w:r>
                </w:p>
              </w:tc>
              <w:tc>
                <w:tcPr>
                  <w:tcW w:w="429" w:type="dxa"/>
                  <w:noWrap w:val="0"/>
                  <w:vAlign w:val="center"/>
                </w:tcPr>
                <w:p w14:paraId="3A55684E">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BE78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2BC9A8F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427" w:type="dxa"/>
                  <w:vMerge w:val="continue"/>
                  <w:noWrap w:val="0"/>
                  <w:vAlign w:val="center"/>
                </w:tcPr>
                <w:p w14:paraId="306B812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199187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水洗轮</w:t>
                  </w:r>
                </w:p>
              </w:tc>
              <w:tc>
                <w:tcPr>
                  <w:tcW w:w="823" w:type="dxa"/>
                  <w:vMerge w:val="restart"/>
                  <w:noWrap w:val="0"/>
                  <w:vAlign w:val="center"/>
                </w:tcPr>
                <w:p w14:paraId="499E50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75</w:t>
                  </w:r>
                </w:p>
              </w:tc>
              <w:tc>
                <w:tcPr>
                  <w:tcW w:w="636" w:type="dxa"/>
                  <w:vMerge w:val="continue"/>
                  <w:noWrap w:val="0"/>
                  <w:vAlign w:val="center"/>
                </w:tcPr>
                <w:p w14:paraId="021A79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3AB3C29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15</w:t>
                  </w:r>
                </w:p>
              </w:tc>
              <w:tc>
                <w:tcPr>
                  <w:tcW w:w="496" w:type="dxa"/>
                  <w:vMerge w:val="restart"/>
                  <w:noWrap w:val="0"/>
                  <w:vAlign w:val="center"/>
                </w:tcPr>
                <w:p w14:paraId="6993D20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-20</w:t>
                  </w:r>
                </w:p>
              </w:tc>
              <w:tc>
                <w:tcPr>
                  <w:tcW w:w="370" w:type="dxa"/>
                  <w:vMerge w:val="restart"/>
                  <w:noWrap w:val="0"/>
                  <w:vAlign w:val="center"/>
                </w:tcPr>
                <w:p w14:paraId="2EC37D37">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25" w:type="dxa"/>
                  <w:noWrap w:val="0"/>
                  <w:vAlign w:val="center"/>
                </w:tcPr>
                <w:p w14:paraId="314073F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47" w:type="dxa"/>
                  <w:noWrap w:val="0"/>
                  <w:vAlign w:val="center"/>
                </w:tcPr>
                <w:p w14:paraId="47344B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49C16DB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48.27</w:t>
                  </w:r>
                </w:p>
              </w:tc>
              <w:tc>
                <w:tcPr>
                  <w:tcW w:w="438" w:type="dxa"/>
                  <w:vMerge w:val="continue"/>
                  <w:noWrap w:val="0"/>
                  <w:vAlign w:val="center"/>
                </w:tcPr>
                <w:p w14:paraId="7A2A79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6CFB305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99DB17C">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33.27</w:t>
                  </w:r>
                </w:p>
              </w:tc>
              <w:tc>
                <w:tcPr>
                  <w:tcW w:w="429" w:type="dxa"/>
                  <w:noWrap w:val="0"/>
                  <w:vAlign w:val="center"/>
                </w:tcPr>
                <w:p w14:paraId="1624F873">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698A0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3DBF3B2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7244F7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E821CA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0C2AB67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E702D8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29F3A2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A269A7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45EE2BB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1987E2D3">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47" w:type="dxa"/>
                  <w:noWrap w:val="0"/>
                  <w:vAlign w:val="center"/>
                </w:tcPr>
                <w:p w14:paraId="0CAA1F24">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08D3CF5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53.21</w:t>
                  </w:r>
                </w:p>
              </w:tc>
              <w:tc>
                <w:tcPr>
                  <w:tcW w:w="438" w:type="dxa"/>
                  <w:vMerge w:val="continue"/>
                  <w:noWrap w:val="0"/>
                  <w:vAlign w:val="center"/>
                </w:tcPr>
                <w:p w14:paraId="57467F0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CE1ED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61C8A36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38.21</w:t>
                  </w:r>
                </w:p>
              </w:tc>
              <w:tc>
                <w:tcPr>
                  <w:tcW w:w="429" w:type="dxa"/>
                  <w:noWrap w:val="0"/>
                  <w:vAlign w:val="center"/>
                </w:tcPr>
                <w:p w14:paraId="3B71AA62">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819F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78EE186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005310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1BF72E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53C3EB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79CA6C2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72F86BA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35D2F20E">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4E3EB23F">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03E975F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47" w:type="dxa"/>
                  <w:noWrap w:val="0"/>
                  <w:vAlign w:val="center"/>
                </w:tcPr>
                <w:p w14:paraId="558E5908">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3323CC5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52.64</w:t>
                  </w:r>
                </w:p>
              </w:tc>
              <w:tc>
                <w:tcPr>
                  <w:tcW w:w="438" w:type="dxa"/>
                  <w:vMerge w:val="continue"/>
                  <w:noWrap w:val="0"/>
                  <w:vAlign w:val="center"/>
                </w:tcPr>
                <w:p w14:paraId="52C6DFA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3158246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33948DD7">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37.64</w:t>
                  </w:r>
                </w:p>
              </w:tc>
              <w:tc>
                <w:tcPr>
                  <w:tcW w:w="429" w:type="dxa"/>
                  <w:noWrap w:val="0"/>
                  <w:vAlign w:val="center"/>
                </w:tcPr>
                <w:p w14:paraId="59251DB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2BB5B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7EDE203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43A4A6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0DCCCD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EE4A05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E68A2D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4F7F5C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3026F2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70" w:type="dxa"/>
                  <w:vMerge w:val="continue"/>
                  <w:noWrap w:val="0"/>
                  <w:vAlign w:val="center"/>
                </w:tcPr>
                <w:p w14:paraId="42EA8A90">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25" w:type="dxa"/>
                  <w:noWrap w:val="0"/>
                  <w:vAlign w:val="center"/>
                </w:tcPr>
                <w:p w14:paraId="7ABA429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47" w:type="dxa"/>
                  <w:noWrap w:val="0"/>
                  <w:vAlign w:val="center"/>
                </w:tcPr>
                <w:p w14:paraId="5AAA8FF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4E02EAF1">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48.11</w:t>
                  </w:r>
                </w:p>
              </w:tc>
              <w:tc>
                <w:tcPr>
                  <w:tcW w:w="438" w:type="dxa"/>
                  <w:vMerge w:val="continue"/>
                  <w:noWrap w:val="0"/>
                  <w:vAlign w:val="center"/>
                </w:tcPr>
                <w:p w14:paraId="40611B9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6209D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8A04292">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spacing w:val="0"/>
                      <w:position w:val="0"/>
                      <w:sz w:val="21"/>
                      <w:szCs w:val="21"/>
                      <w:highlight w:val="none"/>
                      <w:u w:val="none" w:color="auto"/>
                      <w:lang w:val="en-US" w:eastAsia="zh-CN"/>
                    </w:rPr>
                    <w:t>33.11</w:t>
                  </w:r>
                </w:p>
              </w:tc>
              <w:tc>
                <w:tcPr>
                  <w:tcW w:w="429" w:type="dxa"/>
                  <w:noWrap w:val="0"/>
                  <w:vAlign w:val="center"/>
                </w:tcPr>
                <w:p w14:paraId="356554D5">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BAAC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7982" w:type="dxa"/>
                  <w:gridSpan w:val="15"/>
                  <w:noWrap w:val="0"/>
                  <w:vAlign w:val="center"/>
                </w:tcPr>
                <w:p w14:paraId="44EF782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注：以</w:t>
                  </w:r>
                  <w:r>
                    <w:rPr>
                      <w:rFonts w:hint="eastAsia" w:ascii="Times New Roman" w:hAnsi="Times New Roman" w:eastAsia="宋体" w:cs="Times New Roman"/>
                      <w:b/>
                      <w:bCs/>
                      <w:color w:val="auto"/>
                      <w:kern w:val="2"/>
                      <w:sz w:val="21"/>
                      <w:szCs w:val="21"/>
                      <w:highlight w:val="none"/>
                      <w:u w:val="none" w:color="auto"/>
                      <w:lang w:val="en-US" w:eastAsia="zh-CN" w:bidi="ar-SA"/>
                    </w:rPr>
                    <w:t>生产厂房</w:t>
                  </w:r>
                  <w:r>
                    <w:rPr>
                      <w:rFonts w:hint="default" w:ascii="Times New Roman" w:hAnsi="Times New Roman" w:eastAsia="宋体" w:cs="Times New Roman"/>
                      <w:b/>
                      <w:bCs/>
                      <w:color w:val="auto"/>
                      <w:kern w:val="2"/>
                      <w:sz w:val="21"/>
                      <w:szCs w:val="21"/>
                      <w:highlight w:val="none"/>
                      <w:u w:val="none" w:color="auto"/>
                      <w:lang w:val="en-US" w:eastAsia="zh-CN" w:bidi="ar-SA"/>
                    </w:rPr>
                    <w:t>西北角为中心（0,0,0）</w:t>
                  </w:r>
                </w:p>
              </w:tc>
            </w:tr>
          </w:tbl>
          <w:p w14:paraId="06D8D228">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噪声排放达标性分析</w:t>
            </w:r>
          </w:p>
          <w:p w14:paraId="7E3745E1">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本次工程建设内容及《环境影响评价技术导则—声环境》（HJ2.4-2021）的要求，本次评价采用的模型为《环境影响评价技术导则声环境》(HJ2.4.2021)附录A（规范性附录）户外声传播的衰减和附录B（规范性附录）中“B.1工业噪声预测计算模型”。</w:t>
            </w:r>
          </w:p>
          <w:p w14:paraId="32716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cs="Times New Roman"/>
                <w:color w:val="auto"/>
                <w:spacing w:val="0"/>
                <w:position w:val="0"/>
                <w:sz w:val="24"/>
                <w:szCs w:val="24"/>
                <w:highlight w:val="none"/>
                <w:u w:val="none" w:color="auto"/>
                <w:lang w:val="en-US" w:eastAsia="zh-CN"/>
              </w:rPr>
              <w:t>1</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噪声预测模式及参数</w:t>
            </w:r>
          </w:p>
          <w:p w14:paraId="74090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本项目预测模式选用《环境影响评价技术导则声环境》（HJ2.4-2021）中推荐的工业噪声预测计算模式，模式如下：</w:t>
            </w:r>
          </w:p>
          <w:p w14:paraId="19109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①室内声源等效室外声源声功率级计算方法</w:t>
            </w:r>
          </w:p>
          <w:p w14:paraId="2A3F7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声源位于室内，室内声源可采用等效室外声源声功率级法进行计算。按5.2-2式计算某一室内声源靠近围护结构处产生的倍频带声压级或A声级：</w:t>
            </w:r>
          </w:p>
          <w:p w14:paraId="30BF93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314700" cy="739140"/>
                  <wp:effectExtent l="0" t="0" r="0" b="381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4"/>
                          <a:stretch>
                            <a:fillRect/>
                          </a:stretch>
                        </pic:blipFill>
                        <pic:spPr>
                          <a:xfrm>
                            <a:off x="0" y="0"/>
                            <a:ext cx="3314700" cy="739140"/>
                          </a:xfrm>
                          <a:prstGeom prst="rect">
                            <a:avLst/>
                          </a:prstGeom>
                          <a:noFill/>
                          <a:ln>
                            <a:noFill/>
                          </a:ln>
                        </pic:spPr>
                      </pic:pic>
                    </a:graphicData>
                  </a:graphic>
                </wp:inline>
              </w:drawing>
            </w:r>
          </w:p>
          <w:p w14:paraId="2A247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50E8F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w:t>
            </w:r>
            <w:r>
              <w:rPr>
                <w:rFonts w:hint="default" w:ascii="Times New Roman" w:hAnsi="Times New Roman" w:eastAsia="宋体" w:cs="Times New Roman"/>
                <w:color w:val="auto"/>
                <w:spacing w:val="0"/>
                <w:position w:val="0"/>
                <w:sz w:val="24"/>
                <w:szCs w:val="24"/>
                <w:highlight w:val="none"/>
                <w:u w:val="none" w:color="auto"/>
              </w:rPr>
              <w:t>——靠近开口处（或窗户）室内某倍频带的声压级或A声级，dB；</w:t>
            </w:r>
          </w:p>
          <w:p w14:paraId="7E324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——点声源声功率级（A计权或倍频带），dB；</w:t>
            </w:r>
          </w:p>
          <w:p w14:paraId="719FC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Q——指向性因数；通常对无指向性声源，当声源放在房间中心时，Q=1；当放在一面墙的中心时，Q=2；当放在两面墙夹角处时，Q=4；当放在三面墙夹角处时，Q=8；</w:t>
            </w:r>
          </w:p>
          <w:p w14:paraId="4BFCE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R——房间常数；R=Sα/（1-α），S为房间内表面面积，m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；α为平均吸声系数；</w:t>
            </w:r>
          </w:p>
          <w:p w14:paraId="2A6F2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r——声源到靠近围护结构某点处的距离，m。</w:t>
            </w:r>
          </w:p>
          <w:p w14:paraId="3E07B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然后按式5.2-3计算出所有室内声源在围护结构处产生的i倍频带叠加声压级：</w:t>
            </w:r>
          </w:p>
          <w:p w14:paraId="72ABC0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200400" cy="792480"/>
                  <wp:effectExtent l="0" t="0" r="0" b="762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5"/>
                          <a:stretch>
                            <a:fillRect/>
                          </a:stretch>
                        </pic:blipFill>
                        <pic:spPr>
                          <a:xfrm>
                            <a:off x="0" y="0"/>
                            <a:ext cx="3200400" cy="792480"/>
                          </a:xfrm>
                          <a:prstGeom prst="rect">
                            <a:avLst/>
                          </a:prstGeom>
                          <a:noFill/>
                          <a:ln>
                            <a:noFill/>
                          </a:ln>
                        </pic:spPr>
                      </pic:pic>
                    </a:graphicData>
                  </a:graphic>
                </wp:inline>
              </w:drawing>
            </w:r>
          </w:p>
          <w:p w14:paraId="28461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2C5BB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04930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p1ij</w:t>
            </w:r>
            <w:r>
              <w:rPr>
                <w:rFonts w:hint="default" w:ascii="Times New Roman" w:hAnsi="Times New Roman" w:eastAsia="宋体" w:cs="Times New Roman"/>
                <w:color w:val="auto"/>
                <w:spacing w:val="0"/>
                <w:position w:val="0"/>
                <w:sz w:val="24"/>
                <w:szCs w:val="24"/>
                <w:highlight w:val="none"/>
                <w:u w:val="none" w:color="auto"/>
              </w:rPr>
              <w:t>——室内j声源i倍频带的声压级，dB；</w:t>
            </w:r>
          </w:p>
          <w:p w14:paraId="1B150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N——室内声源总数。</w:t>
            </w:r>
          </w:p>
          <w:p w14:paraId="75396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在室内近似为扩散声场时，按5.2-4式计算出靠近室外围护结构处的声压级：</w:t>
            </w:r>
          </w:p>
          <w:p w14:paraId="3569D19D">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078480" cy="541020"/>
                  <wp:effectExtent l="0" t="0" r="7620" b="1143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6"/>
                          <a:stretch>
                            <a:fillRect/>
                          </a:stretch>
                        </pic:blipFill>
                        <pic:spPr>
                          <a:xfrm>
                            <a:off x="0" y="0"/>
                            <a:ext cx="3078480" cy="541020"/>
                          </a:xfrm>
                          <a:prstGeom prst="rect">
                            <a:avLst/>
                          </a:prstGeom>
                          <a:noFill/>
                          <a:ln>
                            <a:noFill/>
                          </a:ln>
                        </pic:spPr>
                      </pic:pic>
                    </a:graphicData>
                  </a:graphic>
                </wp:inline>
              </w:drawing>
            </w:r>
          </w:p>
          <w:p w14:paraId="6433DDAF">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78368F79">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——靠近围护结构处室外N个声源i倍频带的叠加声压级，dB；</w:t>
            </w:r>
          </w:p>
          <w:p w14:paraId="3DB871BA">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5E42FB21">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TL</w:t>
            </w:r>
            <w:r>
              <w:rPr>
                <w:rFonts w:hint="default" w:ascii="Times New Roman" w:hAnsi="Times New Roman" w:eastAsia="宋体" w:cs="Times New Roman"/>
                <w:color w:val="auto"/>
                <w:spacing w:val="0"/>
                <w:position w:val="0"/>
                <w:sz w:val="24"/>
                <w:szCs w:val="24"/>
                <w:highlight w:val="none"/>
                <w:u w:val="none" w:color="auto"/>
                <w:vertAlign w:val="subscript"/>
              </w:rPr>
              <w:t>i</w:t>
            </w:r>
            <w:r>
              <w:rPr>
                <w:rFonts w:hint="default" w:ascii="Times New Roman" w:hAnsi="Times New Roman" w:eastAsia="宋体" w:cs="Times New Roman"/>
                <w:color w:val="auto"/>
                <w:spacing w:val="0"/>
                <w:position w:val="0"/>
                <w:sz w:val="24"/>
                <w:szCs w:val="24"/>
                <w:highlight w:val="none"/>
                <w:u w:val="none" w:color="auto"/>
              </w:rPr>
              <w:t>——围护结构i倍频带的隔声量，dB。</w:t>
            </w:r>
          </w:p>
          <w:p w14:paraId="01402522">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然后按5.2-5式将室外声源的声压级和透过面积换算成等效的室外声源，计算出中心位置位于透声面积（S）处的等效声源的倍频带声功率级。</w:t>
            </w:r>
          </w:p>
          <w:p w14:paraId="4C40BC43">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49880" cy="525780"/>
                  <wp:effectExtent l="0" t="0" r="7620" b="762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7"/>
                          <a:stretch>
                            <a:fillRect/>
                          </a:stretch>
                        </pic:blipFill>
                        <pic:spPr>
                          <a:xfrm>
                            <a:off x="0" y="0"/>
                            <a:ext cx="2849880" cy="525780"/>
                          </a:xfrm>
                          <a:prstGeom prst="rect">
                            <a:avLst/>
                          </a:prstGeom>
                          <a:noFill/>
                          <a:ln>
                            <a:noFill/>
                          </a:ln>
                        </pic:spPr>
                      </pic:pic>
                    </a:graphicData>
                  </a:graphic>
                </wp:inline>
              </w:drawing>
            </w:r>
          </w:p>
          <w:p w14:paraId="0842EC69">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66D459FC">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——中心位置位于透声面积（S）处的等效声源的倍频带声功率级，dB；</w:t>
            </w:r>
          </w:p>
          <w:p w14:paraId="60FDE0D7">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——靠近围护结构处室外声源的声压级，dB；</w:t>
            </w:r>
          </w:p>
          <w:p w14:paraId="36EE6A82">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S——透声面积，m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w:t>
            </w:r>
          </w:p>
          <w:p w14:paraId="2809EC7D">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然后按室外声源预测方法计算预测点处的A声级。</w:t>
            </w:r>
          </w:p>
          <w:p w14:paraId="329C062D">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②室外的点声源在预测点产生的声级计算基本公式（5.2-6）：</w:t>
            </w:r>
          </w:p>
          <w:p w14:paraId="04116538">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户外声传播衰减包括几何发散（A</w:t>
            </w:r>
            <w:r>
              <w:rPr>
                <w:rFonts w:hint="default" w:ascii="Times New Roman" w:hAnsi="Times New Roman" w:eastAsia="宋体" w:cs="Times New Roman"/>
                <w:color w:val="auto"/>
                <w:spacing w:val="0"/>
                <w:position w:val="0"/>
                <w:sz w:val="24"/>
                <w:szCs w:val="24"/>
                <w:highlight w:val="none"/>
                <w:u w:val="none" w:color="auto"/>
                <w:vertAlign w:val="subscript"/>
              </w:rPr>
              <w:t>dv</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、大气吸收（A</w:t>
            </w:r>
            <w:r>
              <w:rPr>
                <w:rFonts w:hint="default" w:ascii="Times New Roman" w:hAnsi="Times New Roman" w:eastAsia="宋体" w:cs="Times New Roman"/>
                <w:color w:val="auto"/>
                <w:spacing w:val="0"/>
                <w:position w:val="0"/>
                <w:sz w:val="24"/>
                <w:szCs w:val="24"/>
                <w:highlight w:val="none"/>
                <w:u w:val="none" w:color="auto"/>
                <w:vertAlign w:val="subscript"/>
              </w:rPr>
              <w:t>am</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、地面效应（A</w:t>
            </w:r>
            <w:r>
              <w:rPr>
                <w:rFonts w:hint="default" w:ascii="Times New Roman" w:hAnsi="Times New Roman" w:eastAsia="宋体" w:cs="Times New Roman"/>
                <w:color w:val="auto"/>
                <w:spacing w:val="0"/>
                <w:position w:val="0"/>
                <w:sz w:val="24"/>
                <w:szCs w:val="24"/>
                <w:highlight w:val="none"/>
                <w:u w:val="none" w:color="auto"/>
                <w:vertAlign w:val="subscript"/>
              </w:rPr>
              <w:t>g</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、障碍物屏蔽（A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、其他多方面效应（A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）引起的衰减。</w:t>
            </w:r>
          </w:p>
          <w:p w14:paraId="65769004">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4556760" cy="541020"/>
                  <wp:effectExtent l="0" t="0" r="15240" b="1143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8"/>
                          <a:stretch>
                            <a:fillRect/>
                          </a:stretch>
                        </pic:blipFill>
                        <pic:spPr>
                          <a:xfrm>
                            <a:off x="0" y="0"/>
                            <a:ext cx="4556760" cy="541020"/>
                          </a:xfrm>
                          <a:prstGeom prst="rect">
                            <a:avLst/>
                          </a:prstGeom>
                          <a:noFill/>
                          <a:ln>
                            <a:noFill/>
                          </a:ln>
                        </pic:spPr>
                      </pic:pic>
                    </a:graphicData>
                  </a:graphic>
                </wp:inline>
              </w:drawing>
            </w:r>
          </w:p>
          <w:p w14:paraId="7A1961AD">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0DCB4476">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w:t>
            </w:r>
            <w:r>
              <w:rPr>
                <w:rFonts w:hint="default" w:ascii="Times New Roman" w:hAnsi="Times New Roman" w:eastAsia="宋体" w:cs="Times New Roman"/>
                <w:color w:val="auto"/>
                <w:spacing w:val="0"/>
                <w:position w:val="0"/>
                <w:sz w:val="24"/>
                <w:szCs w:val="24"/>
                <w:highlight w:val="none"/>
                <w:u w:val="none" w:color="auto"/>
              </w:rPr>
              <w:t>（r）——预测点处声压级，dB；</w:t>
            </w:r>
          </w:p>
          <w:p w14:paraId="745D9178">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——由点声源产生的声功率级（A计权或倍频带），dB；</w:t>
            </w:r>
          </w:p>
          <w:p w14:paraId="7D658076">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D</w:t>
            </w:r>
            <w:r>
              <w:rPr>
                <w:rFonts w:hint="default" w:ascii="Times New Roman" w:hAnsi="Times New Roman" w:eastAsia="宋体" w:cs="Times New Roman"/>
                <w:color w:val="auto"/>
                <w:spacing w:val="0"/>
                <w:position w:val="0"/>
                <w:sz w:val="24"/>
                <w:szCs w:val="24"/>
                <w:highlight w:val="none"/>
                <w:u w:val="none" w:color="auto"/>
                <w:vertAlign w:val="subscript"/>
              </w:rPr>
              <w:t>c</w:t>
            </w:r>
            <w:r>
              <w:rPr>
                <w:rFonts w:hint="default" w:ascii="Times New Roman" w:hAnsi="Times New Roman" w:eastAsia="宋体" w:cs="Times New Roman"/>
                <w:color w:val="auto"/>
                <w:spacing w:val="0"/>
                <w:position w:val="0"/>
                <w:sz w:val="24"/>
                <w:szCs w:val="24"/>
                <w:highlight w:val="none"/>
                <w:u w:val="none" w:color="auto"/>
              </w:rPr>
              <w:t>——指向性校正，它描述点声源的等效连续声压级与产生声功率级Lw的全向点声源在规定方向的声级的偏差程度，dB；</w:t>
            </w:r>
          </w:p>
          <w:p w14:paraId="28D85490">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——几何发散引起的衰减，dB；</w:t>
            </w:r>
          </w:p>
          <w:p w14:paraId="6903952B">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——大气吸收引起的衰减，dB；</w:t>
            </w:r>
          </w:p>
          <w:p w14:paraId="3DA779B9">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——地面效应引起的衰减，dB；</w:t>
            </w:r>
          </w:p>
          <w:p w14:paraId="5AFB155C">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——障碍物屏蔽引起的衰减，dB；</w:t>
            </w:r>
          </w:p>
          <w:p w14:paraId="6508DAEC">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——其他多方面效应引起的衰减，dB。</w:t>
            </w:r>
          </w:p>
          <w:p w14:paraId="26E9350A">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根据上述公式，对主要生产设备噪声值进行叠加计算，预测项目实施后对项目厂房边界声环境的影响。</w:t>
            </w:r>
          </w:p>
          <w:p w14:paraId="579619C0">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预测参数确定：</w:t>
            </w:r>
          </w:p>
          <w:p w14:paraId="32762AB5">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①几何发散衰减量A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w:t>
            </w:r>
          </w:p>
          <w:p w14:paraId="4B590B6A">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选用半自由声场无指向性点声源几何发散衰减基本模式计算：</w:t>
            </w:r>
          </w:p>
          <w:p w14:paraId="6833A7A3">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34640" cy="457200"/>
                  <wp:effectExtent l="0" t="0" r="3810" b="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19"/>
                          <a:stretch>
                            <a:fillRect/>
                          </a:stretch>
                        </pic:blipFill>
                        <pic:spPr>
                          <a:xfrm>
                            <a:off x="0" y="0"/>
                            <a:ext cx="2834640" cy="457200"/>
                          </a:xfrm>
                          <a:prstGeom prst="rect">
                            <a:avLst/>
                          </a:prstGeom>
                          <a:noFill/>
                          <a:ln>
                            <a:noFill/>
                          </a:ln>
                        </pic:spPr>
                      </pic:pic>
                    </a:graphicData>
                  </a:graphic>
                </wp:inline>
              </w:drawing>
            </w:r>
          </w:p>
          <w:p w14:paraId="30882679">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②遮挡物衰减量A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w:t>
            </w:r>
          </w:p>
          <w:p w14:paraId="494E359D">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噪声源辐射的噪声由室内传播至室外遇到围墙或建筑物等障碍物时引起的能量衰减。对于安装在厂房内的设备，预测时主要考虑厂房墙壁等围栏结构产生的衰减，其最大衰减量可达20dB。</w:t>
            </w:r>
          </w:p>
          <w:p w14:paraId="020306E7">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③空气吸收衰减量A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w:t>
            </w:r>
          </w:p>
          <w:p w14:paraId="27C9F27C">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514600" cy="640080"/>
                  <wp:effectExtent l="0" t="0" r="0" b="7620"/>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0"/>
                          <a:stretch>
                            <a:fillRect/>
                          </a:stretch>
                        </pic:blipFill>
                        <pic:spPr>
                          <a:xfrm>
                            <a:off x="0" y="0"/>
                            <a:ext cx="2514600" cy="640080"/>
                          </a:xfrm>
                          <a:prstGeom prst="rect">
                            <a:avLst/>
                          </a:prstGeom>
                          <a:noFill/>
                          <a:ln>
                            <a:noFill/>
                          </a:ln>
                        </pic:spPr>
                      </pic:pic>
                    </a:graphicData>
                  </a:graphic>
                </wp:inline>
              </w:drawing>
            </w:r>
          </w:p>
          <w:p w14:paraId="7F8EF97B">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1EAF07C1">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α——与温度、湿度和声波频率有关的大气吸收衰减系数，预测计算中一般根据建设项目所处区域常年平均气温和湿度</w:t>
            </w:r>
            <w:r>
              <w:rPr>
                <w:rFonts w:hint="default" w:ascii="Times New Roman" w:hAnsi="Times New Roman" w:cs="Times New Roman"/>
                <w:color w:val="auto"/>
                <w:spacing w:val="0"/>
                <w:position w:val="0"/>
                <w:sz w:val="24"/>
                <w:szCs w:val="24"/>
                <w:highlight w:val="none"/>
                <w:u w:val="none" w:color="auto"/>
                <w:lang w:eastAsia="zh-CN"/>
              </w:rPr>
              <w:t>选择</w:t>
            </w:r>
            <w:r>
              <w:rPr>
                <w:rFonts w:hint="default" w:ascii="Times New Roman" w:hAnsi="Times New Roman" w:eastAsia="宋体" w:cs="Times New Roman"/>
                <w:color w:val="auto"/>
                <w:spacing w:val="0"/>
                <w:position w:val="0"/>
                <w:sz w:val="24"/>
                <w:szCs w:val="24"/>
                <w:highlight w:val="none"/>
                <w:u w:val="none" w:color="auto"/>
              </w:rPr>
              <w:t>相应的大气吸收衰减系数。</w:t>
            </w:r>
          </w:p>
          <w:p w14:paraId="354612D4">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空气吸收衰减量与几何发散衰减量相比很小，本次预测计算中忽略空气吸收衰减量。</w:t>
            </w:r>
          </w:p>
          <w:p w14:paraId="6CEA0018">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④地面衰减量A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：本次评价忽略。</w:t>
            </w:r>
          </w:p>
          <w:p w14:paraId="22F6E4F3">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⑤</w:t>
            </w:r>
            <w:r>
              <w:rPr>
                <w:rFonts w:hint="eastAsia" w:ascii="Times New Roman" w:hAnsi="Times New Roman" w:cs="Times New Roman"/>
                <w:color w:val="auto"/>
                <w:spacing w:val="0"/>
                <w:position w:val="0"/>
                <w:sz w:val="24"/>
                <w:szCs w:val="24"/>
                <w:highlight w:val="none"/>
                <w:u w:val="none" w:color="auto"/>
                <w:lang w:eastAsia="zh-CN"/>
              </w:rPr>
              <w:t>其他</w:t>
            </w:r>
            <w:r>
              <w:rPr>
                <w:rFonts w:hint="default" w:ascii="Times New Roman" w:hAnsi="Times New Roman" w:eastAsia="宋体" w:cs="Times New Roman"/>
                <w:color w:val="auto"/>
                <w:spacing w:val="0"/>
                <w:position w:val="0"/>
                <w:sz w:val="24"/>
                <w:szCs w:val="24"/>
                <w:highlight w:val="none"/>
                <w:u w:val="none" w:color="auto"/>
              </w:rPr>
              <w:t>方面衰减量A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：本次评价忽略。</w:t>
            </w:r>
          </w:p>
          <w:p w14:paraId="7BABC315">
            <w:pPr>
              <w:pStyle w:val="37"/>
              <w:bidi w:val="0"/>
              <w:rPr>
                <w:rFonts w:hint="default"/>
                <w:color w:val="auto"/>
                <w:highlight w:val="none"/>
                <w:u w:val="none" w:color="auto"/>
                <w:lang w:val="en-US" w:eastAsia="zh-CN"/>
              </w:rPr>
            </w:pPr>
            <w:r>
              <w:rPr>
                <w:rFonts w:hint="default"/>
                <w:color w:val="auto"/>
                <w:highlight w:val="none"/>
                <w:u w:val="none" w:color="auto"/>
              </w:rPr>
              <w:t>噪声源强、位置一览表</w:t>
            </w:r>
            <w:r>
              <w:rPr>
                <w:rFonts w:hint="eastAsia"/>
                <w:color w:val="auto"/>
                <w:highlight w:val="none"/>
                <w:u w:val="none" w:color="auto"/>
                <w:lang w:val="en-US" w:eastAsia="zh-CN"/>
              </w:rPr>
              <w:t>和</w:t>
            </w:r>
            <w:r>
              <w:rPr>
                <w:rFonts w:hint="default"/>
                <w:color w:val="auto"/>
                <w:highlight w:val="none"/>
                <w:u w:val="none" w:color="auto"/>
              </w:rPr>
              <w:t>工程建成后的厂界噪声值预测</w:t>
            </w:r>
            <w:r>
              <w:rPr>
                <w:rFonts w:hint="default"/>
                <w:color w:val="auto"/>
                <w:highlight w:val="none"/>
                <w:u w:val="none" w:color="auto"/>
                <w:lang w:eastAsia="zh-CN"/>
              </w:rPr>
              <w:t>见下表</w:t>
            </w:r>
            <w:r>
              <w:rPr>
                <w:rFonts w:hint="default"/>
                <w:color w:val="auto"/>
                <w:highlight w:val="none"/>
                <w:u w:val="none" w:color="auto"/>
                <w:lang w:val="en-US" w:eastAsia="zh-CN"/>
              </w:rPr>
              <w:t>。</w:t>
            </w:r>
          </w:p>
          <w:p w14:paraId="3BBA670E">
            <w:pPr>
              <w:widowControl w:val="0"/>
              <w:adjustRightInd w:val="0"/>
              <w:snapToGrid w:val="0"/>
              <w:spacing w:line="240" w:lineRule="auto"/>
              <w:ind w:firstLine="0" w:firstLineChars="0"/>
              <w:jc w:val="center"/>
              <w:rPr>
                <w:rFonts w:ascii="Times New Roman" w:hAnsi="Times New Roman" w:eastAsia="宋体" w:cs="Times New Roman"/>
                <w:b/>
                <w:color w:val="auto"/>
                <w:kern w:val="2"/>
                <w:sz w:val="21"/>
                <w:szCs w:val="21"/>
                <w:highlight w:val="green"/>
                <w:u w:val="none" w:color="auto"/>
                <w:lang w:val="en-US" w:eastAsia="zh-CN" w:bidi="ar-SA"/>
              </w:rPr>
            </w:pPr>
            <w:r>
              <w:rPr>
                <w:rFonts w:ascii="Times New Roman" w:hAnsi="Times New Roman" w:eastAsia="宋体" w:cs="Times New Roman"/>
                <w:b/>
                <w:color w:val="auto"/>
                <w:kern w:val="2"/>
                <w:sz w:val="21"/>
                <w:szCs w:val="21"/>
                <w:highlight w:val="none"/>
                <w:u w:val="none" w:color="auto"/>
                <w:lang w:val="en-US" w:eastAsia="zh-CN" w:bidi="ar-SA"/>
              </w:rPr>
              <w:t>表4-</w:t>
            </w:r>
            <w:r>
              <w:rPr>
                <w:rFonts w:hint="eastAsia" w:cs="Times New Roman"/>
                <w:b/>
                <w:color w:val="auto"/>
                <w:kern w:val="2"/>
                <w:sz w:val="21"/>
                <w:szCs w:val="21"/>
                <w:highlight w:val="none"/>
                <w:u w:val="none" w:color="auto"/>
                <w:lang w:val="en-US" w:eastAsia="zh-CN" w:bidi="ar-SA"/>
              </w:rPr>
              <w:t xml:space="preserve">5  </w:t>
            </w:r>
            <w:r>
              <w:rPr>
                <w:rFonts w:hint="eastAsia" w:ascii="Times New Roman" w:hAnsi="Times New Roman" w:eastAsia="宋体" w:cs="Times New Roman"/>
                <w:b/>
                <w:color w:val="auto"/>
                <w:kern w:val="2"/>
                <w:sz w:val="21"/>
                <w:szCs w:val="21"/>
                <w:highlight w:val="none"/>
                <w:u w:val="none" w:color="auto"/>
                <w:lang w:val="en-US" w:eastAsia="zh-CN" w:bidi="ar-SA"/>
              </w:rPr>
              <w:t xml:space="preserve"> </w:t>
            </w:r>
            <w:r>
              <w:rPr>
                <w:rFonts w:ascii="Times New Roman" w:hAnsi="Times New Roman" w:eastAsia="宋体" w:cs="Times New Roman"/>
                <w:b/>
                <w:color w:val="auto"/>
                <w:kern w:val="2"/>
                <w:sz w:val="21"/>
                <w:szCs w:val="21"/>
                <w:highlight w:val="none"/>
                <w:u w:val="none" w:color="auto"/>
                <w:lang w:val="en-US" w:eastAsia="zh-CN" w:bidi="ar-SA"/>
              </w:rPr>
              <w:t>厂界噪声预测结果与达标分析表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1134"/>
              <w:gridCol w:w="804"/>
              <w:gridCol w:w="557"/>
              <w:gridCol w:w="611"/>
              <w:gridCol w:w="660"/>
              <w:gridCol w:w="1668"/>
              <w:gridCol w:w="1668"/>
              <w:gridCol w:w="1135"/>
            </w:tblGrid>
            <w:tr w14:paraId="6C1ED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restart"/>
                  <w:noWrap/>
                  <w:vAlign w:val="center"/>
                </w:tcPr>
                <w:p w14:paraId="5D292097">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预测位置</w:t>
                  </w:r>
                </w:p>
              </w:tc>
              <w:tc>
                <w:tcPr>
                  <w:tcW w:w="1215" w:type="pct"/>
                  <w:gridSpan w:val="3"/>
                  <w:noWrap/>
                  <w:vAlign w:val="center"/>
                </w:tcPr>
                <w:p w14:paraId="1D52996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空间相对位置/m</w:t>
                  </w:r>
                </w:p>
              </w:tc>
              <w:tc>
                <w:tcPr>
                  <w:tcW w:w="359" w:type="pct"/>
                  <w:vMerge w:val="restart"/>
                  <w:noWrap/>
                  <w:vAlign w:val="center"/>
                </w:tcPr>
                <w:p w14:paraId="2B08D4D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时段</w:t>
                  </w:r>
                </w:p>
              </w:tc>
              <w:tc>
                <w:tcPr>
                  <w:tcW w:w="1018" w:type="pct"/>
                  <w:vMerge w:val="restart"/>
                  <w:noWrap/>
                  <w:vAlign w:val="center"/>
                </w:tcPr>
                <w:p w14:paraId="4FC0EBC5">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贡献值</w:t>
                  </w:r>
                </w:p>
                <w:p w14:paraId="13F6A522">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1018" w:type="pct"/>
                  <w:vMerge w:val="restart"/>
                  <w:noWrap/>
                  <w:vAlign w:val="center"/>
                </w:tcPr>
                <w:p w14:paraId="6E970821">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标准限值</w:t>
                  </w:r>
                </w:p>
                <w:p w14:paraId="464E2D69">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694" w:type="pct"/>
                  <w:vMerge w:val="restart"/>
                  <w:noWrap/>
                  <w:vAlign w:val="center"/>
                </w:tcPr>
                <w:p w14:paraId="0D29BDE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达标情况</w:t>
                  </w:r>
                </w:p>
              </w:tc>
            </w:tr>
            <w:tr w14:paraId="108F58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continue"/>
                  <w:noWrap/>
                  <w:vAlign w:val="center"/>
                </w:tcPr>
                <w:p w14:paraId="2B257756">
                  <w:pPr>
                    <w:jc w:val="center"/>
                    <w:rPr>
                      <w:rFonts w:ascii="Times New Roman" w:hAnsi="Times New Roman" w:eastAsia="宋体" w:cs="Times New Roman"/>
                      <w:color w:val="auto"/>
                      <w:szCs w:val="21"/>
                      <w:highlight w:val="none"/>
                      <w:u w:val="none" w:color="auto"/>
                    </w:rPr>
                  </w:pPr>
                </w:p>
              </w:tc>
              <w:tc>
                <w:tcPr>
                  <w:tcW w:w="494" w:type="pct"/>
                  <w:noWrap/>
                  <w:vAlign w:val="center"/>
                </w:tcPr>
                <w:p w14:paraId="29AC34A2">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X</w:t>
                  </w:r>
                </w:p>
              </w:tc>
              <w:tc>
                <w:tcPr>
                  <w:tcW w:w="344" w:type="pct"/>
                  <w:noWrap/>
                  <w:vAlign w:val="center"/>
                </w:tcPr>
                <w:p w14:paraId="3324D98F">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Y</w:t>
                  </w:r>
                </w:p>
              </w:tc>
              <w:tc>
                <w:tcPr>
                  <w:tcW w:w="377" w:type="pct"/>
                  <w:noWrap/>
                  <w:vAlign w:val="center"/>
                </w:tcPr>
                <w:p w14:paraId="4E6B21F5">
                  <w:pPr>
                    <w:jc w:val="center"/>
                    <w:rPr>
                      <w:rFonts w:ascii="Times New Roman" w:hAnsi="Times New Roman" w:eastAsia="宋体" w:cs="Times New Roman"/>
                      <w:b/>
                      <w:bCs/>
                      <w:color w:val="auto"/>
                      <w:szCs w:val="21"/>
                      <w:highlight w:val="green"/>
                      <w:u w:val="none" w:color="auto"/>
                    </w:rPr>
                  </w:pPr>
                  <w:r>
                    <w:rPr>
                      <w:rFonts w:ascii="Times New Roman" w:hAnsi="Times New Roman" w:eastAsia="宋体" w:cs="Times New Roman"/>
                      <w:b/>
                      <w:bCs/>
                      <w:color w:val="auto"/>
                      <w:szCs w:val="21"/>
                      <w:highlight w:val="none"/>
                      <w:u w:val="none" w:color="auto"/>
                    </w:rPr>
                    <w:t>Z</w:t>
                  </w:r>
                </w:p>
              </w:tc>
              <w:tc>
                <w:tcPr>
                  <w:tcW w:w="359" w:type="pct"/>
                  <w:vMerge w:val="continue"/>
                  <w:noWrap/>
                  <w:vAlign w:val="center"/>
                </w:tcPr>
                <w:p w14:paraId="4AA6C3E8">
                  <w:pPr>
                    <w:jc w:val="center"/>
                    <w:rPr>
                      <w:rFonts w:ascii="Times New Roman" w:hAnsi="Times New Roman" w:eastAsia="宋体" w:cs="Times New Roman"/>
                      <w:color w:val="auto"/>
                      <w:szCs w:val="21"/>
                      <w:highlight w:val="none"/>
                      <w:u w:val="none" w:color="auto"/>
                    </w:rPr>
                  </w:pPr>
                </w:p>
              </w:tc>
              <w:tc>
                <w:tcPr>
                  <w:tcW w:w="1018" w:type="pct"/>
                  <w:vMerge w:val="continue"/>
                  <w:noWrap/>
                  <w:vAlign w:val="center"/>
                </w:tcPr>
                <w:p w14:paraId="31CE5BDF">
                  <w:pPr>
                    <w:jc w:val="center"/>
                    <w:rPr>
                      <w:rFonts w:ascii="Times New Roman" w:hAnsi="Times New Roman" w:eastAsia="宋体" w:cs="Times New Roman"/>
                      <w:color w:val="auto"/>
                      <w:szCs w:val="21"/>
                      <w:highlight w:val="none"/>
                      <w:u w:val="none" w:color="auto"/>
                    </w:rPr>
                  </w:pPr>
                </w:p>
              </w:tc>
              <w:tc>
                <w:tcPr>
                  <w:tcW w:w="1018" w:type="pct"/>
                  <w:vMerge w:val="continue"/>
                  <w:noWrap/>
                  <w:vAlign w:val="center"/>
                </w:tcPr>
                <w:p w14:paraId="5E358448">
                  <w:pPr>
                    <w:jc w:val="center"/>
                    <w:rPr>
                      <w:rFonts w:ascii="Times New Roman" w:hAnsi="Times New Roman" w:eastAsia="宋体" w:cs="Times New Roman"/>
                      <w:color w:val="auto"/>
                      <w:szCs w:val="21"/>
                      <w:highlight w:val="none"/>
                      <w:u w:val="none" w:color="auto"/>
                    </w:rPr>
                  </w:pPr>
                </w:p>
              </w:tc>
              <w:tc>
                <w:tcPr>
                  <w:tcW w:w="694" w:type="pct"/>
                  <w:vMerge w:val="continue"/>
                  <w:noWrap/>
                  <w:vAlign w:val="center"/>
                </w:tcPr>
                <w:p w14:paraId="3EE0E0B7">
                  <w:pPr>
                    <w:jc w:val="center"/>
                    <w:rPr>
                      <w:rFonts w:ascii="Times New Roman" w:hAnsi="Times New Roman" w:eastAsia="宋体" w:cs="Times New Roman"/>
                      <w:color w:val="auto"/>
                      <w:szCs w:val="21"/>
                      <w:highlight w:val="none"/>
                      <w:u w:val="none" w:color="auto"/>
                    </w:rPr>
                  </w:pPr>
                </w:p>
              </w:tc>
            </w:tr>
            <w:tr w14:paraId="314EAD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6" w:hRule="atLeast"/>
                <w:jc w:val="center"/>
              </w:trPr>
              <w:tc>
                <w:tcPr>
                  <w:tcW w:w="694" w:type="pct"/>
                  <w:noWrap/>
                  <w:vAlign w:val="center"/>
                </w:tcPr>
                <w:p w14:paraId="0D150B95">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东厂界</w:t>
                  </w:r>
                </w:p>
              </w:tc>
              <w:tc>
                <w:tcPr>
                  <w:tcW w:w="494" w:type="pct"/>
                  <w:noWrap/>
                  <w:vAlign w:val="center"/>
                </w:tcPr>
                <w:p w14:paraId="459FD83D">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78</w:t>
                  </w:r>
                </w:p>
              </w:tc>
              <w:tc>
                <w:tcPr>
                  <w:tcW w:w="344" w:type="pct"/>
                  <w:noWrap/>
                  <w:vAlign w:val="center"/>
                </w:tcPr>
                <w:p w14:paraId="52573983">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77" w:type="pct"/>
                  <w:noWrap/>
                  <w:vAlign w:val="center"/>
                </w:tcPr>
                <w:p w14:paraId="031842C1">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7A7A28E5">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24E1DD5A">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w:t>
                  </w:r>
                  <w:r>
                    <w:rPr>
                      <w:rFonts w:hint="eastAsia" w:cs="Times New Roman"/>
                      <w:color w:val="auto"/>
                      <w:szCs w:val="21"/>
                      <w:highlight w:val="none"/>
                      <w:u w:val="none" w:color="auto"/>
                      <w:lang w:val="en-US" w:eastAsia="zh-CN"/>
                    </w:rPr>
                    <w:t>3.65</w:t>
                  </w:r>
                </w:p>
              </w:tc>
              <w:tc>
                <w:tcPr>
                  <w:tcW w:w="1018" w:type="pct"/>
                  <w:vMerge w:val="restart"/>
                  <w:noWrap/>
                  <w:vAlign w:val="center"/>
                </w:tcPr>
                <w:p w14:paraId="7E9395E0">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昼6</w:t>
                  </w:r>
                  <w:r>
                    <w:rPr>
                      <w:rFonts w:hint="eastAsia" w:ascii="Times New Roman" w:hAnsi="Times New Roman" w:eastAsia="宋体" w:cs="Times New Roman"/>
                      <w:color w:val="auto"/>
                      <w:szCs w:val="21"/>
                      <w:highlight w:val="none"/>
                      <w:u w:val="none" w:color="auto"/>
                      <w:lang w:val="en-US" w:eastAsia="zh-CN"/>
                    </w:rPr>
                    <w:t>0，夜50</w:t>
                  </w:r>
                </w:p>
              </w:tc>
              <w:tc>
                <w:tcPr>
                  <w:tcW w:w="694" w:type="pct"/>
                  <w:noWrap/>
                  <w:vAlign w:val="center"/>
                </w:tcPr>
                <w:p w14:paraId="226CDD01">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3E9E8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7659A37B">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南厂界</w:t>
                  </w:r>
                </w:p>
              </w:tc>
              <w:tc>
                <w:tcPr>
                  <w:tcW w:w="494" w:type="pct"/>
                  <w:noWrap/>
                  <w:vAlign w:val="center"/>
                </w:tcPr>
                <w:p w14:paraId="588F47EB">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44" w:type="pct"/>
                  <w:noWrap/>
                  <w:vAlign w:val="center"/>
                </w:tcPr>
                <w:p w14:paraId="4227B706">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-60</w:t>
                  </w:r>
                </w:p>
              </w:tc>
              <w:tc>
                <w:tcPr>
                  <w:tcW w:w="377" w:type="pct"/>
                  <w:noWrap/>
                  <w:vAlign w:val="center"/>
                </w:tcPr>
                <w:p w14:paraId="5D2525C5">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1.2</w:t>
                  </w:r>
                </w:p>
              </w:tc>
              <w:tc>
                <w:tcPr>
                  <w:tcW w:w="359" w:type="pct"/>
                  <w:noWrap/>
                  <w:vAlign w:val="center"/>
                </w:tcPr>
                <w:p w14:paraId="2646F936">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03C23BF1">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w:t>
                  </w:r>
                  <w:r>
                    <w:rPr>
                      <w:rFonts w:hint="eastAsia" w:cs="Times New Roman"/>
                      <w:color w:val="auto"/>
                      <w:szCs w:val="21"/>
                      <w:highlight w:val="none"/>
                      <w:u w:val="none" w:color="auto"/>
                      <w:lang w:val="en-US" w:eastAsia="zh-CN"/>
                    </w:rPr>
                    <w:t>2.54</w:t>
                  </w:r>
                </w:p>
              </w:tc>
              <w:tc>
                <w:tcPr>
                  <w:tcW w:w="1018" w:type="pct"/>
                  <w:vMerge w:val="continue"/>
                  <w:noWrap/>
                  <w:vAlign w:val="center"/>
                </w:tcPr>
                <w:p w14:paraId="52CB5C47">
                  <w:pPr>
                    <w:jc w:val="center"/>
                    <w:rPr>
                      <w:rFonts w:ascii="Times New Roman" w:hAnsi="Times New Roman" w:eastAsia="宋体" w:cs="Times New Roman"/>
                      <w:color w:val="auto"/>
                      <w:szCs w:val="21"/>
                      <w:highlight w:val="none"/>
                      <w:u w:val="none" w:color="auto"/>
                    </w:rPr>
                  </w:pPr>
                </w:p>
              </w:tc>
              <w:tc>
                <w:tcPr>
                  <w:tcW w:w="694" w:type="pct"/>
                  <w:noWrap/>
                  <w:vAlign w:val="center"/>
                </w:tcPr>
                <w:p w14:paraId="1CF78474">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64C669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41" w:hRule="atLeast"/>
                <w:jc w:val="center"/>
              </w:trPr>
              <w:tc>
                <w:tcPr>
                  <w:tcW w:w="694" w:type="pct"/>
                  <w:noWrap/>
                  <w:vAlign w:val="center"/>
                </w:tcPr>
                <w:p w14:paraId="76D4965E">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西厂界</w:t>
                  </w:r>
                </w:p>
              </w:tc>
              <w:tc>
                <w:tcPr>
                  <w:tcW w:w="494" w:type="pct"/>
                  <w:noWrap/>
                  <w:vAlign w:val="center"/>
                </w:tcPr>
                <w:p w14:paraId="7AAC608C">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w:t>
                  </w:r>
                </w:p>
              </w:tc>
              <w:tc>
                <w:tcPr>
                  <w:tcW w:w="344" w:type="pct"/>
                  <w:noWrap/>
                  <w:vAlign w:val="center"/>
                </w:tcPr>
                <w:p w14:paraId="78DF65DC">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35</w:t>
                  </w:r>
                </w:p>
              </w:tc>
              <w:tc>
                <w:tcPr>
                  <w:tcW w:w="377" w:type="pct"/>
                  <w:noWrap/>
                  <w:vAlign w:val="center"/>
                </w:tcPr>
                <w:p w14:paraId="21281533">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130482BD">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3B78D41A">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w:t>
                  </w:r>
                  <w:r>
                    <w:rPr>
                      <w:rFonts w:hint="eastAsia" w:cs="Times New Roman"/>
                      <w:color w:val="auto"/>
                      <w:szCs w:val="21"/>
                      <w:highlight w:val="none"/>
                      <w:u w:val="none" w:color="auto"/>
                      <w:lang w:val="en-US" w:eastAsia="zh-CN"/>
                    </w:rPr>
                    <w:t>6.69</w:t>
                  </w:r>
                </w:p>
              </w:tc>
              <w:tc>
                <w:tcPr>
                  <w:tcW w:w="1018" w:type="pct"/>
                  <w:vMerge w:val="continue"/>
                  <w:noWrap/>
                  <w:vAlign w:val="center"/>
                </w:tcPr>
                <w:p w14:paraId="0584C749">
                  <w:pPr>
                    <w:jc w:val="center"/>
                    <w:rPr>
                      <w:rFonts w:ascii="Times New Roman" w:hAnsi="Times New Roman" w:eastAsia="宋体" w:cs="Times New Roman"/>
                      <w:color w:val="auto"/>
                      <w:szCs w:val="21"/>
                      <w:highlight w:val="none"/>
                      <w:u w:val="none" w:color="auto"/>
                    </w:rPr>
                  </w:pPr>
                </w:p>
              </w:tc>
              <w:tc>
                <w:tcPr>
                  <w:tcW w:w="694" w:type="pct"/>
                  <w:noWrap/>
                  <w:vAlign w:val="center"/>
                </w:tcPr>
                <w:p w14:paraId="33CCDC8F">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230D9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7C6F37D7">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北厂界</w:t>
                  </w:r>
                </w:p>
              </w:tc>
              <w:tc>
                <w:tcPr>
                  <w:tcW w:w="494" w:type="pct"/>
                  <w:noWrap/>
                  <w:vAlign w:val="center"/>
                </w:tcPr>
                <w:p w14:paraId="3B86B61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44" w:type="pct"/>
                  <w:noWrap/>
                  <w:vAlign w:val="center"/>
                </w:tcPr>
                <w:p w14:paraId="3369196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w:t>
                  </w:r>
                </w:p>
              </w:tc>
              <w:tc>
                <w:tcPr>
                  <w:tcW w:w="377" w:type="pct"/>
                  <w:noWrap/>
                  <w:vAlign w:val="center"/>
                </w:tcPr>
                <w:p w14:paraId="591E67DA">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1F27D5C6">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1BBCCB4A">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4</w:t>
                  </w:r>
                  <w:r>
                    <w:rPr>
                      <w:rFonts w:hint="eastAsia" w:cs="Times New Roman"/>
                      <w:color w:val="auto"/>
                      <w:szCs w:val="21"/>
                      <w:highlight w:val="none"/>
                      <w:u w:val="none" w:color="auto"/>
                      <w:lang w:val="en-US" w:eastAsia="zh-CN"/>
                    </w:rPr>
                    <w:t>4.02</w:t>
                  </w:r>
                </w:p>
              </w:tc>
              <w:tc>
                <w:tcPr>
                  <w:tcW w:w="1018" w:type="pct"/>
                  <w:vMerge w:val="continue"/>
                  <w:noWrap/>
                  <w:vAlign w:val="center"/>
                </w:tcPr>
                <w:p w14:paraId="7ECEE5A2">
                  <w:pPr>
                    <w:jc w:val="center"/>
                    <w:rPr>
                      <w:rFonts w:ascii="Times New Roman" w:hAnsi="Times New Roman" w:eastAsia="宋体" w:cs="Times New Roman"/>
                      <w:color w:val="auto"/>
                      <w:szCs w:val="21"/>
                      <w:highlight w:val="none"/>
                      <w:u w:val="none" w:color="auto"/>
                    </w:rPr>
                  </w:pPr>
                </w:p>
              </w:tc>
              <w:tc>
                <w:tcPr>
                  <w:tcW w:w="694" w:type="pct"/>
                  <w:noWrap/>
                  <w:vAlign w:val="center"/>
                </w:tcPr>
                <w:p w14:paraId="77B73E81">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bl>
          <w:p w14:paraId="772834F2">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根据上表，各声源在采取相应的隔声、减振等措施后，厂界噪声昼间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夜间</w:t>
            </w:r>
            <w:r>
              <w:rPr>
                <w:rFonts w:hint="eastAsia" w:cs="Times New Roman"/>
                <w:color w:val="auto"/>
                <w:highlight w:val="none"/>
                <w:u w:val="none" w:color="auto"/>
                <w:lang w:val="en-US" w:eastAsia="zh-CN"/>
              </w:rPr>
              <w:t>贡献值</w:t>
            </w:r>
            <w:r>
              <w:rPr>
                <w:rFonts w:hint="default" w:ascii="Times New Roman" w:hAnsi="Times New Roman" w:cs="Times New Roman"/>
                <w:color w:val="auto"/>
                <w:highlight w:val="none"/>
                <w:u w:val="none" w:color="auto"/>
              </w:rPr>
              <w:t>满足《工业企业厂界环境噪声排放标准》（GB12348-2008）中的</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类功能区标准要求。</w:t>
            </w:r>
          </w:p>
          <w:p w14:paraId="2BB66367">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根据建设单位拟定平面布局，主要产噪设备采取设备基础减振等减振降噪措施，同时结合墙体隔声、距离衰减等可最大程度降低对外环境影响，在日常</w:t>
            </w:r>
            <w:r>
              <w:rPr>
                <w:rFonts w:hint="eastAsia" w:ascii="Times New Roman" w:hAnsi="Times New Roman" w:cs="Times New Roman"/>
                <w:color w:val="auto"/>
                <w:highlight w:val="none"/>
                <w:u w:val="none" w:color="auto"/>
                <w:lang w:eastAsia="zh-CN"/>
              </w:rPr>
              <w:t>运营</w:t>
            </w:r>
            <w:r>
              <w:rPr>
                <w:rFonts w:hint="default" w:ascii="Times New Roman" w:hAnsi="Times New Roman" w:cs="Times New Roman"/>
                <w:color w:val="auto"/>
                <w:highlight w:val="none"/>
                <w:u w:val="none" w:color="auto"/>
              </w:rPr>
              <w:t>过程中安排专人负责设备的日常保养，可确保设备处于良好的运转状态，避免因不正常运转导致产生的高噪声现象，因此在运营期间对周边声环境影响较小，在可接纳范围之内。</w:t>
            </w:r>
          </w:p>
          <w:p w14:paraId="34E304E7">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37B98A29">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参照《排污单位自行监测技术指南 总则》（HJ819-2017）中的相关要求，</w:t>
            </w:r>
          </w:p>
          <w:p w14:paraId="5B301260">
            <w:pPr>
              <w:pStyle w:val="37"/>
              <w:bidi w:val="0"/>
              <w:ind w:left="0" w:leftChars="0" w:firstLine="0" w:firstLineChars="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提出监测要求，详见下表。</w:t>
            </w:r>
          </w:p>
          <w:p w14:paraId="659EA9EE">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6  </w:t>
            </w:r>
            <w:r>
              <w:rPr>
                <w:rFonts w:hint="default" w:ascii="Times New Roman" w:hAnsi="Times New Roman" w:cs="Times New Roman"/>
                <w:b/>
                <w:bCs/>
                <w:color w:val="auto"/>
                <w:highlight w:val="none"/>
                <w:u w:val="none" w:color="auto"/>
              </w:rPr>
              <w:t xml:space="preserve"> 声环境监测计划一览表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26"/>
              <w:gridCol w:w="2479"/>
              <w:gridCol w:w="1867"/>
              <w:gridCol w:w="2065"/>
            </w:tblGrid>
            <w:tr w14:paraId="2D677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8" w:type="pct"/>
                  <w:tcBorders>
                    <w:tl2br w:val="nil"/>
                    <w:tr2bl w:val="nil"/>
                  </w:tcBorders>
                  <w:vAlign w:val="bottom"/>
                </w:tcPr>
                <w:p w14:paraId="22AABF09">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监测内容</w:t>
                  </w:r>
                </w:p>
              </w:tc>
              <w:tc>
                <w:tcPr>
                  <w:tcW w:w="1504" w:type="pct"/>
                  <w:tcBorders>
                    <w:tl2br w:val="nil"/>
                    <w:tr2bl w:val="nil"/>
                  </w:tcBorders>
                  <w:vAlign w:val="bottom"/>
                </w:tcPr>
                <w:p w14:paraId="0D0E89F2">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监测项目</w:t>
                  </w:r>
                </w:p>
              </w:tc>
              <w:tc>
                <w:tcPr>
                  <w:tcW w:w="1133" w:type="pct"/>
                  <w:tcBorders>
                    <w:tl2br w:val="nil"/>
                    <w:tr2bl w:val="nil"/>
                  </w:tcBorders>
                  <w:vAlign w:val="bottom"/>
                </w:tcPr>
                <w:p w14:paraId="739459B8">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监测点位</w:t>
                  </w:r>
                </w:p>
              </w:tc>
              <w:tc>
                <w:tcPr>
                  <w:tcW w:w="1253" w:type="pct"/>
                  <w:tcBorders>
                    <w:tl2br w:val="nil"/>
                    <w:tr2bl w:val="nil"/>
                  </w:tcBorders>
                  <w:vAlign w:val="bottom"/>
                </w:tcPr>
                <w:p w14:paraId="4C87AFB6">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监测频次</w:t>
                  </w:r>
                </w:p>
              </w:tc>
            </w:tr>
            <w:tr w14:paraId="704AD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08" w:type="pct"/>
                  <w:tcBorders>
                    <w:tl2br w:val="nil"/>
                    <w:tr2bl w:val="nil"/>
                  </w:tcBorders>
                  <w:vAlign w:val="center"/>
                </w:tcPr>
                <w:p w14:paraId="68A5BC34">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5"/>
                      <w:sz w:val="21"/>
                      <w:szCs w:val="21"/>
                      <w:highlight w:val="none"/>
                      <w:u w:val="none" w:color="auto"/>
                    </w:rPr>
                    <w:t>厂界噪声（昼、夜）</w:t>
                  </w:r>
                </w:p>
              </w:tc>
              <w:tc>
                <w:tcPr>
                  <w:tcW w:w="1504" w:type="pct"/>
                  <w:tcBorders>
                    <w:tl2br w:val="nil"/>
                    <w:tr2bl w:val="nil"/>
                  </w:tcBorders>
                  <w:vAlign w:val="center"/>
                </w:tcPr>
                <w:p w14:paraId="286C5B75">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7"/>
                      <w:sz w:val="21"/>
                      <w:szCs w:val="21"/>
                      <w:highlight w:val="none"/>
                      <w:u w:val="none" w:color="auto"/>
                    </w:rPr>
                    <w:t>昼间、夜间等效</w:t>
                  </w:r>
                  <w:r>
                    <w:rPr>
                      <w:rFonts w:hint="default" w:ascii="Times New Roman" w:hAnsi="Times New Roman" w:cs="Times New Roman"/>
                      <w:color w:val="auto"/>
                      <w:spacing w:val="-46"/>
                      <w:sz w:val="21"/>
                      <w:szCs w:val="21"/>
                      <w:highlight w:val="none"/>
                      <w:u w:val="none" w:color="auto"/>
                    </w:rPr>
                    <w:t xml:space="preserve"> </w:t>
                  </w:r>
                  <w:r>
                    <w:rPr>
                      <w:rFonts w:hint="default" w:ascii="Times New Roman" w:hAnsi="Times New Roman" w:eastAsia="Times New Roman" w:cs="Times New Roman"/>
                      <w:color w:val="auto"/>
                      <w:spacing w:val="7"/>
                      <w:sz w:val="21"/>
                      <w:szCs w:val="21"/>
                      <w:highlight w:val="none"/>
                      <w:u w:val="none" w:color="auto"/>
                    </w:rPr>
                    <w:t>A</w:t>
                  </w:r>
                  <w:r>
                    <w:rPr>
                      <w:rFonts w:hint="default" w:ascii="Times New Roman" w:hAnsi="Times New Roman" w:cs="Times New Roman"/>
                      <w:color w:val="auto"/>
                      <w:spacing w:val="7"/>
                      <w:sz w:val="21"/>
                      <w:szCs w:val="21"/>
                      <w:highlight w:val="none"/>
                      <w:u w:val="none" w:color="auto"/>
                    </w:rPr>
                    <w:t>声</w:t>
                  </w:r>
                  <w:r>
                    <w:rPr>
                      <w:rFonts w:hint="default" w:ascii="Times New Roman" w:hAnsi="Times New Roman" w:cs="Times New Roman"/>
                      <w:color w:val="auto"/>
                      <w:sz w:val="21"/>
                      <w:szCs w:val="21"/>
                      <w:highlight w:val="none"/>
                      <w:u w:val="none" w:color="auto"/>
                    </w:rPr>
                    <w:t>级</w:t>
                  </w:r>
                </w:p>
              </w:tc>
              <w:tc>
                <w:tcPr>
                  <w:tcW w:w="1133" w:type="pct"/>
                  <w:tcBorders>
                    <w:tl2br w:val="nil"/>
                    <w:tr2bl w:val="nil"/>
                  </w:tcBorders>
                  <w:vAlign w:val="center"/>
                </w:tcPr>
                <w:p w14:paraId="14E1B03E">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3"/>
                      <w:sz w:val="21"/>
                      <w:szCs w:val="21"/>
                      <w:highlight w:val="none"/>
                      <w:u w:val="none" w:color="auto"/>
                    </w:rPr>
                    <w:t>厂界</w:t>
                  </w:r>
                </w:p>
              </w:tc>
              <w:tc>
                <w:tcPr>
                  <w:tcW w:w="1253" w:type="pct"/>
                  <w:tcBorders>
                    <w:tl2br w:val="nil"/>
                    <w:tr2bl w:val="nil"/>
                  </w:tcBorders>
                  <w:vAlign w:val="center"/>
                </w:tcPr>
                <w:p w14:paraId="25507044">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Times New Roman" w:cs="Times New Roman"/>
                      <w:color w:val="auto"/>
                      <w:spacing w:val="-3"/>
                      <w:sz w:val="21"/>
                      <w:szCs w:val="21"/>
                      <w:highlight w:val="none"/>
                      <w:u w:val="none" w:color="auto"/>
                    </w:rPr>
                    <w:t>1</w:t>
                  </w:r>
                  <w:r>
                    <w:rPr>
                      <w:rFonts w:hint="default" w:ascii="Times New Roman" w:hAnsi="Times New Roman" w:cs="Times New Roman"/>
                      <w:color w:val="auto"/>
                      <w:spacing w:val="-3"/>
                      <w:sz w:val="21"/>
                      <w:szCs w:val="21"/>
                      <w:highlight w:val="none"/>
                      <w:u w:val="none" w:color="auto"/>
                    </w:rPr>
                    <w:t>次</w:t>
                  </w:r>
                  <w:r>
                    <w:rPr>
                      <w:rFonts w:hint="default" w:ascii="Times New Roman" w:hAnsi="Times New Roman" w:eastAsia="Times New Roman" w:cs="Times New Roman"/>
                      <w:color w:val="auto"/>
                      <w:spacing w:val="-3"/>
                      <w:sz w:val="21"/>
                      <w:szCs w:val="21"/>
                      <w:highlight w:val="none"/>
                      <w:u w:val="none" w:color="auto"/>
                    </w:rPr>
                    <w:t>/</w:t>
                  </w:r>
                  <w:r>
                    <w:rPr>
                      <w:rFonts w:hint="default" w:ascii="Times New Roman" w:hAnsi="Times New Roman" w:cs="Times New Roman"/>
                      <w:color w:val="auto"/>
                      <w:spacing w:val="-3"/>
                      <w:sz w:val="21"/>
                      <w:szCs w:val="21"/>
                      <w:highlight w:val="none"/>
                      <w:u w:val="none" w:color="auto"/>
                    </w:rPr>
                    <w:t>季</w:t>
                  </w:r>
                </w:p>
              </w:tc>
            </w:tr>
          </w:tbl>
          <w:p w14:paraId="38AEFD16">
            <w:pPr>
              <w:pStyle w:val="37"/>
              <w:bidi w:val="0"/>
              <w:ind w:left="0" w:leftChars="0" w:firstLine="0" w:firstLineChars="0"/>
              <w:rPr>
                <w:color w:val="auto"/>
                <w:highlight w:val="none"/>
                <w:u w:val="none" w:color="auto"/>
              </w:rPr>
            </w:pPr>
            <w:r>
              <w:rPr>
                <w:rFonts w:hint="default" w:ascii="Times New Roman" w:hAnsi="Times New Roman" w:cs="Times New Roman"/>
                <w:b/>
                <w:bCs/>
                <w:color w:val="auto"/>
                <w:highlight w:val="none"/>
                <w:u w:val="none" w:color="auto"/>
              </w:rPr>
              <w:t>四、固体废物</w:t>
            </w:r>
          </w:p>
          <w:p w14:paraId="0F759039">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根据工程分析，本项目运营期固体废物主要</w:t>
            </w:r>
            <w:r>
              <w:rPr>
                <w:rFonts w:hint="eastAsia" w:cs="Times New Roman"/>
                <w:color w:val="auto"/>
                <w:highlight w:val="none"/>
                <w:u w:val="none" w:color="auto"/>
                <w:lang w:eastAsia="zh-CN"/>
              </w:rPr>
              <w:t>泥饼、废包装袋</w:t>
            </w:r>
            <w:r>
              <w:rPr>
                <w:rFonts w:hint="default" w:ascii="Times New Roman" w:hAnsi="Times New Roman" w:cs="Times New Roman"/>
                <w:color w:val="auto"/>
                <w:highlight w:val="none"/>
                <w:u w:val="none" w:color="auto"/>
              </w:rPr>
              <w:t>以及办公生活垃圾</w:t>
            </w:r>
            <w:r>
              <w:rPr>
                <w:rFonts w:hint="eastAsia" w:cs="Times New Roman"/>
                <w:color w:val="auto"/>
                <w:highlight w:val="none"/>
                <w:u w:val="none" w:color="auto"/>
                <w:lang w:eastAsia="zh-CN"/>
              </w:rPr>
              <w:t>等</w:t>
            </w:r>
            <w:r>
              <w:rPr>
                <w:rFonts w:hint="default" w:ascii="Times New Roman" w:hAnsi="Times New Roman" w:cs="Times New Roman"/>
                <w:color w:val="auto"/>
                <w:highlight w:val="none"/>
                <w:u w:val="none" w:color="auto"/>
              </w:rPr>
              <w:t>一般固废；</w:t>
            </w:r>
            <w:r>
              <w:rPr>
                <w:rFonts w:hint="eastAsia" w:cs="Times New Roman"/>
                <w:color w:val="auto"/>
                <w:highlight w:val="none"/>
                <w:u w:val="none" w:color="auto"/>
                <w:lang w:eastAsia="zh-CN"/>
              </w:rPr>
              <w:t>废机油、</w:t>
            </w:r>
            <w:r>
              <w:rPr>
                <w:rFonts w:hint="eastAsia" w:cs="Times New Roman"/>
                <w:color w:val="auto"/>
                <w:highlight w:val="none"/>
                <w:u w:val="none" w:color="auto"/>
                <w:lang w:val="en-US" w:eastAsia="zh-CN"/>
              </w:rPr>
              <w:t>含油废手套</w:t>
            </w:r>
            <w:r>
              <w:rPr>
                <w:rFonts w:hint="default" w:ascii="Times New Roman" w:hAnsi="Times New Roman" w:cs="Times New Roman"/>
                <w:color w:val="auto"/>
                <w:highlight w:val="none"/>
                <w:u w:val="none" w:color="auto"/>
              </w:rPr>
              <w:t>等危险废物。</w:t>
            </w:r>
          </w:p>
          <w:p w14:paraId="564145E0">
            <w:pPr>
              <w:pStyle w:val="37"/>
              <w:bidi w:val="0"/>
              <w:rPr>
                <w:rFonts w:hint="default" w:eastAsia="宋体"/>
                <w:color w:val="auto"/>
                <w:highlight w:val="none"/>
                <w:u w:val="none" w:color="auto"/>
                <w:lang w:val="en-US" w:eastAsia="zh-CN"/>
              </w:rPr>
            </w:pPr>
            <w:r>
              <w:rPr>
                <w:rFonts w:hint="eastAsia"/>
                <w:color w:val="auto"/>
                <w:highlight w:val="none"/>
                <w:u w:val="none" w:color="auto"/>
                <w:lang w:eastAsia="zh-CN"/>
              </w:rPr>
              <w:t>（</w:t>
            </w:r>
            <w:r>
              <w:rPr>
                <w:rFonts w:hint="eastAsia"/>
                <w:color w:val="auto"/>
                <w:highlight w:val="none"/>
                <w:u w:val="none" w:color="auto"/>
                <w:lang w:val="en-US" w:eastAsia="zh-CN"/>
              </w:rPr>
              <w:t>1</w:t>
            </w:r>
            <w:r>
              <w:rPr>
                <w:rFonts w:hint="eastAsia"/>
                <w:color w:val="auto"/>
                <w:highlight w:val="none"/>
                <w:u w:val="none" w:color="auto"/>
                <w:lang w:eastAsia="zh-CN"/>
              </w:rPr>
              <w:t>）</w:t>
            </w:r>
            <w:r>
              <w:rPr>
                <w:rFonts w:hint="eastAsia"/>
                <w:color w:val="auto"/>
                <w:highlight w:val="none"/>
                <w:u w:val="none" w:color="auto"/>
                <w:lang w:val="en-US" w:eastAsia="zh-CN"/>
              </w:rPr>
              <w:t>泥饼</w:t>
            </w:r>
            <w:r>
              <w:rPr>
                <w:color w:val="auto"/>
                <w:highlight w:val="none"/>
                <w:u w:val="none" w:color="auto"/>
              </w:rPr>
              <w:t>：</w:t>
            </w:r>
            <w:r>
              <w:rPr>
                <w:rFonts w:hint="eastAsia"/>
                <w:color w:val="auto"/>
                <w:highlight w:val="none"/>
                <w:u w:val="none" w:color="auto"/>
                <w:lang w:eastAsia="zh-CN"/>
              </w:rPr>
              <w:t>本项目在污水处理过程中会产生泥饼，其</w:t>
            </w:r>
            <w:r>
              <w:rPr>
                <w:rFonts w:hint="eastAsia"/>
                <w:color w:val="auto"/>
                <w:highlight w:val="none"/>
                <w:u w:val="none" w:color="auto"/>
                <w:lang w:val="en-US" w:eastAsia="zh-CN"/>
              </w:rPr>
              <w:t>产生量约为原料的2%，</w:t>
            </w:r>
            <w:r>
              <w:rPr>
                <w:rFonts w:hint="eastAsia" w:ascii="Times New Roman" w:hAnsi="Times New Roman" w:cs="Times New Roman"/>
                <w:color w:val="auto"/>
                <w:sz w:val="24"/>
                <w:highlight w:val="none"/>
                <w:u w:val="none" w:color="auto"/>
                <w:lang w:val="en-US" w:eastAsia="zh-CN"/>
              </w:rPr>
              <w:t>预计洗砂过程中</w:t>
            </w:r>
            <w:r>
              <w:rPr>
                <w:rFonts w:hint="default" w:ascii="Times New Roman" w:hAnsi="Times New Roman" w:cs="Times New Roman"/>
                <w:color w:val="auto"/>
                <w:sz w:val="24"/>
                <w:highlight w:val="none"/>
                <w:u w:val="none" w:color="auto"/>
              </w:rPr>
              <w:t>SS产生量为</w:t>
            </w:r>
            <w:r>
              <w:rPr>
                <w:rFonts w:hint="eastAsia" w:ascii="Times New Roman" w:hAnsi="Times New Roman" w:cs="Times New Roman"/>
                <w:color w:val="auto"/>
                <w:sz w:val="24"/>
                <w:highlight w:val="none"/>
                <w:u w:val="none" w:color="auto"/>
                <w:lang w:val="en-US" w:eastAsia="zh-CN"/>
              </w:rPr>
              <w:t>2040</w:t>
            </w:r>
            <w:r>
              <w:rPr>
                <w:rFonts w:hint="default" w:ascii="Times New Roman" w:hAnsi="Times New Roman" w:cs="Times New Roman"/>
                <w:color w:val="auto"/>
                <w:sz w:val="24"/>
                <w:highlight w:val="none"/>
                <w:u w:val="none" w:color="auto"/>
              </w:rPr>
              <w:t>t/a</w:t>
            </w:r>
            <w:r>
              <w:rPr>
                <w:rFonts w:hint="eastAsia"/>
                <w:color w:val="auto"/>
                <w:highlight w:val="none"/>
                <w:u w:val="none" w:color="auto"/>
                <w:lang w:val="en-US" w:eastAsia="zh-CN"/>
              </w:rPr>
              <w:t>，泥饼含水率为20%，故年产量为2448t/a。暂存至一般固废间，定期外售至景德镇做陶瓷；</w:t>
            </w:r>
          </w:p>
          <w:p w14:paraId="1CFC5722">
            <w:pPr>
              <w:pStyle w:val="37"/>
              <w:bidi w:val="0"/>
              <w:rPr>
                <w:rFonts w:hint="eastAsia"/>
                <w:color w:val="auto"/>
                <w:highlight w:val="none"/>
                <w:u w:val="none" w:color="auto"/>
                <w:lang w:val="en-US" w:eastAsia="zh-CN"/>
              </w:rPr>
            </w:pPr>
            <w:r>
              <w:rPr>
                <w:rFonts w:hint="default" w:ascii="Times New Roman" w:hAnsi="Times New Roman" w:cs="Times New Roman"/>
                <w:color w:val="auto"/>
                <w:highlight w:val="none"/>
                <w:u w:val="none" w:color="auto"/>
                <w:lang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eastAsia="zh-CN"/>
              </w:rPr>
              <w:t>）</w:t>
            </w:r>
            <w:r>
              <w:rPr>
                <w:rFonts w:hint="eastAsia"/>
                <w:color w:val="auto"/>
                <w:highlight w:val="none"/>
                <w:u w:val="none" w:color="auto"/>
                <w:lang w:val="en-US" w:eastAsia="zh-CN"/>
              </w:rPr>
              <w:t>废包装袋：本项目絮凝剂使用过程中会产生废包装袋，</w:t>
            </w:r>
            <w:r>
              <w:rPr>
                <w:rFonts w:hint="eastAsia"/>
                <w:color w:val="auto"/>
                <w:highlight w:val="none"/>
                <w:u w:val="none" w:color="auto"/>
                <w:lang w:eastAsia="zh-CN"/>
              </w:rPr>
              <w:t>其生产量约为</w:t>
            </w:r>
            <w:r>
              <w:rPr>
                <w:rFonts w:hint="eastAsia"/>
                <w:color w:val="auto"/>
                <w:highlight w:val="none"/>
                <w:u w:val="none" w:color="auto"/>
                <w:lang w:val="en-US" w:eastAsia="zh-CN"/>
              </w:rPr>
              <w:t>0.2t/a，暂存至一般固废间，定期交友环卫部门清运；</w:t>
            </w:r>
          </w:p>
          <w:p w14:paraId="20A0A4FC">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（3</w:t>
            </w:r>
            <w:r>
              <w:rPr>
                <w:rFonts w:hint="eastAsia" w:ascii="Times New Roman" w:hAnsi="Times New Roman"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地面沉降粉尘</w:t>
            </w:r>
          </w:p>
          <w:p w14:paraId="4F3C423B">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本项目生产工序产生的粉尘，大部分粉尘逸散在厂区内。因本项目采取喷淋抑尘，粉尘74%会沉降在生产加工厂房地面。经计算，地面沉降粉尘总量为22.422t/a。地面沉降的粉尘无有害物质，属一般工业固体废物，废物种类为SW59其他工业固体废物，废物代码为900-099-S59。地面粉尘一天清扫一次，暂时存放于一般固废暂存区，定期外售给建筑公司作为建筑材料。</w:t>
            </w:r>
          </w:p>
          <w:p w14:paraId="49D76A71">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（4）沉淀沉渣：本项目洗车区沉淀池沉淀会产生沉淀池沉渣 。沉淀池沉渣所含污染物主要为悬浮物及泥渣，本项目洗车区沉淀池沉淀废水量1426.5m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冲洗废水产生沉淀池沉渣1kg，洗车区沉淀池沉渣产生量为1.426t/a。本项目沉淀池沉渣共产生1.426t/a，无有害物质，属一般工业固体废物，废物种类为SW07污泥，非特定行业产生的废水处理污泥，废物代码为 900-099-S07。沉淀池沉渣定期清运至垃圾站，不得随意倾倒。</w:t>
            </w:r>
          </w:p>
          <w:p w14:paraId="7CE62673">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5</w:t>
            </w:r>
            <w:r>
              <w:rPr>
                <w:rFonts w:hint="default" w:ascii="Times New Roman" w:hAnsi="Times New Roman" w:eastAsia="宋体" w:cs="Times New Roman"/>
                <w:color w:val="auto"/>
                <w:kern w:val="0"/>
                <w:sz w:val="24"/>
                <w:szCs w:val="24"/>
                <w:highlight w:val="none"/>
                <w:u w:val="none" w:color="auto"/>
                <w:lang w:val="en-US" w:eastAsia="zh-CN" w:bidi="ar"/>
              </w:rPr>
              <w:t>）生活垃圾</w:t>
            </w:r>
          </w:p>
          <w:p w14:paraId="72518AFC">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本项目员工</w:t>
            </w:r>
            <w:r>
              <w:rPr>
                <w:rFonts w:hint="eastAsia" w:cs="Times New Roman"/>
                <w:color w:val="auto"/>
                <w:kern w:val="0"/>
                <w:sz w:val="24"/>
                <w:szCs w:val="24"/>
                <w:highlight w:val="none"/>
                <w:u w:val="none" w:color="auto"/>
                <w:lang w:val="en-US" w:eastAsia="zh-CN" w:bidi="ar"/>
              </w:rPr>
              <w:t>15</w:t>
            </w:r>
            <w:r>
              <w:rPr>
                <w:rFonts w:hint="default" w:ascii="Times New Roman" w:hAnsi="Times New Roman" w:eastAsia="宋体" w:cs="Times New Roman"/>
                <w:color w:val="auto"/>
                <w:kern w:val="0"/>
                <w:sz w:val="24"/>
                <w:szCs w:val="24"/>
                <w:highlight w:val="none"/>
                <w:u w:val="none" w:color="auto"/>
                <w:lang w:val="en-US" w:eastAsia="zh-CN" w:bidi="ar"/>
              </w:rPr>
              <w:t>人，生活垃圾按0.6kg/人d计算，年工作3</w:t>
            </w:r>
            <w:r>
              <w:rPr>
                <w:rFonts w:hint="eastAsia" w:cs="Times New Roman"/>
                <w:color w:val="auto"/>
                <w:kern w:val="0"/>
                <w:sz w:val="24"/>
                <w:szCs w:val="24"/>
                <w:highlight w:val="none"/>
                <w:u w:val="none" w:color="auto"/>
                <w:lang w:val="en-US" w:eastAsia="zh-CN" w:bidi="ar"/>
              </w:rPr>
              <w:t>0</w:t>
            </w:r>
            <w:r>
              <w:rPr>
                <w:rFonts w:hint="default" w:ascii="Times New Roman" w:hAnsi="Times New Roman" w:eastAsia="宋体" w:cs="Times New Roman"/>
                <w:color w:val="auto"/>
                <w:kern w:val="0"/>
                <w:sz w:val="24"/>
                <w:szCs w:val="24"/>
                <w:highlight w:val="none"/>
                <w:u w:val="none" w:color="auto"/>
                <w:lang w:val="en-US" w:eastAsia="zh-CN" w:bidi="ar"/>
              </w:rPr>
              <w:t>0天，产生量为</w:t>
            </w:r>
            <w:r>
              <w:rPr>
                <w:rFonts w:hint="eastAsia" w:cs="Times New Roman"/>
                <w:color w:val="auto"/>
                <w:kern w:val="0"/>
                <w:sz w:val="24"/>
                <w:szCs w:val="24"/>
                <w:highlight w:val="none"/>
                <w:u w:val="none" w:color="auto"/>
                <w:lang w:val="en-US" w:eastAsia="zh-CN" w:bidi="ar"/>
              </w:rPr>
              <w:t>2.7</w:t>
            </w:r>
            <w:r>
              <w:rPr>
                <w:rFonts w:hint="default" w:ascii="Times New Roman" w:hAnsi="Times New Roman" w:eastAsia="宋体" w:cs="Times New Roman"/>
                <w:color w:val="auto"/>
                <w:kern w:val="0"/>
                <w:sz w:val="24"/>
                <w:szCs w:val="24"/>
                <w:highlight w:val="none"/>
                <w:u w:val="none" w:color="auto"/>
                <w:lang w:val="en-US" w:eastAsia="zh-CN" w:bidi="ar"/>
              </w:rPr>
              <w:t>t/a，收集后由环卫部门统一清运。</w:t>
            </w:r>
          </w:p>
          <w:p w14:paraId="40097343">
            <w:pPr>
              <w:pStyle w:val="37"/>
              <w:bidi w:val="0"/>
              <w:rPr>
                <w:rFonts w:hint="eastAsia" w:eastAsia="宋体"/>
                <w:color w:val="auto"/>
                <w:highlight w:val="none"/>
                <w:u w:val="none" w:color="auto"/>
                <w:lang w:eastAsia="zh-CN"/>
              </w:rPr>
            </w:pPr>
            <w:r>
              <w:rPr>
                <w:rFonts w:hint="eastAsia"/>
                <w:color w:val="auto"/>
                <w:highlight w:val="none"/>
                <w:u w:val="none" w:color="auto"/>
                <w:lang w:val="en-US" w:eastAsia="zh-CN"/>
              </w:rPr>
              <w:t>（6</w:t>
            </w:r>
            <w:r>
              <w:rPr>
                <w:color w:val="auto"/>
                <w:highlight w:val="none"/>
                <w:u w:val="none" w:color="auto"/>
              </w:rPr>
              <w:t>）</w:t>
            </w:r>
            <w:r>
              <w:rPr>
                <w:rFonts w:hint="eastAsia" w:cs="Times New Roman"/>
                <w:color w:val="auto"/>
                <w:highlight w:val="none"/>
                <w:u w:val="none" w:color="auto"/>
                <w:lang w:eastAsia="zh-CN"/>
              </w:rPr>
              <w:t>废机油</w:t>
            </w:r>
          </w:p>
          <w:p w14:paraId="665A2DCE">
            <w:pPr>
              <w:pStyle w:val="37"/>
              <w:bidi w:val="0"/>
              <w:rPr>
                <w:rFonts w:hint="eastAsia"/>
                <w:color w:val="auto"/>
                <w:sz w:val="24"/>
                <w:highlight w:val="none"/>
                <w:u w:val="none" w:color="auto"/>
                <w:lang w:eastAsia="zh-CN"/>
              </w:rPr>
            </w:pPr>
            <w:r>
              <w:rPr>
                <w:color w:val="auto"/>
                <w:sz w:val="24"/>
                <w:highlight w:val="none"/>
                <w:u w:val="none" w:color="auto"/>
              </w:rPr>
              <w:t>项目机械设备运行、维修将产生少量</w:t>
            </w:r>
            <w:r>
              <w:rPr>
                <w:rFonts w:hint="eastAsia"/>
                <w:color w:val="auto"/>
                <w:sz w:val="24"/>
                <w:highlight w:val="none"/>
                <w:u w:val="none" w:color="auto"/>
                <w:lang w:eastAsia="zh-CN"/>
              </w:rPr>
              <w:t>废机油</w:t>
            </w:r>
            <w:r>
              <w:rPr>
                <w:color w:val="auto"/>
                <w:sz w:val="24"/>
                <w:highlight w:val="none"/>
                <w:u w:val="none" w:color="auto"/>
              </w:rPr>
              <w:t>，</w:t>
            </w:r>
            <w:r>
              <w:rPr>
                <w:rFonts w:hint="eastAsia"/>
                <w:color w:val="auto"/>
                <w:sz w:val="24"/>
                <w:highlight w:val="none"/>
                <w:u w:val="none" w:color="auto"/>
                <w:lang w:eastAsia="zh-CN"/>
              </w:rPr>
              <w:t>废机油</w:t>
            </w:r>
            <w:r>
              <w:rPr>
                <w:rFonts w:hint="eastAsia"/>
                <w:color w:val="auto"/>
                <w:sz w:val="24"/>
                <w:highlight w:val="none"/>
                <w:u w:val="none" w:color="auto"/>
                <w:lang w:val="en-US" w:eastAsia="zh-CN"/>
              </w:rPr>
              <w:t>属于《国家危险废物名录》(2025版)HW08，废物代码为</w:t>
            </w:r>
            <w:r>
              <w:rPr>
                <w:rFonts w:hint="default"/>
                <w:color w:val="auto"/>
                <w:sz w:val="24"/>
                <w:highlight w:val="none"/>
                <w:u w:val="none" w:color="auto"/>
                <w:lang w:val="en-US" w:eastAsia="zh-CN"/>
              </w:rPr>
              <w:t>900-214-08</w:t>
            </w:r>
            <w:r>
              <w:rPr>
                <w:color w:val="auto"/>
                <w:sz w:val="24"/>
                <w:highlight w:val="none"/>
                <w:u w:val="none" w:color="auto"/>
              </w:rPr>
              <w:t>，产生量约为0.2t/a，</w:t>
            </w:r>
            <w:r>
              <w:rPr>
                <w:rFonts w:hint="eastAsia"/>
                <w:color w:val="auto"/>
                <w:sz w:val="24"/>
                <w:highlight w:val="none"/>
                <w:u w:val="none" w:color="auto"/>
                <w:lang w:eastAsia="zh-CN"/>
              </w:rPr>
              <w:t>暂存至</w:t>
            </w:r>
            <w:r>
              <w:rPr>
                <w:rFonts w:hint="eastAsia"/>
                <w:color w:val="auto"/>
                <w:sz w:val="24"/>
                <w:highlight w:val="none"/>
                <w:u w:val="none" w:color="auto"/>
                <w:lang w:val="en-US" w:eastAsia="zh-CN"/>
              </w:rPr>
              <w:t>危废暂存间，定期交由有资质单位进行处理</w:t>
            </w:r>
            <w:r>
              <w:rPr>
                <w:rFonts w:hint="eastAsia"/>
                <w:color w:val="auto"/>
                <w:sz w:val="24"/>
                <w:highlight w:val="none"/>
                <w:u w:val="none" w:color="auto"/>
                <w:lang w:eastAsia="zh-CN"/>
              </w:rPr>
              <w:t>；</w:t>
            </w:r>
          </w:p>
          <w:p w14:paraId="6D2A3CC7">
            <w:pPr>
              <w:pStyle w:val="37"/>
              <w:bidi w:val="0"/>
              <w:rPr>
                <w:rFonts w:hint="default"/>
                <w:color w:val="auto"/>
                <w:highlight w:val="none"/>
                <w:u w:val="none" w:color="auto"/>
                <w:lang w:val="en-US" w:eastAsia="zh-CN"/>
              </w:rPr>
            </w:pP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7</w:t>
            </w:r>
            <w:r>
              <w:rPr>
                <w:rFonts w:hint="eastAsia" w:eastAsia="宋体"/>
                <w:color w:val="auto"/>
                <w:sz w:val="24"/>
                <w:highlight w:val="none"/>
                <w:u w:val="none" w:color="auto"/>
                <w:lang w:eastAsia="zh-CN"/>
              </w:rPr>
              <w:t>）</w:t>
            </w:r>
            <w:r>
              <w:rPr>
                <w:rFonts w:hint="eastAsia"/>
                <w:color w:val="auto"/>
                <w:highlight w:val="none"/>
                <w:u w:val="none" w:color="auto"/>
                <w:lang w:val="en-US" w:eastAsia="zh-CN"/>
              </w:rPr>
              <w:t>废机油桶</w:t>
            </w:r>
          </w:p>
          <w:p w14:paraId="2B767303">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项目</w:t>
            </w:r>
            <w:r>
              <w:rPr>
                <w:color w:val="auto"/>
                <w:sz w:val="24"/>
                <w:highlight w:val="none"/>
                <w:u w:val="none" w:color="auto"/>
              </w:rPr>
              <w:t>机械设备运行、维修将产生少量</w:t>
            </w:r>
            <w:r>
              <w:rPr>
                <w:rFonts w:hint="eastAsia"/>
                <w:color w:val="auto"/>
                <w:sz w:val="24"/>
                <w:highlight w:val="none"/>
                <w:u w:val="none" w:color="auto"/>
                <w:lang w:eastAsia="zh-CN"/>
              </w:rPr>
              <w:t>废机油</w:t>
            </w:r>
            <w:r>
              <w:rPr>
                <w:rFonts w:hint="eastAsia"/>
                <w:color w:val="auto"/>
                <w:sz w:val="24"/>
                <w:highlight w:val="none"/>
                <w:u w:val="none" w:color="auto"/>
                <w:lang w:val="en-US" w:eastAsia="zh-CN"/>
              </w:rPr>
              <w:t>桶</w:t>
            </w:r>
            <w:r>
              <w:rPr>
                <w:rFonts w:hint="eastAsia"/>
                <w:color w:val="auto"/>
                <w:highlight w:val="none"/>
                <w:u w:val="none" w:color="auto"/>
                <w:lang w:val="en-US" w:eastAsia="zh-CN"/>
              </w:rPr>
              <w:t>，产生量为0.05t/a，属于《国家危险废物名录》(2025版)</w:t>
            </w:r>
            <w:r>
              <w:rPr>
                <w:rFonts w:hint="eastAsia"/>
                <w:color w:val="auto"/>
                <w:sz w:val="24"/>
                <w:highlight w:val="none"/>
                <w:u w:val="none" w:color="auto"/>
                <w:lang w:val="en-US" w:eastAsia="zh-CN"/>
              </w:rPr>
              <w:t>HW08</w:t>
            </w:r>
            <w:r>
              <w:rPr>
                <w:rFonts w:hint="eastAsia"/>
                <w:color w:val="auto"/>
                <w:highlight w:val="none"/>
                <w:u w:val="none" w:color="auto"/>
                <w:lang w:val="en-US" w:eastAsia="zh-CN"/>
              </w:rPr>
              <w:t>其他废物类危险废物，废物代码为900-249-08，暂存至危废暂存间，定期交由有资质单位进行处理。</w:t>
            </w:r>
          </w:p>
          <w:p w14:paraId="4054D309">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7   </w:t>
            </w:r>
            <w:r>
              <w:rPr>
                <w:rFonts w:hint="default" w:ascii="Times New Roman" w:hAnsi="Times New Roman" w:cs="Times New Roman"/>
                <w:b/>
                <w:bCs/>
                <w:color w:val="auto"/>
                <w:highlight w:val="none"/>
                <w:u w:val="none" w:color="auto"/>
              </w:rPr>
              <w:t>本项目固废产生情况表</w:t>
            </w:r>
          </w:p>
          <w:tbl>
            <w:tblPr>
              <w:tblStyle w:val="53"/>
              <w:tblW w:w="499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8"/>
              <w:gridCol w:w="660"/>
              <w:gridCol w:w="1319"/>
              <w:gridCol w:w="981"/>
              <w:gridCol w:w="692"/>
              <w:gridCol w:w="838"/>
              <w:gridCol w:w="991"/>
              <w:gridCol w:w="858"/>
              <w:gridCol w:w="1161"/>
            </w:tblGrid>
            <w:tr w14:paraId="6E5D4A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42" w:type="pct"/>
                  <w:tcBorders>
                    <w:tl2br w:val="nil"/>
                    <w:tr2bl w:val="nil"/>
                  </w:tcBorders>
                  <w:vAlign w:val="center"/>
                </w:tcPr>
                <w:p w14:paraId="340D125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401" w:type="pct"/>
                  <w:tcBorders>
                    <w:tl2br w:val="nil"/>
                    <w:tr2bl w:val="nil"/>
                  </w:tcBorders>
                  <w:vAlign w:val="center"/>
                </w:tcPr>
                <w:p w14:paraId="21F8CB9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801" w:type="pct"/>
                  <w:tcBorders>
                    <w:tl2br w:val="nil"/>
                    <w:tr2bl w:val="nil"/>
                  </w:tcBorders>
                  <w:vAlign w:val="center"/>
                </w:tcPr>
                <w:p w14:paraId="7CF262A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5"/>
                      <w:sz w:val="21"/>
                      <w:szCs w:val="21"/>
                      <w:highlight w:val="none"/>
                      <w:u w:val="none" w:color="auto"/>
                      <w:lang w:val="en-US" w:eastAsia="zh-CN"/>
                    </w:rPr>
                    <w:t>属性、代码</w:t>
                  </w:r>
                </w:p>
              </w:tc>
              <w:tc>
                <w:tcPr>
                  <w:tcW w:w="596" w:type="pct"/>
                  <w:tcBorders>
                    <w:tl2br w:val="nil"/>
                    <w:tr2bl w:val="nil"/>
                  </w:tcBorders>
                  <w:vAlign w:val="center"/>
                </w:tcPr>
                <w:p w14:paraId="11CCA2B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有毒有</w:t>
                  </w:r>
                  <w:r>
                    <w:rPr>
                      <w:rFonts w:hint="default" w:ascii="Times New Roman" w:hAnsi="Times New Roman" w:eastAsia="宋体" w:cs="Times New Roman"/>
                      <w:b/>
                      <w:bCs/>
                      <w:color w:val="auto"/>
                      <w:spacing w:val="6"/>
                      <w:sz w:val="21"/>
                      <w:szCs w:val="21"/>
                      <w:highlight w:val="none"/>
                      <w:u w:val="none" w:color="auto"/>
                    </w:rPr>
                    <w:t>害物质</w:t>
                  </w:r>
                  <w:r>
                    <w:rPr>
                      <w:rFonts w:hint="default" w:ascii="Times New Roman" w:hAnsi="Times New Roman" w:eastAsia="宋体" w:cs="Times New Roman"/>
                      <w:b/>
                      <w:bCs/>
                      <w:color w:val="auto"/>
                      <w:spacing w:val="4"/>
                      <w:sz w:val="21"/>
                      <w:szCs w:val="21"/>
                      <w:highlight w:val="none"/>
                      <w:u w:val="none" w:color="auto"/>
                    </w:rPr>
                    <w:t>名称</w:t>
                  </w:r>
                </w:p>
              </w:tc>
              <w:tc>
                <w:tcPr>
                  <w:tcW w:w="420" w:type="pct"/>
                  <w:tcBorders>
                    <w:tl2br w:val="nil"/>
                    <w:tr2bl w:val="nil"/>
                  </w:tcBorders>
                  <w:vAlign w:val="center"/>
                </w:tcPr>
                <w:p w14:paraId="0300074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物理性状</w:t>
                  </w:r>
                </w:p>
              </w:tc>
              <w:tc>
                <w:tcPr>
                  <w:tcW w:w="509" w:type="pct"/>
                  <w:tcBorders>
                    <w:tl2br w:val="nil"/>
                    <w:tr2bl w:val="nil"/>
                  </w:tcBorders>
                  <w:vAlign w:val="center"/>
                </w:tcPr>
                <w:p w14:paraId="14E8FE6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环境危险特性</w:t>
                  </w:r>
                </w:p>
              </w:tc>
              <w:tc>
                <w:tcPr>
                  <w:tcW w:w="602" w:type="pct"/>
                  <w:tcBorders>
                    <w:tl2br w:val="nil"/>
                    <w:tr2bl w:val="nil"/>
                  </w:tcBorders>
                  <w:vAlign w:val="center"/>
                </w:tcPr>
                <w:p w14:paraId="5EA4898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1"/>
                      <w:szCs w:val="21"/>
                      <w:highlight w:val="none"/>
                      <w:u w:val="none" w:color="auto"/>
                      <w:lang w:eastAsia="zh-CN"/>
                    </w:rPr>
                  </w:pPr>
                  <w:r>
                    <w:rPr>
                      <w:rFonts w:hint="default" w:ascii="Times New Roman" w:hAnsi="Times New Roman" w:eastAsia="宋体" w:cs="Times New Roman"/>
                      <w:b/>
                      <w:bCs/>
                      <w:color w:val="auto"/>
                      <w:spacing w:val="6"/>
                      <w:sz w:val="21"/>
                      <w:szCs w:val="21"/>
                      <w:highlight w:val="none"/>
                      <w:u w:val="none" w:color="auto"/>
                    </w:rPr>
                    <w:t>年产生量</w:t>
                  </w:r>
                  <w:r>
                    <w:rPr>
                      <w:rFonts w:hint="default" w:ascii="Times New Roman" w:hAnsi="Times New Roman" w:eastAsia="宋体" w:cs="Times New Roman"/>
                      <w:b/>
                      <w:bCs/>
                      <w:color w:val="auto"/>
                      <w:spacing w:val="6"/>
                      <w:sz w:val="21"/>
                      <w:szCs w:val="21"/>
                      <w:highlight w:val="none"/>
                      <w:u w:val="none" w:color="auto"/>
                      <w:lang w:eastAsia="zh-CN"/>
                    </w:rPr>
                    <w:t>（</w:t>
                  </w:r>
                  <w:r>
                    <w:rPr>
                      <w:rFonts w:hint="default" w:ascii="Times New Roman" w:hAnsi="Times New Roman" w:eastAsia="宋体" w:cs="Times New Roman"/>
                      <w:b/>
                      <w:bCs/>
                      <w:color w:val="auto"/>
                      <w:spacing w:val="6"/>
                      <w:sz w:val="21"/>
                      <w:szCs w:val="21"/>
                      <w:highlight w:val="none"/>
                      <w:u w:val="none" w:color="auto"/>
                      <w:lang w:val="en-US" w:eastAsia="zh-CN"/>
                    </w:rPr>
                    <w:t>t</w:t>
                  </w:r>
                  <w:r>
                    <w:rPr>
                      <w:rFonts w:hint="default" w:ascii="Times New Roman" w:hAnsi="Times New Roman" w:eastAsia="宋体" w:cs="Times New Roman"/>
                      <w:b/>
                      <w:bCs/>
                      <w:color w:val="auto"/>
                      <w:spacing w:val="6"/>
                      <w:sz w:val="21"/>
                      <w:szCs w:val="21"/>
                      <w:highlight w:val="none"/>
                      <w:u w:val="none" w:color="auto"/>
                      <w:lang w:eastAsia="zh-CN"/>
                    </w:rPr>
                    <w:t>）</w:t>
                  </w:r>
                </w:p>
              </w:tc>
              <w:tc>
                <w:tcPr>
                  <w:tcW w:w="521" w:type="pct"/>
                  <w:tcBorders>
                    <w:tl2br w:val="nil"/>
                    <w:tr2bl w:val="nil"/>
                  </w:tcBorders>
                  <w:vAlign w:val="center"/>
                </w:tcPr>
                <w:p w14:paraId="7C1FAE6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贮存方</w:t>
                  </w:r>
                  <w:r>
                    <w:rPr>
                      <w:rFonts w:hint="default" w:ascii="Times New Roman" w:hAnsi="Times New Roman" w:eastAsia="宋体" w:cs="Times New Roman"/>
                      <w:b/>
                      <w:bCs/>
                      <w:color w:val="auto"/>
                      <w:sz w:val="21"/>
                      <w:szCs w:val="21"/>
                      <w:highlight w:val="none"/>
                      <w:u w:val="none" w:color="auto"/>
                    </w:rPr>
                    <w:t>式</w:t>
                  </w:r>
                </w:p>
              </w:tc>
              <w:tc>
                <w:tcPr>
                  <w:tcW w:w="704" w:type="pct"/>
                  <w:tcBorders>
                    <w:tl2br w:val="nil"/>
                    <w:tr2bl w:val="nil"/>
                  </w:tcBorders>
                  <w:vAlign w:val="center"/>
                </w:tcPr>
                <w:p w14:paraId="123BFBE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处置方式及去</w:t>
                  </w:r>
                  <w:r>
                    <w:rPr>
                      <w:rFonts w:hint="default" w:ascii="Times New Roman" w:hAnsi="Times New Roman" w:eastAsia="宋体" w:cs="Times New Roman"/>
                      <w:b/>
                      <w:bCs/>
                      <w:color w:val="auto"/>
                      <w:sz w:val="21"/>
                      <w:szCs w:val="21"/>
                      <w:highlight w:val="none"/>
                      <w:u w:val="none" w:color="auto"/>
                    </w:rPr>
                    <w:t>向</w:t>
                  </w:r>
                </w:p>
              </w:tc>
            </w:tr>
            <w:tr w14:paraId="40EB5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42" w:type="pct"/>
                  <w:vMerge w:val="restart"/>
                  <w:tcBorders>
                    <w:tl2br w:val="nil"/>
                    <w:tr2bl w:val="nil"/>
                  </w:tcBorders>
                  <w:vAlign w:val="center"/>
                </w:tcPr>
                <w:p w14:paraId="2A6DC36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污水处理</w:t>
                  </w:r>
                </w:p>
              </w:tc>
              <w:tc>
                <w:tcPr>
                  <w:tcW w:w="401" w:type="pct"/>
                  <w:tcBorders>
                    <w:tl2br w:val="nil"/>
                    <w:tr2bl w:val="nil"/>
                  </w:tcBorders>
                  <w:vAlign w:val="center"/>
                </w:tcPr>
                <w:p w14:paraId="2D87C74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泥饼</w:t>
                  </w:r>
                </w:p>
              </w:tc>
              <w:tc>
                <w:tcPr>
                  <w:tcW w:w="801" w:type="pct"/>
                  <w:vMerge w:val="restart"/>
                  <w:tcBorders>
                    <w:tl2br w:val="nil"/>
                    <w:tr2bl w:val="nil"/>
                  </w:tcBorders>
                  <w:vAlign w:val="center"/>
                </w:tcPr>
                <w:p w14:paraId="5DCF47E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5"/>
                      <w:sz w:val="21"/>
                      <w:szCs w:val="21"/>
                      <w:highlight w:val="green"/>
                      <w:u w:val="none" w:color="auto"/>
                    </w:rPr>
                  </w:pPr>
                  <w:r>
                    <w:rPr>
                      <w:rFonts w:hint="default" w:ascii="Times New Roman" w:hAnsi="Times New Roman" w:eastAsia="宋体" w:cs="Times New Roman"/>
                      <w:color w:val="auto"/>
                      <w:sz w:val="21"/>
                      <w:szCs w:val="21"/>
                      <w:highlight w:val="none"/>
                      <w:u w:val="none" w:color="auto"/>
                      <w:lang w:val="en-US" w:eastAsia="zh-CN"/>
                    </w:rPr>
                    <w:t>一般固废</w:t>
                  </w:r>
                </w:p>
              </w:tc>
              <w:tc>
                <w:tcPr>
                  <w:tcW w:w="596" w:type="pct"/>
                  <w:tcBorders>
                    <w:tl2br w:val="nil"/>
                    <w:tr2bl w:val="nil"/>
                  </w:tcBorders>
                  <w:vAlign w:val="center"/>
                </w:tcPr>
                <w:p w14:paraId="1709471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4"/>
                      <w:sz w:val="21"/>
                      <w:szCs w:val="21"/>
                      <w:highlight w:val="none"/>
                      <w:u w:val="none" w:color="auto"/>
                      <w:lang w:val="en-US" w:eastAsia="zh-CN"/>
                    </w:rPr>
                  </w:pPr>
                  <w:r>
                    <w:rPr>
                      <w:rFonts w:hint="default" w:ascii="Times New Roman" w:hAnsi="Times New Roman" w:eastAsia="宋体" w:cs="Times New Roman"/>
                      <w:b/>
                      <w:bCs/>
                      <w:color w:val="auto"/>
                      <w:spacing w:val="4"/>
                      <w:sz w:val="21"/>
                      <w:szCs w:val="21"/>
                      <w:highlight w:val="none"/>
                      <w:u w:val="none" w:color="auto"/>
                      <w:lang w:val="en-US" w:eastAsia="zh-CN"/>
                    </w:rPr>
                    <w:t>/</w:t>
                  </w:r>
                </w:p>
              </w:tc>
              <w:tc>
                <w:tcPr>
                  <w:tcW w:w="420" w:type="pct"/>
                  <w:tcBorders>
                    <w:tl2br w:val="nil"/>
                    <w:tr2bl w:val="nil"/>
                  </w:tcBorders>
                  <w:vAlign w:val="center"/>
                </w:tcPr>
                <w:p w14:paraId="638E6E8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2894F4E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1"/>
                      <w:szCs w:val="21"/>
                      <w:highlight w:val="none"/>
                      <w:u w:val="none" w:color="auto"/>
                      <w:lang w:val="en-US" w:eastAsia="zh-CN"/>
                    </w:rPr>
                  </w:pPr>
                  <w:r>
                    <w:rPr>
                      <w:rFonts w:hint="default" w:ascii="Times New Roman" w:hAnsi="Times New Roman" w:eastAsia="宋体" w:cs="Times New Roman"/>
                      <w:b/>
                      <w:bCs/>
                      <w:color w:val="auto"/>
                      <w:spacing w:val="6"/>
                      <w:sz w:val="21"/>
                      <w:szCs w:val="21"/>
                      <w:highlight w:val="none"/>
                      <w:u w:val="none" w:color="auto"/>
                      <w:lang w:val="en-US" w:eastAsia="zh-CN"/>
                    </w:rPr>
                    <w:t>/</w:t>
                  </w:r>
                </w:p>
              </w:tc>
              <w:tc>
                <w:tcPr>
                  <w:tcW w:w="602" w:type="pct"/>
                  <w:tcBorders>
                    <w:tl2br w:val="nil"/>
                    <w:tr2bl w:val="nil"/>
                  </w:tcBorders>
                  <w:vAlign w:val="center"/>
                </w:tcPr>
                <w:p w14:paraId="7AE6A08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7"/>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2448</w:t>
                  </w:r>
                </w:p>
              </w:tc>
              <w:tc>
                <w:tcPr>
                  <w:tcW w:w="521" w:type="pct"/>
                  <w:vMerge w:val="restart"/>
                  <w:tcBorders>
                    <w:tl2br w:val="nil"/>
                    <w:tr2bl w:val="nil"/>
                  </w:tcBorders>
                  <w:vAlign w:val="center"/>
                </w:tcPr>
                <w:p w14:paraId="0AC05DF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lang w:val="en-US" w:eastAsia="zh-CN"/>
                    </w:rPr>
                    <w:t>一般工业固废暂存间</w:t>
                  </w:r>
                </w:p>
              </w:tc>
              <w:tc>
                <w:tcPr>
                  <w:tcW w:w="704" w:type="pct"/>
                  <w:tcBorders>
                    <w:tl2br w:val="nil"/>
                    <w:tr2bl w:val="nil"/>
                  </w:tcBorders>
                  <w:vAlign w:val="center"/>
                </w:tcPr>
                <w:p w14:paraId="18DDB06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default" w:ascii="Times New Roman" w:hAnsi="Times New Roman" w:eastAsia="宋体" w:cs="Times New Roman"/>
                      <w:color w:val="auto"/>
                      <w:spacing w:val="6"/>
                      <w:sz w:val="21"/>
                      <w:szCs w:val="21"/>
                      <w:highlight w:val="none"/>
                      <w:u w:val="none" w:color="auto"/>
                    </w:rPr>
                    <w:t>收集后外售</w:t>
                  </w:r>
                </w:p>
              </w:tc>
            </w:tr>
            <w:tr w14:paraId="27196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2" w:type="pct"/>
                  <w:vMerge w:val="continue"/>
                  <w:tcBorders>
                    <w:tl2br w:val="nil"/>
                    <w:tr2bl w:val="nil"/>
                  </w:tcBorders>
                  <w:vAlign w:val="center"/>
                </w:tcPr>
                <w:p w14:paraId="5A90054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4F5D45D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废包装袋</w:t>
                  </w:r>
                </w:p>
              </w:tc>
              <w:tc>
                <w:tcPr>
                  <w:tcW w:w="801" w:type="pct"/>
                  <w:vMerge w:val="continue"/>
                  <w:tcBorders>
                    <w:tl2br w:val="nil"/>
                    <w:tr2bl w:val="nil"/>
                  </w:tcBorders>
                  <w:vAlign w:val="center"/>
                </w:tcPr>
                <w:p w14:paraId="4D3A7E8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green"/>
                      <w:u w:val="none" w:color="auto"/>
                    </w:rPr>
                  </w:pPr>
                </w:p>
              </w:tc>
              <w:tc>
                <w:tcPr>
                  <w:tcW w:w="596" w:type="pct"/>
                  <w:tcBorders>
                    <w:tl2br w:val="nil"/>
                    <w:tr2bl w:val="nil"/>
                  </w:tcBorders>
                  <w:vAlign w:val="center"/>
                </w:tcPr>
                <w:p w14:paraId="23BD3B4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35A4FA0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56352F55">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6676385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521" w:type="pct"/>
                  <w:vMerge w:val="continue"/>
                  <w:tcBorders>
                    <w:tl2br w:val="nil"/>
                    <w:tr2bl w:val="nil"/>
                  </w:tcBorders>
                  <w:vAlign w:val="center"/>
                </w:tcPr>
                <w:p w14:paraId="4816B27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p>
              </w:tc>
              <w:tc>
                <w:tcPr>
                  <w:tcW w:w="704" w:type="pct"/>
                  <w:tcBorders>
                    <w:tl2br w:val="nil"/>
                    <w:tr2bl w:val="nil"/>
                  </w:tcBorders>
                  <w:vAlign w:val="center"/>
                </w:tcPr>
                <w:p w14:paraId="3E50A64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default" w:ascii="Times New Roman" w:hAnsi="Times New Roman" w:eastAsia="宋体" w:cs="Times New Roman"/>
                      <w:color w:val="auto"/>
                      <w:spacing w:val="6"/>
                      <w:sz w:val="21"/>
                      <w:szCs w:val="21"/>
                      <w:highlight w:val="none"/>
                      <w:u w:val="none" w:color="auto"/>
                    </w:rPr>
                    <w:t>交由环卫部门处理</w:t>
                  </w:r>
                </w:p>
              </w:tc>
            </w:tr>
            <w:tr w14:paraId="59C37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2" w:type="pct"/>
                  <w:vMerge w:val="continue"/>
                  <w:tcBorders>
                    <w:tl2br w:val="nil"/>
                    <w:tr2bl w:val="nil"/>
                  </w:tcBorders>
                  <w:vAlign w:val="center"/>
                </w:tcPr>
                <w:p w14:paraId="292A227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343FB97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沉淀沉渣</w:t>
                  </w:r>
                </w:p>
              </w:tc>
              <w:tc>
                <w:tcPr>
                  <w:tcW w:w="801" w:type="pct"/>
                  <w:vMerge w:val="continue"/>
                  <w:tcBorders>
                    <w:tl2br w:val="nil"/>
                    <w:tr2bl w:val="nil"/>
                  </w:tcBorders>
                  <w:vAlign w:val="center"/>
                </w:tcPr>
                <w:p w14:paraId="0202D18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green"/>
                      <w:u w:val="none" w:color="auto"/>
                    </w:rPr>
                  </w:pPr>
                </w:p>
              </w:tc>
              <w:tc>
                <w:tcPr>
                  <w:tcW w:w="951" w:type="dxa"/>
                  <w:tcBorders>
                    <w:tl2br w:val="nil"/>
                    <w:tr2bl w:val="nil"/>
                  </w:tcBorders>
                  <w:vAlign w:val="center"/>
                </w:tcPr>
                <w:p w14:paraId="39BD919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70" w:type="dxa"/>
                  <w:tcBorders>
                    <w:tl2br w:val="nil"/>
                    <w:tr2bl w:val="nil"/>
                  </w:tcBorders>
                  <w:vAlign w:val="center"/>
                </w:tcPr>
                <w:p w14:paraId="44F384B8">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812" w:type="dxa"/>
                  <w:tcBorders>
                    <w:tl2br w:val="nil"/>
                    <w:tr2bl w:val="nil"/>
                  </w:tcBorders>
                  <w:vAlign w:val="center"/>
                </w:tcPr>
                <w:p w14:paraId="512FD69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3C0A8B74">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1.426</w:t>
                  </w:r>
                </w:p>
              </w:tc>
              <w:tc>
                <w:tcPr>
                  <w:tcW w:w="521" w:type="pct"/>
                  <w:vMerge w:val="continue"/>
                  <w:tcBorders>
                    <w:tl2br w:val="nil"/>
                    <w:tr2bl w:val="nil"/>
                  </w:tcBorders>
                  <w:vAlign w:val="center"/>
                </w:tcPr>
                <w:p w14:paraId="5CBB2C6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p>
              </w:tc>
              <w:tc>
                <w:tcPr>
                  <w:tcW w:w="704" w:type="pct"/>
                  <w:tcBorders>
                    <w:tl2br w:val="nil"/>
                    <w:tr2bl w:val="nil"/>
                  </w:tcBorders>
                  <w:vAlign w:val="center"/>
                </w:tcPr>
                <w:p w14:paraId="68DB665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6"/>
                      <w:sz w:val="21"/>
                      <w:szCs w:val="21"/>
                      <w:highlight w:val="none"/>
                      <w:u w:val="none" w:color="auto"/>
                      <w:lang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eastAsia" w:ascii="Times New Roman" w:hAnsi="Times New Roman" w:eastAsia="宋体" w:cs="Times New Roman"/>
                      <w:color w:val="auto"/>
                      <w:spacing w:val="6"/>
                      <w:sz w:val="21"/>
                      <w:szCs w:val="21"/>
                      <w:highlight w:val="none"/>
                      <w:u w:val="none" w:color="auto"/>
                      <w:lang w:val="en-US" w:eastAsia="zh-CN"/>
                    </w:rPr>
                    <w:t>定期清运至垃圾站</w:t>
                  </w:r>
                </w:p>
              </w:tc>
            </w:tr>
            <w:tr w14:paraId="0A65C9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8" w:type="dxa"/>
                  <w:tcBorders>
                    <w:tl2br w:val="nil"/>
                    <w:tr2bl w:val="nil"/>
                  </w:tcBorders>
                  <w:vAlign w:val="center"/>
                </w:tcPr>
                <w:p w14:paraId="17C2B8A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生产过程</w:t>
                  </w:r>
                </w:p>
              </w:tc>
              <w:tc>
                <w:tcPr>
                  <w:tcW w:w="660" w:type="dxa"/>
                  <w:tcBorders>
                    <w:tl2br w:val="nil"/>
                    <w:tr2bl w:val="nil"/>
                  </w:tcBorders>
                  <w:vAlign w:val="center"/>
                </w:tcPr>
                <w:p w14:paraId="1C6F15CC">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粉尘</w:t>
                  </w:r>
                </w:p>
              </w:tc>
              <w:tc>
                <w:tcPr>
                  <w:tcW w:w="801" w:type="pct"/>
                  <w:vMerge w:val="continue"/>
                  <w:tcBorders>
                    <w:tl2br w:val="nil"/>
                    <w:tr2bl w:val="nil"/>
                  </w:tcBorders>
                  <w:vAlign w:val="center"/>
                </w:tcPr>
                <w:p w14:paraId="4E88F5C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green"/>
                      <w:u w:val="none" w:color="auto"/>
                    </w:rPr>
                  </w:pPr>
                </w:p>
              </w:tc>
              <w:tc>
                <w:tcPr>
                  <w:tcW w:w="596" w:type="pct"/>
                  <w:tcBorders>
                    <w:tl2br w:val="nil"/>
                    <w:tr2bl w:val="nil"/>
                  </w:tcBorders>
                  <w:vAlign w:val="center"/>
                </w:tcPr>
                <w:p w14:paraId="00B2FA0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1F522A4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252937F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73AAE3C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22.422</w:t>
                  </w:r>
                </w:p>
              </w:tc>
              <w:tc>
                <w:tcPr>
                  <w:tcW w:w="521" w:type="pct"/>
                  <w:vMerge w:val="continue"/>
                  <w:tcBorders>
                    <w:tl2br w:val="nil"/>
                    <w:tr2bl w:val="nil"/>
                  </w:tcBorders>
                  <w:vAlign w:val="center"/>
                </w:tcPr>
                <w:p w14:paraId="361D12E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p>
              </w:tc>
              <w:tc>
                <w:tcPr>
                  <w:tcW w:w="704" w:type="pct"/>
                  <w:tcBorders>
                    <w:tl2br w:val="nil"/>
                    <w:tr2bl w:val="nil"/>
                  </w:tcBorders>
                  <w:vAlign w:val="center"/>
                </w:tcPr>
                <w:p w14:paraId="02462E8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6"/>
                      <w:sz w:val="21"/>
                      <w:szCs w:val="21"/>
                      <w:highlight w:val="none"/>
                      <w:u w:val="none" w:color="auto"/>
                      <w:lang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eastAsia" w:ascii="Times New Roman" w:hAnsi="Times New Roman" w:eastAsia="宋体" w:cs="Times New Roman"/>
                      <w:color w:val="auto"/>
                      <w:spacing w:val="6"/>
                      <w:sz w:val="21"/>
                      <w:szCs w:val="21"/>
                      <w:highlight w:val="none"/>
                      <w:u w:val="none" w:color="auto"/>
                      <w:lang w:val="en-US" w:eastAsia="zh-CN"/>
                    </w:rPr>
                    <w:t>定期外售给建筑公司作为建筑材料</w:t>
                  </w:r>
                </w:p>
              </w:tc>
            </w:tr>
            <w:tr w14:paraId="3ADE32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442" w:type="pct"/>
                  <w:vMerge w:val="restart"/>
                  <w:tcBorders>
                    <w:tl2br w:val="nil"/>
                    <w:tr2bl w:val="nil"/>
                  </w:tcBorders>
                  <w:vAlign w:val="center"/>
                </w:tcPr>
                <w:p w14:paraId="1222ED9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机械保养</w:t>
                  </w:r>
                </w:p>
              </w:tc>
              <w:tc>
                <w:tcPr>
                  <w:tcW w:w="401" w:type="pct"/>
                  <w:tcBorders>
                    <w:tl2br w:val="nil"/>
                    <w:tr2bl w:val="nil"/>
                  </w:tcBorders>
                  <w:vAlign w:val="center"/>
                </w:tcPr>
                <w:p w14:paraId="5DD1F56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w:t>
                  </w:r>
                  <w:r>
                    <w:rPr>
                      <w:rFonts w:hint="eastAsia" w:ascii="Times New Roman" w:hAnsi="Times New Roman" w:cs="Times New Roman"/>
                      <w:color w:val="auto"/>
                      <w:sz w:val="21"/>
                      <w:szCs w:val="21"/>
                      <w:highlight w:val="none"/>
                      <w:u w:val="none" w:color="auto"/>
                      <w:lang w:val="en-US" w:eastAsia="zh-CN"/>
                    </w:rPr>
                    <w:t>机</w:t>
                  </w:r>
                  <w:r>
                    <w:rPr>
                      <w:rFonts w:hint="default" w:ascii="Times New Roman" w:hAnsi="Times New Roman" w:eastAsia="宋体" w:cs="Times New Roman"/>
                      <w:color w:val="auto"/>
                      <w:sz w:val="21"/>
                      <w:szCs w:val="21"/>
                      <w:highlight w:val="none"/>
                      <w:u w:val="none" w:color="auto"/>
                      <w:lang w:val="en-US" w:eastAsia="zh-CN"/>
                    </w:rPr>
                    <w:t>油</w:t>
                  </w:r>
                </w:p>
              </w:tc>
              <w:tc>
                <w:tcPr>
                  <w:tcW w:w="801" w:type="pct"/>
                  <w:tcBorders>
                    <w:tl2br w:val="nil"/>
                    <w:tr2bl w:val="nil"/>
                  </w:tcBorders>
                  <w:vAlign w:val="center"/>
                </w:tcPr>
                <w:p w14:paraId="5C2C221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危险废物，HW08，900-214-08</w:t>
                  </w:r>
                </w:p>
              </w:tc>
              <w:tc>
                <w:tcPr>
                  <w:tcW w:w="596" w:type="pct"/>
                  <w:tcBorders>
                    <w:tl2br w:val="nil"/>
                    <w:tr2bl w:val="nil"/>
                  </w:tcBorders>
                  <w:vAlign w:val="center"/>
                </w:tcPr>
                <w:p w14:paraId="3F44905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废矿</w:t>
                  </w:r>
                </w:p>
                <w:p w14:paraId="7617789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物</w:t>
                  </w:r>
                  <w:r>
                    <w:rPr>
                      <w:rFonts w:hint="default" w:ascii="Times New Roman" w:hAnsi="Times New Roman" w:eastAsia="宋体" w:cs="Times New Roman"/>
                      <w:color w:val="auto"/>
                      <w:sz w:val="21"/>
                      <w:szCs w:val="21"/>
                      <w:highlight w:val="none"/>
                      <w:u w:val="none" w:color="auto"/>
                    </w:rPr>
                    <w:t>油</w:t>
                  </w:r>
                </w:p>
              </w:tc>
              <w:tc>
                <w:tcPr>
                  <w:tcW w:w="420" w:type="pct"/>
                  <w:tcBorders>
                    <w:tl2br w:val="nil"/>
                    <w:tr2bl w:val="nil"/>
                  </w:tcBorders>
                  <w:vAlign w:val="center"/>
                </w:tcPr>
                <w:p w14:paraId="0EA5602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rPr>
                    <w:t>液态</w:t>
                  </w:r>
                </w:p>
              </w:tc>
              <w:tc>
                <w:tcPr>
                  <w:tcW w:w="509" w:type="pct"/>
                  <w:tcBorders>
                    <w:tl2br w:val="nil"/>
                    <w:tr2bl w:val="nil"/>
                  </w:tcBorders>
                  <w:vAlign w:val="center"/>
                </w:tcPr>
                <w:p w14:paraId="282F8080">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T</w:t>
                  </w:r>
                  <w:r>
                    <w:rPr>
                      <w:rFonts w:hint="eastAsia" w:cs="Times New Roman"/>
                      <w:color w:val="auto"/>
                      <w:spacing w:val="1"/>
                      <w:sz w:val="21"/>
                      <w:szCs w:val="21"/>
                      <w:highlight w:val="none"/>
                      <w:u w:val="none" w:color="auto"/>
                      <w:lang w:eastAsia="zh-CN"/>
                    </w:rPr>
                    <w:t>，</w:t>
                  </w:r>
                  <w:r>
                    <w:rPr>
                      <w:rFonts w:hint="default" w:ascii="Times New Roman" w:hAnsi="Times New Roman" w:eastAsia="宋体" w:cs="Times New Roman"/>
                      <w:color w:val="auto"/>
                      <w:spacing w:val="1"/>
                      <w:sz w:val="21"/>
                      <w:szCs w:val="21"/>
                      <w:highlight w:val="none"/>
                      <w:u w:val="none" w:color="auto"/>
                    </w:rPr>
                    <w:t>I</w:t>
                  </w:r>
                </w:p>
              </w:tc>
              <w:tc>
                <w:tcPr>
                  <w:tcW w:w="602" w:type="pct"/>
                  <w:tcBorders>
                    <w:tl2br w:val="nil"/>
                    <w:tr2bl w:val="nil"/>
                  </w:tcBorders>
                  <w:vAlign w:val="center"/>
                </w:tcPr>
                <w:p w14:paraId="6224321C">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0.</w:t>
                  </w:r>
                  <w:r>
                    <w:rPr>
                      <w:rFonts w:hint="default" w:ascii="Times New Roman" w:hAnsi="Times New Roman" w:eastAsia="宋体" w:cs="Times New Roman"/>
                      <w:color w:val="auto"/>
                      <w:spacing w:val="1"/>
                      <w:sz w:val="21"/>
                      <w:szCs w:val="21"/>
                      <w:highlight w:val="none"/>
                      <w:u w:val="none" w:color="auto"/>
                      <w:lang w:val="en-US" w:eastAsia="zh-CN"/>
                    </w:rPr>
                    <w:t>2</w:t>
                  </w:r>
                </w:p>
              </w:tc>
              <w:tc>
                <w:tcPr>
                  <w:tcW w:w="1226" w:type="pct"/>
                  <w:gridSpan w:val="2"/>
                  <w:vMerge w:val="restart"/>
                  <w:tcBorders>
                    <w:tl2br w:val="nil"/>
                    <w:tr2bl w:val="nil"/>
                  </w:tcBorders>
                  <w:vAlign w:val="center"/>
                </w:tcPr>
                <w:p w14:paraId="01B1E29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sz w:val="21"/>
                      <w:szCs w:val="21"/>
                      <w:highlight w:val="none"/>
                      <w:u w:val="none" w:color="auto"/>
                      <w:lang w:val="en-US" w:eastAsia="zh-CN"/>
                    </w:rPr>
                  </w:pPr>
                  <w:r>
                    <w:rPr>
                      <w:rFonts w:hint="eastAsia"/>
                      <w:color w:val="auto"/>
                      <w:sz w:val="21"/>
                      <w:szCs w:val="21"/>
                      <w:highlight w:val="none"/>
                      <w:u w:val="none" w:color="auto"/>
                      <w:lang w:eastAsia="zh-CN"/>
                    </w:rPr>
                    <w:t>暂存至</w:t>
                  </w:r>
                  <w:r>
                    <w:rPr>
                      <w:rFonts w:hint="eastAsia"/>
                      <w:color w:val="auto"/>
                      <w:sz w:val="21"/>
                      <w:szCs w:val="21"/>
                      <w:highlight w:val="none"/>
                      <w:u w:val="none" w:color="auto"/>
                      <w:lang w:val="en-US" w:eastAsia="zh-CN"/>
                    </w:rPr>
                    <w:t>危废暂存间，定期交由有资质单位进行处理</w:t>
                  </w:r>
                </w:p>
              </w:tc>
            </w:tr>
            <w:tr w14:paraId="32C48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442" w:type="pct"/>
                  <w:vMerge w:val="continue"/>
                  <w:tcBorders>
                    <w:tl2br w:val="nil"/>
                    <w:tr2bl w:val="nil"/>
                  </w:tcBorders>
                  <w:vAlign w:val="center"/>
                </w:tcPr>
                <w:p w14:paraId="505A932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1520379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废机油桶</w:t>
                  </w:r>
                </w:p>
              </w:tc>
              <w:tc>
                <w:tcPr>
                  <w:tcW w:w="801" w:type="pct"/>
                  <w:tcBorders>
                    <w:tl2br w:val="nil"/>
                    <w:tr2bl w:val="nil"/>
                  </w:tcBorders>
                  <w:vAlign w:val="center"/>
                </w:tcPr>
                <w:p w14:paraId="3A0FF9AE">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危险废物，HW</w:t>
                  </w:r>
                  <w:r>
                    <w:rPr>
                      <w:rFonts w:hint="eastAsia" w:ascii="Times New Roman" w:hAnsi="Times New Roman" w:eastAsia="宋体" w:cs="Times New Roman"/>
                      <w:color w:val="auto"/>
                      <w:kern w:val="2"/>
                      <w:sz w:val="21"/>
                      <w:szCs w:val="21"/>
                      <w:highlight w:val="none"/>
                      <w:u w:val="none" w:color="auto"/>
                      <w:lang w:val="en-US" w:eastAsia="zh-CN" w:bidi="ar-SA"/>
                    </w:rPr>
                    <w:t>49</w:t>
                  </w:r>
                  <w:r>
                    <w:rPr>
                      <w:rFonts w:hint="default" w:ascii="Times New Roman" w:hAnsi="Times New Roman" w:eastAsia="宋体" w:cs="Times New Roman"/>
                      <w:color w:val="auto"/>
                      <w:kern w:val="2"/>
                      <w:sz w:val="21"/>
                      <w:szCs w:val="21"/>
                      <w:highlight w:val="none"/>
                      <w:u w:val="none" w:color="auto"/>
                      <w:lang w:val="en-US" w:eastAsia="zh-CN" w:bidi="ar-SA"/>
                    </w:rPr>
                    <w:t>，</w:t>
                  </w:r>
                  <w:r>
                    <w:rPr>
                      <w:rFonts w:hint="eastAsia"/>
                      <w:color w:val="auto"/>
                      <w:highlight w:val="none"/>
                      <w:u w:val="none" w:color="auto"/>
                      <w:lang w:val="en-US" w:eastAsia="zh-CN"/>
                    </w:rPr>
                    <w:t>900-249-08</w:t>
                  </w:r>
                </w:p>
              </w:tc>
              <w:tc>
                <w:tcPr>
                  <w:tcW w:w="596" w:type="pct"/>
                  <w:tcBorders>
                    <w:tl2br w:val="nil"/>
                    <w:tr2bl w:val="nil"/>
                  </w:tcBorders>
                  <w:vAlign w:val="center"/>
                </w:tcPr>
                <w:p w14:paraId="460F4B3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7"/>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废机油桶</w:t>
                  </w:r>
                </w:p>
              </w:tc>
              <w:tc>
                <w:tcPr>
                  <w:tcW w:w="420" w:type="pct"/>
                  <w:tcBorders>
                    <w:tl2br w:val="nil"/>
                    <w:tr2bl w:val="nil"/>
                  </w:tcBorders>
                  <w:vAlign w:val="center"/>
                </w:tcPr>
                <w:p w14:paraId="58B4764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固态</w:t>
                  </w:r>
                </w:p>
              </w:tc>
              <w:tc>
                <w:tcPr>
                  <w:tcW w:w="509" w:type="pct"/>
                  <w:tcBorders>
                    <w:tl2br w:val="nil"/>
                    <w:tr2bl w:val="nil"/>
                  </w:tcBorders>
                  <w:vAlign w:val="center"/>
                </w:tcPr>
                <w:p w14:paraId="122EAA39">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eastAsia" w:cs="Times New Roman"/>
                      <w:color w:val="auto"/>
                      <w:spacing w:val="1"/>
                      <w:sz w:val="21"/>
                      <w:szCs w:val="21"/>
                      <w:highlight w:val="none"/>
                      <w:u w:val="none" w:color="auto"/>
                      <w:lang w:val="en-US" w:eastAsia="zh-CN"/>
                    </w:rPr>
                    <w:t>T/In</w:t>
                  </w:r>
                </w:p>
              </w:tc>
              <w:tc>
                <w:tcPr>
                  <w:tcW w:w="602" w:type="pct"/>
                  <w:tcBorders>
                    <w:tl2br w:val="nil"/>
                    <w:tr2bl w:val="nil"/>
                  </w:tcBorders>
                  <w:vAlign w:val="center"/>
                </w:tcPr>
                <w:p w14:paraId="4C6BFA16">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eastAsia" w:cs="Times New Roman"/>
                      <w:color w:val="auto"/>
                      <w:spacing w:val="1"/>
                      <w:sz w:val="21"/>
                      <w:szCs w:val="21"/>
                      <w:highlight w:val="none"/>
                      <w:u w:val="none" w:color="auto"/>
                      <w:lang w:val="en-US" w:eastAsia="zh-CN"/>
                    </w:rPr>
                    <w:t>0.05</w:t>
                  </w:r>
                </w:p>
              </w:tc>
              <w:tc>
                <w:tcPr>
                  <w:tcW w:w="1226" w:type="pct"/>
                  <w:gridSpan w:val="2"/>
                  <w:vMerge w:val="continue"/>
                  <w:tcBorders>
                    <w:tl2br w:val="nil"/>
                    <w:tr2bl w:val="nil"/>
                  </w:tcBorders>
                  <w:vAlign w:val="center"/>
                </w:tcPr>
                <w:p w14:paraId="21FB6FB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val="en-US" w:eastAsia="zh-CN"/>
                    </w:rPr>
                  </w:pPr>
                </w:p>
              </w:tc>
            </w:tr>
            <w:tr w14:paraId="4171B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442" w:type="pct"/>
                  <w:tcBorders>
                    <w:tl2br w:val="nil"/>
                    <w:tr2bl w:val="nil"/>
                  </w:tcBorders>
                  <w:vAlign w:val="center"/>
                </w:tcPr>
                <w:p w14:paraId="085DE60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员工生活</w:t>
                  </w:r>
                </w:p>
              </w:tc>
              <w:tc>
                <w:tcPr>
                  <w:tcW w:w="401" w:type="pct"/>
                  <w:tcBorders>
                    <w:tl2br w:val="nil"/>
                    <w:tr2bl w:val="nil"/>
                  </w:tcBorders>
                  <w:vAlign w:val="center"/>
                </w:tcPr>
                <w:p w14:paraId="6E769F2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801" w:type="pct"/>
                  <w:tcBorders>
                    <w:tl2br w:val="nil"/>
                    <w:tr2bl w:val="nil"/>
                  </w:tcBorders>
                  <w:vAlign w:val="center"/>
                </w:tcPr>
                <w:p w14:paraId="29293AE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w:t>
                  </w:r>
                  <w:r>
                    <w:rPr>
                      <w:rFonts w:hint="default" w:ascii="Times New Roman" w:hAnsi="Times New Roman" w:eastAsia="宋体" w:cs="Times New Roman"/>
                      <w:color w:val="auto"/>
                      <w:sz w:val="21"/>
                      <w:szCs w:val="21"/>
                      <w:highlight w:val="none"/>
                      <w:u w:val="none" w:color="auto"/>
                    </w:rPr>
                    <w:t>圾</w:t>
                  </w:r>
                </w:p>
              </w:tc>
              <w:tc>
                <w:tcPr>
                  <w:tcW w:w="596" w:type="pct"/>
                  <w:tcBorders>
                    <w:tl2br w:val="nil"/>
                    <w:tr2bl w:val="nil"/>
                  </w:tcBorders>
                  <w:vAlign w:val="center"/>
                </w:tcPr>
                <w:p w14:paraId="51F4BAA5">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420" w:type="pct"/>
                  <w:tcBorders>
                    <w:tl2br w:val="nil"/>
                    <w:tr2bl w:val="nil"/>
                  </w:tcBorders>
                  <w:vAlign w:val="center"/>
                </w:tcPr>
                <w:p w14:paraId="659F4D13">
                  <w:pPr>
                    <w:pStyle w:val="50"/>
                    <w:keepNext w:val="0"/>
                    <w:keepLines w:val="0"/>
                    <w:pageBreakBefore w:val="0"/>
                    <w:widowControl w:val="0"/>
                    <w:kinsoku/>
                    <w:wordWrap w:val="0"/>
                    <w:overflowPunct/>
                    <w:topLinePunct/>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8"/>
                      <w:sz w:val="21"/>
                      <w:szCs w:val="21"/>
                      <w:highlight w:val="none"/>
                      <w:u w:val="none" w:color="auto"/>
                    </w:rPr>
                    <w:t>固</w:t>
                  </w:r>
                  <w:r>
                    <w:rPr>
                      <w:rFonts w:hint="default" w:ascii="Times New Roman" w:hAnsi="Times New Roman" w:eastAsia="宋体" w:cs="Times New Roman"/>
                      <w:color w:val="auto"/>
                      <w:spacing w:val="-13"/>
                      <w:sz w:val="21"/>
                      <w:szCs w:val="21"/>
                      <w:highlight w:val="none"/>
                      <w:u w:val="none" w:color="auto"/>
                    </w:rPr>
                    <w:t>态</w:t>
                  </w:r>
                </w:p>
              </w:tc>
              <w:tc>
                <w:tcPr>
                  <w:tcW w:w="509" w:type="pct"/>
                  <w:tcBorders>
                    <w:tl2br w:val="nil"/>
                    <w:tr2bl w:val="nil"/>
                  </w:tcBorders>
                  <w:vAlign w:val="center"/>
                </w:tcPr>
                <w:p w14:paraId="3B1B1873">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602" w:type="pct"/>
                  <w:tcBorders>
                    <w:tl2br w:val="nil"/>
                    <w:tr2bl w:val="nil"/>
                  </w:tcBorders>
                  <w:vAlign w:val="center"/>
                </w:tcPr>
                <w:p w14:paraId="5FA87CFA">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color w:val="auto"/>
                      <w:sz w:val="21"/>
                      <w:szCs w:val="21"/>
                      <w:highlight w:val="none"/>
                      <w:u w:val="none" w:color="auto"/>
                      <w:lang w:val="en-US" w:eastAsia="zh-CN"/>
                    </w:rPr>
                    <w:t>2.7</w:t>
                  </w:r>
                </w:p>
              </w:tc>
              <w:tc>
                <w:tcPr>
                  <w:tcW w:w="521" w:type="pct"/>
                  <w:tcBorders>
                    <w:tl2br w:val="nil"/>
                    <w:tr2bl w:val="nil"/>
                  </w:tcBorders>
                  <w:vAlign w:val="center"/>
                </w:tcPr>
                <w:p w14:paraId="5259BAD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垃圾桶</w:t>
                  </w:r>
                </w:p>
              </w:tc>
              <w:tc>
                <w:tcPr>
                  <w:tcW w:w="704" w:type="pct"/>
                  <w:tcBorders>
                    <w:tl2br w:val="nil"/>
                    <w:tr2bl w:val="nil"/>
                  </w:tcBorders>
                  <w:vAlign w:val="center"/>
                </w:tcPr>
                <w:p w14:paraId="1527A36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交由环</w:t>
                  </w:r>
                  <w:r>
                    <w:rPr>
                      <w:rFonts w:hint="default" w:ascii="Times New Roman" w:hAnsi="Times New Roman" w:eastAsia="宋体" w:cs="Times New Roman"/>
                      <w:color w:val="auto"/>
                      <w:spacing w:val="6"/>
                      <w:sz w:val="21"/>
                      <w:szCs w:val="21"/>
                      <w:highlight w:val="none"/>
                      <w:u w:val="none" w:color="auto"/>
                    </w:rPr>
                    <w:t>卫部门</w:t>
                  </w:r>
                  <w:r>
                    <w:rPr>
                      <w:rFonts w:hint="default" w:ascii="Times New Roman" w:hAnsi="Times New Roman" w:eastAsia="宋体" w:cs="Times New Roman"/>
                      <w:color w:val="auto"/>
                      <w:spacing w:val="2"/>
                      <w:sz w:val="21"/>
                      <w:szCs w:val="21"/>
                      <w:highlight w:val="none"/>
                      <w:u w:val="none" w:color="auto"/>
                    </w:rPr>
                    <w:t>处理</w:t>
                  </w:r>
                </w:p>
              </w:tc>
            </w:tr>
          </w:tbl>
          <w:p w14:paraId="340B4E91">
            <w:pPr>
              <w:pStyle w:val="37"/>
              <w:bidi w:val="0"/>
              <w:rPr>
                <w:rFonts w:hint="default"/>
                <w:color w:val="auto"/>
                <w:highlight w:val="none"/>
                <w:u w:val="none" w:color="auto"/>
              </w:rPr>
            </w:pPr>
            <w:r>
              <w:rPr>
                <w:rFonts w:hint="default"/>
                <w:color w:val="auto"/>
                <w:highlight w:val="none"/>
                <w:u w:val="none" w:color="auto"/>
              </w:rPr>
              <w:t>经过上述措施治理后，项目产生的固体废物对周边环境影响较小。</w:t>
            </w:r>
          </w:p>
          <w:p w14:paraId="080626F1">
            <w:pPr>
              <w:spacing w:line="360" w:lineRule="auto"/>
              <w:ind w:firstLine="482" w:firstLineChars="200"/>
              <w:rPr>
                <w:rFonts w:hint="default" w:ascii="Times New Roman" w:hAnsi="Times New Roman" w:cs="Times New Roman"/>
                <w:b/>
                <w:bCs/>
                <w:color w:val="auto"/>
                <w:sz w:val="24"/>
                <w:szCs w:val="32"/>
                <w:highlight w:val="none"/>
                <w:u w:val="none" w:color="auto"/>
              </w:rPr>
            </w:pPr>
            <w:r>
              <w:rPr>
                <w:rFonts w:hint="default" w:ascii="Times New Roman" w:hAnsi="Times New Roman" w:cs="Times New Roman"/>
                <w:b/>
                <w:bCs/>
                <w:color w:val="auto"/>
                <w:sz w:val="24"/>
                <w:szCs w:val="32"/>
                <w:highlight w:val="none"/>
                <w:u w:val="none" w:color="auto"/>
              </w:rPr>
              <w:t>一般工业固废暂存间：</w:t>
            </w:r>
          </w:p>
          <w:p w14:paraId="59A348F8">
            <w:pPr>
              <w:pStyle w:val="37"/>
              <w:bidi w:val="0"/>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建设单位在厂区东南侧拟</w:t>
            </w:r>
            <w:r>
              <w:rPr>
                <w:rFonts w:hint="default" w:ascii="Times New Roman" w:hAnsi="Times New Roman" w:cs="Times New Roman"/>
                <w:color w:val="auto"/>
                <w:highlight w:val="none"/>
                <w:u w:val="none" w:color="auto"/>
              </w:rPr>
              <w:t>设1间</w:t>
            </w:r>
            <w:r>
              <w:rPr>
                <w:rFonts w:hint="default" w:ascii="Times New Roman" w:hAnsi="Times New Roman" w:cs="Times New Roman"/>
                <w:b w:val="0"/>
                <w:bCs w:val="0"/>
                <w:color w:val="auto"/>
                <w:sz w:val="24"/>
                <w:szCs w:val="32"/>
                <w:highlight w:val="none"/>
                <w:u w:val="none" w:color="auto"/>
              </w:rPr>
              <w:t>一般工业固废暂存间</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default" w:ascii="Times New Roman" w:hAnsi="Times New Roman" w:cs="Times New Roman"/>
                <w:color w:val="auto"/>
                <w:highlight w:val="none"/>
                <w:u w:val="none" w:color="auto"/>
              </w:rPr>
              <w:t>，地面进行硬底化，做好防腐、防渗和防漏处理，防渗性能应至少相当于渗透系数为1.0×10</w:t>
            </w:r>
            <w:r>
              <w:rPr>
                <w:rFonts w:hint="default" w:ascii="Times New Roman" w:hAnsi="Times New Roman" w:cs="Times New Roman"/>
                <w:color w:val="auto"/>
                <w:highlight w:val="none"/>
                <w:u w:val="none" w:color="auto"/>
                <w:vertAlign w:val="superscript"/>
              </w:rPr>
              <w:t>-5</w:t>
            </w:r>
            <w:r>
              <w:rPr>
                <w:rFonts w:hint="default" w:ascii="Times New Roman" w:hAnsi="Times New Roman" w:cs="Times New Roman"/>
                <w:color w:val="auto"/>
                <w:highlight w:val="none"/>
                <w:u w:val="none" w:color="auto"/>
              </w:rPr>
              <w:t>cm/s且厚度为0.75m的天然基础层。</w:t>
            </w:r>
            <w:r>
              <w:rPr>
                <w:rFonts w:hint="eastAsia" w:cs="Times New Roman"/>
                <w:color w:val="auto"/>
                <w:highlight w:val="none"/>
                <w:u w:val="none" w:color="auto"/>
                <w:lang w:val="en-US" w:eastAsia="zh-CN"/>
              </w:rPr>
              <w:t>拟</w:t>
            </w:r>
            <w:r>
              <w:rPr>
                <w:rFonts w:hint="default" w:ascii="Times New Roman" w:hAnsi="Times New Roman" w:cs="Times New Roman"/>
                <w:color w:val="auto"/>
                <w:highlight w:val="none"/>
                <w:u w:val="none" w:color="auto"/>
              </w:rPr>
              <w:t>设环境保护图形标志，固体废弃物在外运处置之前针对固体废物不同性质分类存放，贮存时间不超过半年，</w:t>
            </w:r>
            <w:r>
              <w:rPr>
                <w:rFonts w:hint="eastAsia" w:cs="Times New Roman"/>
                <w:color w:val="auto"/>
                <w:highlight w:val="none"/>
                <w:u w:val="none" w:color="auto"/>
                <w:lang w:eastAsia="zh-CN"/>
              </w:rPr>
              <w:t>应</w:t>
            </w:r>
            <w:r>
              <w:rPr>
                <w:rFonts w:hint="default" w:ascii="Times New Roman" w:hAnsi="Times New Roman" w:cs="Times New Roman"/>
                <w:color w:val="auto"/>
                <w:highlight w:val="none"/>
                <w:u w:val="none" w:color="auto"/>
              </w:rPr>
              <w:t>符合《一般工业固体废物贮存和填埋污染控制标准》（GB18599-2020）的相关要求。</w:t>
            </w:r>
          </w:p>
          <w:p w14:paraId="44B32DB6">
            <w:pPr>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根据《中华人民共和国固体废物污染环境防治法》（2020年4月29日修订）本评价针对项目产生的一般工业固废的后续管理，提出相关的要求，具体如下：</w:t>
            </w:r>
          </w:p>
          <w:p w14:paraId="3CEEE843">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本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17A0770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2）禁止向生活垃圾收集设施中投放工业固体废物。</w:t>
            </w:r>
          </w:p>
          <w:p w14:paraId="688018D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3）产生工业固体废物的单位委托他人运输、利用、处置工业固体废物的，应当对受托方的主体资格和技术能力进行核实，依法签订书面合同，在合同中约定污染防治要求。</w:t>
            </w:r>
          </w:p>
          <w:p w14:paraId="023BAA61">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4）受托方运输、利用、处置工业固体废物，应当依照有关法律法规的规定和合同约定履行污染防治要求，并将运输、利用、处置情况告知产生工业固体废物的单位。</w:t>
            </w:r>
          </w:p>
          <w:p w14:paraId="355A3619">
            <w:pPr>
              <w:pStyle w:val="37"/>
              <w:bidi w:val="0"/>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highlight w:val="none"/>
                <w:u w:val="none" w:color="auto"/>
                <w:lang w:val="en-US" w:eastAsia="zh-CN"/>
              </w:rPr>
              <w:t>危废暂存间：</w:t>
            </w:r>
          </w:p>
          <w:p w14:paraId="18E44FF8">
            <w:pPr>
              <w:spacing w:line="360" w:lineRule="auto"/>
              <w:ind w:firstLine="480" w:firstLineChars="200"/>
              <w:rPr>
                <w:color w:val="auto"/>
                <w:highlight w:val="none"/>
                <w:u w:val="none" w:color="auto"/>
              </w:rPr>
            </w:pPr>
            <w:r>
              <w:rPr>
                <w:rFonts w:hint="default" w:ascii="Times New Roman" w:hAnsi="Times New Roman" w:cs="Times New Roman"/>
                <w:color w:val="auto"/>
                <w:sz w:val="24"/>
                <w:highlight w:val="none"/>
                <w:u w:val="none" w:color="auto"/>
                <w:lang w:val="en-US" w:eastAsia="zh-CN"/>
              </w:rPr>
              <w:t>本项目</w:t>
            </w:r>
            <w:r>
              <w:rPr>
                <w:rFonts w:hint="eastAsia" w:cs="Times New Roman"/>
                <w:color w:val="auto"/>
                <w:sz w:val="24"/>
                <w:highlight w:val="none"/>
                <w:u w:val="none" w:color="auto"/>
                <w:lang w:val="en-US" w:eastAsia="zh-CN"/>
              </w:rPr>
              <w:t>在厂区东南侧</w:t>
            </w:r>
            <w:r>
              <w:rPr>
                <w:rFonts w:hint="default" w:ascii="Times New Roman" w:hAnsi="Times New Roman" w:cs="Times New Roman"/>
                <w:color w:val="auto"/>
                <w:sz w:val="24"/>
                <w:highlight w:val="none"/>
                <w:u w:val="none" w:color="auto"/>
                <w:lang w:val="en-US" w:eastAsia="zh-CN"/>
              </w:rPr>
              <w:t>拟</w:t>
            </w:r>
            <w:r>
              <w:rPr>
                <w:rFonts w:hint="eastAsia" w:ascii="Times New Roman" w:hAnsi="Times New Roman" w:cs="Times New Roman"/>
                <w:color w:val="auto"/>
                <w:sz w:val="24"/>
                <w:highlight w:val="none"/>
                <w:u w:val="none" w:color="auto"/>
                <w:lang w:val="en-US" w:eastAsia="zh-CN"/>
              </w:rPr>
              <w:t>设置</w:t>
            </w:r>
            <w:r>
              <w:rPr>
                <w:rFonts w:hint="default" w:ascii="Times New Roman" w:hAnsi="Times New Roman" w:cs="Times New Roman"/>
                <w:color w:val="auto"/>
                <w:sz w:val="24"/>
                <w:highlight w:val="none"/>
                <w:u w:val="none" w:color="auto"/>
              </w:rPr>
              <w:t>一</w:t>
            </w:r>
            <w:r>
              <w:rPr>
                <w:rFonts w:hint="eastAsia"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占地面积</w:t>
            </w:r>
            <w:r>
              <w:rPr>
                <w:rFonts w:hint="eastAsia" w:cs="Times New Roman"/>
                <w:color w:val="auto"/>
                <w:sz w:val="24"/>
                <w:highlight w:val="none"/>
                <w:u w:val="none" w:color="auto"/>
                <w:lang w:val="en-US" w:eastAsia="zh-CN"/>
              </w:rPr>
              <w:t>15</w:t>
            </w:r>
            <w:r>
              <w:rPr>
                <w:rFonts w:hint="default" w:ascii="Times New Roman" w:hAnsi="Times New Roman" w:cs="Times New Roman"/>
                <w:color w:val="auto"/>
                <w:sz w:val="24"/>
                <w:highlight w:val="none"/>
                <w:u w:val="none" w:color="auto"/>
                <w:lang w:val="en-US" w:eastAsia="zh-CN"/>
              </w:rPr>
              <w:t>m</w:t>
            </w:r>
            <w:r>
              <w:rPr>
                <w:rFonts w:hint="default" w:ascii="Times New Roman" w:hAnsi="Times New Roman" w:cs="Times New Roman"/>
                <w:color w:val="auto"/>
                <w:sz w:val="24"/>
                <w:highlight w:val="none"/>
                <w:u w:val="none" w:color="auto"/>
                <w:vertAlign w:val="superscript"/>
                <w:lang w:val="en-US" w:eastAsia="zh-CN"/>
              </w:rPr>
              <w:t>2</w:t>
            </w:r>
            <w:r>
              <w:rPr>
                <w:rFonts w:hint="default" w:ascii="Times New Roman" w:hAnsi="Times New Roman" w:cs="Times New Roman"/>
                <w:color w:val="auto"/>
                <w:sz w:val="24"/>
                <w:highlight w:val="none"/>
                <w:u w:val="none" w:color="auto"/>
              </w:rPr>
              <w:t>的危险废物暂存</w:t>
            </w:r>
            <w:r>
              <w:rPr>
                <w:rFonts w:hint="default" w:ascii="Times New Roman" w:hAnsi="Times New Roman"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w:t>
            </w:r>
            <w:r>
              <w:rPr>
                <w:rFonts w:hint="eastAsia" w:ascii="Times New Roman" w:hAnsi="Times New Roman" w:cs="Times New Roman"/>
                <w:color w:val="auto"/>
                <w:sz w:val="24"/>
                <w:highlight w:val="none"/>
                <w:u w:val="none" w:color="auto"/>
                <w:lang w:val="en-US" w:eastAsia="zh-CN"/>
              </w:rPr>
              <w:t>根据国家危险废物的法规要求，危险废物暂存点均采取防渗措施，危险废物其贮存设施和管理应满足《危险废物贮存污染控制标准》（</w:t>
            </w:r>
            <w:r>
              <w:rPr>
                <w:rFonts w:hint="default" w:ascii="Times New Roman" w:hAnsi="Times New Roman" w:cs="Times New Roman"/>
                <w:color w:val="auto"/>
                <w:sz w:val="24"/>
                <w:highlight w:val="none"/>
                <w:u w:val="none" w:color="auto"/>
                <w:lang w:val="en-US" w:eastAsia="zh-CN"/>
              </w:rPr>
              <w:t>GB18597-2023</w:t>
            </w:r>
            <w:r>
              <w:rPr>
                <w:rFonts w:hint="eastAsia" w:ascii="Times New Roman" w:hAnsi="Times New Roman" w:cs="Times New Roman"/>
                <w:color w:val="auto"/>
                <w:sz w:val="24"/>
                <w:highlight w:val="none"/>
                <w:u w:val="none" w:color="auto"/>
                <w:lang w:val="en-US" w:eastAsia="zh-CN"/>
              </w:rPr>
              <w:t>）的要求，具体如下：</w:t>
            </w:r>
          </w:p>
          <w:p w14:paraId="561613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宋体" w:hAnsi="宋体" w:eastAsia="宋体" w:cs="宋体"/>
                <w:color w:val="auto"/>
                <w:kern w:val="0"/>
                <w:sz w:val="24"/>
                <w:szCs w:val="24"/>
                <w:highlight w:val="none"/>
                <w:u w:val="none" w:color="auto"/>
                <w:lang w:val="en-US" w:eastAsia="zh-CN" w:bidi="ar"/>
              </w:rPr>
              <w:t>（</w:t>
            </w:r>
            <w:r>
              <w:rPr>
                <w:rFonts w:hint="eastAsia" w:ascii="Times New Roman" w:hAnsi="Times New Roman" w:cs="Times New Roman"/>
                <w:color w:val="auto"/>
                <w:kern w:val="2"/>
                <w:sz w:val="24"/>
                <w:szCs w:val="24"/>
                <w:highlight w:val="none"/>
                <w:u w:val="none" w:color="auto"/>
                <w:shd w:val="clear" w:color="auto" w:fill="auto"/>
                <w:lang w:val="en-US" w:eastAsia="zh-CN" w:bidi="en-US"/>
              </w:rPr>
              <w:t>1</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）贮存设施</w:t>
            </w:r>
          </w:p>
          <w:p w14:paraId="29AB8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①贮存设施应根据危险废物的形态、物理化学性质、包装形式和污染物迁移途径，采取必要的防风、防晒、防雨、防漏、防渗、防腐以及其他环境污染防治措施，不应露天堆放危险废物。</w:t>
            </w:r>
          </w:p>
          <w:p w14:paraId="04DDBD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②贮存设施应根据危险废物的类别、数量、形态、物理化学性质和污染防治等要求设置必要的贮存分区，避免不相容的危险废物接触、混合。</w:t>
            </w:r>
          </w:p>
          <w:p w14:paraId="008E39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③贮存设施或贮存分区内地面、墙面裙脚、堵截泄漏的围堰、接触危险废物的隔板和墙体等应采用坚固的材料建造，表面无裂缝。</w:t>
            </w:r>
          </w:p>
          <w:p w14:paraId="5A33EA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厚黏土层（渗透系数不大于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-7</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2mm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厚高密度聚乙烯膜等人工防渗材料（渗透系数不大于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），或其他防渗性能等效的材料。</w:t>
            </w:r>
          </w:p>
          <w:p w14:paraId="68393E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⑤同一贮存设施宜采用相同的防渗、防腐工艺（包括防渗、防腐结构或材料），防渗、防腐材料应覆盖所有可能与废物及其渗滤液、渗漏液等接触的构筑物表面；采用不同防渗、防腐工艺应分别建设贮存分区。</w:t>
            </w:r>
          </w:p>
          <w:p w14:paraId="029BA15A">
            <w:pPr>
              <w:pStyle w:val="37"/>
              <w:bidi w:val="0"/>
              <w:rPr>
                <w:color w:val="auto"/>
                <w:highlight w:val="none"/>
                <w:u w:val="none" w:color="auto"/>
              </w:rPr>
            </w:pPr>
            <w:r>
              <w:rPr>
                <w:rFonts w:hint="eastAsia"/>
                <w:color w:val="auto"/>
                <w:highlight w:val="none"/>
                <w:u w:val="none" w:color="auto"/>
                <w:lang w:val="en-US" w:eastAsia="zh-CN"/>
              </w:rPr>
              <w:t>（2）贮存库</w:t>
            </w:r>
          </w:p>
          <w:p w14:paraId="7E1541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①贮存库内不同贮存分区之间应采取隔离措施。隔离措施可根据危险废物特性采用过道、隔板或隔墙等方式。</w:t>
            </w:r>
          </w:p>
          <w:p w14:paraId="59D29F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②在贮存库内或通过贮存分区方式贮存液态危险废物的，应具有液体泄漏堵截设施，堵截设施最小容积不应低于对应贮存区域最大液态废物容器容积或液态废物总储量</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1/10</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（二者取较大者）；用于贮存可能产生渗滤液的危险废物的贮存库或贮存分区应设计渗滤液收集设施，收集设施容积应满足渗滤液的收集要求。</w:t>
            </w:r>
          </w:p>
          <w:p w14:paraId="76FCC6D3">
            <w:pPr>
              <w:pStyle w:val="3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（3）贮存设施运行环境管理要求</w:t>
            </w:r>
          </w:p>
          <w:p w14:paraId="10CC9C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①危险废物存入贮存设施前应对危险废物类别和特性与危险废物标签等危险废物识别标志的一致性进行核验，不一致的或类别、特性不明的不应存入。</w:t>
            </w:r>
          </w:p>
          <w:p w14:paraId="636894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②应定期检查危险废物的贮存状况，及时清理贮存设施地面，更换破损泄漏的危险废物贮存容器和包装物，保证堆存危险废物的防雨、防风、防扬尘等设施功能完好。</w:t>
            </w:r>
          </w:p>
          <w:p w14:paraId="1AC49C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③作业设备及车辆等结束作业离开贮存设施时，应对其残留的危险废物进行清理，清理的废物或清洗废水应收集处理。</w:t>
            </w:r>
          </w:p>
          <w:p w14:paraId="2BA2AA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④贮存设施运行期间，应按国家有关标准和规定建立危险废物管理台账并保存。</w:t>
            </w:r>
          </w:p>
          <w:p w14:paraId="71BE25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⑤贮存设施所有者或运营者应建立贮存设施环境管理制度、管理人员岗位职责制度、设施运行操作制度、人员岗位培训制度等。</w:t>
            </w:r>
          </w:p>
          <w:p w14:paraId="11B3C1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38E71F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highlight w:val="none"/>
                <w:u w:val="none" w:color="auto"/>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⑦贮存设施所有者或运营者应建立贮存设施全部档案，包括设计、施工、验收、运行、监测和环境应急等，应按国家有关档案管理的法律法规进行整理和归档。</w:t>
            </w:r>
          </w:p>
          <w:p w14:paraId="407DB1DA">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4</w:t>
            </w:r>
            <w:r>
              <w:rPr>
                <w:rFonts w:hint="eastAsia"/>
                <w:color w:val="auto"/>
                <w:highlight w:val="none"/>
                <w:u w:val="none" w:color="auto"/>
                <w:lang w:eastAsia="zh-CN"/>
              </w:rPr>
              <w:t>）</w:t>
            </w:r>
            <w:r>
              <w:rPr>
                <w:color w:val="auto"/>
                <w:highlight w:val="none"/>
                <w:u w:val="none" w:color="auto"/>
              </w:rPr>
              <w:t>企业须健全危险废物相关管理制度，并严格落实。</w:t>
            </w:r>
          </w:p>
          <w:p w14:paraId="511B48F7">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①企业须配备专业技术人员和管理人员专门负责企业危险废物统计、收集、暂存、转运和管理工作，并对有关危废产生部门员工进行定期教育和培训，强化危险废物管理；</w:t>
            </w:r>
          </w:p>
          <w:p w14:paraId="0FFAF3C9">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②企业须建立危险废物收集操作规程、危险废物转运操作规程、危险废物暂存管理规程等相关制度，并认真落实；</w:t>
            </w:r>
          </w:p>
          <w:p w14:paraId="6240D246">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③企业须对危险废物储运场所张贴</w:t>
            </w:r>
            <w:r>
              <w:rPr>
                <w:rFonts w:hint="eastAsia"/>
                <w:color w:val="auto"/>
                <w:highlight w:val="none"/>
                <w:u w:val="none" w:color="auto"/>
                <w:lang w:eastAsia="zh-CN"/>
              </w:rPr>
              <w:t>警示标志</w:t>
            </w:r>
            <w:r>
              <w:rPr>
                <w:color w:val="auto"/>
                <w:highlight w:val="none"/>
                <w:u w:val="none" w:color="auto"/>
              </w:rPr>
              <w:t>，危险废物包装物张贴警示标签；</w:t>
            </w:r>
          </w:p>
          <w:p w14:paraId="6840DA7E">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④规范危险废物统计、建立危险废物收集及储运有关档案，认真填写《危险废物项目区内转运记录表》，做好危险废物情况的记录，记录上须注明危险废物的名称、来源、数量、特性和包装容器的类别、入库日期、存放库位、废物出库日期及接收单位名称等，并即时存档以备查阅。</w:t>
            </w:r>
          </w:p>
          <w:p w14:paraId="4690EF74">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5</w:t>
            </w:r>
            <w:r>
              <w:rPr>
                <w:rFonts w:hint="eastAsia"/>
                <w:color w:val="auto"/>
                <w:highlight w:val="none"/>
                <w:u w:val="none" w:color="auto"/>
                <w:lang w:eastAsia="zh-CN"/>
              </w:rPr>
              <w:t>）</w:t>
            </w:r>
            <w:r>
              <w:rPr>
                <w:color w:val="auto"/>
                <w:highlight w:val="none"/>
                <w:u w:val="none" w:color="auto"/>
              </w:rPr>
              <w:t>危险废物在危废暂存间内暂存期间应严格按照《危险废物贮存污染控制标准》（</w:t>
            </w:r>
            <w:r>
              <w:rPr>
                <w:rFonts w:hint="eastAsia"/>
                <w:color w:val="auto"/>
                <w:highlight w:val="none"/>
                <w:u w:val="none" w:color="auto"/>
                <w:lang w:eastAsia="zh-CN"/>
              </w:rPr>
              <w:t>GB18597—2023</w:t>
            </w:r>
            <w:r>
              <w:rPr>
                <w:color w:val="auto"/>
                <w:highlight w:val="none"/>
                <w:u w:val="none" w:color="auto"/>
              </w:rPr>
              <w:t>）和《危险废物收集贮存运输技术规范》（HJ2025-2012</w:t>
            </w:r>
            <w:r>
              <w:rPr>
                <w:rFonts w:hint="eastAsia"/>
                <w:color w:val="auto"/>
                <w:highlight w:val="none"/>
                <w:u w:val="none" w:color="auto"/>
                <w:lang w:eastAsia="zh-CN"/>
              </w:rPr>
              <w:t>）</w:t>
            </w:r>
            <w:r>
              <w:rPr>
                <w:color w:val="auto"/>
                <w:highlight w:val="none"/>
                <w:u w:val="none" w:color="auto"/>
              </w:rPr>
              <w:t>的相关要求进行存储和管理。</w:t>
            </w:r>
          </w:p>
          <w:p w14:paraId="0CBF15BB">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五、土壤与地下水</w:t>
            </w:r>
          </w:p>
          <w:p w14:paraId="66A15B1B">
            <w:pPr>
              <w:pStyle w:val="3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1）源头控制措施</w:t>
            </w:r>
          </w:p>
          <w:p w14:paraId="43CEE155">
            <w:pPr>
              <w:pStyle w:val="37"/>
              <w:bidi w:val="0"/>
              <w:rPr>
                <w:color w:val="auto"/>
                <w:highlight w:val="none"/>
                <w:u w:val="none" w:color="auto"/>
              </w:rPr>
            </w:pPr>
            <w:r>
              <w:rPr>
                <w:rFonts w:hint="eastAsia"/>
                <w:color w:val="auto"/>
                <w:highlight w:val="none"/>
                <w:u w:val="none" w:color="auto"/>
              </w:rPr>
              <w:t>通过加强日常管理、对防渗工程的检查，若发现防渗密封材料老化或损坏应及时维修更换</w:t>
            </w:r>
            <w:r>
              <w:rPr>
                <w:rFonts w:hint="eastAsia"/>
                <w:color w:val="auto"/>
                <w:highlight w:val="none"/>
                <w:u w:val="none" w:color="auto"/>
                <w:lang w:eastAsia="zh-CN"/>
              </w:rPr>
              <w:t>；</w:t>
            </w:r>
            <w:r>
              <w:rPr>
                <w:rFonts w:hint="eastAsia"/>
                <w:color w:val="auto"/>
                <w:highlight w:val="none"/>
                <w:u w:val="none" w:color="auto"/>
              </w:rPr>
              <w:t>设置好引流的沟渠和事故下截流措施，避免应急情况下消防水外流。</w:t>
            </w:r>
          </w:p>
          <w:p w14:paraId="381E5EDD">
            <w:pPr>
              <w:pStyle w:val="3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2）</w:t>
            </w:r>
            <w:r>
              <w:rPr>
                <w:color w:val="auto"/>
                <w:highlight w:val="none"/>
                <w:u w:val="none" w:color="auto"/>
              </w:rPr>
              <w:t>分区防控措施</w:t>
            </w:r>
          </w:p>
          <w:p w14:paraId="0861253A">
            <w:pPr>
              <w:pStyle w:val="37"/>
              <w:bidi w:val="0"/>
              <w:rPr>
                <w:color w:val="auto"/>
                <w:highlight w:val="none"/>
                <w:u w:val="none" w:color="auto"/>
              </w:rPr>
            </w:pPr>
            <w:r>
              <w:rPr>
                <w:color w:val="auto"/>
                <w:highlight w:val="none"/>
                <w:u w:val="none" w:color="auto"/>
              </w:rPr>
              <w:t>根据项目各区域功能，将厂区划分为重点污染防治区</w:t>
            </w:r>
            <w:r>
              <w:rPr>
                <w:rFonts w:hint="eastAsia"/>
                <w:color w:val="auto"/>
                <w:highlight w:val="none"/>
                <w:u w:val="none" w:color="auto"/>
                <w:lang w:val="en-US" w:eastAsia="zh-CN"/>
              </w:rPr>
              <w:t>和</w:t>
            </w:r>
            <w:r>
              <w:rPr>
                <w:color w:val="auto"/>
                <w:highlight w:val="none"/>
                <w:u w:val="none" w:color="auto"/>
              </w:rPr>
              <w:t>一般污染防治区，针对不同的区域提出相应的防控措施。</w:t>
            </w:r>
          </w:p>
          <w:p w14:paraId="3282A378">
            <w:pPr>
              <w:pStyle w:val="37"/>
              <w:bidi w:val="0"/>
              <w:rPr>
                <w:color w:val="auto"/>
                <w:highlight w:val="none"/>
                <w:u w:val="none" w:color="auto"/>
              </w:rPr>
            </w:pPr>
            <w:r>
              <w:rPr>
                <w:rFonts w:hint="eastAsia"/>
                <w:color w:val="auto"/>
                <w:highlight w:val="none"/>
                <w:u w:val="none" w:color="auto"/>
                <w:lang w:val="en-US" w:eastAsia="zh-CN"/>
              </w:rPr>
              <w:t>a.</w:t>
            </w:r>
            <w:r>
              <w:rPr>
                <w:color w:val="auto"/>
                <w:highlight w:val="none"/>
                <w:u w:val="none" w:color="auto"/>
              </w:rPr>
              <w:t>重点污染区</w:t>
            </w:r>
          </w:p>
          <w:p w14:paraId="6E946D03">
            <w:pPr>
              <w:pStyle w:val="37"/>
              <w:bidi w:val="0"/>
              <w:rPr>
                <w:color w:val="auto"/>
                <w:highlight w:val="none"/>
                <w:u w:val="none" w:color="auto"/>
              </w:rPr>
            </w:pPr>
            <w:r>
              <w:rPr>
                <w:color w:val="auto"/>
                <w:highlight w:val="none"/>
                <w:u w:val="none" w:color="auto"/>
              </w:rPr>
              <w:t>项目重点污染区为</w:t>
            </w:r>
            <w:r>
              <w:rPr>
                <w:rFonts w:hint="eastAsia"/>
                <w:color w:val="auto"/>
                <w:highlight w:val="none"/>
                <w:u w:val="none" w:color="auto"/>
                <w:lang w:val="en-US" w:eastAsia="zh-CN"/>
              </w:rPr>
              <w:t>危险废物暂存间</w:t>
            </w:r>
            <w:r>
              <w:rPr>
                <w:color w:val="auto"/>
                <w:highlight w:val="none"/>
                <w:u w:val="none" w:color="auto"/>
              </w:rPr>
              <w:t>，其地面防渗措施参照《危险废物贮存污染控制标准》（GB18597-20</w:t>
            </w:r>
            <w:r>
              <w:rPr>
                <w:rFonts w:hint="eastAsia"/>
                <w:color w:val="auto"/>
                <w:highlight w:val="none"/>
                <w:u w:val="none" w:color="auto"/>
                <w:lang w:val="en-US" w:eastAsia="zh-CN"/>
              </w:rPr>
              <w:t>23</w:t>
            </w:r>
            <w:r>
              <w:rPr>
                <w:color w:val="auto"/>
                <w:highlight w:val="none"/>
                <w:u w:val="none" w:color="auto"/>
              </w:rPr>
              <w:t>）中的相关要求设置，采取“粘土+混凝土防渗+人工材料”措施，防渗性能达到“至少1m厚粘土层（渗透系数≤10-7 cm/s）ℽ</w:t>
            </w:r>
            <w:r>
              <w:rPr>
                <w:rFonts w:hint="eastAsia"/>
                <w:color w:val="auto"/>
                <w:highlight w:val="none"/>
                <w:u w:val="none" w:color="auto"/>
                <w:lang w:eastAsia="zh-CN"/>
              </w:rPr>
              <w:t>，</w:t>
            </w:r>
            <w:r>
              <w:rPr>
                <w:color w:val="auto"/>
                <w:highlight w:val="none"/>
                <w:u w:val="none" w:color="auto"/>
              </w:rPr>
              <w:t>或2mm厚高密度聚乙烯，或至少2mm厚的其他人工材料，渗透系数≤10-10cm/s要求，并设置围堰，做到防风、防雨、防漏、防渗漏。</w:t>
            </w:r>
          </w:p>
          <w:p w14:paraId="51D09190">
            <w:pPr>
              <w:pStyle w:val="37"/>
              <w:bidi w:val="0"/>
              <w:rPr>
                <w:color w:val="auto"/>
                <w:highlight w:val="none"/>
                <w:u w:val="none" w:color="auto"/>
              </w:rPr>
            </w:pPr>
            <w:r>
              <w:rPr>
                <w:rFonts w:hint="eastAsia"/>
                <w:color w:val="auto"/>
                <w:highlight w:val="none"/>
                <w:u w:val="none" w:color="auto"/>
                <w:lang w:val="en-US" w:eastAsia="zh-CN"/>
              </w:rPr>
              <w:t>b.</w:t>
            </w:r>
            <w:r>
              <w:rPr>
                <w:color w:val="auto"/>
                <w:highlight w:val="none"/>
                <w:u w:val="none" w:color="auto"/>
              </w:rPr>
              <w:t>一般污染防治区</w:t>
            </w:r>
          </w:p>
          <w:p w14:paraId="12C7E471">
            <w:pPr>
              <w:pStyle w:val="37"/>
              <w:bidi w:val="0"/>
              <w:rPr>
                <w:color w:val="auto"/>
                <w:highlight w:val="none"/>
                <w:u w:val="none" w:color="auto"/>
              </w:rPr>
            </w:pPr>
            <w:r>
              <w:rPr>
                <w:color w:val="auto"/>
                <w:highlight w:val="none"/>
                <w:u w:val="none" w:color="auto"/>
              </w:rPr>
              <w:t>项目一般污染防治区为一般固废、</w:t>
            </w:r>
            <w:r>
              <w:rPr>
                <w:rFonts w:hint="eastAsia"/>
                <w:color w:val="auto"/>
                <w:highlight w:val="none"/>
                <w:u w:val="none" w:color="auto"/>
                <w:lang w:val="en-US" w:eastAsia="zh-CN"/>
              </w:rPr>
              <w:t>成品仓库、生产车间</w:t>
            </w:r>
            <w:r>
              <w:rPr>
                <w:color w:val="auto"/>
                <w:highlight w:val="none"/>
                <w:u w:val="none" w:color="auto"/>
              </w:rPr>
              <w:t>，其地面防渗采取“粘土+混凝土”防渗措施，达到渗透系数1.0×10</w:t>
            </w:r>
            <w:r>
              <w:rPr>
                <w:color w:val="auto"/>
                <w:highlight w:val="none"/>
                <w:u w:val="none" w:color="auto"/>
                <w:vertAlign w:val="superscript"/>
              </w:rPr>
              <w:t>-7</w:t>
            </w:r>
            <w:r>
              <w:rPr>
                <w:color w:val="auto"/>
                <w:highlight w:val="none"/>
                <w:u w:val="none" w:color="auto"/>
              </w:rPr>
              <w:t>cm/s和厚度1.5m的粘土层的防渗性能要求。</w:t>
            </w:r>
          </w:p>
          <w:p w14:paraId="4AD88799">
            <w:pPr>
              <w:pStyle w:val="8"/>
              <w:spacing w:before="0" w:after="0" w:line="360" w:lineRule="auto"/>
              <w:ind w:right="0" w:firstLine="480" w:firstLineChars="200"/>
              <w:rPr>
                <w:rFonts w:hint="eastAsia"/>
                <w:color w:val="auto"/>
                <w:highlight w:val="none"/>
                <w:u w:val="none" w:color="auto"/>
                <w:lang w:val="en-US" w:eastAsia="zh-CN"/>
              </w:rPr>
            </w:pPr>
            <w:r>
              <w:rPr>
                <w:rFonts w:hint="default" w:ascii="Times New Roman" w:hAnsi="Times New Roman" w:cs="Times New Roman"/>
                <w:color w:val="auto"/>
                <w:sz w:val="24"/>
                <w:highlight w:val="none"/>
                <w:u w:val="none" w:color="auto"/>
              </w:rPr>
              <w:t>本项目运营期无土壤、地下水污染途径，在采取以上措施后，对周围土壤、地下水环境影响较小。</w:t>
            </w:r>
          </w:p>
          <w:p w14:paraId="1ECEB8DC">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六、环境风险</w:t>
            </w:r>
            <w:r>
              <w:rPr>
                <w:rFonts w:hint="default" w:ascii="Times New Roman" w:hAnsi="Times New Roman" w:cs="Times New Roman"/>
                <w:b/>
                <w:bCs/>
                <w:color w:val="auto"/>
                <w:highlight w:val="none"/>
                <w:u w:val="none" w:color="auto"/>
                <w:lang w:val="en-US" w:eastAsia="zh-CN"/>
              </w:rPr>
              <w:t>分析</w:t>
            </w:r>
          </w:p>
          <w:p w14:paraId="0E8B7FC4">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1、</w:t>
            </w:r>
            <w:r>
              <w:rPr>
                <w:rFonts w:hint="default" w:ascii="Times New Roman" w:hAnsi="Times New Roman" w:cs="Times New Roman"/>
                <w:b/>
                <w:bCs/>
                <w:color w:val="auto"/>
                <w:highlight w:val="none"/>
                <w:u w:val="none" w:color="auto"/>
              </w:rPr>
              <w:t>风险识别</w:t>
            </w:r>
          </w:p>
          <w:p w14:paraId="7D99C5C7">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风险潜势判定</w:t>
            </w:r>
          </w:p>
          <w:p w14:paraId="5B3C1EED">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根据《建设项目环境风险评价技术导则》（HJ169-2018），建设项目环境风险潜势划分为I、II、III、IV/IV+级。</w:t>
            </w:r>
          </w:p>
          <w:p w14:paraId="4F1672B5">
            <w:pPr>
              <w:widowControl w:val="0"/>
              <w:spacing w:line="360" w:lineRule="auto"/>
              <w:ind w:firstLine="480" w:firstLineChars="200"/>
              <w:jc w:val="both"/>
              <w:rPr>
                <w:rFonts w:ascii="Times New Roman" w:hAnsi="Times New Roman" w:eastAsia="宋体" w:cs="Times New Roman"/>
                <w:b w:val="0"/>
                <w:bCs/>
                <w:i w:val="0"/>
                <w:iCs/>
                <w:color w:val="auto"/>
                <w:kern w:val="2"/>
                <w:sz w:val="24"/>
                <w:szCs w:val="24"/>
                <w:highlight w:val="none"/>
                <w:u w:val="none" w:color="auto"/>
                <w:lang w:val="en-US" w:eastAsia="zh-CN" w:bidi="ar-SA"/>
              </w:rPr>
            </w:pPr>
            <w:r>
              <w:rPr>
                <w:rFonts w:ascii="Times New Roman" w:hAnsi="Times New Roman" w:eastAsia="宋体" w:cs="Times New Roman"/>
                <w:b w:val="0"/>
                <w:bCs/>
                <w:i w:val="0"/>
                <w:iCs/>
                <w:color w:val="auto"/>
                <w:kern w:val="2"/>
                <w:sz w:val="24"/>
                <w:szCs w:val="24"/>
                <w:highlight w:val="none"/>
                <w:u w:val="none" w:color="auto"/>
                <w:lang w:val="en-US" w:eastAsia="zh-CN" w:bidi="ar-SA"/>
              </w:rPr>
              <w:t>根据项目风险潜势初判，项目环境风险潜势为Ⅰ。根据《建设项目环境风险评价技术导则》（HJ/T169-2018）项目环境风险潜势为Ⅰ，评价工作等级划分见表</w:t>
            </w:r>
            <w:r>
              <w:rPr>
                <w:rFonts w:hint="eastAsia" w:ascii="Times New Roman" w:hAnsi="Times New Roman" w:eastAsia="宋体" w:cs="Times New Roman"/>
                <w:b w:val="0"/>
                <w:bCs/>
                <w:i w:val="0"/>
                <w:iCs/>
                <w:color w:val="auto"/>
                <w:kern w:val="2"/>
                <w:sz w:val="24"/>
                <w:szCs w:val="24"/>
                <w:highlight w:val="none"/>
                <w:u w:val="none" w:color="auto"/>
                <w:lang w:val="en-US" w:eastAsia="zh-CN" w:bidi="ar-SA"/>
              </w:rPr>
              <w:t>4-</w:t>
            </w:r>
            <w:r>
              <w:rPr>
                <w:rFonts w:hint="eastAsia" w:cs="Times New Roman"/>
                <w:b w:val="0"/>
                <w:bCs/>
                <w:i w:val="0"/>
                <w:iCs/>
                <w:color w:val="auto"/>
                <w:kern w:val="2"/>
                <w:sz w:val="24"/>
                <w:szCs w:val="24"/>
                <w:highlight w:val="none"/>
                <w:u w:val="none" w:color="auto"/>
                <w:lang w:val="en-US" w:eastAsia="zh-CN" w:bidi="ar-SA"/>
              </w:rPr>
              <w:t>8</w:t>
            </w:r>
            <w:r>
              <w:rPr>
                <w:rFonts w:ascii="Times New Roman" w:hAnsi="Times New Roman" w:eastAsia="宋体" w:cs="Times New Roman"/>
                <w:b w:val="0"/>
                <w:bCs/>
                <w:i w:val="0"/>
                <w:iCs/>
                <w:color w:val="auto"/>
                <w:kern w:val="2"/>
                <w:sz w:val="24"/>
                <w:szCs w:val="24"/>
                <w:highlight w:val="none"/>
                <w:u w:val="none" w:color="auto"/>
                <w:lang w:val="en-US" w:eastAsia="zh-CN" w:bidi="ar-SA"/>
              </w:rPr>
              <w:t>，环境风险按评价等级仅需简单分析。</w:t>
            </w:r>
          </w:p>
          <w:p w14:paraId="5062DDFF">
            <w:pPr>
              <w:jc w:val="center"/>
              <w:rPr>
                <w:rFonts w:ascii="Times New Roman" w:hAnsi="Times New Roman" w:eastAsia="宋体" w:cs="Times New Roman"/>
                <w:b/>
                <w:color w:val="auto"/>
                <w:szCs w:val="21"/>
                <w:highlight w:val="none"/>
                <w:u w:val="none" w:color="auto"/>
              </w:rPr>
            </w:pPr>
            <w:r>
              <w:rPr>
                <w:rFonts w:ascii="Times New Roman" w:hAnsi="Times New Roman" w:eastAsia="宋体" w:cs="Times New Roman"/>
                <w:b/>
                <w:color w:val="auto"/>
                <w:szCs w:val="21"/>
                <w:highlight w:val="none"/>
                <w:u w:val="none" w:color="auto"/>
              </w:rPr>
              <w:t>表</w:t>
            </w:r>
            <w:r>
              <w:rPr>
                <w:rFonts w:hint="eastAsia" w:ascii="Times New Roman" w:hAnsi="Times New Roman" w:eastAsia="宋体" w:cs="Times New Roman"/>
                <w:b/>
                <w:color w:val="auto"/>
                <w:szCs w:val="21"/>
                <w:highlight w:val="none"/>
                <w:u w:val="none" w:color="auto"/>
                <w:lang w:val="en-US" w:eastAsia="zh-CN"/>
              </w:rPr>
              <w:t>4-</w:t>
            </w:r>
            <w:r>
              <w:rPr>
                <w:rFonts w:hint="eastAsia" w:cs="Times New Roman"/>
                <w:b/>
                <w:color w:val="auto"/>
                <w:szCs w:val="21"/>
                <w:highlight w:val="none"/>
                <w:u w:val="none" w:color="auto"/>
                <w:lang w:val="en-US" w:eastAsia="zh-CN"/>
              </w:rPr>
              <w:t>8</w:t>
            </w:r>
            <w:r>
              <w:rPr>
                <w:rFonts w:hint="eastAsia" w:ascii="Times New Roman" w:hAnsi="Times New Roman" w:eastAsia="宋体" w:cs="Times New Roman"/>
                <w:b/>
                <w:color w:val="auto"/>
                <w:szCs w:val="21"/>
                <w:highlight w:val="none"/>
                <w:u w:val="none" w:color="auto"/>
                <w:lang w:val="en-US" w:eastAsia="zh-CN"/>
              </w:rPr>
              <w:t xml:space="preserve">   </w:t>
            </w:r>
            <w:r>
              <w:rPr>
                <w:rFonts w:ascii="Times New Roman" w:hAnsi="Times New Roman" w:eastAsia="宋体" w:cs="Times New Roman"/>
                <w:b/>
                <w:color w:val="auto"/>
                <w:szCs w:val="21"/>
                <w:highlight w:val="none"/>
                <w:u w:val="none" w:color="auto"/>
              </w:rPr>
              <w:t>评价工作等级划分</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49"/>
              <w:gridCol w:w="1649"/>
              <w:gridCol w:w="1649"/>
              <w:gridCol w:w="1651"/>
            </w:tblGrid>
            <w:tr w14:paraId="42488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68D03C9E">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环境风险潜势</w:t>
                  </w:r>
                </w:p>
              </w:tc>
              <w:tc>
                <w:tcPr>
                  <w:tcW w:w="1001" w:type="pct"/>
                  <w:noWrap w:val="0"/>
                  <w:vAlign w:val="center"/>
                </w:tcPr>
                <w:p w14:paraId="0F73D68D">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vertAlign w:val="superscript"/>
                    </w:rPr>
                    <w:t>+</w:t>
                  </w:r>
                </w:p>
              </w:tc>
              <w:tc>
                <w:tcPr>
                  <w:tcW w:w="1001" w:type="pct"/>
                  <w:noWrap w:val="0"/>
                  <w:vAlign w:val="center"/>
                </w:tcPr>
                <w:p w14:paraId="555842F0">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3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0BED845B">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2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23BCA6CC">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1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w:t>
                  </w:r>
                  <w:r>
                    <w:rPr>
                      <w:rFonts w:ascii="Times New Roman" w:hAnsi="Times New Roman" w:eastAsia="宋体" w:cs="Times New Roman"/>
                      <w:b/>
                      <w:bCs/>
                      <w:color w:val="auto"/>
                      <w:szCs w:val="21"/>
                      <w:highlight w:val="none"/>
                      <w:u w:val="none" w:color="auto"/>
                    </w:rPr>
                    <w:fldChar w:fldCharType="end"/>
                  </w:r>
                </w:p>
              </w:tc>
            </w:tr>
            <w:tr w14:paraId="59676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0DDD5212">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评价工作等级</w:t>
                  </w:r>
                </w:p>
              </w:tc>
              <w:tc>
                <w:tcPr>
                  <w:tcW w:w="1001" w:type="pct"/>
                  <w:noWrap w:val="0"/>
                  <w:vAlign w:val="center"/>
                </w:tcPr>
                <w:p w14:paraId="1D794E65">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一</w:t>
                  </w:r>
                </w:p>
              </w:tc>
              <w:tc>
                <w:tcPr>
                  <w:tcW w:w="1001" w:type="pct"/>
                  <w:noWrap w:val="0"/>
                  <w:vAlign w:val="center"/>
                </w:tcPr>
                <w:p w14:paraId="47052AC3">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二</w:t>
                  </w:r>
                </w:p>
              </w:tc>
              <w:tc>
                <w:tcPr>
                  <w:tcW w:w="1001" w:type="pct"/>
                  <w:noWrap w:val="0"/>
                  <w:vAlign w:val="center"/>
                </w:tcPr>
                <w:p w14:paraId="405BC324">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三</w:t>
                  </w:r>
                </w:p>
              </w:tc>
              <w:tc>
                <w:tcPr>
                  <w:tcW w:w="1001" w:type="pct"/>
                  <w:noWrap w:val="0"/>
                  <w:vAlign w:val="center"/>
                </w:tcPr>
                <w:p w14:paraId="1B146E54">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简单分析a</w:t>
                  </w:r>
                </w:p>
              </w:tc>
            </w:tr>
            <w:tr w14:paraId="5259F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000" w:type="pct"/>
                  <w:gridSpan w:val="5"/>
                  <w:noWrap w:val="0"/>
                  <w:vAlign w:val="center"/>
                </w:tcPr>
                <w:p w14:paraId="3C728FBC">
                  <w:pPr>
                    <w:autoSpaceDE w:val="0"/>
                    <w:autoSpaceDN w:val="0"/>
                    <w:ind w:firstLine="420" w:firstLineChars="200"/>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a是相对于详细评价工作内容而言，在描述危险物质、环境影响途径、环境危害后果、风险防范措施等方面给出定性的说明。见附录A。</w:t>
                  </w:r>
                </w:p>
              </w:tc>
            </w:tr>
          </w:tbl>
          <w:p w14:paraId="16F28144">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根据《建设项目环境风险评价技术导则》附录</w:t>
            </w:r>
            <w:r>
              <w:rPr>
                <w:rFonts w:hint="default" w:ascii="Times New Roman" w:hAnsi="Times New Roman" w:cs="Times New Roman"/>
                <w:color w:val="auto"/>
                <w:highlight w:val="none"/>
                <w:u w:val="none" w:color="auto"/>
                <w:lang w:val="en-US" w:eastAsia="zh-CN"/>
              </w:rPr>
              <w:t>B</w:t>
            </w:r>
            <w:r>
              <w:rPr>
                <w:rFonts w:hint="default" w:ascii="Times New Roman" w:hAnsi="Times New Roman" w:cs="Times New Roman"/>
                <w:color w:val="auto"/>
                <w:highlight w:val="none"/>
                <w:u w:val="none" w:color="auto"/>
              </w:rPr>
              <w:t>及《危险化学品重大危险源辨识》，本项目生产过程中使用及产生的</w:t>
            </w:r>
            <w:r>
              <w:rPr>
                <w:rFonts w:hint="eastAsia" w:cs="Times New Roman"/>
                <w:color w:val="auto"/>
                <w:highlight w:val="none"/>
                <w:u w:val="none" w:color="auto"/>
                <w:lang w:eastAsia="zh-CN"/>
              </w:rPr>
              <w:t>废机油</w:t>
            </w:r>
            <w:r>
              <w:rPr>
                <w:rFonts w:hint="default" w:ascii="Times New Roman" w:hAnsi="Times New Roman" w:cs="Times New Roman"/>
                <w:color w:val="auto"/>
                <w:highlight w:val="none"/>
                <w:u w:val="none" w:color="auto"/>
              </w:rPr>
              <w:t>属于环境风险物质。</w:t>
            </w:r>
          </w:p>
          <w:p w14:paraId="2453331F">
            <w:pPr>
              <w:pStyle w:val="37"/>
              <w:bidi w:val="0"/>
              <w:rPr>
                <w:rFonts w:hint="default"/>
                <w:color w:val="auto"/>
                <w:highlight w:val="none"/>
                <w:u w:val="none" w:color="auto"/>
              </w:rPr>
            </w:pPr>
            <w:r>
              <w:rPr>
                <w:rFonts w:hint="default"/>
                <w:color w:val="auto"/>
                <w:highlight w:val="none"/>
                <w:u w:val="none" w:color="auto"/>
              </w:rPr>
              <w:t>本工程危险物质数量与临界量比值（Q）的确定情况见下表：</w:t>
            </w:r>
          </w:p>
          <w:p w14:paraId="751F91A6">
            <w:pPr>
              <w:pStyle w:val="42"/>
              <w:bidi w:val="0"/>
              <w:jc w:val="center"/>
              <w:rPr>
                <w:rFonts w:hint="default" w:ascii="Times New Roman" w:hAnsi="Times New Roman" w:cs="Times New Roman"/>
                <w:color w:val="auto"/>
                <w:highlight w:val="none"/>
                <w:u w:val="none" w:color="auto"/>
              </w:rPr>
            </w:pPr>
            <w:r>
              <w:rPr>
                <w:rFonts w:hint="default"/>
                <w:b/>
                <w:bCs/>
                <w:color w:val="auto"/>
                <w:highlight w:val="none"/>
                <w:u w:val="none" w:color="auto"/>
              </w:rPr>
              <w:t>表4-</w:t>
            </w:r>
            <w:r>
              <w:rPr>
                <w:rFonts w:hint="eastAsia"/>
                <w:b/>
                <w:bCs/>
                <w:color w:val="auto"/>
                <w:highlight w:val="none"/>
                <w:u w:val="none" w:color="auto"/>
                <w:lang w:val="en-US" w:eastAsia="zh-CN"/>
              </w:rPr>
              <w:t xml:space="preserve">9   </w:t>
            </w:r>
            <w:r>
              <w:rPr>
                <w:rFonts w:hint="default"/>
                <w:b/>
                <w:bCs/>
                <w:color w:val="auto"/>
                <w:highlight w:val="none"/>
                <w:u w:val="none" w:color="auto"/>
              </w:rPr>
              <w:t>涉及的风险物质及Q值计算一览表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52"/>
              <w:gridCol w:w="1514"/>
              <w:gridCol w:w="1514"/>
              <w:gridCol w:w="1514"/>
              <w:gridCol w:w="1585"/>
              <w:gridCol w:w="1558"/>
            </w:tblGrid>
            <w:tr w14:paraId="1D0654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35" w:type="pct"/>
                  <w:tcBorders>
                    <w:tl2br w:val="nil"/>
                    <w:tr2bl w:val="nil"/>
                  </w:tcBorders>
                  <w:vAlign w:val="center"/>
                </w:tcPr>
                <w:p w14:paraId="7CFD958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序号</w:t>
                  </w:r>
                </w:p>
              </w:tc>
              <w:tc>
                <w:tcPr>
                  <w:tcW w:w="919" w:type="pct"/>
                  <w:tcBorders>
                    <w:tl2br w:val="nil"/>
                    <w:tr2bl w:val="nil"/>
                  </w:tcBorders>
                  <w:vAlign w:val="center"/>
                </w:tcPr>
                <w:p w14:paraId="696E941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919" w:type="pct"/>
                  <w:tcBorders>
                    <w:tl2br w:val="nil"/>
                    <w:tr2bl w:val="nil"/>
                  </w:tcBorders>
                  <w:vAlign w:val="center"/>
                </w:tcPr>
                <w:p w14:paraId="25CDFB6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贮存位置</w:t>
                  </w:r>
                </w:p>
              </w:tc>
              <w:tc>
                <w:tcPr>
                  <w:tcW w:w="919" w:type="pct"/>
                  <w:tcBorders>
                    <w:tl2br w:val="nil"/>
                    <w:tr2bl w:val="nil"/>
                  </w:tcBorders>
                  <w:vAlign w:val="center"/>
                </w:tcPr>
                <w:p w14:paraId="619DDA3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最大贮存量</w:t>
                  </w:r>
                  <w:r>
                    <w:rPr>
                      <w:rFonts w:hint="default" w:ascii="Times New Roman" w:hAnsi="Times New Roman" w:eastAsia="宋体" w:cs="Times New Roman"/>
                      <w:b/>
                      <w:bCs/>
                      <w:color w:val="auto"/>
                      <w:spacing w:val="-34"/>
                      <w:sz w:val="21"/>
                      <w:szCs w:val="21"/>
                      <w:highlight w:val="none"/>
                      <w:u w:val="none" w:color="auto"/>
                    </w:rPr>
                    <w:t xml:space="preserve"> </w:t>
                  </w:r>
                  <w:r>
                    <w:rPr>
                      <w:rFonts w:hint="default" w:ascii="Times New Roman" w:hAnsi="Times New Roman" w:eastAsia="宋体" w:cs="Times New Roman"/>
                      <w:b/>
                      <w:bCs/>
                      <w:color w:val="auto"/>
                      <w:sz w:val="21"/>
                      <w:szCs w:val="21"/>
                      <w:highlight w:val="none"/>
                      <w:u w:val="none" w:color="auto"/>
                    </w:rPr>
                    <w:t>qi</w:t>
                  </w:r>
                </w:p>
                <w:p w14:paraId="0531C67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3"/>
                      <w:sz w:val="21"/>
                      <w:szCs w:val="21"/>
                      <w:highlight w:val="none"/>
                      <w:u w:val="none" w:color="auto"/>
                    </w:rPr>
                    <w:t>（t）</w:t>
                  </w:r>
                </w:p>
              </w:tc>
              <w:tc>
                <w:tcPr>
                  <w:tcW w:w="958" w:type="pct"/>
                  <w:tcBorders>
                    <w:tl2br w:val="nil"/>
                    <w:tr2bl w:val="nil"/>
                  </w:tcBorders>
                  <w:vAlign w:val="center"/>
                </w:tcPr>
                <w:p w14:paraId="3590BD4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临界量</w:t>
                  </w:r>
                  <w:r>
                    <w:rPr>
                      <w:rFonts w:hint="default" w:ascii="Times New Roman" w:hAnsi="Times New Roman" w:eastAsia="宋体" w:cs="Times New Roman"/>
                      <w:b/>
                      <w:bCs/>
                      <w:color w:val="auto"/>
                      <w:spacing w:val="-42"/>
                      <w:sz w:val="21"/>
                      <w:szCs w:val="21"/>
                      <w:highlight w:val="none"/>
                      <w:u w:val="none" w:color="auto"/>
                    </w:rPr>
                    <w:t xml:space="preserve"> </w:t>
                  </w:r>
                  <w:r>
                    <w:rPr>
                      <w:rFonts w:hint="default" w:ascii="Times New Roman" w:hAnsi="Times New Roman" w:eastAsia="宋体" w:cs="Times New Roman"/>
                      <w:b/>
                      <w:bCs/>
                      <w:color w:val="auto"/>
                      <w:spacing w:val="-4"/>
                      <w:sz w:val="21"/>
                      <w:szCs w:val="21"/>
                      <w:highlight w:val="none"/>
                      <w:u w:val="none" w:color="auto"/>
                    </w:rPr>
                    <w:t>Qi</w:t>
                  </w:r>
                  <w:r>
                    <w:rPr>
                      <w:rFonts w:hint="default" w:ascii="Times New Roman" w:hAnsi="Times New Roman" w:eastAsia="宋体" w:cs="Times New Roman"/>
                      <w:b/>
                      <w:bCs/>
                      <w:color w:val="auto"/>
                      <w:spacing w:val="-4"/>
                      <w:position w:val="5"/>
                      <w:sz w:val="21"/>
                      <w:szCs w:val="21"/>
                      <w:highlight w:val="none"/>
                      <w:u w:val="none" w:color="auto"/>
                    </w:rPr>
                    <w:t>[1]</w:t>
                  </w:r>
                  <w:r>
                    <w:rPr>
                      <w:rFonts w:hint="default" w:ascii="Times New Roman" w:hAnsi="Times New Roman" w:eastAsia="宋体" w:cs="Times New Roman"/>
                      <w:b/>
                      <w:bCs/>
                      <w:color w:val="auto"/>
                      <w:spacing w:val="-4"/>
                      <w:sz w:val="21"/>
                      <w:szCs w:val="21"/>
                      <w:highlight w:val="none"/>
                      <w:u w:val="none" w:color="auto"/>
                    </w:rPr>
                    <w:t>（t）</w:t>
                  </w:r>
                </w:p>
              </w:tc>
              <w:tc>
                <w:tcPr>
                  <w:tcW w:w="945" w:type="pct"/>
                  <w:tcBorders>
                    <w:tl2br w:val="nil"/>
                    <w:tr2bl w:val="nil"/>
                  </w:tcBorders>
                  <w:vAlign w:val="center"/>
                </w:tcPr>
                <w:p w14:paraId="68EFCC9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qi</w:t>
                  </w:r>
                  <w:r>
                    <w:rPr>
                      <w:rFonts w:hint="default" w:ascii="Times New Roman" w:hAnsi="Times New Roman" w:eastAsia="宋体" w:cs="Times New Roman"/>
                      <w:b/>
                      <w:bCs/>
                      <w:color w:val="auto"/>
                      <w:spacing w:val="12"/>
                      <w:sz w:val="21"/>
                      <w:szCs w:val="21"/>
                      <w:highlight w:val="none"/>
                      <w:u w:val="none" w:color="auto"/>
                    </w:rPr>
                    <w:t>/</w:t>
                  </w:r>
                  <w:r>
                    <w:rPr>
                      <w:rFonts w:hint="default" w:ascii="Times New Roman" w:hAnsi="Times New Roman" w:eastAsia="宋体" w:cs="Times New Roman"/>
                      <w:b/>
                      <w:bCs/>
                      <w:color w:val="auto"/>
                      <w:sz w:val="21"/>
                      <w:szCs w:val="21"/>
                      <w:highlight w:val="none"/>
                      <w:u w:val="none" w:color="auto"/>
                    </w:rPr>
                    <w:t>Qi</w:t>
                  </w:r>
                </w:p>
              </w:tc>
            </w:tr>
            <w:tr w14:paraId="4EB94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35" w:type="pct"/>
                  <w:tcBorders>
                    <w:tl2br w:val="nil"/>
                    <w:tr2bl w:val="nil"/>
                  </w:tcBorders>
                  <w:vAlign w:val="center"/>
                </w:tcPr>
                <w:p w14:paraId="6C832EB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pacing w:val="6"/>
                      <w:sz w:val="21"/>
                      <w:szCs w:val="21"/>
                      <w:highlight w:val="none"/>
                      <w:u w:val="none" w:color="auto"/>
                      <w:lang w:val="en-US" w:eastAsia="zh-CN"/>
                    </w:rPr>
                    <w:t>1</w:t>
                  </w:r>
                </w:p>
              </w:tc>
              <w:tc>
                <w:tcPr>
                  <w:tcW w:w="919" w:type="pct"/>
                  <w:tcBorders>
                    <w:tl2br w:val="nil"/>
                    <w:tr2bl w:val="nil"/>
                  </w:tcBorders>
                  <w:vAlign w:val="center"/>
                </w:tcPr>
                <w:p w14:paraId="187A68A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pacing w:val="-2"/>
                      <w:sz w:val="21"/>
                      <w:szCs w:val="21"/>
                      <w:highlight w:val="none"/>
                      <w:u w:val="none" w:color="auto"/>
                      <w:lang w:eastAsia="zh-CN"/>
                    </w:rPr>
                    <w:t>废机油</w:t>
                  </w:r>
                </w:p>
              </w:tc>
              <w:tc>
                <w:tcPr>
                  <w:tcW w:w="919" w:type="pct"/>
                  <w:vMerge w:val="restart"/>
                  <w:tcBorders>
                    <w:tl2br w:val="nil"/>
                    <w:tr2bl w:val="nil"/>
                  </w:tcBorders>
                  <w:vAlign w:val="center"/>
                </w:tcPr>
                <w:p w14:paraId="5BF013D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rPr>
                    <w:t>危废暂存间</w:t>
                  </w:r>
                </w:p>
              </w:tc>
              <w:tc>
                <w:tcPr>
                  <w:tcW w:w="919" w:type="pct"/>
                  <w:tcBorders>
                    <w:tl2br w:val="nil"/>
                    <w:tr2bl w:val="nil"/>
                  </w:tcBorders>
                  <w:vAlign w:val="center"/>
                </w:tcPr>
                <w:p w14:paraId="3FF46548">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958" w:type="pct"/>
                  <w:tcBorders>
                    <w:tl2br w:val="nil"/>
                    <w:tr2bl w:val="nil"/>
                  </w:tcBorders>
                  <w:vAlign w:val="center"/>
                </w:tcPr>
                <w:p w14:paraId="56CBE47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 w:val="0"/>
                      <w:bCs w:val="0"/>
                      <w:color w:val="auto"/>
                      <w:spacing w:val="-4"/>
                      <w:sz w:val="21"/>
                      <w:szCs w:val="21"/>
                      <w:highlight w:val="none"/>
                      <w:u w:val="none" w:color="auto"/>
                      <w:lang w:val="en-US" w:eastAsia="zh-CN"/>
                    </w:rPr>
                    <w:t>50</w:t>
                  </w:r>
                </w:p>
              </w:tc>
              <w:tc>
                <w:tcPr>
                  <w:tcW w:w="945" w:type="pct"/>
                  <w:tcBorders>
                    <w:tl2br w:val="nil"/>
                    <w:tr2bl w:val="nil"/>
                  </w:tcBorders>
                  <w:vAlign w:val="center"/>
                </w:tcPr>
                <w:p w14:paraId="1AAB2D1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0.004</w:t>
                  </w:r>
                </w:p>
              </w:tc>
            </w:tr>
            <w:tr w14:paraId="00EA57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35" w:type="pct"/>
                  <w:tcBorders>
                    <w:tl2br w:val="nil"/>
                    <w:tr2bl w:val="nil"/>
                  </w:tcBorders>
                  <w:vAlign w:val="center"/>
                </w:tcPr>
                <w:p w14:paraId="311EF9B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b w:val="0"/>
                      <w:bCs w:val="0"/>
                      <w:color w:val="auto"/>
                      <w:spacing w:val="6"/>
                      <w:sz w:val="21"/>
                      <w:szCs w:val="21"/>
                      <w:highlight w:val="none"/>
                      <w:u w:val="none" w:color="auto"/>
                      <w:lang w:val="en-US" w:eastAsia="zh-CN"/>
                    </w:rPr>
                  </w:pPr>
                  <w:r>
                    <w:rPr>
                      <w:rFonts w:hint="eastAsia" w:ascii="Times New Roman" w:hAnsi="Times New Roman" w:cs="Times New Roman"/>
                      <w:b w:val="0"/>
                      <w:bCs w:val="0"/>
                      <w:color w:val="auto"/>
                      <w:spacing w:val="6"/>
                      <w:sz w:val="21"/>
                      <w:szCs w:val="21"/>
                      <w:highlight w:val="none"/>
                      <w:u w:val="none" w:color="auto"/>
                      <w:lang w:val="en-US" w:eastAsia="zh-CN"/>
                    </w:rPr>
                    <w:t>2</w:t>
                  </w:r>
                </w:p>
              </w:tc>
              <w:tc>
                <w:tcPr>
                  <w:tcW w:w="919" w:type="pct"/>
                  <w:tcBorders>
                    <w:tl2br w:val="nil"/>
                    <w:tr2bl w:val="nil"/>
                  </w:tcBorders>
                  <w:vAlign w:val="center"/>
                </w:tcPr>
                <w:p w14:paraId="5E0E4A7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2"/>
                      <w:sz w:val="21"/>
                      <w:szCs w:val="21"/>
                      <w:highlight w:val="none"/>
                      <w:u w:val="none" w:color="auto"/>
                      <w:lang w:val="en-US" w:eastAsia="zh-CN"/>
                    </w:rPr>
                  </w:pPr>
                  <w:r>
                    <w:rPr>
                      <w:rFonts w:hint="eastAsia" w:ascii="Times New Roman" w:hAnsi="Times New Roman" w:cs="Times New Roman"/>
                      <w:color w:val="auto"/>
                      <w:spacing w:val="-2"/>
                      <w:sz w:val="21"/>
                      <w:szCs w:val="21"/>
                      <w:highlight w:val="none"/>
                      <w:u w:val="none" w:color="auto"/>
                      <w:lang w:val="en-US" w:eastAsia="zh-CN"/>
                    </w:rPr>
                    <w:t>废机油桶</w:t>
                  </w:r>
                </w:p>
              </w:tc>
              <w:tc>
                <w:tcPr>
                  <w:tcW w:w="919" w:type="pct"/>
                  <w:vMerge w:val="continue"/>
                  <w:tcBorders>
                    <w:tl2br w:val="nil"/>
                    <w:tr2bl w:val="nil"/>
                  </w:tcBorders>
                  <w:vAlign w:val="center"/>
                </w:tcPr>
                <w:p w14:paraId="6E87BB1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8"/>
                      <w:sz w:val="21"/>
                      <w:szCs w:val="21"/>
                      <w:highlight w:val="none"/>
                      <w:u w:val="none" w:color="auto"/>
                    </w:rPr>
                  </w:pPr>
                </w:p>
              </w:tc>
              <w:tc>
                <w:tcPr>
                  <w:tcW w:w="919" w:type="pct"/>
                  <w:tcBorders>
                    <w:tl2br w:val="nil"/>
                    <w:tr2bl w:val="nil"/>
                  </w:tcBorders>
                  <w:vAlign w:val="center"/>
                </w:tcPr>
                <w:p w14:paraId="0DA6B72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958" w:type="pct"/>
                  <w:tcBorders>
                    <w:tl2br w:val="nil"/>
                    <w:tr2bl w:val="nil"/>
                  </w:tcBorders>
                  <w:vAlign w:val="center"/>
                </w:tcPr>
                <w:p w14:paraId="7697640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b w:val="0"/>
                      <w:bCs w:val="0"/>
                      <w:color w:val="auto"/>
                      <w:spacing w:val="-4"/>
                      <w:sz w:val="21"/>
                      <w:szCs w:val="21"/>
                      <w:highlight w:val="none"/>
                      <w:u w:val="none" w:color="auto"/>
                      <w:lang w:val="en-US" w:eastAsia="zh-CN"/>
                    </w:rPr>
                  </w:pPr>
                  <w:r>
                    <w:rPr>
                      <w:rFonts w:hint="eastAsia" w:ascii="Times New Roman" w:hAnsi="Times New Roman" w:cs="Times New Roman"/>
                      <w:b w:val="0"/>
                      <w:bCs w:val="0"/>
                      <w:color w:val="auto"/>
                      <w:spacing w:val="-4"/>
                      <w:sz w:val="21"/>
                      <w:szCs w:val="21"/>
                      <w:highlight w:val="none"/>
                      <w:u w:val="none" w:color="auto"/>
                      <w:lang w:val="en-US" w:eastAsia="zh-CN"/>
                    </w:rPr>
                    <w:t>50</w:t>
                  </w:r>
                </w:p>
              </w:tc>
              <w:tc>
                <w:tcPr>
                  <w:tcW w:w="945" w:type="pct"/>
                  <w:tcBorders>
                    <w:tl2br w:val="nil"/>
                    <w:tr2bl w:val="nil"/>
                  </w:tcBorders>
                  <w:vAlign w:val="center"/>
                </w:tcPr>
                <w:p w14:paraId="4FFC11CD">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0.001</w:t>
                  </w:r>
                </w:p>
              </w:tc>
            </w:tr>
            <w:tr w14:paraId="74196F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4054" w:type="pct"/>
                  <w:gridSpan w:val="5"/>
                  <w:tcBorders>
                    <w:tl2br w:val="nil"/>
                    <w:tr2bl w:val="nil"/>
                  </w:tcBorders>
                  <w:vAlign w:val="center"/>
                </w:tcPr>
                <w:p w14:paraId="06E922A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合计</w:t>
                  </w:r>
                </w:p>
              </w:tc>
              <w:tc>
                <w:tcPr>
                  <w:tcW w:w="945" w:type="pct"/>
                  <w:tcBorders>
                    <w:tl2br w:val="nil"/>
                    <w:tr2bl w:val="nil"/>
                  </w:tcBorders>
                  <w:vAlign w:val="center"/>
                </w:tcPr>
                <w:p w14:paraId="7EEF117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0.005</w:t>
                  </w:r>
                </w:p>
              </w:tc>
            </w:tr>
            <w:tr w14:paraId="72416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6"/>
                  <w:tcBorders>
                    <w:tl2br w:val="nil"/>
                    <w:tr2bl w:val="nil"/>
                  </w:tcBorders>
                  <w:vAlign w:val="center"/>
                </w:tcPr>
                <w:p w14:paraId="077440D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注[1]：临界量</w:t>
                  </w:r>
                  <w:r>
                    <w:rPr>
                      <w:rFonts w:hint="default" w:ascii="Times New Roman" w:hAnsi="Times New Roman" w:eastAsia="宋体" w:cs="Times New Roman"/>
                      <w:color w:val="auto"/>
                      <w:spacing w:val="-36"/>
                      <w:sz w:val="21"/>
                      <w:szCs w:val="21"/>
                      <w:highlight w:val="none"/>
                      <w:u w:val="none" w:color="auto"/>
                    </w:rPr>
                    <w:t xml:space="preserve"> </w:t>
                  </w:r>
                  <w:r>
                    <w:rPr>
                      <w:rFonts w:hint="default" w:ascii="Times New Roman" w:hAnsi="Times New Roman" w:eastAsia="宋体" w:cs="Times New Roman"/>
                      <w:color w:val="auto"/>
                      <w:sz w:val="21"/>
                      <w:szCs w:val="21"/>
                      <w:highlight w:val="none"/>
                      <w:u w:val="none" w:color="auto"/>
                    </w:rPr>
                    <w:t>Qi</w:t>
                  </w:r>
                  <w:r>
                    <w:rPr>
                      <w:rFonts w:hint="default" w:ascii="Times New Roman" w:hAnsi="Times New Roman" w:eastAsia="宋体" w:cs="Times New Roman"/>
                      <w:color w:val="auto"/>
                      <w:spacing w:val="8"/>
                      <w:sz w:val="21"/>
                      <w:szCs w:val="21"/>
                      <w:highlight w:val="none"/>
                      <w:u w:val="none" w:color="auto"/>
                    </w:rPr>
                    <w:t>参照《建设项目环境风险评价技术导则》（</w:t>
                  </w:r>
                  <w:r>
                    <w:rPr>
                      <w:rFonts w:hint="default" w:ascii="Times New Roman" w:hAnsi="Times New Roman" w:eastAsia="宋体" w:cs="Times New Roman"/>
                      <w:color w:val="auto"/>
                      <w:sz w:val="21"/>
                      <w:szCs w:val="21"/>
                      <w:highlight w:val="none"/>
                      <w:u w:val="none" w:color="auto"/>
                    </w:rPr>
                    <w:t>HJ</w:t>
                  </w:r>
                  <w:r>
                    <w:rPr>
                      <w:rFonts w:hint="default" w:ascii="Times New Roman" w:hAnsi="Times New Roman" w:eastAsia="宋体" w:cs="Times New Roman"/>
                      <w:color w:val="auto"/>
                      <w:spacing w:val="8"/>
                      <w:sz w:val="21"/>
                      <w:szCs w:val="21"/>
                      <w:highlight w:val="none"/>
                      <w:u w:val="none" w:color="auto"/>
                    </w:rPr>
                    <w:t>169-2018</w:t>
                  </w:r>
                  <w:r>
                    <w:rPr>
                      <w:rFonts w:hint="default" w:ascii="Times New Roman" w:hAnsi="Times New Roman" w:eastAsia="宋体" w:cs="Times New Roman"/>
                      <w:color w:val="auto"/>
                      <w:spacing w:val="2"/>
                      <w:sz w:val="21"/>
                      <w:szCs w:val="21"/>
                      <w:highlight w:val="none"/>
                      <w:u w:val="none" w:color="auto"/>
                    </w:rPr>
                    <w:t>）；</w:t>
                  </w:r>
                </w:p>
              </w:tc>
            </w:tr>
          </w:tbl>
          <w:p w14:paraId="35F3DA4B">
            <w:pPr>
              <w:pStyle w:val="37"/>
              <w:bidi w:val="0"/>
              <w:rPr>
                <w:rFonts w:hint="default"/>
                <w:color w:val="auto"/>
                <w:highlight w:val="none"/>
                <w:u w:val="none" w:color="auto"/>
                <w:lang w:val="en-US" w:eastAsia="en-US"/>
              </w:rPr>
            </w:pPr>
            <w:r>
              <w:rPr>
                <w:rFonts w:hint="default"/>
                <w:color w:val="auto"/>
                <w:highlight w:val="none"/>
                <w:u w:val="none" w:color="auto"/>
                <w:lang w:val="en-US" w:eastAsia="en-US"/>
              </w:rPr>
              <w:t>本项目危险物质的数量与临界量比值Q=</w:t>
            </w:r>
            <w:r>
              <w:rPr>
                <w:rFonts w:hint="eastAsia"/>
                <w:color w:val="auto"/>
                <w:highlight w:val="none"/>
                <w:u w:val="none" w:color="auto"/>
                <w:lang w:val="en-US" w:eastAsia="zh-CN"/>
              </w:rPr>
              <w:t>0.005</w:t>
            </w:r>
            <w:r>
              <w:rPr>
                <w:rFonts w:hint="default"/>
                <w:color w:val="auto"/>
                <w:highlight w:val="none"/>
                <w:u w:val="none" w:color="auto"/>
                <w:lang w:val="en-US" w:eastAsia="en-US"/>
              </w:rPr>
              <w:t>，本项目危险物质数量与临界量比值Q=</w:t>
            </w:r>
            <w:r>
              <w:rPr>
                <w:rFonts w:hint="eastAsia"/>
                <w:color w:val="auto"/>
                <w:highlight w:val="none"/>
                <w:u w:val="none" w:color="auto"/>
                <w:lang w:val="en-US" w:eastAsia="zh-CN"/>
              </w:rPr>
              <w:t>0.005</w:t>
            </w:r>
            <w:r>
              <w:rPr>
                <w:rFonts w:hint="default"/>
                <w:color w:val="auto"/>
                <w:highlight w:val="none"/>
                <w:u w:val="none" w:color="auto"/>
                <w:lang w:val="en-US" w:eastAsia="en-US"/>
              </w:rPr>
              <w:t>＜1，风险潜势为I。</w:t>
            </w:r>
          </w:p>
          <w:p w14:paraId="5A816FC8">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环境风险识别</w:t>
            </w:r>
          </w:p>
          <w:p w14:paraId="2EE10F3F">
            <w:pPr>
              <w:pStyle w:val="55"/>
              <w:snapToGrid w:val="0"/>
              <w:ind w:firstLine="480"/>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color w:val="auto"/>
                <w:highlight w:val="none"/>
                <w:u w:val="none" w:color="auto"/>
              </w:rPr>
              <w:t>本项目生产系统可能产生的环境风险识别如下表所示：</w:t>
            </w:r>
          </w:p>
          <w:p w14:paraId="0580E2A2">
            <w:pPr>
              <w:autoSpaceDE w:val="0"/>
              <w:autoSpaceDN w:val="0"/>
              <w:adjustRightInd w:val="0"/>
              <w:jc w:val="center"/>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b/>
                <w:color w:val="auto"/>
                <w:kern w:val="0"/>
                <w:szCs w:val="21"/>
                <w:highlight w:val="none"/>
                <w:u w:val="none" w:color="auto"/>
              </w:rPr>
              <w:t>表4-</w:t>
            </w:r>
            <w:r>
              <w:rPr>
                <w:rFonts w:hint="eastAsia" w:cs="Times New Roman"/>
                <w:b/>
                <w:color w:val="auto"/>
                <w:kern w:val="0"/>
                <w:szCs w:val="21"/>
                <w:highlight w:val="none"/>
                <w:u w:val="none" w:color="auto"/>
                <w:lang w:val="en-US" w:eastAsia="zh-CN"/>
              </w:rPr>
              <w:t xml:space="preserve">10   </w:t>
            </w:r>
            <w:r>
              <w:rPr>
                <w:rFonts w:hint="default" w:ascii="Times New Roman" w:hAnsi="Times New Roman" w:cs="Times New Roman"/>
                <w:b/>
                <w:color w:val="auto"/>
                <w:kern w:val="0"/>
                <w:szCs w:val="21"/>
                <w:highlight w:val="none"/>
                <w:u w:val="none" w:color="auto"/>
              </w:rPr>
              <w:t>生产系统危险性识别</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730"/>
              <w:gridCol w:w="1542"/>
              <w:gridCol w:w="4347"/>
            </w:tblGrid>
            <w:tr w14:paraId="3E4D9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643A0EA1">
                  <w:pPr>
                    <w:pStyle w:val="42"/>
                    <w:bidi w:val="0"/>
                    <w:jc w:val="center"/>
                    <w:rPr>
                      <w:rFonts w:hint="default"/>
                      <w:b/>
                      <w:bCs/>
                      <w:color w:val="auto"/>
                      <w:highlight w:val="none"/>
                      <w:u w:val="none" w:color="auto"/>
                    </w:rPr>
                  </w:pPr>
                  <w:r>
                    <w:rPr>
                      <w:rFonts w:hint="default"/>
                      <w:b/>
                      <w:bCs/>
                      <w:color w:val="auto"/>
                      <w:highlight w:val="none"/>
                      <w:u w:val="none" w:color="auto"/>
                    </w:rPr>
                    <w:t>序号</w:t>
                  </w:r>
                </w:p>
              </w:tc>
              <w:tc>
                <w:tcPr>
                  <w:tcW w:w="1049" w:type="pct"/>
                  <w:vAlign w:val="center"/>
                </w:tcPr>
                <w:p w14:paraId="3BF72965">
                  <w:pPr>
                    <w:pStyle w:val="42"/>
                    <w:bidi w:val="0"/>
                    <w:jc w:val="center"/>
                    <w:rPr>
                      <w:rFonts w:hint="default"/>
                      <w:b/>
                      <w:bCs/>
                      <w:color w:val="auto"/>
                      <w:highlight w:val="none"/>
                      <w:u w:val="none" w:color="auto"/>
                    </w:rPr>
                  </w:pPr>
                  <w:r>
                    <w:rPr>
                      <w:rFonts w:hint="default"/>
                      <w:b/>
                      <w:bCs/>
                      <w:color w:val="auto"/>
                      <w:highlight w:val="none"/>
                      <w:u w:val="none" w:color="auto"/>
                    </w:rPr>
                    <w:t>风险源</w:t>
                  </w:r>
                </w:p>
              </w:tc>
              <w:tc>
                <w:tcPr>
                  <w:tcW w:w="935" w:type="pct"/>
                  <w:vAlign w:val="center"/>
                </w:tcPr>
                <w:p w14:paraId="742C8E00">
                  <w:pPr>
                    <w:pStyle w:val="42"/>
                    <w:bidi w:val="0"/>
                    <w:jc w:val="center"/>
                    <w:rPr>
                      <w:rFonts w:hint="default"/>
                      <w:b/>
                      <w:bCs/>
                      <w:color w:val="auto"/>
                      <w:highlight w:val="none"/>
                      <w:u w:val="none" w:color="auto"/>
                    </w:rPr>
                  </w:pPr>
                  <w:r>
                    <w:rPr>
                      <w:rFonts w:hint="default"/>
                      <w:b/>
                      <w:bCs/>
                      <w:color w:val="auto"/>
                      <w:highlight w:val="none"/>
                      <w:u w:val="none" w:color="auto"/>
                    </w:rPr>
                    <w:t>风险物质</w:t>
                  </w:r>
                </w:p>
              </w:tc>
              <w:tc>
                <w:tcPr>
                  <w:tcW w:w="2636" w:type="pct"/>
                  <w:vAlign w:val="center"/>
                </w:tcPr>
                <w:p w14:paraId="041C42B1">
                  <w:pPr>
                    <w:pStyle w:val="42"/>
                    <w:bidi w:val="0"/>
                    <w:jc w:val="center"/>
                    <w:rPr>
                      <w:rFonts w:hint="default"/>
                      <w:b/>
                      <w:bCs/>
                      <w:color w:val="auto"/>
                      <w:highlight w:val="none"/>
                      <w:u w:val="none" w:color="auto"/>
                    </w:rPr>
                  </w:pPr>
                  <w:r>
                    <w:rPr>
                      <w:rFonts w:hint="default"/>
                      <w:b/>
                      <w:bCs/>
                      <w:color w:val="auto"/>
                      <w:highlight w:val="none"/>
                      <w:u w:val="none" w:color="auto"/>
                    </w:rPr>
                    <w:t>危害后果</w:t>
                  </w:r>
                </w:p>
              </w:tc>
            </w:tr>
            <w:tr w14:paraId="2E932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5A634888">
                  <w:pPr>
                    <w:pStyle w:val="42"/>
                    <w:bidi w:val="0"/>
                    <w:jc w:val="center"/>
                    <w:rPr>
                      <w:rFonts w:hint="default"/>
                      <w:color w:val="auto"/>
                      <w:highlight w:val="none"/>
                      <w:u w:val="none" w:color="auto"/>
                    </w:rPr>
                  </w:pPr>
                  <w:r>
                    <w:rPr>
                      <w:rFonts w:hint="default"/>
                      <w:color w:val="auto"/>
                      <w:highlight w:val="none"/>
                      <w:u w:val="none" w:color="auto"/>
                    </w:rPr>
                    <w:t>1</w:t>
                  </w:r>
                </w:p>
              </w:tc>
              <w:tc>
                <w:tcPr>
                  <w:tcW w:w="1049" w:type="pct"/>
                  <w:vAlign w:val="center"/>
                </w:tcPr>
                <w:p w14:paraId="630C6019">
                  <w:pPr>
                    <w:pStyle w:val="42"/>
                    <w:bidi w:val="0"/>
                    <w:jc w:val="center"/>
                    <w:rPr>
                      <w:rFonts w:hint="default"/>
                      <w:color w:val="auto"/>
                      <w:highlight w:val="none"/>
                      <w:u w:val="none" w:color="auto"/>
                    </w:rPr>
                  </w:pPr>
                  <w:r>
                    <w:rPr>
                      <w:rFonts w:hint="default"/>
                      <w:color w:val="auto"/>
                      <w:highlight w:val="none"/>
                      <w:u w:val="none" w:color="auto"/>
                    </w:rPr>
                    <w:t>危废暂存间</w:t>
                  </w:r>
                </w:p>
              </w:tc>
              <w:tc>
                <w:tcPr>
                  <w:tcW w:w="935" w:type="pct"/>
                  <w:vAlign w:val="center"/>
                </w:tcPr>
                <w:p w14:paraId="54B86609">
                  <w:pPr>
                    <w:pStyle w:val="42"/>
                    <w:bidi w:val="0"/>
                    <w:jc w:val="center"/>
                    <w:rPr>
                      <w:rFonts w:hint="default"/>
                      <w:color w:val="auto"/>
                      <w:highlight w:val="none"/>
                      <w:u w:val="none" w:color="auto"/>
                      <w:lang w:val="en-US" w:eastAsia="zh-CN"/>
                    </w:rPr>
                  </w:pPr>
                  <w:r>
                    <w:rPr>
                      <w:rFonts w:hint="eastAsia"/>
                      <w:color w:val="auto"/>
                      <w:highlight w:val="none"/>
                      <w:u w:val="none" w:color="auto"/>
                      <w:lang w:eastAsia="zh-CN"/>
                    </w:rPr>
                    <w:t>废机油</w:t>
                  </w:r>
                </w:p>
              </w:tc>
              <w:tc>
                <w:tcPr>
                  <w:tcW w:w="2636" w:type="pct"/>
                  <w:vAlign w:val="center"/>
                </w:tcPr>
                <w:p w14:paraId="6D715A58">
                  <w:pPr>
                    <w:pStyle w:val="42"/>
                    <w:bidi w:val="0"/>
                    <w:jc w:val="center"/>
                    <w:rPr>
                      <w:rFonts w:hint="default"/>
                      <w:color w:val="auto"/>
                      <w:highlight w:val="none"/>
                      <w:u w:val="none" w:color="auto"/>
                    </w:rPr>
                  </w:pPr>
                  <w:r>
                    <w:rPr>
                      <w:rFonts w:hint="default"/>
                      <w:color w:val="auto"/>
                      <w:highlight w:val="none"/>
                      <w:u w:val="none" w:color="auto"/>
                    </w:rPr>
                    <w:t>泄漏污染土壤、地下水，衍生火灾</w:t>
                  </w:r>
                </w:p>
              </w:tc>
            </w:tr>
            <w:tr w14:paraId="171B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vAlign w:val="center"/>
                </w:tcPr>
                <w:p w14:paraId="6D43CC06">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1049" w:type="pct"/>
                  <w:vAlign w:val="center"/>
                </w:tcPr>
                <w:p w14:paraId="252EA21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一般固废间</w:t>
                  </w:r>
                </w:p>
              </w:tc>
              <w:tc>
                <w:tcPr>
                  <w:tcW w:w="935" w:type="pct"/>
                  <w:vAlign w:val="center"/>
                </w:tcPr>
                <w:p w14:paraId="24A70C0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废包装袋</w:t>
                  </w:r>
                </w:p>
              </w:tc>
              <w:tc>
                <w:tcPr>
                  <w:tcW w:w="2636" w:type="pct"/>
                  <w:vAlign w:val="center"/>
                </w:tcPr>
                <w:p w14:paraId="47EEB025">
                  <w:pPr>
                    <w:pStyle w:val="42"/>
                    <w:bidi w:val="0"/>
                    <w:jc w:val="center"/>
                    <w:rPr>
                      <w:rFonts w:hint="eastAsia"/>
                      <w:color w:val="auto"/>
                      <w:highlight w:val="none"/>
                      <w:u w:val="none" w:color="auto"/>
                      <w:lang w:val="en-US" w:eastAsia="zh-CN"/>
                    </w:rPr>
                  </w:pPr>
                  <w:r>
                    <w:rPr>
                      <w:rFonts w:hint="eastAsia"/>
                      <w:color w:val="auto"/>
                      <w:highlight w:val="none"/>
                      <w:u w:val="none" w:color="auto"/>
                      <w:lang w:val="en-US" w:eastAsia="zh-CN"/>
                    </w:rPr>
                    <w:t>衍生火灾</w:t>
                  </w:r>
                </w:p>
              </w:tc>
            </w:tr>
          </w:tbl>
          <w:p w14:paraId="2299A51A">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w:t>
            </w:r>
            <w:r>
              <w:rPr>
                <w:rFonts w:hint="default" w:ascii="Times New Roman" w:hAnsi="Times New Roman" w:cs="Times New Roman"/>
                <w:b/>
                <w:bCs/>
                <w:color w:val="auto"/>
                <w:highlight w:val="none"/>
                <w:u w:val="none" w:color="auto"/>
                <w:lang w:val="en-US" w:eastAsia="zh-CN"/>
              </w:rPr>
              <w:t>防范措施</w:t>
            </w:r>
          </w:p>
          <w:p w14:paraId="38F89FCF">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w:t>
            </w:r>
            <w:r>
              <w:rPr>
                <w:rFonts w:hint="eastAsia" w:cs="Times New Roman"/>
                <w:color w:val="auto"/>
                <w:sz w:val="24"/>
                <w:highlight w:val="none"/>
                <w:u w:val="none" w:color="auto"/>
                <w:lang w:eastAsia="zh-CN"/>
              </w:rPr>
              <w:t>废机油</w:t>
            </w:r>
            <w:r>
              <w:rPr>
                <w:rFonts w:hint="default" w:ascii="Times New Roman" w:hAnsi="Times New Roman" w:cs="Times New Roman"/>
                <w:color w:val="auto"/>
                <w:sz w:val="24"/>
                <w:highlight w:val="none"/>
                <w:u w:val="none" w:color="auto"/>
              </w:rPr>
              <w:t>泄漏风险防范措施</w:t>
            </w:r>
          </w:p>
          <w:p w14:paraId="29786CB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危废暂存间存放区域设置围堰并配置一定的吸油毡等应急物资。</w:t>
            </w:r>
          </w:p>
          <w:p w14:paraId="0D8E0443">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危险废物暂存间满足《危险废物贮存污染控制标准》（GB18597-2023）中提出的要求建设，暂存间区域建设事故液收集沟和事故液收集池。并执行危险废物转移联单制度，报生态环境主管部门批准或备案，登记危险废物的转出单位、数量、类型、最终处置单位等，并且与有相应危险废物处理的单位签订合同。危险废物贮存前应进行检验，确保同预定接收的危险废物一致，并注册登记，</w:t>
            </w:r>
            <w:r>
              <w:rPr>
                <w:rFonts w:hint="eastAsia" w:ascii="Times New Roman" w:hAnsi="Times New Roman" w:cs="Times New Roman"/>
                <w:color w:val="auto"/>
                <w:highlight w:val="none"/>
                <w:u w:val="none" w:color="auto"/>
                <w:lang w:eastAsia="zh-CN"/>
              </w:rPr>
              <w:t>做好</w:t>
            </w:r>
            <w:r>
              <w:rPr>
                <w:rFonts w:hint="default" w:ascii="Times New Roman" w:hAnsi="Times New Roman" w:cs="Times New Roman"/>
                <w:color w:val="auto"/>
                <w:highlight w:val="none"/>
                <w:u w:val="none" w:color="auto"/>
              </w:rPr>
              <w:t>记录，记录上须注明危险废物的名称、来源、数量、特性和包装容器的类别、入库日期、存放库位、废物出库日期及接受单位名称。危险废物由危险废物处置单位用专用危险废物运输车进行运输，严格按照危险货物运输的管理规定进行，减少运输过程中的二次污染和可能造成的环境风险。建立档案制度，详细记录入场的固体废物的种类和数量等信息，长期保存，供随时查阅。</w:t>
            </w:r>
          </w:p>
          <w:p w14:paraId="0E3DDE5F">
            <w:pPr>
              <w:pStyle w:val="62"/>
              <w:spacing w:line="360" w:lineRule="auto"/>
              <w:ind w:left="482" w:firstLine="0" w:firstLineChars="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②</w:t>
            </w:r>
            <w:r>
              <w:rPr>
                <w:rFonts w:hint="default" w:ascii="Times New Roman" w:hAnsi="Times New Roman" w:eastAsia="宋体" w:cs="Times New Roman"/>
                <w:color w:val="auto"/>
                <w:kern w:val="0"/>
                <w:sz w:val="24"/>
                <w:szCs w:val="24"/>
                <w:highlight w:val="none"/>
                <w:u w:val="none" w:color="auto"/>
                <w:lang w:val="en-US" w:eastAsia="zh-CN" w:bidi="ar-SA"/>
              </w:rPr>
              <w:t>火灾、爆炸引发的次生环境危害风险防范措施</w:t>
            </w:r>
          </w:p>
          <w:p w14:paraId="55DFDA5A">
            <w:pPr>
              <w:pStyle w:val="37"/>
              <w:bidi w:val="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0"/>
                <w:sz w:val="24"/>
                <w:szCs w:val="24"/>
                <w:highlight w:val="none"/>
                <w:u w:val="none" w:color="auto"/>
                <w:lang w:val="en-US" w:eastAsia="zh-CN" w:bidi="ar-SA"/>
              </w:rPr>
              <w:t>火灾、爆炸次生污染物CO和火灾事故散发的烟气对周边大气直接造成影响，空气环境质量恶化；火灾、爆炸产生的洗消废水等对周边地表水环境产生不利影响，污染水质。出现火灾爆炸事故，应停止生产，及时处理，防止事故进一步恶化造成严重影响。在项目液态易燃物质储存区之间要设置一定的防火安全距离。禁止明火、产生火花的场所，应有禁止烟火的安全标志。设备、贮存容器、通风管道等在停产检修时，如需要采用电焊等明火作业，应严格执行动火安全制度，遵守安全操作规程，施工现场应有专人监管并配备灭火设施。</w:t>
            </w:r>
          </w:p>
          <w:p w14:paraId="58F22795">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按照《建筑灭火器配置设计规范》（GBJ140-2005）的规定，在厂区内配备消防器材和消防设施，并设置在明显和便于取用的地点，周围不准堆放产品和杂物。消防设施、器材，应当由专人管理，负责检查、</w:t>
            </w:r>
            <w:r>
              <w:rPr>
                <w:rFonts w:hint="eastAsia" w:cs="Times New Roman"/>
                <w:color w:val="auto"/>
                <w:sz w:val="24"/>
                <w:highlight w:val="none"/>
                <w:u w:val="none" w:color="auto"/>
                <w:lang w:eastAsia="zh-CN"/>
              </w:rPr>
              <w:t>保养</w:t>
            </w:r>
            <w:r>
              <w:rPr>
                <w:rFonts w:hint="default" w:ascii="Times New Roman" w:hAnsi="Times New Roman" w:cs="Times New Roman"/>
                <w:color w:val="auto"/>
                <w:sz w:val="24"/>
                <w:highlight w:val="none"/>
                <w:u w:val="none" w:color="auto"/>
              </w:rPr>
              <w:t>、保养、更换和添置，保证完好有效，严禁圈占、埋压和挪用。保持厂区内消防通道通畅，禁止占用。</w:t>
            </w:r>
          </w:p>
          <w:p w14:paraId="2DD8261C">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在采取上述风险防范措施后，可以满足项目运营期风险事故防范要求。</w:t>
            </w:r>
          </w:p>
          <w:p w14:paraId="6F7B5956">
            <w:pPr>
              <w:pStyle w:val="37"/>
              <w:bidi w:val="0"/>
              <w:ind w:left="0" w:leftChars="0" w:firstLine="0" w:firstLineChars="0"/>
              <w:rPr>
                <w:b/>
                <w:bCs/>
                <w:color w:val="auto"/>
                <w:highlight w:val="none"/>
                <w:u w:val="none" w:color="auto"/>
              </w:rPr>
            </w:pPr>
            <w:r>
              <w:rPr>
                <w:rFonts w:hint="default"/>
                <w:b/>
                <w:bCs/>
                <w:color w:val="auto"/>
                <w:highlight w:val="none"/>
                <w:u w:val="none" w:color="auto"/>
                <w:lang w:val="en-US" w:eastAsia="zh-CN"/>
              </w:rPr>
              <w:t>4、</w:t>
            </w:r>
            <w:r>
              <w:rPr>
                <w:rFonts w:hint="eastAsia"/>
                <w:b/>
                <w:bCs/>
                <w:color w:val="auto"/>
                <w:highlight w:val="none"/>
                <w:u w:val="none" w:color="auto"/>
                <w:lang w:val="en-US" w:eastAsia="zh-CN"/>
              </w:rPr>
              <w:t>环境风险结论</w:t>
            </w:r>
          </w:p>
          <w:p w14:paraId="77EFF6A6">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根据国家相关规定的要求，针对项目可能发生的风险事故，建设单位应制定环境风险应急预案，并且配备必要的设施，宣贯全体员工，并进行必要的演练，以保证应急预案有效可行。</w:t>
            </w:r>
          </w:p>
          <w:p w14:paraId="7A7B1964">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根据项目风险分析，项目在严格落实环评提出各项措施和要求的前提下，项目风险事故的影响在可恢复范围内，项目环境风险是可以接受的。建设项目环境风险简单分析</w:t>
            </w:r>
            <w:r>
              <w:rPr>
                <w:rFonts w:hint="eastAsia" w:ascii="Times New Roman" w:hAnsi="Times New Roman" w:cs="Times New Roman"/>
                <w:color w:val="auto"/>
                <w:sz w:val="24"/>
                <w:highlight w:val="none"/>
                <w:u w:val="none" w:color="auto"/>
                <w:lang w:eastAsia="zh-CN"/>
              </w:rPr>
              <w:t>内容</w:t>
            </w:r>
            <w:r>
              <w:rPr>
                <w:rFonts w:hint="default" w:ascii="Times New Roman" w:hAnsi="Times New Roman" w:cs="Times New Roman"/>
                <w:color w:val="auto"/>
                <w:sz w:val="24"/>
                <w:highlight w:val="none"/>
                <w:u w:val="none" w:color="auto"/>
              </w:rPr>
              <w:t>见下表。</w:t>
            </w:r>
          </w:p>
          <w:p w14:paraId="101242EB">
            <w:pPr>
              <w:autoSpaceDE w:val="0"/>
              <w:autoSpaceDN w:val="0"/>
              <w:adjustRightIn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 xml:space="preserve">11   </w:t>
            </w:r>
            <w:r>
              <w:rPr>
                <w:rFonts w:hint="default" w:ascii="Times New Roman" w:hAnsi="Times New Roman" w:cs="Times New Roman"/>
                <w:b/>
                <w:bCs/>
                <w:color w:val="auto"/>
                <w:kern w:val="0"/>
                <w:szCs w:val="21"/>
                <w:highlight w:val="none"/>
                <w:u w:val="none" w:color="auto"/>
              </w:rPr>
              <w:t>建设项目环境风险简单分析内容表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5660"/>
            </w:tblGrid>
            <w:tr w14:paraId="63BD1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512BC00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建设项目名称</w:t>
                  </w:r>
                </w:p>
              </w:tc>
              <w:tc>
                <w:tcPr>
                  <w:tcW w:w="5660" w:type="dxa"/>
                  <w:vAlign w:val="center"/>
                </w:tcPr>
                <w:p w14:paraId="23624166">
                  <w:pPr>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年产硅砂（玻璃原材料）10万吨建设项目</w:t>
                  </w:r>
                </w:p>
              </w:tc>
            </w:tr>
            <w:tr w14:paraId="1CB86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04" w:type="dxa"/>
                  <w:vAlign w:val="center"/>
                </w:tcPr>
                <w:p w14:paraId="206420B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建设地点</w:t>
                  </w:r>
                </w:p>
              </w:tc>
              <w:tc>
                <w:tcPr>
                  <w:tcW w:w="5660" w:type="dxa"/>
                  <w:vAlign w:val="center"/>
                </w:tcPr>
                <w:p w14:paraId="7CEEE565">
                  <w:pPr>
                    <w:jc w:val="center"/>
                    <w:rPr>
                      <w:rFonts w:hint="default"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湖南省岳阳市</w:t>
                  </w:r>
                  <w:r>
                    <w:rPr>
                      <w:rFonts w:hint="eastAsia" w:cs="Times New Roman"/>
                      <w:color w:val="auto"/>
                      <w:highlight w:val="none"/>
                      <w:u w:val="none" w:color="auto"/>
                      <w:lang w:val="en-US" w:eastAsia="zh-CN"/>
                    </w:rPr>
                    <w:t>岳阳县新墙镇燎原村沙河片二组</w:t>
                  </w:r>
                </w:p>
              </w:tc>
            </w:tr>
            <w:tr w14:paraId="15EF9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6A99A0C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地理坐标</w:t>
                  </w:r>
                </w:p>
              </w:tc>
              <w:tc>
                <w:tcPr>
                  <w:tcW w:w="5660" w:type="dxa"/>
                  <w:vAlign w:val="center"/>
                </w:tcPr>
                <w:p w14:paraId="0B875513">
                  <w:pPr>
                    <w:pStyle w:val="42"/>
                    <w:bidi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113度</w:t>
                  </w:r>
                  <w:r>
                    <w:rPr>
                      <w:rFonts w:hint="eastAsia" w:ascii="Times New Roman" w:hAnsi="Times New Roman" w:eastAsia="宋体" w:cs="Times New Roman"/>
                      <w:color w:val="auto"/>
                      <w:kern w:val="2"/>
                      <w:sz w:val="21"/>
                      <w:szCs w:val="24"/>
                      <w:highlight w:val="none"/>
                      <w:u w:val="none" w:color="auto"/>
                      <w:lang w:val="en-US" w:eastAsia="zh-CN" w:bidi="ar-SA"/>
                    </w:rPr>
                    <w:t>10</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7.5972</w:t>
                  </w:r>
                  <w:r>
                    <w:rPr>
                      <w:rFonts w:hint="default" w:ascii="Times New Roman" w:hAnsi="Times New Roman" w:eastAsia="宋体" w:cs="Times New Roman"/>
                      <w:color w:val="auto"/>
                      <w:kern w:val="2"/>
                      <w:sz w:val="21"/>
                      <w:szCs w:val="24"/>
                      <w:highlight w:val="none"/>
                      <w:u w:val="none" w:color="auto"/>
                      <w:lang w:val="en-US" w:eastAsia="zh-CN" w:bidi="ar-SA"/>
                    </w:rPr>
                    <w:t>秒，29度</w:t>
                  </w:r>
                  <w:r>
                    <w:rPr>
                      <w:rFonts w:hint="eastAsia" w:ascii="Times New Roman" w:hAnsi="Times New Roman" w:eastAsia="宋体" w:cs="Times New Roman"/>
                      <w:color w:val="auto"/>
                      <w:kern w:val="2"/>
                      <w:sz w:val="21"/>
                      <w:szCs w:val="24"/>
                      <w:highlight w:val="none"/>
                      <w:u w:val="none" w:color="auto"/>
                      <w:lang w:val="en-US" w:eastAsia="zh-CN" w:bidi="ar-SA"/>
                    </w:rPr>
                    <w:t>8</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10.106</w:t>
                  </w:r>
                  <w:r>
                    <w:rPr>
                      <w:rFonts w:hint="default" w:ascii="Times New Roman" w:hAnsi="Times New Roman" w:eastAsia="宋体" w:cs="Times New Roman"/>
                      <w:color w:val="auto"/>
                      <w:kern w:val="2"/>
                      <w:sz w:val="21"/>
                      <w:szCs w:val="24"/>
                      <w:highlight w:val="none"/>
                      <w:u w:val="none" w:color="auto"/>
                      <w:lang w:val="en-US" w:eastAsia="zh-CN" w:bidi="ar-SA"/>
                    </w:rPr>
                    <w:t>秒</w:t>
                  </w:r>
                </w:p>
              </w:tc>
            </w:tr>
            <w:tr w14:paraId="41A9C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07B45F14">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主要</w:t>
                  </w:r>
                  <w:r>
                    <w:rPr>
                      <w:rFonts w:hint="eastAsia" w:cs="Times New Roman"/>
                      <w:b/>
                      <w:bCs/>
                      <w:color w:val="auto"/>
                      <w:kern w:val="0"/>
                      <w:szCs w:val="21"/>
                      <w:highlight w:val="none"/>
                      <w:u w:val="none" w:color="auto"/>
                      <w:lang w:val="en-US" w:eastAsia="zh-CN"/>
                    </w:rPr>
                    <w:t>风</w:t>
                  </w:r>
                  <w:r>
                    <w:rPr>
                      <w:rFonts w:hint="default" w:ascii="Times New Roman" w:hAnsi="Times New Roman" w:cs="Times New Roman"/>
                      <w:b/>
                      <w:bCs/>
                      <w:color w:val="auto"/>
                      <w:kern w:val="0"/>
                      <w:szCs w:val="21"/>
                      <w:highlight w:val="none"/>
                      <w:u w:val="none" w:color="auto"/>
                    </w:rPr>
                    <w:t>险物质及分布</w:t>
                  </w:r>
                </w:p>
              </w:tc>
              <w:tc>
                <w:tcPr>
                  <w:tcW w:w="5660" w:type="dxa"/>
                  <w:vAlign w:val="center"/>
                </w:tcPr>
                <w:p w14:paraId="31117619">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主要危险物质：</w:t>
                  </w:r>
                  <w:r>
                    <w:rPr>
                      <w:rFonts w:hint="eastAsia" w:cs="Times New Roman"/>
                      <w:color w:val="auto"/>
                      <w:kern w:val="2"/>
                      <w:sz w:val="21"/>
                      <w:szCs w:val="24"/>
                      <w:highlight w:val="none"/>
                      <w:u w:val="none" w:color="auto"/>
                      <w:lang w:val="en-US" w:eastAsia="zh-CN" w:bidi="ar-SA"/>
                    </w:rPr>
                    <w:t>废机油、废机油桶</w:t>
                  </w:r>
                  <w:r>
                    <w:rPr>
                      <w:rFonts w:hint="eastAsia" w:cs="Times New Roman"/>
                      <w:color w:val="auto"/>
                      <w:szCs w:val="21"/>
                      <w:highlight w:val="none"/>
                      <w:u w:val="none" w:color="auto"/>
                      <w:lang w:val="en-US" w:eastAsia="zh-CN"/>
                    </w:rPr>
                    <w:t>。</w:t>
                  </w:r>
                </w:p>
              </w:tc>
            </w:tr>
            <w:tr w14:paraId="7589B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04" w:type="dxa"/>
                  <w:vAlign w:val="center"/>
                </w:tcPr>
                <w:p w14:paraId="0F42E8D7">
                  <w:pPr>
                    <w:rPr>
                      <w:rFonts w:hint="default" w:ascii="Times New Roman" w:hAnsi="Times New Roman" w:eastAsia="宋体" w:cs="Times New Roman"/>
                      <w:color w:val="auto"/>
                      <w:highlight w:val="none"/>
                      <w:u w:val="none" w:color="auto"/>
                    </w:rPr>
                  </w:pPr>
                  <w:r>
                    <w:rPr>
                      <w:rFonts w:hint="default" w:cs="Times New Roman"/>
                      <w:b/>
                      <w:bCs/>
                      <w:color w:val="auto"/>
                      <w:kern w:val="0"/>
                      <w:szCs w:val="21"/>
                      <w:highlight w:val="none"/>
                      <w:u w:val="none" w:color="auto"/>
                      <w:lang w:val="en-US" w:eastAsia="zh-CN"/>
                    </w:rPr>
                    <w:t>环境影响途径及危害后果（大气、地表水、地下水等）</w:t>
                  </w:r>
                </w:p>
              </w:tc>
              <w:tc>
                <w:tcPr>
                  <w:tcW w:w="5660" w:type="dxa"/>
                  <w:vAlign w:val="center"/>
                </w:tcPr>
                <w:p w14:paraId="05D329CC">
                  <w:pP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废机油</w:t>
                  </w:r>
                  <w:r>
                    <w:rPr>
                      <w:rFonts w:hint="default" w:ascii="Times New Roman" w:hAnsi="Times New Roman" w:eastAsia="宋体" w:cs="Times New Roman"/>
                      <w:color w:val="auto"/>
                      <w:highlight w:val="none"/>
                      <w:u w:val="none" w:color="auto"/>
                      <w:lang w:val="en-US" w:eastAsia="zh-CN"/>
                    </w:rPr>
                    <w:t>泄漏引起附近火灾、土壤及地下水污染；</w:t>
                  </w:r>
                </w:p>
              </w:tc>
            </w:tr>
            <w:tr w14:paraId="68EC6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06CDA73B">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风险防范措施要求</w:t>
                  </w:r>
                </w:p>
              </w:tc>
              <w:tc>
                <w:tcPr>
                  <w:tcW w:w="5660" w:type="dxa"/>
                  <w:vAlign w:val="center"/>
                </w:tcPr>
                <w:p w14:paraId="6B16F623">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危废暂存间设施防渗、防漏。</w:t>
                  </w:r>
                </w:p>
              </w:tc>
            </w:tr>
            <w:tr w14:paraId="645EA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6052A8DA">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评价结论</w:t>
                  </w:r>
                </w:p>
              </w:tc>
              <w:tc>
                <w:tcPr>
                  <w:tcW w:w="5660" w:type="dxa"/>
                  <w:vAlign w:val="center"/>
                </w:tcPr>
                <w:p w14:paraId="0630BACD">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1、拟建项目Q＜1，环境风险潜势为Ⅰ。</w:t>
                  </w:r>
                </w:p>
                <w:p w14:paraId="273565B7">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2、拟建项目环境风险</w:t>
                  </w:r>
                  <w:r>
                    <w:rPr>
                      <w:rFonts w:hint="eastAsia" w:ascii="Times New Roman" w:hAnsi="Times New Roman" w:cs="Times New Roman"/>
                      <w:color w:val="auto"/>
                      <w:kern w:val="2"/>
                      <w:sz w:val="21"/>
                      <w:szCs w:val="24"/>
                      <w:highlight w:val="none"/>
                      <w:u w:val="none" w:color="auto"/>
                      <w:lang w:val="en-US" w:eastAsia="zh-CN" w:bidi="ar-SA"/>
                    </w:rPr>
                    <w:t>评价</w:t>
                  </w:r>
                  <w:r>
                    <w:rPr>
                      <w:rFonts w:hint="default" w:ascii="Times New Roman" w:hAnsi="Times New Roman" w:eastAsia="宋体" w:cs="Times New Roman"/>
                      <w:color w:val="auto"/>
                      <w:kern w:val="2"/>
                      <w:sz w:val="21"/>
                      <w:szCs w:val="24"/>
                      <w:highlight w:val="none"/>
                      <w:u w:val="none" w:color="auto"/>
                      <w:lang w:val="en-US" w:eastAsia="zh-CN" w:bidi="ar-SA"/>
                    </w:rPr>
                    <w:t>进行简单分析。</w:t>
                  </w:r>
                </w:p>
                <w:p w14:paraId="778ED1DD">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3、项目在严格落实环评提出各项措施和要求的前提下，项目风险事故的影响在可恢复范围内，项目环境风险是可以接受的。</w:t>
                  </w:r>
                </w:p>
              </w:tc>
            </w:tr>
          </w:tbl>
          <w:p w14:paraId="0B106D77">
            <w:pPr>
              <w:spacing w:line="360" w:lineRule="auto"/>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七</w:t>
            </w:r>
            <w:r>
              <w:rPr>
                <w:rFonts w:hint="default" w:ascii="Times New Roman" w:hAnsi="Times New Roman" w:cs="Times New Roman"/>
                <w:b/>
                <w:color w:val="auto"/>
                <w:sz w:val="24"/>
                <w:highlight w:val="none"/>
                <w:u w:val="none" w:color="auto"/>
              </w:rPr>
              <w:t>、环保投资及竣工环境保护验收</w:t>
            </w:r>
          </w:p>
          <w:p w14:paraId="0422FA88">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建设单位应确保环保设施建成并有效治理运营期产生的各项污染源，满足现行环保管理要求。</w:t>
            </w:r>
            <w:r>
              <w:rPr>
                <w:rFonts w:hint="default" w:ascii="Times New Roman" w:hAnsi="Times New Roman" w:cs="Times New Roman"/>
                <w:color w:val="auto"/>
                <w:sz w:val="24"/>
                <w:szCs w:val="24"/>
                <w:highlight w:val="none"/>
                <w:u w:val="none" w:color="auto"/>
              </w:rPr>
              <w:t>同时项目建设完成后，</w:t>
            </w:r>
            <w:r>
              <w:rPr>
                <w:rFonts w:hint="default" w:ascii="Times New Roman" w:hAnsi="Times New Roman" w:cs="Times New Roman"/>
                <w:color w:val="auto"/>
                <w:sz w:val="24"/>
                <w:highlight w:val="none"/>
                <w:u w:val="none" w:color="auto"/>
              </w:rPr>
              <w:t>建设单位应按相关竣工环保验收管理要求，及时开展项目竣工环境保护验收工作。</w:t>
            </w:r>
          </w:p>
          <w:p w14:paraId="019EB3E8">
            <w:pPr>
              <w:spacing w:line="360" w:lineRule="auto"/>
              <w:ind w:firstLine="480" w:firstLineChars="200"/>
              <w:rPr>
                <w:rFonts w:hint="default" w:ascii="Times New Roman" w:hAnsi="Times New Roman" w:cs="Times New Roman"/>
                <w:b/>
                <w:bCs/>
                <w:color w:val="auto"/>
                <w:szCs w:val="21"/>
                <w:highlight w:val="none"/>
                <w:u w:val="none" w:color="auto"/>
                <w:lang w:val="en-US" w:eastAsia="zh-CN"/>
              </w:rPr>
            </w:pPr>
            <w:r>
              <w:rPr>
                <w:rFonts w:hint="default" w:ascii="Times New Roman" w:hAnsi="Times New Roman" w:cs="Times New Roman"/>
                <w:color w:val="auto"/>
                <w:sz w:val="24"/>
                <w:highlight w:val="none"/>
                <w:u w:val="none" w:color="auto"/>
              </w:rPr>
              <w:t>本项目总投资</w:t>
            </w:r>
            <w:r>
              <w:rPr>
                <w:rFonts w:hint="eastAsia" w:cs="Times New Roman"/>
                <w:color w:val="auto"/>
                <w:sz w:val="24"/>
                <w:highlight w:val="none"/>
                <w:u w:val="none" w:color="auto"/>
                <w:lang w:val="en-US" w:eastAsia="zh-CN"/>
              </w:rPr>
              <w:t>1000</w:t>
            </w:r>
            <w:r>
              <w:rPr>
                <w:rFonts w:hint="default" w:ascii="Times New Roman" w:hAnsi="Times New Roman" w:cs="Times New Roman"/>
                <w:color w:val="auto"/>
                <w:sz w:val="24"/>
                <w:highlight w:val="none"/>
                <w:u w:val="none" w:color="auto"/>
              </w:rPr>
              <w:t>万元，环保投资</w:t>
            </w:r>
            <w:r>
              <w:rPr>
                <w:rFonts w:hint="eastAsia" w:cs="Times New Roman"/>
                <w:color w:val="auto"/>
                <w:sz w:val="24"/>
                <w:highlight w:val="none"/>
                <w:u w:val="none" w:color="auto"/>
                <w:lang w:val="en-US" w:eastAsia="zh-CN"/>
              </w:rPr>
              <w:t>25.5</w:t>
            </w:r>
            <w:r>
              <w:rPr>
                <w:rFonts w:hint="default" w:ascii="Times New Roman" w:hAnsi="Times New Roman" w:cs="Times New Roman"/>
                <w:color w:val="auto"/>
                <w:sz w:val="24"/>
                <w:highlight w:val="none"/>
                <w:u w:val="none" w:color="auto"/>
              </w:rPr>
              <w:t>万元，占总投资的</w:t>
            </w:r>
            <w:r>
              <w:rPr>
                <w:rFonts w:hint="eastAsia" w:cs="Times New Roman"/>
                <w:color w:val="auto"/>
                <w:sz w:val="24"/>
                <w:highlight w:val="none"/>
                <w:u w:val="none" w:color="auto"/>
                <w:lang w:val="en-US" w:eastAsia="zh-CN"/>
              </w:rPr>
              <w:t>2.55</w:t>
            </w:r>
            <w:r>
              <w:rPr>
                <w:rFonts w:hint="default" w:ascii="Times New Roman" w:hAnsi="Times New Roman" w:cs="Times New Roman"/>
                <w:color w:val="auto"/>
                <w:sz w:val="24"/>
                <w:highlight w:val="none"/>
                <w:u w:val="none" w:color="auto"/>
              </w:rPr>
              <w:t>%，项目具体环保投资估算见下表：</w:t>
            </w:r>
          </w:p>
          <w:p w14:paraId="3F750358">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12</w:t>
            </w:r>
            <w:r>
              <w:rPr>
                <w:rFonts w:hint="default" w:ascii="Times New Roman" w:hAnsi="Times New Roman" w:cs="Times New Roman"/>
                <w:b/>
                <w:bCs/>
                <w:color w:val="auto"/>
                <w:szCs w:val="21"/>
                <w:highlight w:val="none"/>
                <w:u w:val="none" w:color="auto"/>
                <w:lang w:val="en-US" w:eastAsia="zh-CN"/>
              </w:rPr>
              <w:t xml:space="preserve">   </w:t>
            </w:r>
            <w:r>
              <w:rPr>
                <w:rFonts w:hint="default" w:ascii="Times New Roman" w:hAnsi="Times New Roman" w:cs="Times New Roman"/>
                <w:b/>
                <w:bCs/>
                <w:color w:val="auto"/>
                <w:szCs w:val="21"/>
                <w:highlight w:val="none"/>
                <w:u w:val="none" w:color="auto"/>
              </w:rPr>
              <w:t>项目环保设施及投资估算表一览表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60"/>
              <w:gridCol w:w="1501"/>
              <w:gridCol w:w="1902"/>
              <w:gridCol w:w="1869"/>
              <w:gridCol w:w="1905"/>
            </w:tblGrid>
            <w:tr w14:paraId="31B8F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644" w:type="pct"/>
                  <w:tcBorders>
                    <w:tl2br w:val="nil"/>
                    <w:tr2bl w:val="nil"/>
                  </w:tcBorders>
                  <w:vAlign w:val="center"/>
                </w:tcPr>
                <w:p w14:paraId="05AE8F2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11" w:type="pct"/>
                  <w:tcBorders>
                    <w:tl2br w:val="nil"/>
                    <w:tr2bl w:val="nil"/>
                  </w:tcBorders>
                  <w:vAlign w:val="center"/>
                </w:tcPr>
                <w:p w14:paraId="362E5CC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cs="Times New Roman"/>
                      <w:b/>
                      <w:bCs/>
                      <w:color w:val="auto"/>
                      <w:sz w:val="21"/>
                      <w:szCs w:val="21"/>
                      <w:highlight w:val="none"/>
                      <w:u w:val="none" w:color="auto"/>
                      <w:lang w:val="en-US" w:eastAsia="zh-CN"/>
                    </w:rPr>
                    <w:t>产生环节</w:t>
                  </w:r>
                </w:p>
              </w:tc>
              <w:tc>
                <w:tcPr>
                  <w:tcW w:w="1154" w:type="pct"/>
                  <w:tcBorders>
                    <w:tl2br w:val="nil"/>
                    <w:tr2bl w:val="nil"/>
                  </w:tcBorders>
                  <w:vAlign w:val="center"/>
                </w:tcPr>
                <w:p w14:paraId="40752FAC">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8"/>
                      <w:sz w:val="21"/>
                      <w:szCs w:val="21"/>
                      <w:highlight w:val="none"/>
                      <w:u w:val="none" w:color="auto"/>
                      <w:lang w:val="en-US" w:eastAsia="zh-CN"/>
                    </w:rPr>
                  </w:pPr>
                  <w:r>
                    <w:rPr>
                      <w:rFonts w:hint="eastAsia" w:ascii="Times New Roman" w:hAnsi="Times New Roman" w:cs="Times New Roman"/>
                      <w:b/>
                      <w:bCs/>
                      <w:color w:val="auto"/>
                      <w:spacing w:val="8"/>
                      <w:sz w:val="21"/>
                      <w:szCs w:val="21"/>
                      <w:highlight w:val="none"/>
                      <w:u w:val="none" w:color="auto"/>
                      <w:lang w:val="en-US" w:eastAsia="zh-CN"/>
                    </w:rPr>
                    <w:t>污染因子</w:t>
                  </w:r>
                </w:p>
              </w:tc>
              <w:tc>
                <w:tcPr>
                  <w:tcW w:w="1133" w:type="pct"/>
                  <w:tcBorders>
                    <w:tl2br w:val="nil"/>
                    <w:tr2bl w:val="nil"/>
                  </w:tcBorders>
                  <w:vAlign w:val="center"/>
                </w:tcPr>
                <w:p w14:paraId="7F635569">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设施</w:t>
                  </w:r>
                </w:p>
              </w:tc>
              <w:tc>
                <w:tcPr>
                  <w:tcW w:w="1156" w:type="pct"/>
                  <w:tcBorders>
                    <w:tl2br w:val="nil"/>
                    <w:tr2bl w:val="nil"/>
                  </w:tcBorders>
                  <w:vAlign w:val="center"/>
                </w:tcPr>
                <w:p w14:paraId="223178C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1"/>
                      <w:sz w:val="21"/>
                      <w:szCs w:val="21"/>
                      <w:highlight w:val="none"/>
                      <w:u w:val="none" w:color="auto"/>
                    </w:rPr>
                    <w:t>投资（万元）</w:t>
                  </w:r>
                </w:p>
              </w:tc>
            </w:tr>
            <w:tr w14:paraId="46FE7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644" w:type="pct"/>
                  <w:tcBorders>
                    <w:tl2br w:val="nil"/>
                    <w:tr2bl w:val="nil"/>
                  </w:tcBorders>
                  <w:vAlign w:val="center"/>
                </w:tcPr>
                <w:p w14:paraId="135E0C4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11" w:type="pct"/>
                  <w:tcBorders>
                    <w:tl2br w:val="nil"/>
                    <w:tr2bl w:val="nil"/>
                  </w:tcBorders>
                  <w:vAlign w:val="center"/>
                </w:tcPr>
                <w:p w14:paraId="46D92441">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生产过程</w:t>
                  </w:r>
                </w:p>
              </w:tc>
              <w:tc>
                <w:tcPr>
                  <w:tcW w:w="1154" w:type="pct"/>
                  <w:tcBorders>
                    <w:tl2br w:val="nil"/>
                    <w:tr2bl w:val="nil"/>
                  </w:tcBorders>
                  <w:vAlign w:val="center"/>
                </w:tcPr>
                <w:p w14:paraId="75B4322C">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default" w:ascii="Times New Roman" w:hAnsi="Times New Roman" w:cs="Times New Roman"/>
                      <w:color w:val="auto"/>
                      <w:spacing w:val="6"/>
                      <w:sz w:val="21"/>
                      <w:szCs w:val="21"/>
                      <w:highlight w:val="none"/>
                      <w:u w:val="none" w:color="auto"/>
                      <w:lang w:val="en-US" w:eastAsia="zh-CN"/>
                    </w:rPr>
                    <w:t>颗粒物</w:t>
                  </w:r>
                </w:p>
              </w:tc>
              <w:tc>
                <w:tcPr>
                  <w:tcW w:w="1133" w:type="pct"/>
                  <w:tcBorders>
                    <w:tl2br w:val="nil"/>
                    <w:tr2bl w:val="nil"/>
                  </w:tcBorders>
                  <w:vAlign w:val="center"/>
                </w:tcPr>
                <w:p w14:paraId="2D469926">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5"/>
                      <w:sz w:val="21"/>
                      <w:szCs w:val="21"/>
                      <w:highlight w:val="none"/>
                      <w:u w:val="none" w:color="auto"/>
                      <w:lang w:val="en-US"/>
                    </w:rPr>
                  </w:pPr>
                  <w:r>
                    <w:rPr>
                      <w:rFonts w:hint="eastAsia" w:ascii="Times New Roman" w:hAnsi="Times New Roman" w:cs="Times New Roman"/>
                      <w:color w:val="auto"/>
                      <w:spacing w:val="6"/>
                      <w:sz w:val="21"/>
                      <w:szCs w:val="21"/>
                      <w:highlight w:val="none"/>
                      <w:u w:val="none" w:color="auto"/>
                      <w:lang w:val="en-US" w:eastAsia="zh-CN"/>
                    </w:rPr>
                    <w:t>厂区各产污节点设置喷淋设施</w:t>
                  </w:r>
                </w:p>
              </w:tc>
              <w:tc>
                <w:tcPr>
                  <w:tcW w:w="1156" w:type="pct"/>
                  <w:tcBorders>
                    <w:tl2br w:val="nil"/>
                    <w:tr2bl w:val="nil"/>
                  </w:tcBorders>
                  <w:vAlign w:val="center"/>
                </w:tcPr>
                <w:p w14:paraId="5ED2FA96">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w:t>
                  </w:r>
                </w:p>
              </w:tc>
            </w:tr>
            <w:tr w14:paraId="074976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restart"/>
                  <w:tcBorders>
                    <w:tl2br w:val="nil"/>
                    <w:tr2bl w:val="nil"/>
                  </w:tcBorders>
                  <w:vAlign w:val="center"/>
                </w:tcPr>
                <w:p w14:paraId="70BE85E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废水</w:t>
                  </w:r>
                </w:p>
              </w:tc>
              <w:tc>
                <w:tcPr>
                  <w:tcW w:w="911" w:type="pct"/>
                  <w:tcBorders>
                    <w:tl2br w:val="nil"/>
                    <w:tr2bl w:val="nil"/>
                  </w:tcBorders>
                  <w:vAlign w:val="center"/>
                </w:tcPr>
                <w:p w14:paraId="42A7CBF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生活污水</w:t>
                  </w:r>
                </w:p>
              </w:tc>
              <w:tc>
                <w:tcPr>
                  <w:tcW w:w="1154" w:type="pct"/>
                  <w:tcBorders>
                    <w:tl2br w:val="nil"/>
                    <w:tr2bl w:val="nil"/>
                  </w:tcBorders>
                  <w:vAlign w:val="center"/>
                </w:tcPr>
                <w:p w14:paraId="3916D060">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pH、COD等</w:t>
                  </w:r>
                </w:p>
              </w:tc>
              <w:tc>
                <w:tcPr>
                  <w:tcW w:w="1133" w:type="pct"/>
                  <w:tcBorders>
                    <w:tl2br w:val="nil"/>
                    <w:tr2bl w:val="nil"/>
                  </w:tcBorders>
                  <w:vAlign w:val="center"/>
                </w:tcPr>
                <w:p w14:paraId="492B6687">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化粪池</w:t>
                  </w:r>
                </w:p>
              </w:tc>
              <w:tc>
                <w:tcPr>
                  <w:tcW w:w="1156" w:type="pct"/>
                  <w:tcBorders>
                    <w:tl2br w:val="nil"/>
                    <w:tr2bl w:val="nil"/>
                  </w:tcBorders>
                  <w:vAlign w:val="center"/>
                </w:tcPr>
                <w:p w14:paraId="0F2B6B7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r>
            <w:tr w14:paraId="4B2DD4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continue"/>
                  <w:tcBorders>
                    <w:tl2br w:val="nil"/>
                    <w:tr2bl w:val="nil"/>
                  </w:tcBorders>
                  <w:vAlign w:val="center"/>
                </w:tcPr>
                <w:p w14:paraId="7C9EA23C">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1" w:type="pct"/>
                  <w:vMerge w:val="restart"/>
                  <w:tcBorders>
                    <w:tl2br w:val="nil"/>
                    <w:tr2bl w:val="nil"/>
                  </w:tcBorders>
                  <w:vAlign w:val="center"/>
                </w:tcPr>
                <w:p w14:paraId="49D5CC2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生产过程</w:t>
                  </w:r>
                </w:p>
              </w:tc>
              <w:tc>
                <w:tcPr>
                  <w:tcW w:w="1154" w:type="pct"/>
                  <w:tcBorders>
                    <w:tl2br w:val="nil"/>
                    <w:tr2bl w:val="nil"/>
                  </w:tcBorders>
                  <w:vAlign w:val="center"/>
                </w:tcPr>
                <w:p w14:paraId="4C232415">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w:t>
                  </w:r>
                </w:p>
              </w:tc>
              <w:tc>
                <w:tcPr>
                  <w:tcW w:w="1133" w:type="pct"/>
                  <w:tcBorders>
                    <w:tl2br w:val="nil"/>
                    <w:tr2bl w:val="nil"/>
                  </w:tcBorders>
                  <w:vAlign w:val="center"/>
                </w:tcPr>
                <w:p w14:paraId="63222872">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循环水池</w:t>
                  </w:r>
                </w:p>
              </w:tc>
              <w:tc>
                <w:tcPr>
                  <w:tcW w:w="1156" w:type="pct"/>
                  <w:tcBorders>
                    <w:tl2br w:val="nil"/>
                    <w:tr2bl w:val="nil"/>
                  </w:tcBorders>
                  <w:vAlign w:val="center"/>
                </w:tcPr>
                <w:p w14:paraId="754666F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r>
            <w:tr w14:paraId="13DDA0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continue"/>
                  <w:tcBorders>
                    <w:tl2br w:val="nil"/>
                    <w:tr2bl w:val="nil"/>
                  </w:tcBorders>
                  <w:vAlign w:val="center"/>
                </w:tcPr>
                <w:p w14:paraId="17EE98FB">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1" w:type="pct"/>
                  <w:vMerge w:val="continue"/>
                  <w:tcBorders>
                    <w:tl2br w:val="nil"/>
                    <w:tr2bl w:val="nil"/>
                  </w:tcBorders>
                  <w:vAlign w:val="center"/>
                </w:tcPr>
                <w:p w14:paraId="095CF85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pacing w:val="7"/>
                      <w:sz w:val="21"/>
                      <w:szCs w:val="21"/>
                      <w:highlight w:val="none"/>
                      <w:u w:val="none" w:color="auto"/>
                      <w:lang w:val="en-US" w:eastAsia="zh-CN"/>
                    </w:rPr>
                  </w:pPr>
                </w:p>
              </w:tc>
              <w:tc>
                <w:tcPr>
                  <w:tcW w:w="1154" w:type="pct"/>
                  <w:tcBorders>
                    <w:tl2br w:val="nil"/>
                    <w:tr2bl w:val="nil"/>
                  </w:tcBorders>
                  <w:vAlign w:val="center"/>
                </w:tcPr>
                <w:p w14:paraId="367E5734">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w:t>
                  </w:r>
                </w:p>
              </w:tc>
              <w:tc>
                <w:tcPr>
                  <w:tcW w:w="1133" w:type="pct"/>
                  <w:tcBorders>
                    <w:tl2br w:val="nil"/>
                    <w:tr2bl w:val="nil"/>
                  </w:tcBorders>
                  <w:vAlign w:val="center"/>
                </w:tcPr>
                <w:p w14:paraId="08D38B5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color w:val="auto"/>
                      <w:kern w:val="0"/>
                      <w:sz w:val="21"/>
                      <w:szCs w:val="21"/>
                      <w:u w:val="none"/>
                    </w:rPr>
                    <w:t>1</w:t>
                  </w:r>
                  <w:r>
                    <w:rPr>
                      <w:rFonts w:hint="default" w:ascii="Times New Roman" w:hAnsi="Times New Roman" w:cs="Times New Roman"/>
                      <w:color w:val="auto"/>
                      <w:kern w:val="0"/>
                      <w:sz w:val="21"/>
                      <w:szCs w:val="21"/>
                      <w:u w:val="none"/>
                      <w:lang w:val="en-US" w:eastAsia="zh-CN"/>
                    </w:rPr>
                    <w:t>5</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ascii="Times New Roman" w:hAnsi="Times New Roman" w:cs="Times New Roman"/>
                      <w:bCs/>
                      <w:color w:val="auto"/>
                      <w:sz w:val="21"/>
                      <w:szCs w:val="21"/>
                      <w:highlight w:val="none"/>
                      <w:u w:val="none" w:color="auto"/>
                      <w:lang w:val="en-US" w:eastAsia="zh-CN"/>
                    </w:rPr>
                    <w:t>洗车槽</w:t>
                  </w:r>
                </w:p>
              </w:tc>
              <w:tc>
                <w:tcPr>
                  <w:tcW w:w="1156" w:type="pct"/>
                  <w:tcBorders>
                    <w:tl2br w:val="nil"/>
                    <w:tr2bl w:val="nil"/>
                  </w:tcBorders>
                  <w:vAlign w:val="center"/>
                </w:tcPr>
                <w:p w14:paraId="465F7AFF">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r>
            <w:tr w14:paraId="5AD3C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4" w:type="pct"/>
                  <w:vMerge w:val="restart"/>
                  <w:tcBorders>
                    <w:tl2br w:val="nil"/>
                    <w:tr2bl w:val="nil"/>
                  </w:tcBorders>
                  <w:vAlign w:val="center"/>
                </w:tcPr>
                <w:p w14:paraId="7A9CE131">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固废</w:t>
                  </w:r>
                </w:p>
              </w:tc>
              <w:tc>
                <w:tcPr>
                  <w:tcW w:w="3199" w:type="pct"/>
                  <w:gridSpan w:val="3"/>
                  <w:tcBorders>
                    <w:tl2br w:val="nil"/>
                    <w:tr2bl w:val="nil"/>
                  </w:tcBorders>
                  <w:vAlign w:val="center"/>
                </w:tcPr>
                <w:p w14:paraId="36E151E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lang w:val="en-US" w:eastAsia="zh-CN"/>
                    </w:rPr>
                    <w:t>一般工业固废暂存间，</w:t>
                  </w:r>
                  <w:r>
                    <w:rPr>
                      <w:rFonts w:hint="eastAsia" w:ascii="Times New Roman" w:hAnsi="Times New Roman" w:cs="Times New Roman"/>
                      <w:color w:val="auto"/>
                      <w:spacing w:val="6"/>
                      <w:sz w:val="21"/>
                      <w:szCs w:val="21"/>
                      <w:highlight w:val="none"/>
                      <w:u w:val="none" w:color="auto"/>
                      <w:lang w:val="en-US" w:eastAsia="zh-CN"/>
                    </w:rPr>
                    <w:t>30</w:t>
                  </w:r>
                  <w:r>
                    <w:rPr>
                      <w:rFonts w:hint="default" w:ascii="Times New Roman" w:hAnsi="Times New Roman" w:eastAsia="宋体" w:cs="Times New Roman"/>
                      <w:color w:val="auto"/>
                      <w:spacing w:val="6"/>
                      <w:sz w:val="21"/>
                      <w:szCs w:val="21"/>
                      <w:highlight w:val="none"/>
                      <w:u w:val="none" w:color="auto"/>
                      <w:lang w:val="en-US" w:eastAsia="zh-CN"/>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5995D85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lang w:val="en-US" w:eastAsia="zh-CN"/>
                    </w:rPr>
                  </w:pPr>
                  <w:r>
                    <w:rPr>
                      <w:rFonts w:hint="eastAsia" w:cs="Times New Roman"/>
                      <w:color w:val="auto"/>
                      <w:spacing w:val="2"/>
                      <w:sz w:val="21"/>
                      <w:szCs w:val="21"/>
                      <w:highlight w:val="none"/>
                      <w:u w:val="none" w:color="auto"/>
                      <w:lang w:val="en-US" w:eastAsia="zh-CN"/>
                    </w:rPr>
                    <w:t>1</w:t>
                  </w:r>
                </w:p>
              </w:tc>
            </w:tr>
            <w:tr w14:paraId="410079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644" w:type="pct"/>
                  <w:vMerge w:val="continue"/>
                  <w:tcBorders>
                    <w:tl2br w:val="nil"/>
                    <w:tr2bl w:val="nil"/>
                  </w:tcBorders>
                  <w:vAlign w:val="center"/>
                </w:tcPr>
                <w:p w14:paraId="560C1808">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199" w:type="pct"/>
                  <w:gridSpan w:val="3"/>
                  <w:tcBorders>
                    <w:tl2br w:val="nil"/>
                    <w:tr2bl w:val="nil"/>
                  </w:tcBorders>
                  <w:vAlign w:val="center"/>
                </w:tcPr>
                <w:p w14:paraId="46184FF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危废暂存间</w:t>
                  </w:r>
                  <w:r>
                    <w:rPr>
                      <w:rFonts w:hint="default" w:ascii="Times New Roman" w:hAnsi="Times New Roman" w:eastAsia="宋体" w:cs="Times New Roman"/>
                      <w:color w:val="auto"/>
                      <w:spacing w:val="6"/>
                      <w:sz w:val="21"/>
                      <w:szCs w:val="21"/>
                      <w:highlight w:val="none"/>
                      <w:u w:val="none" w:color="auto"/>
                      <w:lang w:eastAsia="zh-CN"/>
                    </w:rPr>
                    <w:t>，</w:t>
                  </w:r>
                  <w:r>
                    <w:rPr>
                      <w:rFonts w:hint="eastAsia" w:ascii="Times New Roman" w:hAnsi="Times New Roman" w:cs="Times New Roman"/>
                      <w:color w:val="auto"/>
                      <w:spacing w:val="6"/>
                      <w:sz w:val="21"/>
                      <w:szCs w:val="21"/>
                      <w:highlight w:val="none"/>
                      <w:u w:val="none" w:color="auto"/>
                      <w:lang w:val="en-US" w:eastAsia="zh-CN"/>
                    </w:rPr>
                    <w:t>15</w:t>
                  </w:r>
                  <w:r>
                    <w:rPr>
                      <w:rFonts w:hint="default" w:ascii="Times New Roman" w:hAnsi="Times New Roman" w:eastAsia="宋体" w:cs="Times New Roman"/>
                      <w:color w:val="auto"/>
                      <w:spacing w:val="6"/>
                      <w:sz w:val="21"/>
                      <w:szCs w:val="21"/>
                      <w:highlight w:val="none"/>
                      <w:u w:val="none" w:color="auto"/>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31AF9964">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pacing w:val="2"/>
                      <w:sz w:val="21"/>
                      <w:szCs w:val="21"/>
                      <w:highlight w:val="none"/>
                      <w:u w:val="none" w:color="auto"/>
                      <w:lang w:val="en-US" w:eastAsia="zh-CN"/>
                    </w:rPr>
                    <w:t>3</w:t>
                  </w:r>
                </w:p>
              </w:tc>
            </w:tr>
            <w:tr w14:paraId="5FC387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44" w:type="pct"/>
                  <w:vMerge w:val="continue"/>
                  <w:tcBorders>
                    <w:tl2br w:val="nil"/>
                    <w:tr2bl w:val="nil"/>
                  </w:tcBorders>
                  <w:vAlign w:val="center"/>
                </w:tcPr>
                <w:p w14:paraId="55100125">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199" w:type="pct"/>
                  <w:gridSpan w:val="3"/>
                  <w:tcBorders>
                    <w:tl2br w:val="nil"/>
                    <w:tr2bl w:val="nil"/>
                  </w:tcBorders>
                  <w:vAlign w:val="center"/>
                </w:tcPr>
                <w:p w14:paraId="3AC32B95">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生活垃圾采用收集桶</w:t>
                  </w:r>
                </w:p>
              </w:tc>
              <w:tc>
                <w:tcPr>
                  <w:tcW w:w="1156" w:type="pct"/>
                  <w:tcBorders>
                    <w:tl2br w:val="nil"/>
                    <w:tr2bl w:val="nil"/>
                  </w:tcBorders>
                  <w:vAlign w:val="center"/>
                </w:tcPr>
                <w:p w14:paraId="7FBBDB74">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val="en-US" w:eastAsia="zh-CN"/>
                    </w:rPr>
                    <w:t>1</w:t>
                  </w:r>
                </w:p>
              </w:tc>
            </w:tr>
            <w:tr w14:paraId="3817A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tcBorders>
                    <w:tl2br w:val="nil"/>
                    <w:tr2bl w:val="nil"/>
                  </w:tcBorders>
                  <w:vAlign w:val="center"/>
                </w:tcPr>
                <w:p w14:paraId="101D230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噪声</w:t>
                  </w:r>
                </w:p>
              </w:tc>
              <w:tc>
                <w:tcPr>
                  <w:tcW w:w="3199" w:type="pct"/>
                  <w:gridSpan w:val="3"/>
                  <w:tcBorders>
                    <w:tl2br w:val="nil"/>
                    <w:tr2bl w:val="nil"/>
                  </w:tcBorders>
                  <w:vAlign w:val="center"/>
                </w:tcPr>
                <w:p w14:paraId="23DDE1A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结构隔声、基础减振、消声等措施</w:t>
                  </w:r>
                </w:p>
              </w:tc>
              <w:tc>
                <w:tcPr>
                  <w:tcW w:w="1156" w:type="pct"/>
                  <w:tcBorders>
                    <w:tl2br w:val="nil"/>
                    <w:tr2bl w:val="nil"/>
                  </w:tcBorders>
                  <w:vAlign w:val="center"/>
                </w:tcPr>
                <w:p w14:paraId="3BB3980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2</w:t>
                  </w:r>
                </w:p>
              </w:tc>
            </w:tr>
            <w:tr w14:paraId="04EA8A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43" w:type="pct"/>
                  <w:gridSpan w:val="4"/>
                  <w:tcBorders>
                    <w:tl2br w:val="nil"/>
                    <w:tr2bl w:val="nil"/>
                  </w:tcBorders>
                  <w:vAlign w:val="center"/>
                </w:tcPr>
                <w:p w14:paraId="7E7FD47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小计</w:t>
                  </w:r>
                </w:p>
              </w:tc>
              <w:tc>
                <w:tcPr>
                  <w:tcW w:w="1156" w:type="pct"/>
                  <w:tcBorders>
                    <w:tl2br w:val="nil"/>
                    <w:tr2bl w:val="nil"/>
                  </w:tcBorders>
                  <w:vAlign w:val="center"/>
                </w:tcPr>
                <w:p w14:paraId="73E0A80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25</w:t>
                  </w:r>
                  <w:r>
                    <w:rPr>
                      <w:rFonts w:hint="eastAsia" w:ascii="Times New Roman" w:hAnsi="Times New Roman" w:eastAsia="宋体" w:cs="Times New Roman"/>
                      <w:color w:val="auto"/>
                      <w:sz w:val="21"/>
                      <w:szCs w:val="21"/>
                      <w:highlight w:val="none"/>
                      <w:u w:val="none" w:color="auto"/>
                      <w:lang w:val="en-US" w:eastAsia="zh-CN"/>
                    </w:rPr>
                    <w:t>.5</w:t>
                  </w:r>
                </w:p>
              </w:tc>
            </w:tr>
          </w:tbl>
          <w:p w14:paraId="37F7E15F">
            <w:pPr>
              <w:spacing w:line="360" w:lineRule="auto"/>
              <w:rPr>
                <w:rFonts w:hint="default" w:ascii="Times New Roman" w:hAnsi="Times New Roman" w:cs="Times New Roman"/>
                <w:b/>
                <w:color w:val="auto"/>
                <w:sz w:val="24"/>
                <w:highlight w:val="none"/>
                <w:u w:val="none" w:color="auto"/>
              </w:rPr>
            </w:pPr>
            <w:r>
              <w:rPr>
                <w:rFonts w:hint="eastAsia" w:ascii="Times New Roman" w:hAnsi="Times New Roman" w:cs="Times New Roman"/>
                <w:b/>
                <w:color w:val="auto"/>
                <w:sz w:val="24"/>
                <w:highlight w:val="none"/>
                <w:u w:val="none" w:color="auto"/>
                <w:lang w:val="en-US" w:eastAsia="zh-CN"/>
              </w:rPr>
              <w:t>八</w:t>
            </w:r>
            <w:r>
              <w:rPr>
                <w:rFonts w:hint="default" w:ascii="Times New Roman" w:hAnsi="Times New Roman" w:eastAsia="宋体" w:cs="Times New Roman"/>
                <w:b/>
                <w:color w:val="auto"/>
                <w:sz w:val="24"/>
                <w:highlight w:val="none"/>
                <w:u w:val="none" w:color="auto"/>
                <w:lang w:val="en-US" w:eastAsia="zh-CN"/>
              </w:rPr>
              <w:t>、</w:t>
            </w:r>
            <w:r>
              <w:rPr>
                <w:rFonts w:hint="eastAsia" w:ascii="Times New Roman" w:hAnsi="Times New Roman" w:eastAsia="宋体" w:cs="Times New Roman"/>
                <w:b/>
                <w:color w:val="auto"/>
                <w:sz w:val="24"/>
                <w:highlight w:val="none"/>
                <w:u w:val="none" w:color="auto"/>
                <w:lang w:val="en-US" w:eastAsia="zh-CN"/>
              </w:rPr>
              <w:t>排污许可管理要求</w:t>
            </w:r>
          </w:p>
          <w:p w14:paraId="58423DD1">
            <w:pPr>
              <w:pStyle w:val="50"/>
              <w:keepNext w:val="0"/>
              <w:keepLines w:val="0"/>
              <w:pageBreakBefore w:val="0"/>
              <w:widowControl w:val="0"/>
              <w:kinsoku/>
              <w:overflowPunct/>
              <w:autoSpaceDE/>
              <w:autoSpaceDN/>
              <w:bidi w:val="0"/>
              <w:adjustRightInd/>
              <w:snapToGrid/>
              <w:spacing w:line="360" w:lineRule="auto"/>
              <w:ind w:left="0" w:right="0" w:firstLine="460" w:firstLineChars="200"/>
              <w:textAlignment w:val="auto"/>
              <w:rPr>
                <w:color w:val="auto"/>
                <w:sz w:val="24"/>
                <w:szCs w:val="24"/>
                <w:highlight w:val="none"/>
              </w:rPr>
            </w:pPr>
            <w:r>
              <w:rPr>
                <w:rFonts w:ascii="Times New Roman" w:hAnsi="Times New Roman" w:eastAsia="Times New Roman" w:cs="Times New Roman"/>
                <w:color w:val="auto"/>
                <w:spacing w:val="-5"/>
                <w:sz w:val="24"/>
                <w:szCs w:val="24"/>
                <w:highlight w:val="none"/>
              </w:rPr>
              <w:t>8.1</w:t>
            </w:r>
            <w:r>
              <w:rPr>
                <w:color w:val="auto"/>
                <w:spacing w:val="-5"/>
                <w:sz w:val="24"/>
                <w:szCs w:val="24"/>
                <w:highlight w:val="none"/>
              </w:rPr>
              <w:t>管理类别</w:t>
            </w:r>
          </w:p>
          <w:p w14:paraId="433A0984">
            <w:pPr>
              <w:pStyle w:val="50"/>
              <w:keepNext w:val="0"/>
              <w:keepLines w:val="0"/>
              <w:pageBreakBefore w:val="0"/>
              <w:widowControl w:val="0"/>
              <w:kinsoku/>
              <w:overflowPunct/>
              <w:autoSpaceDE/>
              <w:autoSpaceDN/>
              <w:bidi w:val="0"/>
              <w:adjustRightInd/>
              <w:snapToGrid/>
              <w:spacing w:line="360" w:lineRule="auto"/>
              <w:ind w:left="0" w:right="0" w:firstLine="464" w:firstLineChars="200"/>
              <w:textAlignment w:val="auto"/>
              <w:rPr>
                <w:rFonts w:hint="default" w:ascii="Times New Roman" w:hAnsi="Times New Roman" w:cs="Times New Roman"/>
                <w:color w:val="auto"/>
                <w:sz w:val="24"/>
                <w:szCs w:val="24"/>
                <w:highlight w:val="none"/>
              </w:rPr>
            </w:pPr>
            <w:r>
              <w:rPr>
                <w:color w:val="auto"/>
                <w:spacing w:val="-4"/>
                <w:sz w:val="24"/>
                <w:szCs w:val="24"/>
                <w:highlight w:val="none"/>
              </w:rPr>
              <w:t>根据《固定污染源排污许可分类管理名录》</w:t>
            </w:r>
            <w:r>
              <w:rPr>
                <w:rFonts w:hint="default" w:ascii="Times New Roman" w:hAnsi="Times New Roman" w:cs="Times New Roman"/>
                <w:color w:val="auto"/>
                <w:spacing w:val="-4"/>
                <w:sz w:val="24"/>
                <w:szCs w:val="24"/>
                <w:highlight w:val="none"/>
              </w:rPr>
              <w:t>（</w:t>
            </w:r>
            <w:r>
              <w:rPr>
                <w:rFonts w:hint="default" w:ascii="Times New Roman" w:hAnsi="Times New Roman" w:eastAsia="Times New Roman" w:cs="Times New Roman"/>
                <w:color w:val="auto"/>
                <w:spacing w:val="-4"/>
                <w:sz w:val="24"/>
                <w:szCs w:val="24"/>
                <w:highlight w:val="none"/>
              </w:rPr>
              <w:t xml:space="preserve">2019 </w:t>
            </w:r>
            <w:r>
              <w:rPr>
                <w:rFonts w:hint="default" w:ascii="Times New Roman" w:hAnsi="Times New Roman" w:cs="Times New Roman"/>
                <w:color w:val="auto"/>
                <w:spacing w:val="-4"/>
                <w:sz w:val="24"/>
                <w:szCs w:val="24"/>
                <w:highlight w:val="none"/>
              </w:rPr>
              <w:t>年版</w:t>
            </w:r>
            <w:r>
              <w:rPr>
                <w:rFonts w:hint="default" w:ascii="Times New Roman" w:hAnsi="Times New Roman" w:cs="Times New Roman"/>
                <w:color w:val="auto"/>
                <w:spacing w:val="-32"/>
                <w:sz w:val="24"/>
                <w:szCs w:val="24"/>
                <w:highlight w:val="none"/>
              </w:rPr>
              <w:t>），</w:t>
            </w:r>
            <w:r>
              <w:rPr>
                <w:rFonts w:hint="default" w:ascii="Times New Roman" w:hAnsi="Times New Roman" w:cs="Times New Roman"/>
                <w:color w:val="auto"/>
                <w:spacing w:val="-4"/>
                <w:sz w:val="24"/>
                <w:szCs w:val="24"/>
                <w:highlight w:val="none"/>
              </w:rPr>
              <w:t>本项目属于</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color w:val="auto"/>
                <w:sz w:val="24"/>
                <w:highlight w:val="none"/>
                <w:u w:val="none" w:color="auto"/>
                <w:lang w:eastAsia="zh-CN"/>
              </w:rPr>
              <w:t>三十</w:t>
            </w:r>
            <w:r>
              <w:rPr>
                <w:rFonts w:hint="default" w:ascii="Times New Roman" w:hAnsi="Times New Roman" w:cs="Times New Roman"/>
                <w:color w:val="auto"/>
                <w:sz w:val="24"/>
                <w:highlight w:val="none"/>
                <w:u w:val="none" w:color="auto"/>
                <w:lang w:val="en-US" w:eastAsia="zh-CN"/>
              </w:rPr>
              <w:t>七</w:t>
            </w:r>
            <w:r>
              <w:rPr>
                <w:rFonts w:hint="default" w:ascii="Times New Roman" w:hAnsi="Times New Roman" w:cs="Times New Roman"/>
                <w:color w:val="auto"/>
                <w:sz w:val="24"/>
                <w:highlight w:val="none"/>
                <w:u w:val="none" w:color="auto"/>
                <w:lang w:eastAsia="zh-CN"/>
              </w:rPr>
              <w:t>、废弃资源综合利用</w:t>
            </w:r>
            <w:r>
              <w:rPr>
                <w:rFonts w:hint="default" w:ascii="Times New Roman" w:hAnsi="Times New Roman" w:cs="Times New Roman"/>
                <w:color w:val="auto"/>
                <w:sz w:val="24"/>
                <w:highlight w:val="none"/>
                <w:u w:val="none" w:color="auto"/>
                <w:lang w:val="en-US" w:eastAsia="zh-CN"/>
              </w:rPr>
              <w:t>业42——</w:t>
            </w:r>
            <w:r>
              <w:rPr>
                <w:rFonts w:hint="eastAsia" w:ascii="Times New Roman" w:hAnsi="Times New Roman" w:cs="Times New Roman"/>
                <w:color w:val="auto"/>
                <w:sz w:val="24"/>
                <w:highlight w:val="none"/>
                <w:u w:val="none" w:color="auto"/>
                <w:lang w:eastAsia="zh-CN"/>
              </w:rPr>
              <w:t>其他非金属矿物制品制造</w:t>
            </w:r>
            <w:r>
              <w:rPr>
                <w:rFonts w:hint="default" w:ascii="Times New Roman" w:hAnsi="Times New Roman" w:cs="Times New Roman"/>
                <w:color w:val="auto"/>
                <w:sz w:val="24"/>
                <w:highlight w:val="none"/>
                <w:u w:val="none" w:color="auto"/>
                <w:lang w:eastAsia="zh-CN"/>
              </w:rPr>
              <w:t>422——含水洗工艺的其他废料和碎屑加工处理</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color w:val="auto"/>
                <w:spacing w:val="-4"/>
                <w:sz w:val="24"/>
                <w:szCs w:val="24"/>
                <w:highlight w:val="none"/>
              </w:rPr>
              <w:t>，属于</w:t>
            </w:r>
            <w:r>
              <w:rPr>
                <w:rFonts w:hint="default" w:ascii="Times New Roman" w:hAnsi="Times New Roman" w:cs="Times New Roman"/>
                <w:color w:val="auto"/>
                <w:spacing w:val="-4"/>
                <w:sz w:val="24"/>
                <w:szCs w:val="24"/>
                <w:highlight w:val="none"/>
                <w:lang w:val="en-US" w:eastAsia="zh-CN"/>
              </w:rPr>
              <w:t>简化</w:t>
            </w:r>
            <w:r>
              <w:rPr>
                <w:rFonts w:hint="default" w:ascii="Times New Roman" w:hAnsi="Times New Roman" w:cs="Times New Roman"/>
                <w:color w:val="auto"/>
                <w:spacing w:val="-4"/>
                <w:sz w:val="24"/>
                <w:szCs w:val="24"/>
                <w:highlight w:val="none"/>
              </w:rPr>
              <w:t>管理。</w:t>
            </w:r>
          </w:p>
          <w:p w14:paraId="5E0CC0C1">
            <w:pPr>
              <w:pStyle w:val="50"/>
              <w:keepNext w:val="0"/>
              <w:keepLines w:val="0"/>
              <w:pageBreakBefore w:val="0"/>
              <w:widowControl w:val="0"/>
              <w:kinsoku/>
              <w:overflowPunct/>
              <w:autoSpaceDE/>
              <w:autoSpaceDN/>
              <w:bidi w:val="0"/>
              <w:adjustRightInd/>
              <w:snapToGrid/>
              <w:spacing w:line="240" w:lineRule="auto"/>
              <w:ind w:left="0" w:right="0" w:firstLine="446" w:firstLineChars="200"/>
              <w:jc w:val="center"/>
              <w:textAlignment w:val="auto"/>
              <w:rPr>
                <w:color w:val="auto"/>
                <w:sz w:val="21"/>
                <w:szCs w:val="21"/>
                <w:highlight w:val="none"/>
              </w:rPr>
            </w:pPr>
            <w:r>
              <w:rPr>
                <w:b/>
                <w:bCs/>
                <w:color w:val="auto"/>
                <w:spacing w:val="6"/>
                <w:sz w:val="21"/>
                <w:szCs w:val="21"/>
                <w:highlight w:val="none"/>
              </w:rPr>
              <w:t>表</w:t>
            </w:r>
            <w:r>
              <w:rPr>
                <w:rFonts w:ascii="Times New Roman" w:hAnsi="Times New Roman" w:eastAsia="Times New Roman" w:cs="Times New Roman"/>
                <w:b/>
                <w:bCs/>
                <w:color w:val="auto"/>
                <w:spacing w:val="6"/>
                <w:sz w:val="21"/>
                <w:szCs w:val="21"/>
                <w:highlight w:val="none"/>
              </w:rPr>
              <w:t>4-</w:t>
            </w:r>
            <w:r>
              <w:rPr>
                <w:rFonts w:hint="eastAsia" w:ascii="Times New Roman" w:hAnsi="Times New Roman" w:eastAsia="宋体" w:cs="Times New Roman"/>
                <w:b/>
                <w:bCs/>
                <w:color w:val="auto"/>
                <w:spacing w:val="6"/>
                <w:sz w:val="21"/>
                <w:szCs w:val="21"/>
                <w:highlight w:val="none"/>
                <w:lang w:val="en-US" w:eastAsia="zh-CN"/>
              </w:rPr>
              <w:t xml:space="preserve">13  </w:t>
            </w:r>
            <w:r>
              <w:rPr>
                <w:rFonts w:ascii="Times New Roman" w:hAnsi="Times New Roman" w:eastAsia="Times New Roman" w:cs="Times New Roman"/>
                <w:b/>
                <w:bCs/>
                <w:color w:val="auto"/>
                <w:spacing w:val="6"/>
                <w:sz w:val="21"/>
                <w:szCs w:val="21"/>
                <w:highlight w:val="none"/>
              </w:rPr>
              <w:t xml:space="preserve"> </w:t>
            </w:r>
            <w:r>
              <w:rPr>
                <w:b/>
                <w:bCs/>
                <w:color w:val="auto"/>
                <w:spacing w:val="6"/>
                <w:sz w:val="21"/>
                <w:szCs w:val="21"/>
                <w:highlight w:val="none"/>
              </w:rPr>
              <w:t>本项目管理类别一览表</w:t>
            </w:r>
          </w:p>
          <w:tbl>
            <w:tblPr>
              <w:tblStyle w:val="5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6"/>
              <w:gridCol w:w="957"/>
              <w:gridCol w:w="1412"/>
              <w:gridCol w:w="2908"/>
              <w:gridCol w:w="2289"/>
            </w:tblGrid>
            <w:tr w14:paraId="0D12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1" w:type="pct"/>
                  <w:tcBorders>
                    <w:top w:val="single" w:color="000000" w:sz="10" w:space="0"/>
                    <w:left w:val="single" w:color="000000" w:sz="10" w:space="0"/>
                  </w:tcBorders>
                  <w:vAlign w:val="center"/>
                </w:tcPr>
                <w:p w14:paraId="736A33E9">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5"/>
                      <w:sz w:val="21"/>
                      <w:szCs w:val="21"/>
                      <w:highlight w:val="none"/>
                    </w:rPr>
                    <w:t>序号</w:t>
                  </w:r>
                </w:p>
              </w:tc>
              <w:tc>
                <w:tcPr>
                  <w:tcW w:w="579" w:type="pct"/>
                  <w:tcBorders>
                    <w:top w:val="single" w:color="000000" w:sz="10" w:space="0"/>
                  </w:tcBorders>
                  <w:vAlign w:val="center"/>
                </w:tcPr>
                <w:p w14:paraId="24C5EE13">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5"/>
                      <w:sz w:val="21"/>
                      <w:szCs w:val="21"/>
                      <w:highlight w:val="none"/>
                    </w:rPr>
                    <w:t>行业类</w:t>
                  </w:r>
                  <w:r>
                    <w:rPr>
                      <w:b/>
                      <w:bCs/>
                      <w:color w:val="auto"/>
                      <w:sz w:val="21"/>
                      <w:szCs w:val="21"/>
                      <w:highlight w:val="none"/>
                    </w:rPr>
                    <w:t>别</w:t>
                  </w:r>
                </w:p>
              </w:tc>
              <w:tc>
                <w:tcPr>
                  <w:tcW w:w="854" w:type="pct"/>
                  <w:tcBorders>
                    <w:top w:val="single" w:color="000000" w:sz="10" w:space="0"/>
                  </w:tcBorders>
                  <w:vAlign w:val="center"/>
                </w:tcPr>
                <w:p w14:paraId="3C876752">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7"/>
                      <w:sz w:val="21"/>
                      <w:szCs w:val="21"/>
                      <w:highlight w:val="none"/>
                    </w:rPr>
                    <w:t>重点管理</w:t>
                  </w:r>
                </w:p>
              </w:tc>
              <w:tc>
                <w:tcPr>
                  <w:tcW w:w="1759" w:type="pct"/>
                  <w:tcBorders>
                    <w:top w:val="single" w:color="000000" w:sz="10" w:space="0"/>
                  </w:tcBorders>
                  <w:vAlign w:val="center"/>
                </w:tcPr>
                <w:p w14:paraId="789A9881">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6"/>
                      <w:sz w:val="21"/>
                      <w:szCs w:val="21"/>
                      <w:highlight w:val="none"/>
                    </w:rPr>
                    <w:t>简化管理</w:t>
                  </w:r>
                </w:p>
              </w:tc>
              <w:tc>
                <w:tcPr>
                  <w:tcW w:w="1384" w:type="pct"/>
                  <w:tcBorders>
                    <w:top w:val="single" w:color="000000" w:sz="10" w:space="0"/>
                    <w:right w:val="single" w:color="000000" w:sz="10" w:space="0"/>
                  </w:tcBorders>
                  <w:vAlign w:val="center"/>
                </w:tcPr>
                <w:p w14:paraId="2E8FD1B6">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6"/>
                      <w:sz w:val="21"/>
                      <w:szCs w:val="21"/>
                      <w:highlight w:val="none"/>
                    </w:rPr>
                    <w:t>登记管理</w:t>
                  </w:r>
                </w:p>
              </w:tc>
            </w:tr>
            <w:tr w14:paraId="6EA1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1" w:type="pct"/>
                  <w:tcBorders>
                    <w:left w:val="single" w:color="000000" w:sz="10" w:space="0"/>
                    <w:bottom w:val="single" w:color="000000" w:sz="10" w:space="0"/>
                  </w:tcBorders>
                  <w:vAlign w:val="center"/>
                </w:tcPr>
                <w:p w14:paraId="59B46E8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pacing w:val="1"/>
                      <w:sz w:val="21"/>
                      <w:szCs w:val="21"/>
                      <w:highlight w:val="none"/>
                      <w:lang w:val="en-US" w:eastAsia="zh-CN"/>
                    </w:rPr>
                    <w:t>93</w:t>
                  </w:r>
                </w:p>
              </w:tc>
              <w:tc>
                <w:tcPr>
                  <w:tcW w:w="579" w:type="pct"/>
                  <w:tcBorders>
                    <w:bottom w:val="single" w:color="000000" w:sz="10" w:space="0"/>
                  </w:tcBorders>
                  <w:vAlign w:val="center"/>
                </w:tcPr>
                <w:p w14:paraId="71DED43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Times New Roman" w:cs="Times New Roman"/>
                      <w:b w:val="0"/>
                      <w:bCs w:val="0"/>
                      <w:color w:val="auto"/>
                      <w:sz w:val="21"/>
                      <w:szCs w:val="21"/>
                      <w:highlight w:val="none"/>
                    </w:rPr>
                  </w:pPr>
                  <w:r>
                    <w:rPr>
                      <w:rFonts w:hint="eastAsia"/>
                      <w:b w:val="0"/>
                      <w:bCs w:val="0"/>
                      <w:color w:val="auto"/>
                      <w:spacing w:val="6"/>
                      <w:sz w:val="21"/>
                      <w:szCs w:val="21"/>
                      <w:highlight w:val="none"/>
                      <w:lang w:eastAsia="zh-CN"/>
                    </w:rPr>
                    <w:t>其他非金属矿物制品制造</w:t>
                  </w:r>
                  <w:r>
                    <w:rPr>
                      <w:rFonts w:hint="eastAsia"/>
                      <w:b w:val="0"/>
                      <w:bCs w:val="0"/>
                      <w:color w:val="auto"/>
                      <w:spacing w:val="6"/>
                      <w:sz w:val="21"/>
                      <w:szCs w:val="21"/>
                      <w:highlight w:val="none"/>
                    </w:rPr>
                    <w:t xml:space="preserve"> 422</w:t>
                  </w:r>
                </w:p>
              </w:tc>
              <w:tc>
                <w:tcPr>
                  <w:tcW w:w="854" w:type="pct"/>
                  <w:tcBorders>
                    <w:bottom w:val="single" w:color="000000" w:sz="10" w:space="0"/>
                  </w:tcBorders>
                  <w:vAlign w:val="center"/>
                </w:tcPr>
                <w:p w14:paraId="0872E395">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rFonts w:hint="eastAsia"/>
                      <w:b w:val="0"/>
                      <w:bCs w:val="0"/>
                      <w:color w:val="auto"/>
                      <w:spacing w:val="7"/>
                      <w:sz w:val="21"/>
                      <w:szCs w:val="21"/>
                      <w:highlight w:val="none"/>
                    </w:rPr>
                    <w:t>废电池、废油、废轮胎加工处理</w:t>
                  </w:r>
                </w:p>
              </w:tc>
              <w:tc>
                <w:tcPr>
                  <w:tcW w:w="1759" w:type="pct"/>
                  <w:tcBorders>
                    <w:bottom w:val="single" w:color="000000" w:sz="10" w:space="0"/>
                  </w:tcBorders>
                  <w:vAlign w:val="center"/>
                </w:tcPr>
                <w:p w14:paraId="128C6DBF">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rFonts w:hint="eastAsia"/>
                      <w:b w:val="0"/>
                      <w:bCs w:val="0"/>
                      <w:color w:val="auto"/>
                      <w:spacing w:val="7"/>
                      <w:sz w:val="21"/>
                      <w:szCs w:val="21"/>
                      <w:highlight w:val="none"/>
                    </w:rPr>
                    <w:t>废弃电器电子产品、废机动车、废电机、废电线电缆、废塑料、废船、含水洗工艺的其他废料和碎屑加工处理</w:t>
                  </w:r>
                </w:p>
              </w:tc>
              <w:tc>
                <w:tcPr>
                  <w:tcW w:w="1384" w:type="pct"/>
                  <w:tcBorders>
                    <w:bottom w:val="single" w:color="000000" w:sz="10" w:space="0"/>
                    <w:right w:val="single" w:color="000000" w:sz="10" w:space="0"/>
                  </w:tcBorders>
                  <w:vAlign w:val="center"/>
                </w:tcPr>
                <w:p w14:paraId="0E3FF50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b w:val="0"/>
                      <w:bCs w:val="0"/>
                      <w:color w:val="auto"/>
                      <w:spacing w:val="7"/>
                      <w:sz w:val="21"/>
                      <w:szCs w:val="21"/>
                      <w:highlight w:val="none"/>
                    </w:rPr>
                    <w:t>其他</w:t>
                  </w:r>
                </w:p>
              </w:tc>
            </w:tr>
          </w:tbl>
          <w:p w14:paraId="2FED8D6E">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8.2</w:t>
            </w:r>
            <w:r>
              <w:rPr>
                <w:color w:val="auto"/>
                <w:spacing w:val="-2"/>
                <w:sz w:val="24"/>
                <w:szCs w:val="24"/>
                <w:highlight w:val="none"/>
              </w:rPr>
              <w:t>排污管理</w:t>
            </w:r>
          </w:p>
          <w:p w14:paraId="77B3ACA5">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据生态环境部发布《排污许可管理办法》（部令第</w:t>
            </w:r>
            <w:r>
              <w:rPr>
                <w:rFonts w:ascii="Times New Roman" w:hAnsi="Times New Roman" w:eastAsia="Times New Roman" w:cs="Times New Roman"/>
                <w:color w:val="auto"/>
                <w:spacing w:val="-1"/>
                <w:sz w:val="24"/>
                <w:szCs w:val="24"/>
                <w:highlight w:val="none"/>
              </w:rPr>
              <w:t>32</w:t>
            </w:r>
            <w:r>
              <w:rPr>
                <w:color w:val="auto"/>
                <w:spacing w:val="-2"/>
                <w:sz w:val="24"/>
                <w:szCs w:val="24"/>
                <w:highlight w:val="none"/>
              </w:rPr>
              <w:t>号）规定：</w:t>
            </w:r>
          </w:p>
          <w:p w14:paraId="3A8A90A5">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z w:val="24"/>
                <w:szCs w:val="24"/>
                <w:highlight w:val="none"/>
              </w:rPr>
            </w:pPr>
            <w:r>
              <w:rPr>
                <w:color w:val="auto"/>
                <w:sz w:val="24"/>
                <w:szCs w:val="24"/>
                <w:highlight w:val="none"/>
              </w:rPr>
              <w:t>排污登记单位应当依照国家生态环境保护法律</w:t>
            </w:r>
            <w:r>
              <w:rPr>
                <w:color w:val="auto"/>
                <w:spacing w:val="-1"/>
                <w:sz w:val="24"/>
                <w:szCs w:val="24"/>
                <w:highlight w:val="none"/>
              </w:rPr>
              <w:t>法规规章等管理规定运行和维护污染防治设施，建设规范化排放口，落实排污主体责任，控制污染物排</w:t>
            </w:r>
            <w:r>
              <w:rPr>
                <w:color w:val="auto"/>
                <w:spacing w:val="-5"/>
                <w:sz w:val="24"/>
                <w:szCs w:val="24"/>
                <w:highlight w:val="none"/>
              </w:rPr>
              <w:t>放。</w:t>
            </w:r>
          </w:p>
          <w:p w14:paraId="6AFCA3DF">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color w:val="auto"/>
                <w:spacing w:val="-2"/>
                <w:sz w:val="24"/>
                <w:szCs w:val="24"/>
                <w:highlight w:val="none"/>
              </w:rPr>
              <w:t>排污单位应当按照排污许可证规定和有关标准规范，依法开展</w:t>
            </w:r>
            <w:r>
              <w:rPr>
                <w:color w:val="auto"/>
                <w:spacing w:val="-3"/>
                <w:sz w:val="24"/>
                <w:szCs w:val="24"/>
                <w:highlight w:val="none"/>
              </w:rPr>
              <w:t>自行监测，</w:t>
            </w:r>
            <w:r>
              <w:rPr>
                <w:color w:val="auto"/>
                <w:spacing w:val="-1"/>
                <w:sz w:val="24"/>
                <w:szCs w:val="24"/>
                <w:highlight w:val="none"/>
              </w:rPr>
              <w:t>保存原始监测记录。原始监测记录保存期限不得少于五年。</w:t>
            </w:r>
          </w:p>
          <w:p w14:paraId="1FC7550E">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z w:val="24"/>
                <w:szCs w:val="24"/>
                <w:highlight w:val="none"/>
              </w:rPr>
            </w:pPr>
            <w:r>
              <w:rPr>
                <w:color w:val="auto"/>
                <w:sz w:val="24"/>
                <w:szCs w:val="24"/>
                <w:highlight w:val="none"/>
              </w:rPr>
              <w:t>排污单位对自行监测数据的真实性、准确性</w:t>
            </w:r>
            <w:r>
              <w:rPr>
                <w:color w:val="auto"/>
                <w:spacing w:val="-1"/>
                <w:sz w:val="24"/>
                <w:szCs w:val="24"/>
                <w:highlight w:val="none"/>
              </w:rPr>
              <w:t>负责，不得篡改、伪造。</w:t>
            </w:r>
          </w:p>
          <w:p w14:paraId="75B26521">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排污单位应当按照排污许可证规定的格式、内容和频次要求记录环境管理</w:t>
            </w:r>
            <w:r>
              <w:rPr>
                <w:color w:val="auto"/>
                <w:sz w:val="24"/>
                <w:szCs w:val="24"/>
                <w:highlight w:val="none"/>
              </w:rPr>
              <w:t xml:space="preserve"> </w:t>
            </w:r>
            <w:r>
              <w:rPr>
                <w:color w:val="auto"/>
                <w:spacing w:val="-3"/>
                <w:sz w:val="24"/>
                <w:szCs w:val="24"/>
                <w:highlight w:val="none"/>
              </w:rPr>
              <w:t>台账，主要包括以下内容：</w:t>
            </w:r>
          </w:p>
          <w:p w14:paraId="31625436">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（一）与污染物排放相关的主要生产设施运行情况；发生异常情况</w:t>
            </w:r>
            <w:r>
              <w:rPr>
                <w:color w:val="auto"/>
                <w:spacing w:val="-2"/>
                <w:sz w:val="24"/>
                <w:szCs w:val="24"/>
                <w:highlight w:val="none"/>
              </w:rPr>
              <w:t>的，应</w:t>
            </w:r>
            <w:r>
              <w:rPr>
                <w:color w:val="auto"/>
                <w:spacing w:val="-3"/>
                <w:sz w:val="24"/>
                <w:szCs w:val="24"/>
                <w:highlight w:val="none"/>
              </w:rPr>
              <w:t>当记录原因和采取的措施。</w:t>
            </w:r>
          </w:p>
          <w:p w14:paraId="7DFE9717">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（二）污染防治设施运行情况及管理信息；发</w:t>
            </w:r>
            <w:r>
              <w:rPr>
                <w:color w:val="auto"/>
                <w:spacing w:val="-2"/>
                <w:sz w:val="24"/>
                <w:szCs w:val="24"/>
                <w:highlight w:val="none"/>
              </w:rPr>
              <w:t>生异常情况的，应当记录原</w:t>
            </w:r>
            <w:r>
              <w:rPr>
                <w:color w:val="auto"/>
                <w:spacing w:val="-4"/>
                <w:sz w:val="24"/>
                <w:szCs w:val="24"/>
                <w:highlight w:val="none"/>
              </w:rPr>
              <w:t>因和采取的措施。</w:t>
            </w:r>
          </w:p>
          <w:p w14:paraId="2B4472EA">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（三）污染物实际排放浓度和排放量；发生超</w:t>
            </w:r>
            <w:r>
              <w:rPr>
                <w:color w:val="auto"/>
                <w:spacing w:val="-2"/>
                <w:sz w:val="24"/>
                <w:szCs w:val="24"/>
                <w:highlight w:val="none"/>
              </w:rPr>
              <w:t>标排放情况的，应当记录超标原因和采取的措施。</w:t>
            </w:r>
          </w:p>
          <w:p w14:paraId="3467C03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（四）其他按照相关技术规范应当记录的信息。</w:t>
            </w:r>
            <w:r>
              <w:rPr>
                <w:color w:val="auto"/>
                <w:spacing w:val="-1"/>
                <w:sz w:val="24"/>
                <w:szCs w:val="24"/>
                <w:highlight w:val="none"/>
              </w:rPr>
              <w:t>环境管理台账记录保存期限不得少于五年。</w:t>
            </w:r>
          </w:p>
          <w:p w14:paraId="79544B39">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排污单位应当按照排污许可证规定的执行报告内容、频次和时间要求，在全国排污许可证管理信息平台上填报、提交排污许可证执行报告。</w:t>
            </w:r>
          </w:p>
          <w:p w14:paraId="6AFCB064">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w:t>
            </w:r>
            <w:r>
              <w:rPr>
                <w:color w:val="auto"/>
                <w:spacing w:val="-2"/>
                <w:sz w:val="24"/>
                <w:szCs w:val="24"/>
                <w:highlight w:val="none"/>
              </w:rPr>
              <w:t>价的重要依据。</w:t>
            </w:r>
            <w:r>
              <w:rPr>
                <w:color w:val="auto"/>
                <w:spacing w:val="-1"/>
                <w:sz w:val="24"/>
                <w:szCs w:val="24"/>
                <w:highlight w:val="none"/>
              </w:rPr>
              <w:t>排污单位发生污染事故排放时，应当依照相关法律法规规章的规定及时报</w:t>
            </w:r>
            <w:r>
              <w:rPr>
                <w:color w:val="auto"/>
                <w:spacing w:val="-8"/>
                <w:sz w:val="24"/>
                <w:szCs w:val="24"/>
                <w:highlight w:val="none"/>
              </w:rPr>
              <w:t>告。</w:t>
            </w:r>
          </w:p>
          <w:p w14:paraId="071B25D6">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排污单位应当按照排污许可证规定，如实在全国排污许可证管理信息平台</w:t>
            </w:r>
            <w:r>
              <w:rPr>
                <w:color w:val="auto"/>
                <w:spacing w:val="-2"/>
                <w:sz w:val="24"/>
                <w:szCs w:val="24"/>
                <w:highlight w:val="none"/>
              </w:rPr>
              <w:t>上公开污染物排放信息。</w:t>
            </w:r>
            <w:r>
              <w:rPr>
                <w:color w:val="auto"/>
                <w:spacing w:val="-1"/>
                <w:sz w:val="24"/>
                <w:szCs w:val="24"/>
                <w:highlight w:val="none"/>
              </w:rPr>
              <w:t>污染物排放信息应当包括污染物排放种类、排放浓度和排放量，以及</w:t>
            </w:r>
            <w:r>
              <w:rPr>
                <w:color w:val="auto"/>
                <w:spacing w:val="-2"/>
                <w:sz w:val="24"/>
                <w:szCs w:val="24"/>
                <w:highlight w:val="none"/>
              </w:rPr>
              <w:t>污染</w:t>
            </w:r>
            <w:r>
              <w:rPr>
                <w:color w:val="auto"/>
                <w:spacing w:val="-1"/>
                <w:sz w:val="24"/>
                <w:szCs w:val="24"/>
                <w:highlight w:val="none"/>
              </w:rPr>
              <w:t>防治设施的建设运行情况、排污许可证执行报告、自行监测数据等；水污染物排入市政排水管网的，还应当包括污水接入市政排水管网位置、排放方式等信</w:t>
            </w:r>
            <w:r>
              <w:rPr>
                <w:color w:val="auto"/>
                <w:spacing w:val="-5"/>
                <w:sz w:val="24"/>
                <w:szCs w:val="24"/>
                <w:highlight w:val="none"/>
              </w:rPr>
              <w:t>息。</w:t>
            </w:r>
          </w:p>
          <w:p w14:paraId="266E8B95">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w:t>
            </w:r>
            <w:r>
              <w:rPr>
                <w:color w:val="auto"/>
                <w:spacing w:val="-2"/>
                <w:sz w:val="24"/>
                <w:szCs w:val="24"/>
                <w:highlight w:val="none"/>
              </w:rPr>
              <w:t>排污口规范化建设</w:t>
            </w:r>
          </w:p>
          <w:p w14:paraId="3AE823AF">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8.3.1</w:t>
            </w:r>
            <w:r>
              <w:rPr>
                <w:color w:val="auto"/>
                <w:spacing w:val="-2"/>
                <w:sz w:val="24"/>
                <w:szCs w:val="24"/>
                <w:highlight w:val="none"/>
              </w:rPr>
              <w:t>排污口规范化管理</w:t>
            </w:r>
          </w:p>
          <w:p w14:paraId="410E69A0">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排污口是企业污染物进入环境、污染环境的通道，强化排污口的管理是实</w:t>
            </w:r>
            <w:r>
              <w:rPr>
                <w:color w:val="auto"/>
                <w:sz w:val="24"/>
                <w:szCs w:val="24"/>
                <w:highlight w:val="none"/>
              </w:rPr>
              <w:t>施污染物总量控制的基础工作，也是区域环境管理逐</w:t>
            </w:r>
            <w:r>
              <w:rPr>
                <w:color w:val="auto"/>
                <w:spacing w:val="-1"/>
                <w:sz w:val="24"/>
                <w:szCs w:val="24"/>
                <w:highlight w:val="none"/>
              </w:rPr>
              <w:t>步实现污染物排放科学化、定量化的重要手段。本工程排污口应实行规范化设置与管理，具体管理原</w:t>
            </w:r>
            <w:r>
              <w:rPr>
                <w:color w:val="auto"/>
                <w:spacing w:val="-4"/>
                <w:sz w:val="24"/>
                <w:szCs w:val="24"/>
                <w:highlight w:val="none"/>
              </w:rPr>
              <w:t>则如下：</w:t>
            </w:r>
          </w:p>
          <w:p w14:paraId="392E32D4">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①排污口必须规范化设置；排污口应便于采样与计量监测，便于日常监督检查，应有观测、取样、维修通道。</w:t>
            </w:r>
          </w:p>
          <w:p w14:paraId="365880C4">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pacing w:val="-1"/>
                <w:sz w:val="24"/>
                <w:szCs w:val="24"/>
                <w:highlight w:val="none"/>
              </w:rPr>
            </w:pPr>
            <w:r>
              <w:rPr>
                <w:color w:val="auto"/>
                <w:sz w:val="24"/>
                <w:szCs w:val="24"/>
                <w:highlight w:val="none"/>
              </w:rPr>
              <w:t>②如实向环保管理部门申报排污口数量、位置及所</w:t>
            </w:r>
            <w:r>
              <w:rPr>
                <w:color w:val="auto"/>
                <w:spacing w:val="-1"/>
                <w:sz w:val="24"/>
                <w:szCs w:val="24"/>
                <w:highlight w:val="none"/>
              </w:rPr>
              <w:t>排放的主要污染物种类、数量、浓度、排放去向等情况。</w:t>
            </w:r>
          </w:p>
          <w:p w14:paraId="2507C48A">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8.3.2</w:t>
            </w:r>
            <w:r>
              <w:rPr>
                <w:color w:val="auto"/>
                <w:spacing w:val="-2"/>
                <w:sz w:val="24"/>
                <w:szCs w:val="24"/>
                <w:highlight w:val="none"/>
              </w:rPr>
              <w:t>排污口立标管理</w:t>
            </w:r>
          </w:p>
          <w:p w14:paraId="0BC68D41">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根据国家标准《环境保护图形标志</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排放口（源）》和国家环保总局《排污口规范化整治要求》（试行）的技术要求，企业所有排放口（包括水、气、</w:t>
            </w:r>
            <w:r>
              <w:rPr>
                <w:color w:val="auto"/>
                <w:sz w:val="24"/>
                <w:szCs w:val="24"/>
                <w:highlight w:val="none"/>
              </w:rPr>
              <w:t>声、渣）必须按照</w:t>
            </w:r>
            <w:r>
              <w:rPr>
                <w:rFonts w:ascii="Times New Roman" w:hAnsi="Times New Roman" w:eastAsia="Times New Roman" w:cs="Times New Roman"/>
                <w:color w:val="auto"/>
                <w:sz w:val="24"/>
                <w:szCs w:val="24"/>
                <w:highlight w:val="none"/>
              </w:rPr>
              <w:t>“</w:t>
            </w:r>
            <w:r>
              <w:rPr>
                <w:color w:val="auto"/>
                <w:sz w:val="24"/>
                <w:szCs w:val="24"/>
                <w:highlight w:val="none"/>
              </w:rPr>
              <w:t>便于采样、便于计量检测、便于日常</w:t>
            </w:r>
            <w:r>
              <w:rPr>
                <w:color w:val="auto"/>
                <w:spacing w:val="-1"/>
                <w:sz w:val="24"/>
                <w:szCs w:val="24"/>
                <w:highlight w:val="none"/>
              </w:rPr>
              <w:t>现场监督检查</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的原则和规范化要求，设置与之相适应的环境保护图形标志牌，同时对污水排放口安装流量计，对治理设施安装运行监控装置、排污口的规范化要符合有关环保要</w:t>
            </w:r>
            <w:r>
              <w:rPr>
                <w:color w:val="auto"/>
                <w:spacing w:val="-5"/>
                <w:sz w:val="24"/>
                <w:szCs w:val="24"/>
                <w:highlight w:val="none"/>
              </w:rPr>
              <w:t>求。</w:t>
            </w:r>
          </w:p>
          <w:p w14:paraId="3A62EC6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）污水排放口</w:t>
            </w:r>
          </w:p>
          <w:p w14:paraId="11263748">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本项目不设污水排放口。</w:t>
            </w:r>
          </w:p>
          <w:p w14:paraId="4D50D26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color w:val="auto"/>
                <w:spacing w:val="-3"/>
                <w:sz w:val="24"/>
                <w:szCs w:val="24"/>
                <w:highlight w:val="none"/>
              </w:rPr>
              <w:t>）废气排放</w:t>
            </w:r>
          </w:p>
          <w:p w14:paraId="608D27C0">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本项目不设污水排放口。</w:t>
            </w:r>
          </w:p>
          <w:p w14:paraId="188F00EE">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rFonts w:ascii="Times New Roman" w:hAnsi="Times New Roman" w:eastAsia="Times New Roman" w:cs="Times New Roman"/>
                <w:color w:val="auto"/>
                <w:spacing w:val="-2"/>
                <w:sz w:val="24"/>
                <w:szCs w:val="24"/>
                <w:highlight w:val="none"/>
              </w:rPr>
            </w:pPr>
            <w:r>
              <w:rPr>
                <w:rFonts w:ascii="Times New Roman" w:hAnsi="Times New Roman" w:eastAsia="Times New Roman" w:cs="Times New Roman"/>
                <w:color w:val="auto"/>
                <w:spacing w:val="-2"/>
                <w:sz w:val="24"/>
                <w:szCs w:val="24"/>
                <w:highlight w:val="none"/>
              </w:rPr>
              <w:t>8.3.3排污口建档管理</w:t>
            </w:r>
          </w:p>
          <w:p w14:paraId="5F0B7C2B">
            <w:pPr>
              <w:pStyle w:val="50"/>
              <w:keepNext w:val="0"/>
              <w:keepLines w:val="0"/>
              <w:pageBreakBefore w:val="0"/>
              <w:widowControl w:val="0"/>
              <w:kinsoku/>
              <w:overflowPunct/>
              <w:autoSpaceDE/>
              <w:autoSpaceDN/>
              <w:bidi w:val="0"/>
              <w:adjustRightInd/>
              <w:snapToGrid/>
              <w:spacing w:line="360" w:lineRule="auto"/>
              <w:ind w:left="0" w:right="0" w:firstLine="451"/>
              <w:textAlignment w:val="auto"/>
              <w:rPr>
                <w:rFonts w:hint="default"/>
                <w:color w:val="auto"/>
                <w:highlight w:val="green"/>
                <w:u w:val="none" w:color="auto"/>
                <w:lang w:val="en-US" w:eastAsia="zh-CN"/>
              </w:rPr>
            </w:pPr>
            <w:r>
              <w:rPr>
                <w:color w:val="auto"/>
                <w:spacing w:val="-1"/>
                <w:sz w:val="24"/>
                <w:szCs w:val="24"/>
              </w:rPr>
              <w:t>本项目应按照《中华人民共和国规范化排污</w:t>
            </w:r>
            <w:r>
              <w:rPr>
                <w:color w:val="auto"/>
                <w:spacing w:val="-2"/>
                <w:sz w:val="24"/>
                <w:szCs w:val="24"/>
              </w:rPr>
              <w:t>口标志登记证》要求填写有关</w:t>
            </w:r>
            <w:r>
              <w:rPr>
                <w:color w:val="auto"/>
                <w:spacing w:val="-14"/>
                <w:sz w:val="24"/>
                <w:szCs w:val="24"/>
              </w:rPr>
              <w:t>内容。</w:t>
            </w:r>
            <w:r>
              <w:rPr>
                <w:color w:val="auto"/>
                <w:spacing w:val="-6"/>
                <w:sz w:val="24"/>
                <w:szCs w:val="24"/>
              </w:rPr>
              <w:t>根据排污口管理内容要求，项目建成投产后，应将主要污染物</w:t>
            </w:r>
            <w:r>
              <w:rPr>
                <w:color w:val="auto"/>
                <w:spacing w:val="-7"/>
                <w:sz w:val="24"/>
                <w:szCs w:val="24"/>
              </w:rPr>
              <w:t>种类、数量、</w:t>
            </w:r>
            <w:r>
              <w:rPr>
                <w:color w:val="auto"/>
                <w:spacing w:val="-1"/>
                <w:sz w:val="24"/>
                <w:szCs w:val="24"/>
              </w:rPr>
              <w:t>浓度、排放去向、立标情况及设施运行情况记录于档案。</w:t>
            </w:r>
          </w:p>
        </w:tc>
      </w:tr>
    </w:tbl>
    <w:p w14:paraId="548B556F">
      <w:pPr>
        <w:pStyle w:val="2"/>
        <w:bidi w:val="0"/>
        <w:jc w:val="center"/>
        <w:rPr>
          <w:rFonts w:hint="default" w:ascii="Times New Roman" w:hAnsi="Times New Roman" w:cs="Times New Roman"/>
          <w:b w:val="0"/>
          <w:bCs w:val="0"/>
          <w:color w:val="auto"/>
          <w:highlight w:val="green"/>
          <w:u w:val="none" w:color="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2" w:name="_Toc15965"/>
      <w:bookmarkStart w:id="43" w:name="_Toc2520"/>
      <w:bookmarkStart w:id="44" w:name="_Toc14999"/>
      <w:bookmarkStart w:id="45" w:name="_Toc15107"/>
      <w:bookmarkStart w:id="46" w:name="_Toc16659"/>
      <w:bookmarkStart w:id="47" w:name="_Toc2192"/>
      <w:bookmarkStart w:id="48" w:name="_Hlk54167917"/>
      <w:bookmarkStart w:id="49" w:name="_Toc27156"/>
    </w:p>
    <w:p w14:paraId="782DB5DF">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50" w:name="_Toc11055"/>
      <w:r>
        <w:rPr>
          <w:rFonts w:hint="default" w:ascii="Times New Roman" w:hAnsi="Times New Roman" w:eastAsia="宋体" w:cs="Times New Roman"/>
          <w:b/>
          <w:bCs/>
          <w:color w:val="auto"/>
          <w:kern w:val="44"/>
          <w:sz w:val="28"/>
          <w:szCs w:val="44"/>
          <w:highlight w:val="none"/>
          <w:u w:val="none" w:color="auto"/>
          <w:lang w:val="en-US" w:eastAsia="zh-CN" w:bidi="ar-SA"/>
        </w:rPr>
        <w:t>五、环境保护措施监督检查清单</w:t>
      </w:r>
      <w:bookmarkEnd w:id="42"/>
      <w:bookmarkEnd w:id="43"/>
      <w:bookmarkEnd w:id="44"/>
      <w:bookmarkEnd w:id="45"/>
      <w:bookmarkEnd w:id="46"/>
      <w:bookmarkEnd w:id="47"/>
      <w:bookmarkEnd w:id="48"/>
      <w:bookmarkEnd w:id="49"/>
      <w:bookmarkEnd w:id="50"/>
    </w:p>
    <w:tbl>
      <w:tblPr>
        <w:tblStyle w:val="2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769"/>
        <w:gridCol w:w="642"/>
        <w:gridCol w:w="1483"/>
        <w:gridCol w:w="1795"/>
        <w:gridCol w:w="2710"/>
      </w:tblGrid>
      <w:tr w14:paraId="29AFE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8" w:type="pct"/>
            <w:tcBorders>
              <w:top w:val="single" w:color="auto" w:sz="8" w:space="0"/>
              <w:left w:val="single" w:color="auto" w:sz="8" w:space="0"/>
              <w:bottom w:val="single" w:color="auto" w:sz="4" w:space="0"/>
              <w:right w:val="single" w:color="auto" w:sz="4" w:space="0"/>
              <w:tl2br w:val="single" w:color="auto" w:sz="4" w:space="0"/>
            </w:tcBorders>
          </w:tcPr>
          <w:p w14:paraId="07DE0CB6">
            <w:pPr>
              <w:keepNext w:val="0"/>
              <w:keepLines w:val="0"/>
              <w:pageBreakBefore w:val="0"/>
              <w:widowControl w:val="0"/>
              <w:kinsoku/>
              <w:overflowPunct/>
              <w:autoSpaceDE/>
              <w:autoSpaceDN/>
              <w:bidi w:val="0"/>
              <w:adjustRightInd/>
              <w:snapToGrid w:val="0"/>
              <w:ind w:firstLine="422" w:firstLineChars="20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内容</w:t>
            </w:r>
          </w:p>
          <w:p w14:paraId="0AD722DD">
            <w:pPr>
              <w:keepNext w:val="0"/>
              <w:keepLines w:val="0"/>
              <w:pageBreakBefore w:val="0"/>
              <w:widowControl w:val="0"/>
              <w:kinsoku/>
              <w:overflowPunct/>
              <w:autoSpaceDE/>
              <w:autoSpaceDN/>
              <w:bidi w:val="0"/>
              <w:adjustRightInd/>
              <w:snapToGrid w:val="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要素</w:t>
            </w:r>
          </w:p>
        </w:tc>
        <w:tc>
          <w:tcPr>
            <w:tcW w:w="828" w:type="pct"/>
            <w:gridSpan w:val="2"/>
            <w:tcBorders>
              <w:top w:val="single" w:color="auto" w:sz="8" w:space="0"/>
              <w:left w:val="single" w:color="auto" w:sz="4" w:space="0"/>
              <w:bottom w:val="single" w:color="auto" w:sz="4" w:space="0"/>
              <w:right w:val="single" w:color="auto" w:sz="4" w:space="0"/>
            </w:tcBorders>
            <w:vAlign w:val="center"/>
          </w:tcPr>
          <w:p w14:paraId="66817EA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排放口(编号、名称)/污染源</w:t>
            </w:r>
          </w:p>
        </w:tc>
        <w:tc>
          <w:tcPr>
            <w:tcW w:w="870" w:type="pct"/>
            <w:tcBorders>
              <w:top w:val="single" w:color="auto" w:sz="8" w:space="0"/>
              <w:left w:val="single" w:color="auto" w:sz="4" w:space="0"/>
              <w:bottom w:val="single" w:color="auto" w:sz="4" w:space="0"/>
              <w:right w:val="single" w:color="auto" w:sz="4" w:space="0"/>
            </w:tcBorders>
            <w:vAlign w:val="center"/>
          </w:tcPr>
          <w:p w14:paraId="7A64F6A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污染物项目</w:t>
            </w:r>
          </w:p>
        </w:tc>
        <w:tc>
          <w:tcPr>
            <w:tcW w:w="1053" w:type="pct"/>
            <w:tcBorders>
              <w:top w:val="single" w:color="auto" w:sz="8" w:space="0"/>
              <w:left w:val="single" w:color="auto" w:sz="4" w:space="0"/>
              <w:bottom w:val="single" w:color="auto" w:sz="4" w:space="0"/>
              <w:right w:val="single" w:color="auto" w:sz="4" w:space="0"/>
            </w:tcBorders>
            <w:vAlign w:val="center"/>
          </w:tcPr>
          <w:p w14:paraId="6955F1BC">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环境保护措施</w:t>
            </w:r>
          </w:p>
        </w:tc>
        <w:tc>
          <w:tcPr>
            <w:tcW w:w="1589" w:type="pct"/>
            <w:tcBorders>
              <w:top w:val="single" w:color="auto" w:sz="8" w:space="0"/>
              <w:left w:val="single" w:color="auto" w:sz="4" w:space="0"/>
              <w:bottom w:val="single" w:color="auto" w:sz="4" w:space="0"/>
              <w:right w:val="single" w:color="auto" w:sz="8" w:space="0"/>
            </w:tcBorders>
            <w:vAlign w:val="center"/>
          </w:tcPr>
          <w:p w14:paraId="550A92F1">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执行标准</w:t>
            </w:r>
          </w:p>
        </w:tc>
      </w:tr>
      <w:tr w14:paraId="52CEF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8" w:type="pct"/>
            <w:vMerge w:val="restart"/>
            <w:tcBorders>
              <w:left w:val="single" w:color="auto" w:sz="8" w:space="0"/>
              <w:right w:val="single" w:color="auto" w:sz="4" w:space="0"/>
            </w:tcBorders>
            <w:vAlign w:val="center"/>
          </w:tcPr>
          <w:p w14:paraId="21193ACD">
            <w:pPr>
              <w:keepNext w:val="0"/>
              <w:keepLines w:val="0"/>
              <w:pageBreakBefore w:val="0"/>
              <w:widowControl w:val="0"/>
              <w:kinsoku/>
              <w:overflowPunct/>
              <w:autoSpaceDE/>
              <w:autoSpaceDN/>
              <w:bidi w:val="0"/>
              <w:adjustRightInd/>
              <w:snapToGrid w:val="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大气环境</w:t>
            </w:r>
          </w:p>
        </w:tc>
        <w:tc>
          <w:tcPr>
            <w:tcW w:w="451" w:type="pct"/>
            <w:vMerge w:val="restart"/>
            <w:tcBorders>
              <w:top w:val="single" w:color="auto" w:sz="4" w:space="0"/>
              <w:left w:val="single" w:color="auto" w:sz="4" w:space="0"/>
              <w:right w:val="single" w:color="auto" w:sz="4" w:space="0"/>
            </w:tcBorders>
            <w:vAlign w:val="center"/>
          </w:tcPr>
          <w:p w14:paraId="487C537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无组织废气</w:t>
            </w:r>
          </w:p>
        </w:tc>
        <w:tc>
          <w:tcPr>
            <w:tcW w:w="376" w:type="pct"/>
            <w:vMerge w:val="restart"/>
            <w:tcBorders>
              <w:top w:val="single" w:color="auto" w:sz="4" w:space="0"/>
              <w:left w:val="single" w:color="auto" w:sz="4" w:space="0"/>
              <w:right w:val="single" w:color="auto" w:sz="4" w:space="0"/>
            </w:tcBorders>
            <w:vAlign w:val="center"/>
          </w:tcPr>
          <w:p w14:paraId="435CBEC2">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厂界</w:t>
            </w:r>
          </w:p>
        </w:tc>
        <w:tc>
          <w:tcPr>
            <w:tcW w:w="1483" w:type="dxa"/>
            <w:tcBorders>
              <w:top w:val="single" w:color="auto" w:sz="4" w:space="0"/>
              <w:left w:val="single" w:color="auto" w:sz="4" w:space="0"/>
              <w:right w:val="single" w:color="auto" w:sz="4" w:space="0"/>
            </w:tcBorders>
            <w:vAlign w:val="center"/>
          </w:tcPr>
          <w:p w14:paraId="7936A6B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装卸（颗粒物）</w:t>
            </w:r>
          </w:p>
        </w:tc>
        <w:tc>
          <w:tcPr>
            <w:tcW w:w="1053" w:type="pct"/>
            <w:vMerge w:val="restart"/>
            <w:tcBorders>
              <w:top w:val="single" w:color="auto" w:sz="4" w:space="0"/>
              <w:left w:val="single" w:color="auto" w:sz="4" w:space="0"/>
              <w:right w:val="single" w:color="auto" w:sz="4" w:space="0"/>
            </w:tcBorders>
            <w:vAlign w:val="center"/>
          </w:tcPr>
          <w:p w14:paraId="5D47D3B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加强厂区绿化</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洒水抑尘</w:t>
            </w:r>
          </w:p>
        </w:tc>
        <w:tc>
          <w:tcPr>
            <w:tcW w:w="1589" w:type="pct"/>
            <w:vMerge w:val="restart"/>
            <w:tcBorders>
              <w:left w:val="single" w:color="auto" w:sz="4" w:space="0"/>
              <w:right w:val="single" w:color="auto" w:sz="8" w:space="0"/>
            </w:tcBorders>
            <w:vAlign w:val="center"/>
          </w:tcPr>
          <w:p w14:paraId="0C74135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kern w:val="2"/>
                <w:sz w:val="21"/>
                <w:szCs w:val="21"/>
                <w:highlight w:val="none"/>
                <w:u w:val="none" w:color="auto"/>
                <w:lang w:val="en-US" w:eastAsia="zh-CN" w:bidi="ar-SA"/>
              </w:rPr>
            </w:pPr>
            <w:r>
              <w:rPr>
                <w:rFonts w:hint="default" w:ascii="Times New Roman" w:hAnsi="Times New Roman" w:eastAsia="宋体" w:cs="Times New Roman"/>
                <w:color w:val="auto"/>
                <w:spacing w:val="-4"/>
                <w:kern w:val="2"/>
                <w:sz w:val="21"/>
                <w:szCs w:val="21"/>
                <w:highlight w:val="none"/>
                <w:u w:val="none" w:color="auto"/>
                <w:lang w:val="en-US" w:eastAsia="zh-CN" w:bidi="ar-SA"/>
              </w:rPr>
              <w:t>《大气污染物综合排放标准》</w:t>
            </w:r>
          </w:p>
          <w:p w14:paraId="4DFE6B07">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spacing w:val="-4"/>
                <w:kern w:val="2"/>
                <w:sz w:val="21"/>
                <w:szCs w:val="21"/>
                <w:highlight w:val="none"/>
                <w:u w:val="none" w:color="auto"/>
                <w:lang w:val="en-US" w:eastAsia="zh-CN" w:bidi="ar-SA"/>
              </w:rPr>
              <w:t>（GB16297-1996）</w:t>
            </w:r>
            <w:r>
              <w:rPr>
                <w:rFonts w:hint="eastAsia" w:cs="Times New Roman"/>
                <w:color w:val="auto"/>
                <w:spacing w:val="-4"/>
                <w:kern w:val="2"/>
                <w:sz w:val="21"/>
                <w:szCs w:val="21"/>
                <w:highlight w:val="none"/>
                <w:u w:val="none" w:color="auto"/>
                <w:lang w:val="en-US" w:eastAsia="zh-CN" w:bidi="ar-SA"/>
              </w:rPr>
              <w:t>中</w:t>
            </w:r>
            <w:r>
              <w:rPr>
                <w:rFonts w:hint="default"/>
                <w:color w:val="auto"/>
                <w:highlight w:val="none"/>
                <w:u w:val="none" w:color="auto"/>
                <w:lang w:val="en-US" w:eastAsia="zh-CN"/>
              </w:rPr>
              <w:t>无组织排放监控浓度限</w:t>
            </w:r>
            <w:r>
              <w:rPr>
                <w:rFonts w:hint="eastAsia"/>
                <w:color w:val="auto"/>
                <w:highlight w:val="none"/>
                <w:u w:val="none" w:color="auto"/>
                <w:lang w:val="en-US" w:eastAsia="zh-CN"/>
              </w:rPr>
              <w:t>值</w:t>
            </w:r>
          </w:p>
        </w:tc>
      </w:tr>
      <w:tr w14:paraId="62119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8" w:type="pct"/>
            <w:vMerge w:val="continue"/>
            <w:tcBorders>
              <w:left w:val="single" w:color="auto" w:sz="8" w:space="0"/>
              <w:right w:val="single" w:color="auto" w:sz="4" w:space="0"/>
            </w:tcBorders>
            <w:vAlign w:val="center"/>
          </w:tcPr>
          <w:p w14:paraId="0F6A752D">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451" w:type="pct"/>
            <w:vMerge w:val="continue"/>
            <w:tcBorders>
              <w:left w:val="single" w:color="auto" w:sz="4" w:space="0"/>
              <w:right w:val="single" w:color="auto" w:sz="4" w:space="0"/>
            </w:tcBorders>
            <w:vAlign w:val="center"/>
          </w:tcPr>
          <w:p w14:paraId="275A00E1">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376" w:type="pct"/>
            <w:vMerge w:val="continue"/>
            <w:tcBorders>
              <w:left w:val="single" w:color="auto" w:sz="4" w:space="0"/>
              <w:right w:val="single" w:color="auto" w:sz="4" w:space="0"/>
            </w:tcBorders>
            <w:vAlign w:val="center"/>
          </w:tcPr>
          <w:p w14:paraId="679917E5">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1483" w:type="dxa"/>
            <w:tcBorders>
              <w:top w:val="single" w:color="auto" w:sz="4" w:space="0"/>
              <w:left w:val="single" w:color="auto" w:sz="4" w:space="0"/>
              <w:right w:val="single" w:color="auto" w:sz="4" w:space="0"/>
            </w:tcBorders>
            <w:vAlign w:val="center"/>
          </w:tcPr>
          <w:p w14:paraId="2372987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筛分（颗粒物）</w:t>
            </w:r>
          </w:p>
        </w:tc>
        <w:tc>
          <w:tcPr>
            <w:tcW w:w="1053" w:type="pct"/>
            <w:vMerge w:val="continue"/>
            <w:tcBorders>
              <w:left w:val="single" w:color="auto" w:sz="4" w:space="0"/>
              <w:right w:val="single" w:color="auto" w:sz="4" w:space="0"/>
            </w:tcBorders>
            <w:vAlign w:val="center"/>
          </w:tcPr>
          <w:p w14:paraId="11561BFA">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89" w:type="pct"/>
            <w:vMerge w:val="continue"/>
            <w:tcBorders>
              <w:left w:val="single" w:color="auto" w:sz="4" w:space="0"/>
              <w:right w:val="single" w:color="auto" w:sz="8" w:space="0"/>
            </w:tcBorders>
            <w:vAlign w:val="center"/>
          </w:tcPr>
          <w:p w14:paraId="220402F6">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17D5D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8" w:type="pct"/>
            <w:vMerge w:val="continue"/>
            <w:tcBorders>
              <w:left w:val="single" w:color="auto" w:sz="8" w:space="0"/>
              <w:right w:val="single" w:color="auto" w:sz="4" w:space="0"/>
            </w:tcBorders>
            <w:vAlign w:val="center"/>
          </w:tcPr>
          <w:p w14:paraId="269D7A3A">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28043606">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60476087">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483" w:type="dxa"/>
            <w:tcBorders>
              <w:top w:val="single" w:color="auto" w:sz="4" w:space="0"/>
              <w:left w:val="single" w:color="auto" w:sz="4" w:space="0"/>
              <w:right w:val="single" w:color="auto" w:sz="4" w:space="0"/>
            </w:tcBorders>
            <w:vAlign w:val="center"/>
          </w:tcPr>
          <w:p w14:paraId="65BD113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堆场（颗粒物）</w:t>
            </w:r>
          </w:p>
        </w:tc>
        <w:tc>
          <w:tcPr>
            <w:tcW w:w="1053" w:type="pct"/>
            <w:vMerge w:val="continue"/>
            <w:tcBorders>
              <w:left w:val="single" w:color="auto" w:sz="4" w:space="0"/>
              <w:right w:val="single" w:color="auto" w:sz="4" w:space="0"/>
            </w:tcBorders>
            <w:vAlign w:val="center"/>
          </w:tcPr>
          <w:p w14:paraId="5B9FE887">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89" w:type="pct"/>
            <w:vMerge w:val="continue"/>
            <w:tcBorders>
              <w:left w:val="single" w:color="auto" w:sz="4" w:space="0"/>
              <w:right w:val="single" w:color="auto" w:sz="8" w:space="0"/>
            </w:tcBorders>
            <w:vAlign w:val="center"/>
          </w:tcPr>
          <w:p w14:paraId="09AECDA2">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18619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pct"/>
            <w:vMerge w:val="continue"/>
            <w:tcBorders>
              <w:left w:val="single" w:color="auto" w:sz="8" w:space="0"/>
              <w:right w:val="single" w:color="auto" w:sz="4" w:space="0"/>
            </w:tcBorders>
            <w:vAlign w:val="center"/>
          </w:tcPr>
          <w:p w14:paraId="4A83CD02">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3FFACDAC">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4F2433B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483" w:type="dxa"/>
            <w:tcBorders>
              <w:top w:val="single" w:color="auto" w:sz="4" w:space="0"/>
              <w:left w:val="single" w:color="auto" w:sz="4" w:space="0"/>
              <w:right w:val="single" w:color="auto" w:sz="4" w:space="0"/>
            </w:tcBorders>
            <w:vAlign w:val="center"/>
          </w:tcPr>
          <w:p w14:paraId="260B187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rPr>
            </w:pPr>
            <w:r>
              <w:rPr>
                <w:rFonts w:hint="eastAsia" w:ascii="Times New Roman" w:hAnsi="Times New Roman" w:cs="Times New Roman"/>
                <w:color w:val="auto"/>
                <w:sz w:val="21"/>
                <w:szCs w:val="21"/>
                <w:highlight w:val="none"/>
                <w:u w:val="none" w:color="auto"/>
                <w:lang w:val="en-US" w:eastAsia="zh-CN"/>
              </w:rPr>
              <w:t>破碎（颗粒物）</w:t>
            </w:r>
          </w:p>
        </w:tc>
        <w:tc>
          <w:tcPr>
            <w:tcW w:w="1053" w:type="pct"/>
            <w:vMerge w:val="continue"/>
            <w:tcBorders>
              <w:left w:val="single" w:color="auto" w:sz="4" w:space="0"/>
              <w:right w:val="single" w:color="auto" w:sz="4" w:space="0"/>
            </w:tcBorders>
            <w:vAlign w:val="center"/>
          </w:tcPr>
          <w:p w14:paraId="51CA3E1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89" w:type="pct"/>
            <w:vMerge w:val="continue"/>
            <w:tcBorders>
              <w:left w:val="single" w:color="auto" w:sz="4" w:space="0"/>
              <w:right w:val="single" w:color="auto" w:sz="8" w:space="0"/>
            </w:tcBorders>
            <w:vAlign w:val="center"/>
          </w:tcPr>
          <w:p w14:paraId="32AC0618">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5CDAC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8" w:type="pct"/>
            <w:vMerge w:val="continue"/>
            <w:tcBorders>
              <w:left w:val="single" w:color="auto" w:sz="8" w:space="0"/>
              <w:right w:val="single" w:color="auto" w:sz="4" w:space="0"/>
            </w:tcBorders>
            <w:vAlign w:val="center"/>
          </w:tcPr>
          <w:p w14:paraId="4906A501">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45A2221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10533FEB">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483" w:type="dxa"/>
            <w:tcBorders>
              <w:top w:val="single" w:color="auto" w:sz="4" w:space="0"/>
              <w:left w:val="single" w:color="auto" w:sz="4" w:space="0"/>
              <w:right w:val="single" w:color="auto" w:sz="4" w:space="0"/>
            </w:tcBorders>
            <w:vAlign w:val="center"/>
          </w:tcPr>
          <w:p w14:paraId="2B8FE9C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运输（颗粒物）</w:t>
            </w:r>
          </w:p>
        </w:tc>
        <w:tc>
          <w:tcPr>
            <w:tcW w:w="1053" w:type="pct"/>
            <w:vMerge w:val="continue"/>
            <w:tcBorders>
              <w:left w:val="single" w:color="auto" w:sz="4" w:space="0"/>
              <w:right w:val="single" w:color="auto" w:sz="4" w:space="0"/>
            </w:tcBorders>
            <w:vAlign w:val="center"/>
          </w:tcPr>
          <w:p w14:paraId="3034EC1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89" w:type="pct"/>
            <w:vMerge w:val="continue"/>
            <w:tcBorders>
              <w:left w:val="single" w:color="auto" w:sz="4" w:space="0"/>
              <w:right w:val="single" w:color="auto" w:sz="8" w:space="0"/>
            </w:tcBorders>
            <w:vAlign w:val="center"/>
          </w:tcPr>
          <w:p w14:paraId="2F58CAD2">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798B2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8" w:type="pct"/>
            <w:vMerge w:val="continue"/>
            <w:tcBorders>
              <w:left w:val="single" w:color="auto" w:sz="8" w:space="0"/>
              <w:right w:val="single" w:color="auto" w:sz="4" w:space="0"/>
            </w:tcBorders>
            <w:vAlign w:val="center"/>
          </w:tcPr>
          <w:p w14:paraId="04561D6F">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16924902">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7A98D107">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483" w:type="dxa"/>
            <w:tcBorders>
              <w:top w:val="single" w:color="auto" w:sz="4" w:space="0"/>
              <w:left w:val="single" w:color="auto" w:sz="4" w:space="0"/>
              <w:right w:val="single" w:color="auto" w:sz="4" w:space="0"/>
            </w:tcBorders>
            <w:vAlign w:val="center"/>
          </w:tcPr>
          <w:p w14:paraId="1B0950A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喂料（颗粒物）</w:t>
            </w:r>
          </w:p>
        </w:tc>
        <w:tc>
          <w:tcPr>
            <w:tcW w:w="1053" w:type="pct"/>
            <w:vMerge w:val="continue"/>
            <w:tcBorders>
              <w:left w:val="single" w:color="auto" w:sz="4" w:space="0"/>
              <w:right w:val="single" w:color="auto" w:sz="4" w:space="0"/>
            </w:tcBorders>
            <w:vAlign w:val="center"/>
          </w:tcPr>
          <w:p w14:paraId="3A5DFB39">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89" w:type="pct"/>
            <w:vMerge w:val="continue"/>
            <w:tcBorders>
              <w:left w:val="single" w:color="auto" w:sz="4" w:space="0"/>
              <w:bottom w:val="single" w:color="auto" w:sz="4" w:space="0"/>
              <w:right w:val="single" w:color="auto" w:sz="8" w:space="0"/>
            </w:tcBorders>
            <w:vAlign w:val="center"/>
          </w:tcPr>
          <w:p w14:paraId="03E9833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59416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58" w:type="pct"/>
            <w:vMerge w:val="continue"/>
            <w:tcBorders>
              <w:left w:val="single" w:color="auto" w:sz="8" w:space="0"/>
              <w:right w:val="single" w:color="auto" w:sz="4" w:space="0"/>
            </w:tcBorders>
            <w:vAlign w:val="center"/>
          </w:tcPr>
          <w:p w14:paraId="0B25DB96">
            <w:pPr>
              <w:keepNext w:val="0"/>
              <w:keepLines w:val="0"/>
              <w:pageBreakBefore w:val="0"/>
              <w:widowControl w:val="0"/>
              <w:kinsoku/>
              <w:overflowPunct/>
              <w:autoSpaceDE/>
              <w:autoSpaceDN/>
              <w:bidi w:val="0"/>
              <w:adjustRightInd/>
              <w:snapToGrid w:val="0"/>
              <w:jc w:val="center"/>
              <w:textAlignment w:val="auto"/>
              <w:rPr>
                <w:rFonts w:hint="eastAsia" w:cs="Times New Roman"/>
                <w:color w:val="auto"/>
                <w:sz w:val="21"/>
                <w:szCs w:val="21"/>
                <w:highlight w:val="none"/>
                <w:u w:val="none" w:color="auto"/>
                <w:lang w:eastAsia="zh-CN"/>
              </w:rPr>
            </w:pPr>
          </w:p>
        </w:tc>
        <w:tc>
          <w:tcPr>
            <w:tcW w:w="451" w:type="pct"/>
            <w:vMerge w:val="continue"/>
            <w:tcBorders>
              <w:left w:val="single" w:color="auto" w:sz="4" w:space="0"/>
              <w:right w:val="single" w:color="auto" w:sz="4" w:space="0"/>
            </w:tcBorders>
            <w:vAlign w:val="center"/>
          </w:tcPr>
          <w:p w14:paraId="396F77B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73B9E2C9">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p>
        </w:tc>
        <w:tc>
          <w:tcPr>
            <w:tcW w:w="870" w:type="pct"/>
            <w:tcBorders>
              <w:top w:val="single" w:color="auto" w:sz="4" w:space="0"/>
              <w:left w:val="single" w:color="auto" w:sz="4" w:space="0"/>
              <w:right w:val="single" w:color="auto" w:sz="4" w:space="0"/>
            </w:tcBorders>
            <w:vAlign w:val="center"/>
          </w:tcPr>
          <w:p w14:paraId="5BC3F288">
            <w:pPr>
              <w:pStyle w:val="65"/>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食堂油烟</w:t>
            </w:r>
          </w:p>
        </w:tc>
        <w:tc>
          <w:tcPr>
            <w:tcW w:w="1053" w:type="pct"/>
            <w:tcBorders>
              <w:top w:val="single" w:color="auto" w:sz="4" w:space="0"/>
              <w:left w:val="single" w:color="auto" w:sz="4" w:space="0"/>
              <w:right w:val="single" w:color="auto" w:sz="4" w:space="0"/>
            </w:tcBorders>
            <w:vAlign w:val="center"/>
          </w:tcPr>
          <w:p w14:paraId="2BE83E81">
            <w:pPr>
              <w:adjustRightInd w:val="0"/>
              <w:snapToGrid w:val="0"/>
              <w:jc w:val="center"/>
              <w:rPr>
                <w:rFonts w:hint="default" w:ascii="Times New Roman" w:hAnsi="Times New Roman" w:cs="Times New Roman"/>
                <w:color w:val="auto"/>
                <w:sz w:val="21"/>
                <w:szCs w:val="21"/>
                <w:highlight w:val="none"/>
                <w:u w:val="none" w:color="auto"/>
              </w:rPr>
            </w:pPr>
            <w:r>
              <w:rPr>
                <w:rFonts w:ascii="Times New Roman" w:hAnsi="Times New Roman" w:eastAsia="宋体" w:cs="Times New Roman"/>
                <w:color w:val="auto"/>
                <w:szCs w:val="21"/>
                <w:highlight w:val="none"/>
                <w:u w:val="none"/>
              </w:rPr>
              <w:t>抽油烟机收集后由管</w:t>
            </w:r>
            <w:r>
              <w:rPr>
                <w:rFonts w:hint="eastAsia" w:ascii="Times New Roman" w:hAnsi="Times New Roman" w:eastAsia="宋体" w:cs="Times New Roman"/>
                <w:color w:val="auto"/>
                <w:szCs w:val="21"/>
                <w:highlight w:val="none"/>
                <w:u w:val="none"/>
                <w:lang w:val="en-US" w:eastAsia="zh-CN"/>
              </w:rPr>
              <w:t>道</w:t>
            </w:r>
            <w:r>
              <w:rPr>
                <w:rFonts w:ascii="Times New Roman" w:hAnsi="Times New Roman" w:eastAsia="宋体" w:cs="Times New Roman"/>
                <w:color w:val="auto"/>
                <w:szCs w:val="21"/>
                <w:highlight w:val="none"/>
                <w:u w:val="none"/>
              </w:rPr>
              <w:t>引至屋外排放</w:t>
            </w:r>
          </w:p>
        </w:tc>
        <w:tc>
          <w:tcPr>
            <w:tcW w:w="1589" w:type="pct"/>
            <w:tcBorders>
              <w:left w:val="single" w:color="auto" w:sz="4" w:space="0"/>
              <w:bottom w:val="single" w:color="auto" w:sz="4" w:space="0"/>
              <w:right w:val="single" w:color="auto" w:sz="8" w:space="0"/>
            </w:tcBorders>
            <w:vAlign w:val="center"/>
          </w:tcPr>
          <w:p w14:paraId="0DFAF56E">
            <w:pPr>
              <w:adjustRightInd w:val="0"/>
              <w:snapToGrid w:val="0"/>
              <w:jc w:val="center"/>
              <w:rPr>
                <w:rFonts w:hint="default" w:ascii="Times New Roman" w:hAnsi="Times New Roman" w:eastAsia="宋体" w:cs="Times New Roman"/>
                <w:color w:val="auto"/>
                <w:spacing w:val="-4"/>
                <w:kern w:val="2"/>
                <w:sz w:val="21"/>
                <w:szCs w:val="21"/>
                <w:highlight w:val="none"/>
                <w:u w:val="none" w:color="auto"/>
                <w:lang w:val="en-US" w:eastAsia="zh-CN" w:bidi="ar-SA"/>
              </w:rPr>
            </w:pPr>
            <w:r>
              <w:rPr>
                <w:color w:val="auto"/>
                <w:sz w:val="21"/>
                <w:szCs w:val="21"/>
                <w:highlight w:val="none"/>
                <w:u w:val="none"/>
              </w:rPr>
              <w:t>《</w:t>
            </w:r>
            <w:r>
              <w:rPr>
                <w:rFonts w:hint="eastAsia"/>
                <w:color w:val="auto"/>
                <w:sz w:val="21"/>
                <w:szCs w:val="21"/>
                <w:highlight w:val="none"/>
                <w:u w:val="none"/>
              </w:rPr>
              <w:t>饮食业油烟排放标准（试行）》（GB18483-2001）</w:t>
            </w:r>
          </w:p>
        </w:tc>
      </w:tr>
      <w:tr w14:paraId="1403D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pct"/>
            <w:vMerge w:val="restart"/>
            <w:tcBorders>
              <w:top w:val="single" w:color="auto" w:sz="4" w:space="0"/>
              <w:left w:val="single" w:color="auto" w:sz="8" w:space="0"/>
              <w:right w:val="single" w:color="auto" w:sz="4" w:space="0"/>
            </w:tcBorders>
            <w:vAlign w:val="center"/>
          </w:tcPr>
          <w:p w14:paraId="425E5F2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地表水环境</w:t>
            </w:r>
          </w:p>
        </w:tc>
        <w:tc>
          <w:tcPr>
            <w:tcW w:w="828" w:type="pct"/>
            <w:gridSpan w:val="2"/>
            <w:tcBorders>
              <w:top w:val="single" w:color="auto" w:sz="4" w:space="0"/>
              <w:left w:val="single" w:color="auto" w:sz="4" w:space="0"/>
              <w:right w:val="single" w:color="auto" w:sz="4" w:space="0"/>
            </w:tcBorders>
            <w:vAlign w:val="center"/>
          </w:tcPr>
          <w:p w14:paraId="0EC0673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生活污水</w:t>
            </w:r>
          </w:p>
        </w:tc>
        <w:tc>
          <w:tcPr>
            <w:tcW w:w="870" w:type="pct"/>
            <w:tcBorders>
              <w:top w:val="single" w:color="auto" w:sz="4" w:space="0"/>
              <w:left w:val="single" w:color="auto" w:sz="4" w:space="0"/>
              <w:right w:val="single" w:color="auto" w:sz="4" w:space="0"/>
            </w:tcBorders>
            <w:vAlign w:val="center"/>
          </w:tcPr>
          <w:p w14:paraId="5691EB5D">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COD、SS、BOD</w:t>
            </w:r>
            <w:r>
              <w:rPr>
                <w:rFonts w:hint="default" w:ascii="Times New Roman" w:hAnsi="Times New Roman" w:cs="Times New Roman"/>
                <w:color w:val="auto"/>
                <w:sz w:val="21"/>
                <w:szCs w:val="21"/>
                <w:highlight w:val="none"/>
                <w:u w:val="none" w:color="auto"/>
                <w:vertAlign w:val="subscript"/>
              </w:rPr>
              <w:t>5</w:t>
            </w:r>
            <w:r>
              <w:rPr>
                <w:rFonts w:hint="default" w:ascii="Times New Roman" w:hAnsi="Times New Roman" w:cs="Times New Roman"/>
                <w:color w:val="auto"/>
                <w:sz w:val="21"/>
                <w:szCs w:val="21"/>
                <w:highlight w:val="none"/>
                <w:u w:val="none" w:color="auto"/>
              </w:rPr>
              <w:t>、氨氮等</w:t>
            </w:r>
          </w:p>
        </w:tc>
        <w:tc>
          <w:tcPr>
            <w:tcW w:w="1053" w:type="pct"/>
            <w:tcBorders>
              <w:top w:val="single" w:color="auto" w:sz="4" w:space="0"/>
              <w:left w:val="single" w:color="auto" w:sz="4" w:space="0"/>
              <w:right w:val="single" w:color="auto" w:sz="4" w:space="0"/>
            </w:tcBorders>
            <w:vAlign w:val="center"/>
          </w:tcPr>
          <w:p w14:paraId="6F1AA42C">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经化粪池</w:t>
            </w:r>
            <w:r>
              <w:rPr>
                <w:rFonts w:hint="eastAsia" w:cs="Times New Roman"/>
                <w:color w:val="auto"/>
                <w:sz w:val="21"/>
                <w:szCs w:val="21"/>
                <w:highlight w:val="none"/>
                <w:u w:val="none" w:color="auto"/>
                <w:lang w:eastAsia="zh-CN"/>
              </w:rPr>
              <w:t>处理后</w:t>
            </w:r>
            <w:r>
              <w:rPr>
                <w:rFonts w:hint="default"/>
                <w:color w:val="auto"/>
                <w:highlight w:val="none"/>
                <w:u w:val="none" w:color="auto"/>
              </w:rPr>
              <w:t>用作农肥</w:t>
            </w:r>
          </w:p>
        </w:tc>
        <w:tc>
          <w:tcPr>
            <w:tcW w:w="1589" w:type="pct"/>
            <w:tcBorders>
              <w:top w:val="single" w:color="auto" w:sz="4" w:space="0"/>
              <w:left w:val="single" w:color="auto" w:sz="4" w:space="0"/>
              <w:bottom w:val="single" w:color="auto" w:sz="4" w:space="0"/>
              <w:right w:val="single" w:color="auto" w:sz="8" w:space="0"/>
            </w:tcBorders>
            <w:vAlign w:val="center"/>
          </w:tcPr>
          <w:p w14:paraId="48858113">
            <w:pPr>
              <w:pStyle w:val="50"/>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用作农肥</w:t>
            </w:r>
          </w:p>
        </w:tc>
      </w:tr>
      <w:tr w14:paraId="62DDC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pct"/>
            <w:vMerge w:val="continue"/>
            <w:tcBorders>
              <w:left w:val="single" w:color="auto" w:sz="8" w:space="0"/>
              <w:right w:val="single" w:color="auto" w:sz="4" w:space="0"/>
            </w:tcBorders>
            <w:vAlign w:val="center"/>
          </w:tcPr>
          <w:p w14:paraId="35CE01D9">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5D3F7F7F">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洗砂废水</w:t>
            </w:r>
          </w:p>
        </w:tc>
        <w:tc>
          <w:tcPr>
            <w:tcW w:w="870" w:type="pct"/>
            <w:tcBorders>
              <w:top w:val="single" w:color="auto" w:sz="4" w:space="0"/>
              <w:left w:val="single" w:color="auto" w:sz="4" w:space="0"/>
              <w:right w:val="single" w:color="auto" w:sz="4" w:space="0"/>
            </w:tcBorders>
            <w:vAlign w:val="center"/>
          </w:tcPr>
          <w:p w14:paraId="12CD796E">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746E2CDD">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絮凝罐+循环水池（1000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cs="Times New Roman"/>
                <w:color w:val="auto"/>
                <w:sz w:val="21"/>
                <w:szCs w:val="21"/>
                <w:highlight w:val="none"/>
                <w:u w:val="none" w:color="auto"/>
                <w:lang w:val="en-US" w:eastAsia="zh-CN"/>
              </w:rPr>
              <w:t>）</w:t>
            </w:r>
          </w:p>
        </w:tc>
        <w:tc>
          <w:tcPr>
            <w:tcW w:w="1589" w:type="pct"/>
            <w:tcBorders>
              <w:top w:val="single" w:color="auto" w:sz="4" w:space="0"/>
              <w:left w:val="single" w:color="auto" w:sz="4" w:space="0"/>
              <w:bottom w:val="single" w:color="auto" w:sz="4" w:space="0"/>
              <w:right w:val="single" w:color="auto" w:sz="8" w:space="0"/>
            </w:tcBorders>
            <w:vAlign w:val="center"/>
          </w:tcPr>
          <w:p w14:paraId="5A9F663E">
            <w:pPr>
              <w:pStyle w:val="50"/>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全部回用，不外排</w:t>
            </w:r>
          </w:p>
        </w:tc>
      </w:tr>
      <w:tr w14:paraId="20E71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pct"/>
            <w:vMerge w:val="continue"/>
            <w:tcBorders>
              <w:left w:val="single" w:color="auto" w:sz="8" w:space="0"/>
              <w:right w:val="single" w:color="auto" w:sz="4" w:space="0"/>
            </w:tcBorders>
            <w:vAlign w:val="center"/>
          </w:tcPr>
          <w:p w14:paraId="583B419B">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2F95DB68">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运输车辆清洗废水、场地清洗废水</w:t>
            </w:r>
          </w:p>
        </w:tc>
        <w:tc>
          <w:tcPr>
            <w:tcW w:w="870" w:type="pct"/>
            <w:tcBorders>
              <w:top w:val="single" w:color="auto" w:sz="4" w:space="0"/>
              <w:left w:val="single" w:color="auto" w:sz="4" w:space="0"/>
              <w:right w:val="single" w:color="auto" w:sz="4" w:space="0"/>
            </w:tcBorders>
            <w:vAlign w:val="center"/>
          </w:tcPr>
          <w:p w14:paraId="067D6C2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023DB487">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val="en-US" w:eastAsia="zh-CN"/>
              </w:rPr>
              <w:t>洗车槽（</w:t>
            </w:r>
            <w:r>
              <w:rPr>
                <w:rFonts w:hint="default" w:ascii="Times New Roman" w:hAnsi="Times New Roman" w:cs="Times New Roman"/>
                <w:color w:val="auto"/>
                <w:kern w:val="0"/>
                <w:sz w:val="21"/>
                <w:szCs w:val="21"/>
                <w:u w:val="none"/>
              </w:rPr>
              <w:t>1</w:t>
            </w:r>
            <w:r>
              <w:rPr>
                <w:rFonts w:hint="default" w:ascii="Times New Roman" w:hAnsi="Times New Roman" w:cs="Times New Roman"/>
                <w:color w:val="auto"/>
                <w:kern w:val="0"/>
                <w:sz w:val="21"/>
                <w:szCs w:val="21"/>
                <w:u w:val="none"/>
                <w:lang w:val="en-US" w:eastAsia="zh-CN"/>
              </w:rPr>
              <w:t>5</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ascii="Times New Roman" w:hAnsi="Times New Roman" w:cs="Times New Roman"/>
                <w:color w:val="auto"/>
                <w:sz w:val="21"/>
                <w:szCs w:val="21"/>
                <w:u w:val="none"/>
                <w:vertAlign w:val="baseline"/>
                <w:lang w:eastAsia="zh-CN"/>
              </w:rPr>
              <w:t>）</w:t>
            </w:r>
          </w:p>
        </w:tc>
        <w:tc>
          <w:tcPr>
            <w:tcW w:w="1589" w:type="pct"/>
            <w:tcBorders>
              <w:top w:val="single" w:color="auto" w:sz="4" w:space="0"/>
              <w:left w:val="single" w:color="auto" w:sz="4" w:space="0"/>
              <w:bottom w:val="single" w:color="auto" w:sz="4" w:space="0"/>
              <w:right w:val="single" w:color="auto" w:sz="8" w:space="0"/>
            </w:tcBorders>
            <w:vAlign w:val="center"/>
          </w:tcPr>
          <w:p w14:paraId="3FBBB97E">
            <w:pPr>
              <w:pStyle w:val="50"/>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处理后回用于车辆清洗</w:t>
            </w:r>
          </w:p>
        </w:tc>
      </w:tr>
      <w:tr w14:paraId="5154C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pct"/>
            <w:vMerge w:val="continue"/>
            <w:tcBorders>
              <w:left w:val="single" w:color="auto" w:sz="8" w:space="0"/>
              <w:right w:val="single" w:color="auto" w:sz="4" w:space="0"/>
            </w:tcBorders>
            <w:vAlign w:val="center"/>
          </w:tcPr>
          <w:p w14:paraId="16CD67BE">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5AFEB773">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初期雨水</w:t>
            </w:r>
          </w:p>
        </w:tc>
        <w:tc>
          <w:tcPr>
            <w:tcW w:w="870" w:type="pct"/>
            <w:tcBorders>
              <w:top w:val="single" w:color="auto" w:sz="4" w:space="0"/>
              <w:left w:val="single" w:color="auto" w:sz="4" w:space="0"/>
              <w:right w:val="single" w:color="auto" w:sz="4" w:space="0"/>
            </w:tcBorders>
            <w:vAlign w:val="center"/>
          </w:tcPr>
          <w:p w14:paraId="4FFABE3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249C66CE">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絮凝罐+循环水池（1000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cs="Times New Roman"/>
                <w:color w:val="auto"/>
                <w:sz w:val="21"/>
                <w:szCs w:val="21"/>
                <w:highlight w:val="none"/>
                <w:u w:val="none" w:color="auto"/>
                <w:lang w:val="en-US" w:eastAsia="zh-CN"/>
              </w:rPr>
              <w:t>）</w:t>
            </w:r>
          </w:p>
        </w:tc>
        <w:tc>
          <w:tcPr>
            <w:tcW w:w="1589" w:type="pct"/>
            <w:tcBorders>
              <w:top w:val="single" w:color="auto" w:sz="4" w:space="0"/>
              <w:left w:val="single" w:color="auto" w:sz="4" w:space="0"/>
              <w:bottom w:val="single" w:color="auto" w:sz="4" w:space="0"/>
              <w:right w:val="single" w:color="auto" w:sz="8" w:space="0"/>
            </w:tcBorders>
            <w:vAlign w:val="center"/>
          </w:tcPr>
          <w:p w14:paraId="5349EA8F">
            <w:pPr>
              <w:pStyle w:val="50"/>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处理后回用于地面洒水降尘等</w:t>
            </w:r>
          </w:p>
        </w:tc>
      </w:tr>
      <w:tr w14:paraId="41479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8" w:type="pct"/>
            <w:tcBorders>
              <w:top w:val="single" w:color="auto" w:sz="4" w:space="0"/>
              <w:left w:val="single" w:color="auto" w:sz="8" w:space="0"/>
              <w:bottom w:val="single" w:color="auto" w:sz="4" w:space="0"/>
              <w:right w:val="single" w:color="auto" w:sz="4" w:space="0"/>
            </w:tcBorders>
            <w:vAlign w:val="center"/>
          </w:tcPr>
          <w:p w14:paraId="47334DE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声环境</w:t>
            </w:r>
          </w:p>
        </w:tc>
        <w:tc>
          <w:tcPr>
            <w:tcW w:w="828" w:type="pct"/>
            <w:gridSpan w:val="2"/>
            <w:tcBorders>
              <w:top w:val="single" w:color="auto" w:sz="4" w:space="0"/>
              <w:left w:val="single" w:color="auto" w:sz="4" w:space="0"/>
              <w:bottom w:val="single" w:color="auto" w:sz="4" w:space="0"/>
              <w:right w:val="single" w:color="auto" w:sz="4" w:space="0"/>
            </w:tcBorders>
            <w:vAlign w:val="center"/>
          </w:tcPr>
          <w:p w14:paraId="221145F4">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厂界</w:t>
            </w:r>
          </w:p>
        </w:tc>
        <w:tc>
          <w:tcPr>
            <w:tcW w:w="870" w:type="pct"/>
            <w:tcBorders>
              <w:top w:val="single" w:color="auto" w:sz="4" w:space="0"/>
              <w:left w:val="single" w:color="auto" w:sz="4" w:space="0"/>
              <w:bottom w:val="single" w:color="auto" w:sz="4" w:space="0"/>
              <w:right w:val="single" w:color="auto" w:sz="4" w:space="0"/>
            </w:tcBorders>
            <w:vAlign w:val="center"/>
          </w:tcPr>
          <w:p w14:paraId="2C5106F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等效声级</w:t>
            </w:r>
          </w:p>
        </w:tc>
        <w:tc>
          <w:tcPr>
            <w:tcW w:w="1053" w:type="pct"/>
            <w:tcBorders>
              <w:top w:val="single" w:color="auto" w:sz="4" w:space="0"/>
              <w:left w:val="single" w:color="auto" w:sz="4" w:space="0"/>
              <w:bottom w:val="single" w:color="auto" w:sz="4" w:space="0"/>
              <w:right w:val="single" w:color="auto" w:sz="4" w:space="0"/>
            </w:tcBorders>
            <w:vAlign w:val="center"/>
          </w:tcPr>
          <w:p w14:paraId="6E11908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设备基础减震、厂房及建筑材料隔声等措施</w:t>
            </w:r>
          </w:p>
        </w:tc>
        <w:tc>
          <w:tcPr>
            <w:tcW w:w="1589" w:type="pct"/>
            <w:tcBorders>
              <w:top w:val="single" w:color="auto" w:sz="4" w:space="0"/>
              <w:left w:val="single" w:color="auto" w:sz="4" w:space="0"/>
              <w:bottom w:val="single" w:color="auto" w:sz="4" w:space="0"/>
              <w:right w:val="single" w:color="auto" w:sz="8" w:space="0"/>
            </w:tcBorders>
            <w:vAlign w:val="center"/>
          </w:tcPr>
          <w:p w14:paraId="4E4C9EB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《工业企业厂界环境噪声排放标准》(GB12348-2008)</w:t>
            </w:r>
            <w:r>
              <w:rPr>
                <w:rFonts w:hint="eastAsia" w:ascii="Times New Roman" w:hAnsi="Times New Roman" w:eastAsia="宋体" w:cs="Times New Roman"/>
                <w:color w:val="auto"/>
                <w:kern w:val="2"/>
                <w:sz w:val="21"/>
                <w:szCs w:val="21"/>
                <w:highlight w:val="none"/>
                <w:u w:val="none" w:color="auto"/>
                <w:lang w:val="en-US" w:eastAsia="zh-CN" w:bidi="ar-SA"/>
              </w:rPr>
              <w:t>2</w:t>
            </w:r>
            <w:r>
              <w:rPr>
                <w:rFonts w:hint="default" w:ascii="Times New Roman" w:hAnsi="Times New Roman" w:eastAsia="宋体" w:cs="Times New Roman"/>
                <w:color w:val="auto"/>
                <w:kern w:val="2"/>
                <w:sz w:val="21"/>
                <w:szCs w:val="21"/>
                <w:highlight w:val="none"/>
                <w:u w:val="none" w:color="auto"/>
                <w:lang w:val="en-US" w:eastAsia="zh-CN" w:bidi="ar-SA"/>
              </w:rPr>
              <w:t>类标准</w:t>
            </w:r>
          </w:p>
        </w:tc>
      </w:tr>
      <w:tr w14:paraId="1674E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8" w:type="pct"/>
            <w:tcBorders>
              <w:top w:val="single" w:color="auto" w:sz="4" w:space="0"/>
              <w:left w:val="single" w:color="auto" w:sz="8" w:space="0"/>
              <w:bottom w:val="single" w:color="auto" w:sz="4" w:space="0"/>
              <w:right w:val="single" w:color="auto" w:sz="4" w:space="0"/>
            </w:tcBorders>
            <w:vAlign w:val="center"/>
          </w:tcPr>
          <w:p w14:paraId="142055E9">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固体废物</w:t>
            </w:r>
          </w:p>
        </w:tc>
        <w:tc>
          <w:tcPr>
            <w:tcW w:w="4341" w:type="pct"/>
            <w:gridSpan w:val="5"/>
            <w:tcBorders>
              <w:top w:val="single" w:color="auto" w:sz="4" w:space="0"/>
              <w:left w:val="single" w:color="auto" w:sz="4" w:space="0"/>
              <w:bottom w:val="single" w:color="auto" w:sz="4" w:space="0"/>
              <w:right w:val="single" w:color="auto" w:sz="8" w:space="0"/>
            </w:tcBorders>
            <w:vAlign w:val="center"/>
          </w:tcPr>
          <w:p w14:paraId="6592D3E5">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1、一般固废：一般</w:t>
            </w:r>
            <w:r>
              <w:rPr>
                <w:rFonts w:hint="eastAsia" w:cs="Times New Roman"/>
                <w:color w:val="auto"/>
                <w:sz w:val="21"/>
                <w:szCs w:val="21"/>
                <w:highlight w:val="none"/>
                <w:u w:val="none" w:color="auto"/>
                <w:lang w:val="en-US" w:eastAsia="zh-CN"/>
              </w:rPr>
              <w:t>工业</w:t>
            </w:r>
            <w:r>
              <w:rPr>
                <w:rFonts w:hint="default" w:ascii="Times New Roman" w:hAnsi="Times New Roman" w:cs="Times New Roman"/>
                <w:color w:val="auto"/>
                <w:sz w:val="21"/>
                <w:szCs w:val="21"/>
                <w:highlight w:val="none"/>
                <w:u w:val="none" w:color="auto"/>
              </w:rPr>
              <w:t>固废暂存间的设置需满足《一般工业固体废物贮存和填埋污染控制标准》（GB18599-2020）的要求。一般固废收集后分类存放，定期</w:t>
            </w:r>
            <w:r>
              <w:rPr>
                <w:rFonts w:hint="default" w:ascii="Times New Roman" w:hAnsi="Times New Roman" w:cs="Times New Roman"/>
                <w:color w:val="auto"/>
                <w:sz w:val="21"/>
                <w:szCs w:val="21"/>
                <w:highlight w:val="none"/>
                <w:u w:val="none" w:color="auto"/>
                <w:lang w:val="en-US" w:eastAsia="zh-CN"/>
              </w:rPr>
              <w:t>交由环卫部门统一清运</w:t>
            </w:r>
            <w:r>
              <w:rPr>
                <w:rFonts w:hint="default" w:ascii="Times New Roman" w:hAnsi="Times New Roman" w:cs="Times New Roman"/>
                <w:color w:val="auto"/>
                <w:sz w:val="21"/>
                <w:szCs w:val="21"/>
                <w:highlight w:val="none"/>
                <w:u w:val="none" w:color="auto"/>
              </w:rPr>
              <w:t>。</w:t>
            </w:r>
          </w:p>
          <w:p w14:paraId="243DC8CE">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2、生活垃圾：厂区设置分类收集垃圾桶，垃圾收集后交由环卫部门处置。</w:t>
            </w:r>
          </w:p>
          <w:p w14:paraId="10D7A8C5">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3、危险废物：暂存于危废暂存间，定期委托有资质单位进行专业处置；</w:t>
            </w:r>
          </w:p>
        </w:tc>
      </w:tr>
      <w:tr w14:paraId="732D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58" w:type="pct"/>
            <w:tcBorders>
              <w:top w:val="single" w:color="auto" w:sz="4" w:space="0"/>
              <w:left w:val="single" w:color="auto" w:sz="8" w:space="0"/>
              <w:bottom w:val="single" w:color="auto" w:sz="4" w:space="0"/>
              <w:right w:val="single" w:color="auto" w:sz="4" w:space="0"/>
            </w:tcBorders>
            <w:vAlign w:val="center"/>
          </w:tcPr>
          <w:p w14:paraId="0EF7D80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土壤及地下水污染防治措施</w:t>
            </w:r>
          </w:p>
        </w:tc>
        <w:tc>
          <w:tcPr>
            <w:tcW w:w="4341" w:type="pct"/>
            <w:gridSpan w:val="5"/>
            <w:tcBorders>
              <w:top w:val="single" w:color="auto" w:sz="4" w:space="0"/>
              <w:left w:val="single" w:color="auto" w:sz="4" w:space="0"/>
              <w:bottom w:val="single" w:color="auto" w:sz="4" w:space="0"/>
              <w:right w:val="single" w:color="auto" w:sz="8" w:space="0"/>
            </w:tcBorders>
            <w:vAlign w:val="center"/>
          </w:tcPr>
          <w:p w14:paraId="23D19158">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项目生产车间</w:t>
            </w:r>
            <w:r>
              <w:rPr>
                <w:rFonts w:hint="eastAsia" w:cs="Times New Roman"/>
                <w:color w:val="auto"/>
                <w:sz w:val="21"/>
                <w:szCs w:val="21"/>
                <w:highlight w:val="none"/>
                <w:u w:val="none" w:color="auto"/>
                <w:lang w:val="en-US" w:eastAsia="zh-CN"/>
              </w:rPr>
              <w:t>需对</w:t>
            </w:r>
            <w:r>
              <w:rPr>
                <w:rFonts w:hint="default" w:ascii="Times New Roman" w:hAnsi="Times New Roman" w:cs="Times New Roman"/>
                <w:color w:val="auto"/>
                <w:sz w:val="21"/>
                <w:szCs w:val="21"/>
                <w:highlight w:val="none"/>
                <w:u w:val="none" w:color="auto"/>
              </w:rPr>
              <w:t>水泥地面硬底化处理，厂区各区域均做好有效的防渗措施，正常生产情况对土壤和地下水无影响。</w:t>
            </w:r>
          </w:p>
        </w:tc>
      </w:tr>
      <w:tr w14:paraId="21B41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pct"/>
            <w:tcBorders>
              <w:top w:val="single" w:color="auto" w:sz="4" w:space="0"/>
              <w:left w:val="single" w:color="auto" w:sz="8" w:space="0"/>
              <w:bottom w:val="single" w:color="auto" w:sz="4" w:space="0"/>
              <w:right w:val="single" w:color="auto" w:sz="4" w:space="0"/>
            </w:tcBorders>
            <w:vAlign w:val="center"/>
          </w:tcPr>
          <w:p w14:paraId="2EC336D8">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生态保护措施</w:t>
            </w:r>
          </w:p>
        </w:tc>
        <w:tc>
          <w:tcPr>
            <w:tcW w:w="4341" w:type="pct"/>
            <w:gridSpan w:val="5"/>
            <w:tcBorders>
              <w:top w:val="single" w:color="auto" w:sz="4" w:space="0"/>
              <w:left w:val="single" w:color="auto" w:sz="4" w:space="0"/>
              <w:bottom w:val="single" w:color="auto" w:sz="4" w:space="0"/>
              <w:right w:val="single" w:color="auto" w:sz="8" w:space="0"/>
            </w:tcBorders>
            <w:vAlign w:val="center"/>
          </w:tcPr>
          <w:p w14:paraId="73222D24">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做好厂区绿化措施</w:t>
            </w:r>
          </w:p>
        </w:tc>
      </w:tr>
      <w:tr w14:paraId="577C1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8" w:type="pct"/>
            <w:tcBorders>
              <w:top w:val="single" w:color="auto" w:sz="4" w:space="0"/>
              <w:left w:val="single" w:color="auto" w:sz="8" w:space="0"/>
              <w:bottom w:val="single" w:color="auto" w:sz="4" w:space="0"/>
              <w:right w:val="single" w:color="auto" w:sz="4" w:space="0"/>
            </w:tcBorders>
            <w:vAlign w:val="center"/>
          </w:tcPr>
          <w:p w14:paraId="18F5E4F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环境风险</w:t>
            </w:r>
          </w:p>
          <w:p w14:paraId="76E5D3B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防范措施</w:t>
            </w:r>
          </w:p>
        </w:tc>
        <w:tc>
          <w:tcPr>
            <w:tcW w:w="4341" w:type="pct"/>
            <w:gridSpan w:val="5"/>
            <w:tcBorders>
              <w:top w:val="single" w:color="auto" w:sz="4" w:space="0"/>
              <w:left w:val="single" w:color="auto" w:sz="4" w:space="0"/>
              <w:bottom w:val="single" w:color="auto" w:sz="4" w:space="0"/>
              <w:right w:val="single" w:color="auto" w:sz="8" w:space="0"/>
            </w:tcBorders>
            <w:vAlign w:val="center"/>
          </w:tcPr>
          <w:p w14:paraId="3C0E4F59">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1、危废暂存间应按规范设置，防止泄漏的危废污染地表水体。</w:t>
            </w:r>
          </w:p>
          <w:p w14:paraId="734F1905">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2、加强管理，做好化粪池防渗基础建设。</w:t>
            </w:r>
          </w:p>
          <w:p w14:paraId="304F5A84">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3</w:t>
            </w:r>
            <w:r>
              <w:rPr>
                <w:rFonts w:hint="default" w:ascii="Times New Roman" w:hAnsi="Times New Roman" w:cs="Times New Roman"/>
                <w:color w:val="auto"/>
                <w:sz w:val="21"/>
                <w:szCs w:val="21"/>
                <w:highlight w:val="none"/>
                <w:u w:val="none" w:color="auto"/>
              </w:rPr>
              <w:t>、厂区内应按规范配置灭火器材、消防装备等应急物资</w:t>
            </w:r>
          </w:p>
        </w:tc>
      </w:tr>
      <w:tr w14:paraId="051F4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58" w:type="pct"/>
            <w:tcBorders>
              <w:top w:val="single" w:color="auto" w:sz="4" w:space="0"/>
              <w:left w:val="single" w:color="auto" w:sz="8" w:space="0"/>
              <w:bottom w:val="single" w:color="auto" w:sz="8" w:space="0"/>
              <w:right w:val="single" w:color="auto" w:sz="4" w:space="0"/>
            </w:tcBorders>
            <w:vAlign w:val="center"/>
          </w:tcPr>
          <w:p w14:paraId="18C26546">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其他环境</w:t>
            </w:r>
          </w:p>
          <w:p w14:paraId="03C2319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管理要求</w:t>
            </w:r>
          </w:p>
        </w:tc>
        <w:tc>
          <w:tcPr>
            <w:tcW w:w="4341" w:type="pct"/>
            <w:gridSpan w:val="5"/>
            <w:tcBorders>
              <w:top w:val="single" w:color="auto" w:sz="4" w:space="0"/>
              <w:left w:val="single" w:color="auto" w:sz="4" w:space="0"/>
              <w:bottom w:val="single" w:color="auto" w:sz="8" w:space="0"/>
              <w:right w:val="single" w:color="auto" w:sz="8" w:space="0"/>
            </w:tcBorders>
            <w:vAlign w:val="center"/>
          </w:tcPr>
          <w:p w14:paraId="420F3045">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1、设置厂区环保制度、加强员工环保培训，并定期做好自行监测、废气处理设施管理台账要求；</w:t>
            </w:r>
          </w:p>
          <w:p w14:paraId="41E09B94">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2、项目竣工后，建设单位应当按照主管部门规定的标准和程序，对配套建设的环境保护设施进行验收，编制验收报告</w:t>
            </w:r>
          </w:p>
        </w:tc>
      </w:tr>
    </w:tbl>
    <w:p w14:paraId="69162517">
      <w:pPr>
        <w:pStyle w:val="20"/>
        <w:jc w:val="center"/>
        <w:outlineLvl w:val="0"/>
        <w:rPr>
          <w:rStyle w:val="36"/>
          <w:rFonts w:hint="default" w:ascii="Times New Roman" w:hAnsi="Times New Roman" w:cs="Times New Roman"/>
          <w:b w:val="0"/>
          <w:bCs w:val="0"/>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1" w:name="_Toc10448"/>
      <w:bookmarkStart w:id="52" w:name="_Toc25330"/>
      <w:bookmarkStart w:id="53" w:name="_Toc7366"/>
      <w:bookmarkStart w:id="54" w:name="_Toc27230"/>
      <w:bookmarkStart w:id="55" w:name="_Toc244"/>
      <w:bookmarkStart w:id="56" w:name="_Toc31931"/>
      <w:bookmarkStart w:id="57" w:name="_Toc19401"/>
    </w:p>
    <w:p w14:paraId="03B9E461">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58" w:name="_Toc5866"/>
      <w:r>
        <w:rPr>
          <w:rFonts w:hint="default" w:ascii="Times New Roman" w:hAnsi="Times New Roman" w:eastAsia="宋体" w:cs="Times New Roman"/>
          <w:b/>
          <w:bCs/>
          <w:color w:val="auto"/>
          <w:kern w:val="44"/>
          <w:sz w:val="28"/>
          <w:szCs w:val="44"/>
          <w:highlight w:val="none"/>
          <w:u w:val="none" w:color="auto"/>
          <w:lang w:val="en-US" w:eastAsia="zh-CN" w:bidi="ar-SA"/>
        </w:rPr>
        <w:t>六、结论</w:t>
      </w:r>
      <w:bookmarkEnd w:id="51"/>
      <w:bookmarkEnd w:id="52"/>
      <w:bookmarkEnd w:id="53"/>
      <w:bookmarkEnd w:id="54"/>
      <w:bookmarkEnd w:id="55"/>
      <w:bookmarkEnd w:id="56"/>
      <w:bookmarkEnd w:id="57"/>
      <w:bookmarkEnd w:id="5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8FD8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73CEB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green"/>
                <w:u w:val="none" w:color="auto"/>
                <w:lang w:eastAsia="zh-CN"/>
              </w:rPr>
            </w:pPr>
            <w:r>
              <w:rPr>
                <w:rFonts w:hint="eastAsia" w:cs="Times New Roman"/>
                <w:color w:val="auto"/>
                <w:sz w:val="24"/>
                <w:szCs w:val="24"/>
                <w:highlight w:val="none"/>
                <w:u w:val="none" w:color="auto"/>
                <w:lang w:val="en-US" w:eastAsia="zh-CN"/>
              </w:rPr>
              <w:t>本</w:t>
            </w:r>
            <w:r>
              <w:rPr>
                <w:rFonts w:hint="eastAsia" w:cs="Times New Roman"/>
                <w:color w:val="auto"/>
                <w:sz w:val="24"/>
                <w:szCs w:val="24"/>
                <w:highlight w:val="none"/>
                <w:u w:val="none" w:color="auto"/>
                <w:lang w:eastAsia="zh-CN"/>
              </w:rPr>
              <w:t>项目</w:t>
            </w:r>
            <w:r>
              <w:rPr>
                <w:rFonts w:hint="default" w:ascii="Times New Roman" w:hAnsi="Times New Roman" w:cs="Times New Roman"/>
                <w:color w:val="auto"/>
                <w:kern w:val="0"/>
                <w:sz w:val="24"/>
                <w:highlight w:val="none"/>
                <w:u w:val="none" w:color="auto"/>
              </w:rPr>
              <w:t>选址地不占用生态红线，符合当地</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三线一单</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生态环境分区管控要求。</w:t>
            </w:r>
            <w:r>
              <w:rPr>
                <w:rFonts w:hint="default" w:ascii="Times New Roman" w:hAnsi="Times New Roman" w:cs="Times New Roman"/>
                <w:color w:val="auto"/>
                <w:sz w:val="24"/>
                <w:highlight w:val="none"/>
                <w:u w:val="none" w:color="auto"/>
              </w:rPr>
              <w:t>通过严格落实报告表</w:t>
            </w:r>
            <w:r>
              <w:rPr>
                <w:rFonts w:hint="default" w:ascii="Times New Roman" w:hAnsi="Times New Roman" w:cs="Times New Roman"/>
                <w:bCs/>
                <w:color w:val="auto"/>
                <w:kern w:val="0"/>
                <w:sz w:val="24"/>
                <w:highlight w:val="none"/>
                <w:u w:val="none" w:color="auto"/>
              </w:rPr>
              <w:t>提出的各项污染防治措施和环境风险防控措施前提下，排放的污染物均能达标排放，其对周边区域环境影响较小</w:t>
            </w:r>
            <w:r>
              <w:rPr>
                <w:rFonts w:hint="default" w:ascii="Times New Roman" w:hAnsi="Times New Roman" w:cs="Times New Roman"/>
                <w:color w:val="auto"/>
                <w:sz w:val="24"/>
                <w:highlight w:val="none"/>
                <w:u w:val="none" w:color="auto"/>
              </w:rPr>
              <w:t>。</w:t>
            </w:r>
            <w:r>
              <w:rPr>
                <w:rFonts w:hint="default" w:ascii="Times New Roman" w:hAnsi="Times New Roman" w:cs="Times New Roman"/>
                <w:bCs/>
                <w:color w:val="auto"/>
                <w:kern w:val="0"/>
                <w:sz w:val="24"/>
                <w:highlight w:val="none"/>
                <w:u w:val="none" w:color="auto"/>
              </w:rPr>
              <w:t>从环境保护的角度考虑，本项目建设是可行的</w:t>
            </w:r>
            <w:r>
              <w:rPr>
                <w:rFonts w:hint="default" w:ascii="Times New Roman" w:hAnsi="Times New Roman" w:cs="Times New Roman"/>
                <w:bCs/>
                <w:color w:val="auto"/>
                <w:kern w:val="0"/>
                <w:sz w:val="24"/>
                <w:highlight w:val="none"/>
                <w:u w:val="none" w:color="auto"/>
                <w:lang w:eastAsia="zh-CN"/>
              </w:rPr>
              <w:t>。</w:t>
            </w:r>
          </w:p>
        </w:tc>
      </w:tr>
    </w:tbl>
    <w:p w14:paraId="5DF97463">
      <w:pPr>
        <w:pStyle w:val="27"/>
        <w:rPr>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DE0991">
      <w:pPr>
        <w:keepNext/>
        <w:widowControl w:val="0"/>
        <w:overflowPunct w:val="0"/>
        <w:bidi w:val="0"/>
        <w:snapToGrid w:val="0"/>
        <w:spacing w:before="120" w:after="160" w:line="259" w:lineRule="auto"/>
        <w:ind w:left="432" w:hanging="432"/>
        <w:jc w:val="both"/>
        <w:outlineLvl w:val="0"/>
        <w:rPr>
          <w:rFonts w:hint="default" w:ascii="Times New Roman" w:hAnsi="Times New Roman" w:eastAsia="黑体" w:cs="Times New Roman"/>
          <w:b w:val="0"/>
          <w:bCs w:val="0"/>
          <w:color w:val="auto"/>
          <w:kern w:val="44"/>
          <w:sz w:val="30"/>
          <w:szCs w:val="30"/>
          <w:highlight w:val="none"/>
          <w:u w:val="none" w:color="auto"/>
          <w:lang w:val="en-US" w:eastAsia="zh-CN" w:bidi="ar-SA"/>
        </w:rPr>
      </w:pPr>
      <w:bookmarkStart w:id="59" w:name="_Toc23223"/>
      <w:bookmarkStart w:id="60" w:name="_Toc14074"/>
      <w:bookmarkStart w:id="61" w:name="_Toc13938"/>
      <w:bookmarkStart w:id="62" w:name="_Toc23977"/>
      <w:bookmarkStart w:id="63" w:name="_Toc17945"/>
      <w:bookmarkStart w:id="64" w:name="_Toc29458"/>
      <w:bookmarkStart w:id="65" w:name="_Toc29194"/>
      <w:bookmarkStart w:id="66" w:name="_Toc12351"/>
      <w:r>
        <w:rPr>
          <w:rFonts w:hint="default" w:ascii="Times New Roman" w:hAnsi="Times New Roman" w:eastAsia="黑体" w:cs="Times New Roman"/>
          <w:b w:val="0"/>
          <w:bCs w:val="0"/>
          <w:color w:val="auto"/>
          <w:kern w:val="44"/>
          <w:sz w:val="30"/>
          <w:szCs w:val="30"/>
          <w:highlight w:val="none"/>
          <w:u w:val="none" w:color="auto"/>
          <w:lang w:val="en-US" w:eastAsia="zh-CN" w:bidi="ar-SA"/>
        </w:rPr>
        <w:t>附表</w:t>
      </w:r>
      <w:bookmarkEnd w:id="59"/>
      <w:bookmarkEnd w:id="60"/>
      <w:bookmarkEnd w:id="61"/>
      <w:bookmarkEnd w:id="62"/>
      <w:bookmarkEnd w:id="63"/>
      <w:bookmarkEnd w:id="64"/>
      <w:bookmarkEnd w:id="65"/>
      <w:bookmarkEnd w:id="66"/>
    </w:p>
    <w:p w14:paraId="38C9D40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center"/>
        <w:textAlignment w:val="auto"/>
        <w:outlineLvl w:val="0"/>
        <w:rPr>
          <w:rFonts w:hint="default" w:ascii="方正小标宋_GBK" w:hAnsi="黑体" w:eastAsia="方正小标宋_GBK" w:cs="Times New Roman"/>
          <w:snapToGrid w:val="0"/>
          <w:color w:val="auto"/>
          <w:kern w:val="0"/>
          <w:sz w:val="38"/>
          <w:szCs w:val="38"/>
          <w:highlight w:val="none"/>
          <w:u w:val="none" w:color="auto"/>
          <w:lang w:val="en-US" w:eastAsia="en-US" w:bidi="ar-SA"/>
        </w:rPr>
      </w:pPr>
      <w:bookmarkStart w:id="67" w:name="_Toc5974"/>
      <w:bookmarkStart w:id="68" w:name="_Toc23910"/>
      <w:bookmarkStart w:id="69" w:name="_Toc27751"/>
      <w:bookmarkStart w:id="70" w:name="_Toc7521"/>
      <w:bookmarkStart w:id="71" w:name="_Toc8703"/>
      <w:bookmarkStart w:id="72" w:name="_Toc29727"/>
      <w:bookmarkStart w:id="73" w:name="_Toc22134"/>
      <w:bookmarkStart w:id="74" w:name="_Toc3126"/>
      <w:r>
        <w:rPr>
          <w:rFonts w:hint="default" w:ascii="方正小标宋_GBK" w:hAnsi="黑体" w:eastAsia="方正小标宋_GBK" w:cs="Times New Roman"/>
          <w:snapToGrid w:val="0"/>
          <w:color w:val="auto"/>
          <w:kern w:val="0"/>
          <w:sz w:val="38"/>
          <w:szCs w:val="38"/>
          <w:highlight w:val="none"/>
          <w:u w:val="none" w:color="auto"/>
          <w:lang w:val="en-US" w:eastAsia="en-US" w:bidi="ar-SA"/>
        </w:rPr>
        <w:t>建设项目污染物排放量汇总表</w:t>
      </w:r>
      <w:bookmarkEnd w:id="67"/>
      <w:bookmarkEnd w:id="68"/>
      <w:bookmarkEnd w:id="69"/>
      <w:bookmarkEnd w:id="70"/>
      <w:bookmarkEnd w:id="71"/>
      <w:bookmarkEnd w:id="72"/>
      <w:bookmarkEnd w:id="73"/>
      <w:bookmarkEnd w:id="74"/>
    </w:p>
    <w:tbl>
      <w:tblPr>
        <w:tblStyle w:val="53"/>
        <w:tblW w:w="13792" w:type="dxa"/>
        <w:tblInd w:w="7" w:type="dxa"/>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Layout w:type="fixed"/>
        <w:tblCellMar>
          <w:top w:w="0" w:type="dxa"/>
          <w:left w:w="0" w:type="dxa"/>
          <w:bottom w:w="0" w:type="dxa"/>
          <w:right w:w="0" w:type="dxa"/>
        </w:tblCellMar>
      </w:tblPr>
      <w:tblGrid>
        <w:gridCol w:w="1588"/>
        <w:gridCol w:w="1647"/>
        <w:gridCol w:w="1475"/>
        <w:gridCol w:w="1275"/>
        <w:gridCol w:w="1699"/>
        <w:gridCol w:w="1557"/>
        <w:gridCol w:w="1759"/>
        <w:gridCol w:w="1762"/>
        <w:gridCol w:w="1030"/>
      </w:tblGrid>
      <w:tr w14:paraId="1CF35A0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1588" w:type="dxa"/>
            <w:tcBorders>
              <w:top w:val="single" w:color="000000" w:sz="6" w:space="0"/>
              <w:left w:val="single" w:color="000000" w:sz="6" w:space="0"/>
              <w:tl2br w:val="single" w:color="000000" w:sz="4" w:space="0"/>
            </w:tcBorders>
            <w:vAlign w:val="center"/>
          </w:tcPr>
          <w:p w14:paraId="4145095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6"/>
                <w:sz w:val="24"/>
                <w:szCs w:val="24"/>
                <w:highlight w:val="none"/>
                <w:u w:val="none" w:color="auto"/>
              </w:rPr>
              <w:t>项目</w:t>
            </w:r>
          </w:p>
          <w:p w14:paraId="6F02427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7"/>
                <w:sz w:val="24"/>
                <w:szCs w:val="24"/>
                <w:highlight w:val="none"/>
                <w:u w:val="none" w:color="auto"/>
              </w:rPr>
              <w:t>分类</w:t>
            </w:r>
          </w:p>
        </w:tc>
        <w:tc>
          <w:tcPr>
            <w:tcW w:w="1647" w:type="dxa"/>
            <w:tcBorders>
              <w:top w:val="single" w:color="000000" w:sz="6" w:space="0"/>
            </w:tcBorders>
            <w:vAlign w:val="center"/>
          </w:tcPr>
          <w:p w14:paraId="0D90E59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1"/>
                <w:sz w:val="24"/>
                <w:szCs w:val="24"/>
                <w:highlight w:val="none"/>
                <w:u w:val="none" w:color="auto"/>
              </w:rPr>
              <w:t>污染物名称</w:t>
            </w:r>
          </w:p>
        </w:tc>
        <w:tc>
          <w:tcPr>
            <w:tcW w:w="1475" w:type="dxa"/>
            <w:tcBorders>
              <w:top w:val="single" w:color="000000" w:sz="6" w:space="0"/>
            </w:tcBorders>
            <w:vAlign w:val="center"/>
          </w:tcPr>
          <w:p w14:paraId="0150D60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11EAE81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①</w:t>
            </w:r>
          </w:p>
        </w:tc>
        <w:tc>
          <w:tcPr>
            <w:tcW w:w="1275" w:type="dxa"/>
            <w:tcBorders>
              <w:top w:val="single" w:color="000000" w:sz="6" w:space="0"/>
            </w:tcBorders>
            <w:vAlign w:val="center"/>
          </w:tcPr>
          <w:p w14:paraId="1B49905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7BFE113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许可排放量</w:t>
            </w:r>
          </w:p>
          <w:p w14:paraId="746E7FB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②</w:t>
            </w:r>
          </w:p>
        </w:tc>
        <w:tc>
          <w:tcPr>
            <w:tcW w:w="1699" w:type="dxa"/>
            <w:tcBorders>
              <w:top w:val="single" w:color="000000" w:sz="6" w:space="0"/>
            </w:tcBorders>
            <w:vAlign w:val="center"/>
          </w:tcPr>
          <w:p w14:paraId="452E8E0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9"/>
                <w:sz w:val="24"/>
                <w:szCs w:val="24"/>
                <w:highlight w:val="none"/>
                <w:u w:val="none" w:color="auto"/>
              </w:rPr>
              <w:t>在建工程</w:t>
            </w:r>
          </w:p>
          <w:p w14:paraId="7415D1E4">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③</w:t>
            </w:r>
          </w:p>
        </w:tc>
        <w:tc>
          <w:tcPr>
            <w:tcW w:w="1557" w:type="dxa"/>
            <w:tcBorders>
              <w:top w:val="single" w:color="000000" w:sz="6" w:space="0"/>
            </w:tcBorders>
            <w:vAlign w:val="center"/>
          </w:tcPr>
          <w:p w14:paraId="2F580AB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8"/>
                <w:sz w:val="24"/>
                <w:szCs w:val="24"/>
                <w:highlight w:val="none"/>
                <w:u w:val="none" w:color="auto"/>
              </w:rPr>
              <w:t>本项目</w:t>
            </w:r>
          </w:p>
          <w:p w14:paraId="7368FC9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6"/>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④</w:t>
            </w:r>
          </w:p>
        </w:tc>
        <w:tc>
          <w:tcPr>
            <w:tcW w:w="1759" w:type="dxa"/>
            <w:tcBorders>
              <w:top w:val="single" w:color="000000" w:sz="6" w:space="0"/>
            </w:tcBorders>
            <w:vAlign w:val="center"/>
          </w:tcPr>
          <w:p w14:paraId="15B3B6B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21"/>
                <w:w w:val="97"/>
                <w:sz w:val="24"/>
                <w:szCs w:val="24"/>
                <w:highlight w:val="none"/>
                <w:u w:val="none" w:color="auto"/>
              </w:rPr>
              <w:t>以新带老削减量</w:t>
            </w:r>
          </w:p>
          <w:p w14:paraId="5B780F8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34"/>
                <w:sz w:val="24"/>
                <w:szCs w:val="24"/>
                <w:highlight w:val="none"/>
                <w:u w:val="none" w:color="auto"/>
              </w:rPr>
              <w:t>（新建项目不填）</w:t>
            </w:r>
          </w:p>
          <w:p w14:paraId="639815E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⑤</w:t>
            </w:r>
          </w:p>
        </w:tc>
        <w:tc>
          <w:tcPr>
            <w:tcW w:w="1762" w:type="dxa"/>
            <w:tcBorders>
              <w:top w:val="single" w:color="000000" w:sz="6" w:space="0"/>
            </w:tcBorders>
            <w:vAlign w:val="center"/>
          </w:tcPr>
          <w:p w14:paraId="62FDA21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8"/>
                <w:w w:val="99"/>
                <w:kern w:val="2"/>
                <w:sz w:val="24"/>
                <w:szCs w:val="24"/>
                <w:highlight w:val="none"/>
                <w:u w:val="none" w:color="auto"/>
                <w:lang w:val="en-US" w:eastAsia="en-US" w:bidi="ar-SA"/>
              </w:rPr>
              <w:t>本项目建成后</w:t>
            </w:r>
            <w:r>
              <w:rPr>
                <w:rFonts w:hint="default" w:ascii="Times New Roman" w:hAnsi="Times New Roman" w:eastAsia="黑体" w:cs="Times New Roman"/>
                <w:color w:val="auto"/>
                <w:spacing w:val="-26"/>
                <w:w w:val="97"/>
                <w:kern w:val="2"/>
                <w:sz w:val="24"/>
                <w:szCs w:val="24"/>
                <w:highlight w:val="none"/>
                <w:u w:val="none" w:color="auto"/>
                <w:lang w:val="en-US" w:eastAsia="en-US" w:bidi="ar-SA"/>
              </w:rPr>
              <w:t>全厂</w:t>
            </w:r>
            <w:r>
              <w:rPr>
                <w:rFonts w:hint="default" w:ascii="Times New Roman" w:hAnsi="Times New Roman" w:eastAsia="黑体" w:cs="Times New Roman"/>
                <w:color w:val="auto"/>
                <w:spacing w:val="-25"/>
                <w:w w:val="97"/>
                <w:kern w:val="2"/>
                <w:sz w:val="24"/>
                <w:szCs w:val="24"/>
                <w:highlight w:val="none"/>
                <w:u w:val="none" w:color="auto"/>
                <w:lang w:val="en-US" w:eastAsia="en-US" w:bidi="ar-SA"/>
              </w:rPr>
              <w:t>排放量（固</w:t>
            </w:r>
            <w:r>
              <w:rPr>
                <w:rFonts w:hint="default" w:ascii="Times New Roman" w:hAnsi="Times New Roman" w:eastAsia="黑体" w:cs="Times New Roman"/>
                <w:color w:val="auto"/>
                <w:spacing w:val="-15"/>
                <w:w w:val="97"/>
                <w:kern w:val="2"/>
                <w:sz w:val="24"/>
                <w:szCs w:val="24"/>
                <w:highlight w:val="none"/>
                <w:u w:val="none" w:color="auto"/>
                <w:lang w:val="en-US" w:eastAsia="en-US" w:bidi="ar-SA"/>
              </w:rPr>
              <w:t>体</w:t>
            </w:r>
            <w:r>
              <w:rPr>
                <w:rFonts w:hint="default" w:ascii="Times New Roman" w:hAnsi="Times New Roman" w:eastAsia="黑体" w:cs="Times New Roman"/>
                <w:color w:val="auto"/>
                <w:spacing w:val="-17"/>
                <w:kern w:val="2"/>
                <w:sz w:val="24"/>
                <w:szCs w:val="24"/>
                <w:highlight w:val="none"/>
                <w:u w:val="none" w:color="auto"/>
                <w:lang w:val="en-US" w:eastAsia="en-US" w:bidi="ar-SA"/>
              </w:rPr>
              <w:t>废物产生量）</w:t>
            </w:r>
            <w:r>
              <w:rPr>
                <w:rFonts w:hint="default" w:ascii="Times New Roman" w:hAnsi="Times New Roman" w:eastAsia="宋体" w:cs="Times New Roman"/>
                <w:color w:val="auto"/>
                <w:spacing w:val="-17"/>
                <w:kern w:val="2"/>
                <w:sz w:val="24"/>
                <w:szCs w:val="24"/>
                <w:highlight w:val="none"/>
                <w:u w:val="none" w:color="auto"/>
                <w:lang w:val="en-US" w:eastAsia="en-US" w:bidi="ar-SA"/>
              </w:rPr>
              <w:t>⑥</w:t>
            </w:r>
          </w:p>
        </w:tc>
        <w:tc>
          <w:tcPr>
            <w:tcW w:w="1030" w:type="dxa"/>
            <w:tcBorders>
              <w:top w:val="single" w:color="000000" w:sz="6" w:space="0"/>
              <w:right w:val="single" w:color="000000" w:sz="6" w:space="0"/>
            </w:tcBorders>
            <w:vAlign w:val="center"/>
          </w:tcPr>
          <w:p w14:paraId="02290E2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4"/>
                <w:kern w:val="2"/>
                <w:sz w:val="24"/>
                <w:szCs w:val="24"/>
                <w:highlight w:val="none"/>
                <w:u w:val="none" w:color="auto"/>
                <w:lang w:val="en-US" w:eastAsia="en-US" w:bidi="ar-SA"/>
              </w:rPr>
              <w:t>变化量</w:t>
            </w:r>
            <w:r>
              <w:rPr>
                <w:rFonts w:hint="default" w:ascii="Times New Roman" w:hAnsi="Times New Roman" w:eastAsia="宋体" w:cs="Times New Roman"/>
                <w:color w:val="auto"/>
                <w:kern w:val="2"/>
                <w:sz w:val="24"/>
                <w:szCs w:val="24"/>
                <w:highlight w:val="none"/>
                <w:u w:val="none" w:color="auto"/>
                <w:lang w:val="en-US" w:eastAsia="en-US" w:bidi="ar-SA"/>
              </w:rPr>
              <w:t>⑦</w:t>
            </w:r>
          </w:p>
        </w:tc>
      </w:tr>
      <w:tr w14:paraId="0B1AEDB8">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588" w:type="dxa"/>
            <w:tcBorders>
              <w:left w:val="single" w:color="000000" w:sz="6" w:space="0"/>
            </w:tcBorders>
            <w:vAlign w:val="center"/>
          </w:tcPr>
          <w:p w14:paraId="24044A0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废气</w:t>
            </w:r>
          </w:p>
        </w:tc>
        <w:tc>
          <w:tcPr>
            <w:tcW w:w="1647" w:type="dxa"/>
            <w:vAlign w:val="center"/>
          </w:tcPr>
          <w:p w14:paraId="664DE1F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颗粒物</w:t>
            </w:r>
          </w:p>
        </w:tc>
        <w:tc>
          <w:tcPr>
            <w:tcW w:w="1475" w:type="dxa"/>
            <w:vAlign w:val="center"/>
          </w:tcPr>
          <w:p w14:paraId="4DEE7A3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54482F7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6B9CA90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9A96FA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30.3</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56147A8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3B40525F">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s="Times New Roman"/>
                <w:color w:val="auto"/>
                <w:sz w:val="24"/>
                <w:szCs w:val="24"/>
                <w:highlight w:val="green"/>
                <w:u w:val="none" w:color="auto"/>
                <w:lang w:val="en-US" w:eastAsia="zh-CN"/>
              </w:rPr>
            </w:pPr>
            <w:r>
              <w:rPr>
                <w:rFonts w:hint="eastAsia" w:cs="Times New Roman"/>
                <w:color w:val="auto"/>
                <w:sz w:val="24"/>
                <w:szCs w:val="24"/>
                <w:highlight w:val="none"/>
                <w:u w:val="none" w:color="auto"/>
                <w:lang w:val="en-US" w:eastAsia="zh-CN"/>
              </w:rPr>
              <w:t>8.023</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28C8DDF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r>
      <w:tr w14:paraId="3E0F3429">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502D76E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废水</w:t>
            </w:r>
          </w:p>
        </w:tc>
        <w:tc>
          <w:tcPr>
            <w:tcW w:w="1647" w:type="dxa"/>
            <w:vAlign w:val="center"/>
          </w:tcPr>
          <w:p w14:paraId="3D85933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化学需氧量</w:t>
            </w:r>
          </w:p>
        </w:tc>
        <w:tc>
          <w:tcPr>
            <w:tcW w:w="1475" w:type="dxa"/>
            <w:vAlign w:val="center"/>
          </w:tcPr>
          <w:p w14:paraId="68A68CB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4A249B0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0CABA3A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7CDFC6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0.198t/a</w:t>
            </w:r>
          </w:p>
        </w:tc>
        <w:tc>
          <w:tcPr>
            <w:tcW w:w="1759" w:type="dxa"/>
            <w:vAlign w:val="center"/>
          </w:tcPr>
          <w:p w14:paraId="02D99E3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0F820606">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0.198t/a</w:t>
            </w:r>
          </w:p>
        </w:tc>
        <w:tc>
          <w:tcPr>
            <w:tcW w:w="1030" w:type="dxa"/>
            <w:tcBorders>
              <w:right w:val="single" w:color="000000" w:sz="6" w:space="0"/>
            </w:tcBorders>
            <w:vAlign w:val="center"/>
          </w:tcPr>
          <w:p w14:paraId="35D0DC2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4A0ACA54">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3543ED5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4F4DD72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五日生化</w:t>
            </w:r>
            <w:r>
              <w:rPr>
                <w:rFonts w:hint="eastAsia" w:ascii="Times New Roman" w:hAnsi="Times New Roman" w:eastAsia="宋体" w:cs="Times New Roman"/>
                <w:color w:val="auto"/>
                <w:spacing w:val="-3"/>
                <w:kern w:val="2"/>
                <w:sz w:val="24"/>
                <w:szCs w:val="24"/>
                <w:highlight w:val="none"/>
                <w:u w:val="none" w:color="auto"/>
                <w:lang w:val="en-US" w:eastAsia="zh-CN" w:bidi="ar-SA"/>
              </w:rPr>
              <w:t>需氧量</w:t>
            </w:r>
          </w:p>
        </w:tc>
        <w:tc>
          <w:tcPr>
            <w:tcW w:w="1475" w:type="dxa"/>
            <w:vAlign w:val="center"/>
          </w:tcPr>
          <w:p w14:paraId="16F7C3A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6809646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2E6B56A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639919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0.104t/a</w:t>
            </w:r>
          </w:p>
        </w:tc>
        <w:tc>
          <w:tcPr>
            <w:tcW w:w="1759" w:type="dxa"/>
            <w:vAlign w:val="center"/>
          </w:tcPr>
          <w:p w14:paraId="11D0DAE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073378E">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0.104t/a</w:t>
            </w:r>
          </w:p>
        </w:tc>
        <w:tc>
          <w:tcPr>
            <w:tcW w:w="1030" w:type="dxa"/>
            <w:tcBorders>
              <w:right w:val="single" w:color="000000" w:sz="6" w:space="0"/>
            </w:tcBorders>
            <w:vAlign w:val="center"/>
          </w:tcPr>
          <w:p w14:paraId="34FF4BD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5A38F656">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0082496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5B56491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悬浮物</w:t>
            </w:r>
          </w:p>
        </w:tc>
        <w:tc>
          <w:tcPr>
            <w:tcW w:w="1475" w:type="dxa"/>
            <w:vAlign w:val="center"/>
          </w:tcPr>
          <w:p w14:paraId="431BAEB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3EE280D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267FECE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4A8A0F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0.122t/a</w:t>
            </w:r>
          </w:p>
        </w:tc>
        <w:tc>
          <w:tcPr>
            <w:tcW w:w="1759" w:type="dxa"/>
            <w:vAlign w:val="center"/>
          </w:tcPr>
          <w:p w14:paraId="0702B79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638F218">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0.122t/a</w:t>
            </w:r>
          </w:p>
        </w:tc>
        <w:tc>
          <w:tcPr>
            <w:tcW w:w="1030" w:type="dxa"/>
            <w:tcBorders>
              <w:right w:val="single" w:color="000000" w:sz="6" w:space="0"/>
            </w:tcBorders>
            <w:vAlign w:val="center"/>
          </w:tcPr>
          <w:p w14:paraId="63A10F3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3EBFD16F">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88" w:type="dxa"/>
            <w:vMerge w:val="continue"/>
            <w:tcBorders>
              <w:left w:val="single" w:color="000000" w:sz="6" w:space="0"/>
            </w:tcBorders>
            <w:vAlign w:val="center"/>
          </w:tcPr>
          <w:p w14:paraId="170791F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098CBA6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氨氮</w:t>
            </w:r>
          </w:p>
        </w:tc>
        <w:tc>
          <w:tcPr>
            <w:tcW w:w="1475" w:type="dxa"/>
            <w:vAlign w:val="center"/>
          </w:tcPr>
          <w:p w14:paraId="111C101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2381F8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130A715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2C74807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0.019t/a</w:t>
            </w:r>
          </w:p>
        </w:tc>
        <w:tc>
          <w:tcPr>
            <w:tcW w:w="1759" w:type="dxa"/>
            <w:vAlign w:val="center"/>
          </w:tcPr>
          <w:p w14:paraId="29078C8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5218A2F4">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0.019t/a</w:t>
            </w:r>
          </w:p>
        </w:tc>
        <w:tc>
          <w:tcPr>
            <w:tcW w:w="1030" w:type="dxa"/>
            <w:tcBorders>
              <w:right w:val="single" w:color="000000" w:sz="6" w:space="0"/>
            </w:tcBorders>
            <w:vAlign w:val="center"/>
          </w:tcPr>
          <w:p w14:paraId="090B3DC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006A4FA6">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2DBB7DA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645ADF6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8"/>
                <w:kern w:val="2"/>
                <w:sz w:val="24"/>
                <w:szCs w:val="24"/>
                <w:highlight w:val="none"/>
                <w:u w:val="none" w:color="auto"/>
                <w:lang w:val="en-US" w:eastAsia="en-US" w:bidi="ar-SA"/>
              </w:rPr>
              <w:t>总氮</w:t>
            </w:r>
          </w:p>
        </w:tc>
        <w:tc>
          <w:tcPr>
            <w:tcW w:w="1475" w:type="dxa"/>
            <w:vAlign w:val="center"/>
          </w:tcPr>
          <w:p w14:paraId="606D54B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07753EE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1C6AD0C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49E16E8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0.027t/a</w:t>
            </w:r>
          </w:p>
        </w:tc>
        <w:tc>
          <w:tcPr>
            <w:tcW w:w="1759" w:type="dxa"/>
            <w:vAlign w:val="center"/>
          </w:tcPr>
          <w:p w14:paraId="7713155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AEE0455">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0.027t/a</w:t>
            </w:r>
          </w:p>
        </w:tc>
        <w:tc>
          <w:tcPr>
            <w:tcW w:w="1030" w:type="dxa"/>
            <w:tcBorders>
              <w:right w:val="single" w:color="000000" w:sz="6" w:space="0"/>
            </w:tcBorders>
            <w:vAlign w:val="center"/>
          </w:tcPr>
          <w:p w14:paraId="452CACD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406B26C8">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74E90E9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0DD5719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
                <w:sz w:val="24"/>
                <w:szCs w:val="24"/>
                <w:highlight w:val="none"/>
                <w:u w:val="none" w:color="auto"/>
                <w:lang w:val="en-US" w:eastAsia="zh-CN" w:bidi="ar-SA"/>
              </w:rPr>
            </w:pPr>
            <w:r>
              <w:rPr>
                <w:rFonts w:hint="default" w:ascii="Times New Roman" w:hAnsi="Times New Roman" w:eastAsia="宋体" w:cs="Times New Roman"/>
                <w:color w:val="auto"/>
                <w:spacing w:val="-8"/>
                <w:kern w:val="2"/>
                <w:sz w:val="24"/>
                <w:szCs w:val="24"/>
                <w:highlight w:val="none"/>
                <w:u w:val="none" w:color="auto"/>
                <w:lang w:val="en-US" w:eastAsia="en-US" w:bidi="ar-SA"/>
              </w:rPr>
              <w:t>总磷</w:t>
            </w:r>
          </w:p>
        </w:tc>
        <w:tc>
          <w:tcPr>
            <w:tcW w:w="1475" w:type="dxa"/>
            <w:vAlign w:val="center"/>
          </w:tcPr>
          <w:p w14:paraId="571D09E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5257E5A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7292729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157FD69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0.003t/a</w:t>
            </w:r>
          </w:p>
        </w:tc>
        <w:tc>
          <w:tcPr>
            <w:tcW w:w="1759" w:type="dxa"/>
            <w:vAlign w:val="center"/>
          </w:tcPr>
          <w:p w14:paraId="201CE78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236645A">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highlight w:val="green"/>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0.003t/a</w:t>
            </w:r>
          </w:p>
        </w:tc>
        <w:tc>
          <w:tcPr>
            <w:tcW w:w="1030" w:type="dxa"/>
            <w:tcBorders>
              <w:right w:val="single" w:color="000000" w:sz="6" w:space="0"/>
            </w:tcBorders>
            <w:vAlign w:val="center"/>
          </w:tcPr>
          <w:p w14:paraId="1B1BC5C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326B4440">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180D1A0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一般工业</w:t>
            </w:r>
          </w:p>
          <w:p w14:paraId="38E10E5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固体废物</w:t>
            </w:r>
          </w:p>
        </w:tc>
        <w:tc>
          <w:tcPr>
            <w:tcW w:w="1647" w:type="dxa"/>
            <w:vAlign w:val="center"/>
          </w:tcPr>
          <w:p w14:paraId="04203E6D">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泥饼</w:t>
            </w:r>
          </w:p>
        </w:tc>
        <w:tc>
          <w:tcPr>
            <w:tcW w:w="1475" w:type="dxa"/>
            <w:vAlign w:val="center"/>
          </w:tcPr>
          <w:p w14:paraId="78CBE77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2AFFB1E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536F2ED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5253092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2448</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5CF33EE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120E7096">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2448</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51640E1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r w14:paraId="38B870A0">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88" w:type="dxa"/>
            <w:vMerge w:val="continue"/>
            <w:tcBorders>
              <w:left w:val="single" w:color="000000" w:sz="6" w:space="0"/>
            </w:tcBorders>
            <w:vAlign w:val="center"/>
          </w:tcPr>
          <w:p w14:paraId="6AF2A60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10EE7A8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color w:val="auto"/>
                <w:sz w:val="21"/>
                <w:szCs w:val="24"/>
                <w:highlight w:val="none"/>
                <w:u w:val="none" w:color="auto"/>
                <w:lang w:val="en-US" w:eastAsia="zh-CN"/>
              </w:rPr>
            </w:pPr>
            <w:r>
              <w:rPr>
                <w:rFonts w:hint="eastAsia" w:cs="Times New Roman"/>
                <w:color w:val="auto"/>
                <w:spacing w:val="-5"/>
                <w:kern w:val="2"/>
                <w:sz w:val="24"/>
                <w:szCs w:val="24"/>
                <w:highlight w:val="none"/>
                <w:u w:val="none" w:color="auto"/>
                <w:lang w:val="en-US" w:eastAsia="zh-CN" w:bidi="ar-SA"/>
              </w:rPr>
              <w:t>废包装袋</w:t>
            </w:r>
          </w:p>
        </w:tc>
        <w:tc>
          <w:tcPr>
            <w:tcW w:w="1475" w:type="dxa"/>
            <w:vAlign w:val="center"/>
          </w:tcPr>
          <w:p w14:paraId="1A8285F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3183BBD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7E79D69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499B825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0.2</w:t>
            </w:r>
            <w:r>
              <w:rPr>
                <w:rFonts w:hint="eastAsia" w:eastAsia="宋体" w:cs="Times New Roman"/>
                <w:color w:val="auto"/>
                <w:sz w:val="24"/>
                <w:szCs w:val="24"/>
                <w:highlight w:val="none"/>
                <w:u w:val="none" w:color="auto"/>
                <w:lang w:val="en-US" w:eastAsia="zh-CN"/>
              </w:rPr>
              <w:t>t/a</w:t>
            </w:r>
          </w:p>
        </w:tc>
        <w:tc>
          <w:tcPr>
            <w:tcW w:w="1759" w:type="dxa"/>
            <w:vAlign w:val="center"/>
          </w:tcPr>
          <w:p w14:paraId="029F7C9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13EB005">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0.2</w:t>
            </w:r>
            <w:r>
              <w:rPr>
                <w:rFonts w:hint="eastAsia"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0FF5AD96">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r>
      <w:tr w14:paraId="033DBB2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88" w:type="dxa"/>
            <w:vMerge w:val="continue"/>
            <w:tcBorders>
              <w:left w:val="single" w:color="000000" w:sz="6" w:space="0"/>
            </w:tcBorders>
            <w:vAlign w:val="center"/>
          </w:tcPr>
          <w:p w14:paraId="6197172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4E4DE4F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粉尘</w:t>
            </w:r>
          </w:p>
        </w:tc>
        <w:tc>
          <w:tcPr>
            <w:tcW w:w="1475" w:type="dxa"/>
            <w:vAlign w:val="center"/>
          </w:tcPr>
          <w:p w14:paraId="59452BB6">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21C5F3F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4309BDA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6E1F1CB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22.422</w:t>
            </w:r>
            <w:r>
              <w:rPr>
                <w:rFonts w:hint="eastAsia" w:eastAsia="宋体" w:cs="Times New Roman"/>
                <w:color w:val="auto"/>
                <w:sz w:val="24"/>
                <w:szCs w:val="24"/>
                <w:highlight w:val="none"/>
                <w:u w:val="none" w:color="auto"/>
                <w:lang w:val="en-US" w:eastAsia="zh-CN"/>
              </w:rPr>
              <w:t>t/a</w:t>
            </w:r>
          </w:p>
        </w:tc>
        <w:tc>
          <w:tcPr>
            <w:tcW w:w="1759" w:type="dxa"/>
            <w:vAlign w:val="center"/>
          </w:tcPr>
          <w:p w14:paraId="4F0196B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FD6E8E7">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22.422</w:t>
            </w:r>
            <w:r>
              <w:rPr>
                <w:rFonts w:hint="eastAsia"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7E0A821E">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r>
      <w:tr w14:paraId="23FDE052">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2C506324">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r>
              <w:rPr>
                <w:rFonts w:hint="default" w:ascii="Times New Roman" w:hAnsi="Times New Roman" w:eastAsia="宋体" w:cs="Times New Roman"/>
                <w:color w:val="auto"/>
                <w:spacing w:val="-4"/>
                <w:kern w:val="2"/>
                <w:sz w:val="24"/>
                <w:szCs w:val="24"/>
                <w:highlight w:val="none"/>
                <w:u w:val="none" w:color="auto"/>
                <w:lang w:val="en-US" w:eastAsia="zh-CN" w:bidi="ar-SA"/>
              </w:rPr>
              <w:t>危险废物</w:t>
            </w:r>
          </w:p>
        </w:tc>
        <w:tc>
          <w:tcPr>
            <w:tcW w:w="1647" w:type="dxa"/>
            <w:vAlign w:val="center"/>
          </w:tcPr>
          <w:p w14:paraId="111F9BF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w:t>
            </w:r>
          </w:p>
        </w:tc>
        <w:tc>
          <w:tcPr>
            <w:tcW w:w="1475" w:type="dxa"/>
            <w:vAlign w:val="center"/>
          </w:tcPr>
          <w:p w14:paraId="71E9431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02F3CDC1">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57E101B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414C03E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759" w:type="dxa"/>
            <w:vAlign w:val="center"/>
          </w:tcPr>
          <w:p w14:paraId="5AC4AEF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1CD746D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65F0032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r>
      <w:tr w14:paraId="5743333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1F89DC9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p>
        </w:tc>
        <w:tc>
          <w:tcPr>
            <w:tcW w:w="1647" w:type="dxa"/>
            <w:vAlign w:val="center"/>
          </w:tcPr>
          <w:p w14:paraId="377DC71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废机油桶</w:t>
            </w:r>
          </w:p>
        </w:tc>
        <w:tc>
          <w:tcPr>
            <w:tcW w:w="1475" w:type="dxa"/>
            <w:vAlign w:val="center"/>
          </w:tcPr>
          <w:p w14:paraId="0D2379C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65CC850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08E542F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06C574F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759" w:type="dxa"/>
            <w:vAlign w:val="center"/>
          </w:tcPr>
          <w:p w14:paraId="0DED4E6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7A23BA7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0C190EC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r>
    </w:tbl>
    <w:p w14:paraId="3C416C0D">
      <w:pPr>
        <w:pStyle w:val="32"/>
        <w:keepNext w:val="0"/>
        <w:keepLines w:val="0"/>
        <w:pageBreakBefore w:val="0"/>
        <w:kinsoku/>
        <w:wordWrap/>
        <w:overflowPunct/>
        <w:topLinePunct w:val="0"/>
        <w:bidi w:val="0"/>
        <w:adjustRightInd/>
        <w:snapToGrid/>
        <w:spacing w:line="240" w:lineRule="auto"/>
        <w:ind w:left="0" w:right="0" w:firstLine="0" w:firstLineChars="0"/>
        <w:textAlignment w:val="auto"/>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snapToGrid w:val="0"/>
          <w:color w:val="auto"/>
          <w:kern w:val="21"/>
          <w:sz w:val="21"/>
          <w:szCs w:val="21"/>
          <w:highlight w:val="none"/>
          <w:u w:val="none" w:color="auto"/>
          <w:lang w:val="en-US" w:eastAsia="zh-CN" w:bidi="ar-SA"/>
        </w:rPr>
        <w:t>注：</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=3\*GB3\*MERGEFORMAT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③</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=4\*GB3\*MERGEFORMAT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④</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=5\*GB3\*MERGEFORMAT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⑤</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=7\*GB3\*MERGEFORMAT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⑦</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p>
    <w:p w14:paraId="1958343F">
      <w:pPr>
        <w:pStyle w:val="32"/>
        <w:ind w:left="0" w:leftChars="0" w:firstLine="0" w:firstLineChars="0"/>
        <w:rPr>
          <w:rFonts w:hint="default"/>
          <w:color w:val="auto"/>
          <w:highlight w:val="green"/>
          <w:u w:val="none" w:color="auto"/>
          <w:lang w:val="en-US" w:eastAsia="zh-CN"/>
        </w:rPr>
      </w:pPr>
      <w:bookmarkStart w:id="75" w:name="_GoBack"/>
    </w:p>
    <w:bookmarkEnd w:id="75"/>
    <w:sectPr>
      <w:footerReference r:id="rId6" w:type="default"/>
      <w:pgSz w:w="11906" w:h="16838"/>
      <w:pgMar w:top="1440" w:right="1800" w:bottom="1134" w:left="1800" w:header="851" w:footer="45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 wne:kcmPrimary="0233">
      <wne:acd wne:acdName="acd1"/>
    </wne:keymap>
    <wne:keymap wne:kcmPrimary="0239">
      <wne:acd wne:acdName="acd2"/>
    </wne:keymap>
    <wne:keymap wne:kcmPrimary="0235">
      <wne:acd wne:acdName="acd3"/>
    </wne:keymap>
    <wne:keymap wne:kcmPrimary="024D" wne:mask="1"/>
    <wne:keymap wne:kcmPrimary="0257" wne:mask="1"/>
    <wne:keymap wne:kcmPrimary="0251" wne:mask="1"/>
    <wne:keymap wne:kcmPrimary="0071" wne:mask="1"/>
    <wne:keymap wne:kcmPrimary="0254">
      <wne:fci wne:fciName="Wpsaigc" wne:swArg="0000"/>
    </wne:keymap>
  </wne:keymaps>
  <wne:acds>
    <wne:acd wne:argValue="AgClYkpUY2uHZQ==" wne:acdName="acd0" wne:fciIndexBasedOn="0065"/>
    <wne:acd wne:argValue="AgBoiIR2Y2uHZQ==" wne:acdName="acd1" wne:fciIndexBasedOn="0065"/>
    <wne:acd wne:argValue="AQAAAAIA" wne:acdName="acd2" wne:fciIndexBasedOn="0065"/>
    <wne:acd wne:argValue="AgBoiDxohVG5Ww=="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3C15">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E8D7">
    <w:pPr>
      <w:pStyle w:val="15"/>
      <w:framePr w:wrap="around" w:vAnchor="text" w:hAnchor="margin" w:xAlign="center" w:y="1"/>
      <w:rPr>
        <w:rStyle w:val="26"/>
      </w:rPr>
    </w:pPr>
    <w:r>
      <w:fldChar w:fldCharType="begin"/>
    </w:r>
    <w:r>
      <w:rPr>
        <w:rStyle w:val="26"/>
      </w:rPr>
      <w:instrText xml:space="preserve">PAGE  </w:instrText>
    </w:r>
    <w:r>
      <w:fldChar w:fldCharType="end"/>
    </w:r>
  </w:p>
  <w:p w14:paraId="6D57FEE8">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D25A">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8483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E98483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32C9">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F9A49"/>
    <w:multiLevelType w:val="singleLevel"/>
    <w:tmpl w:val="A53F9A49"/>
    <w:lvl w:ilvl="0" w:tentative="0">
      <w:start w:val="1"/>
      <w:numFmt w:val="decimal"/>
      <w:suff w:val="nothing"/>
      <w:lvlText w:val="%1）"/>
      <w:lvlJc w:val="left"/>
    </w:lvl>
  </w:abstractNum>
  <w:abstractNum w:abstractNumId="1">
    <w:nsid w:val="B6E2ECDA"/>
    <w:multiLevelType w:val="singleLevel"/>
    <w:tmpl w:val="B6E2ECDA"/>
    <w:lvl w:ilvl="0" w:tentative="0">
      <w:start w:val="6"/>
      <w:numFmt w:val="decimal"/>
      <w:suff w:val="nothing"/>
      <w:lvlText w:val="%1、"/>
      <w:lvlJc w:val="left"/>
    </w:lvl>
  </w:abstractNum>
  <w:abstractNum w:abstractNumId="2">
    <w:nsid w:val="E71EBA94"/>
    <w:multiLevelType w:val="singleLevel"/>
    <w:tmpl w:val="E71EBA94"/>
    <w:lvl w:ilvl="0" w:tentative="0">
      <w:start w:val="1"/>
      <w:numFmt w:val="decimal"/>
      <w:suff w:val="nothing"/>
      <w:lvlText w:val="（%1）"/>
      <w:lvlJc w:val="left"/>
    </w:lvl>
  </w:abstractNum>
  <w:abstractNum w:abstractNumId="3">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0"/>
      <w:lvlText w:val="%3."/>
      <w:lvlJc w:val="right"/>
      <w:pPr>
        <w:tabs>
          <w:tab w:val="left" w:pos="1260"/>
        </w:tabs>
        <w:ind w:left="1260" w:hanging="420"/>
      </w:pPr>
    </w:lvl>
    <w:lvl w:ilvl="3" w:tentative="0">
      <w:start w:val="1"/>
      <w:numFmt w:val="decimal"/>
      <w:pStyle w:val="2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6C67A9"/>
    <w:multiLevelType w:val="singleLevel"/>
    <w:tmpl w:val="056C67A9"/>
    <w:lvl w:ilvl="0" w:tentative="0">
      <w:start w:val="1"/>
      <w:numFmt w:val="decimal"/>
      <w:suff w:val="nothing"/>
      <w:lvlText w:val="（%1）"/>
      <w:lvlJc w:val="left"/>
    </w:lvl>
  </w:abstractNum>
  <w:abstractNum w:abstractNumId="5">
    <w:nsid w:val="26E38C79"/>
    <w:multiLevelType w:val="singleLevel"/>
    <w:tmpl w:val="26E38C79"/>
    <w:lvl w:ilvl="0" w:tentative="0">
      <w:start w:val="2"/>
      <w:numFmt w:val="decimal"/>
      <w:lvlText w:val="%1."/>
      <w:lvlJc w:val="left"/>
      <w:pPr>
        <w:tabs>
          <w:tab w:val="left" w:pos="312"/>
        </w:tabs>
      </w:pPr>
    </w:lvl>
  </w:abstractNum>
  <w:abstractNum w:abstractNumId="6">
    <w:nsid w:val="4B2DAE66"/>
    <w:multiLevelType w:val="singleLevel"/>
    <w:tmpl w:val="4B2DAE66"/>
    <w:lvl w:ilvl="0" w:tentative="0">
      <w:start w:val="1"/>
      <w:numFmt w:val="decimal"/>
      <w:suff w:val="nothing"/>
      <w:lvlText w:val="%1、"/>
      <w:lvlJc w:val="left"/>
    </w:lvl>
  </w:abstractNum>
  <w:abstractNum w:abstractNumId="7">
    <w:nsid w:val="77545E24"/>
    <w:multiLevelType w:val="singleLevel"/>
    <w:tmpl w:val="77545E24"/>
    <w:lvl w:ilvl="0" w:tentative="0">
      <w:start w:val="1"/>
      <w:numFmt w:val="chineseCounting"/>
      <w:suff w:val="nothing"/>
      <w:lvlText w:val="%1、"/>
      <w:lvlJc w:val="left"/>
      <w:rPr>
        <w:rFonts w:hint="eastAsia"/>
      </w:rPr>
    </w:lvl>
  </w:abstractNum>
  <w:abstractNum w:abstractNumId="8">
    <w:nsid w:val="7F13057C"/>
    <w:multiLevelType w:val="singleLevel"/>
    <w:tmpl w:val="7F13057C"/>
    <w:lvl w:ilvl="0" w:tentative="0">
      <w:start w:val="1"/>
      <w:numFmt w:val="chineseCounting"/>
      <w:suff w:val="nothing"/>
      <w:lvlText w:val="（%1）"/>
      <w:lvlJc w:val="left"/>
      <w:rPr>
        <w:rFonts w:hint="eastAsia"/>
      </w:rPr>
    </w:lvl>
  </w:abstractNum>
  <w:num w:numId="1">
    <w:abstractNumId w:val="3"/>
  </w:num>
  <w:num w:numId="2">
    <w:abstractNumId w:val="7"/>
  </w:num>
  <w:num w:numId="3">
    <w:abstractNumId w:val="8"/>
  </w:num>
  <w:num w:numId="4">
    <w:abstractNumId w:val="5"/>
  </w:num>
  <w:num w:numId="5">
    <w:abstractNumId w:val="1"/>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YjIxM2FiOTIzOGI2MzEyMTNjM2RmZTY5NGQ4OWQifQ=="/>
  </w:docVars>
  <w:rsids>
    <w:rsidRoot w:val="00000000"/>
    <w:rsid w:val="01360BFD"/>
    <w:rsid w:val="016B7DD3"/>
    <w:rsid w:val="018D077E"/>
    <w:rsid w:val="01A93FA3"/>
    <w:rsid w:val="01DD5369"/>
    <w:rsid w:val="022E1342"/>
    <w:rsid w:val="024F051D"/>
    <w:rsid w:val="025A01FA"/>
    <w:rsid w:val="02E20FEB"/>
    <w:rsid w:val="02EA454C"/>
    <w:rsid w:val="038C3624"/>
    <w:rsid w:val="05045994"/>
    <w:rsid w:val="066E6ACF"/>
    <w:rsid w:val="084A6F53"/>
    <w:rsid w:val="097E2856"/>
    <w:rsid w:val="09C661EE"/>
    <w:rsid w:val="09C677BC"/>
    <w:rsid w:val="0B255755"/>
    <w:rsid w:val="0B59153C"/>
    <w:rsid w:val="0C8C508D"/>
    <w:rsid w:val="0CBF4BF8"/>
    <w:rsid w:val="0D887256"/>
    <w:rsid w:val="0F3E3C48"/>
    <w:rsid w:val="0F9A050E"/>
    <w:rsid w:val="103E5865"/>
    <w:rsid w:val="10E46104"/>
    <w:rsid w:val="10EA76D2"/>
    <w:rsid w:val="14136A2F"/>
    <w:rsid w:val="1524655E"/>
    <w:rsid w:val="15607D1F"/>
    <w:rsid w:val="156E5163"/>
    <w:rsid w:val="15772680"/>
    <w:rsid w:val="15F10E36"/>
    <w:rsid w:val="196329A9"/>
    <w:rsid w:val="19A1100A"/>
    <w:rsid w:val="19C001C4"/>
    <w:rsid w:val="1A271CB1"/>
    <w:rsid w:val="1BE04F46"/>
    <w:rsid w:val="1E080F5F"/>
    <w:rsid w:val="1E8A158E"/>
    <w:rsid w:val="1EC578F6"/>
    <w:rsid w:val="1F5E3B1A"/>
    <w:rsid w:val="1FF90E1B"/>
    <w:rsid w:val="205540A8"/>
    <w:rsid w:val="21106E93"/>
    <w:rsid w:val="21EE084C"/>
    <w:rsid w:val="239E5162"/>
    <w:rsid w:val="265D393F"/>
    <w:rsid w:val="285D52B5"/>
    <w:rsid w:val="28A6098D"/>
    <w:rsid w:val="29477A7A"/>
    <w:rsid w:val="29C72969"/>
    <w:rsid w:val="2A013332"/>
    <w:rsid w:val="2A955787"/>
    <w:rsid w:val="2B0F5E31"/>
    <w:rsid w:val="2C5E06D8"/>
    <w:rsid w:val="2CD72212"/>
    <w:rsid w:val="2D355E3C"/>
    <w:rsid w:val="2E1B482A"/>
    <w:rsid w:val="2E374561"/>
    <w:rsid w:val="2E6C1D31"/>
    <w:rsid w:val="2F7169E1"/>
    <w:rsid w:val="300F55E6"/>
    <w:rsid w:val="312B3D4C"/>
    <w:rsid w:val="31604950"/>
    <w:rsid w:val="31614EED"/>
    <w:rsid w:val="31BA2543"/>
    <w:rsid w:val="33A3013E"/>
    <w:rsid w:val="33E742B2"/>
    <w:rsid w:val="34F565DC"/>
    <w:rsid w:val="351A23E8"/>
    <w:rsid w:val="352073D1"/>
    <w:rsid w:val="359475C1"/>
    <w:rsid w:val="359543A1"/>
    <w:rsid w:val="35B92C8C"/>
    <w:rsid w:val="36931098"/>
    <w:rsid w:val="369B68D3"/>
    <w:rsid w:val="383B06FC"/>
    <w:rsid w:val="39244360"/>
    <w:rsid w:val="3A393957"/>
    <w:rsid w:val="3A506484"/>
    <w:rsid w:val="3B0B5885"/>
    <w:rsid w:val="3B464B1F"/>
    <w:rsid w:val="3B6521FE"/>
    <w:rsid w:val="3B720A8F"/>
    <w:rsid w:val="3BC57738"/>
    <w:rsid w:val="3D3C6388"/>
    <w:rsid w:val="3D58259F"/>
    <w:rsid w:val="3D7A0FEB"/>
    <w:rsid w:val="3E3C34CE"/>
    <w:rsid w:val="3E771BB7"/>
    <w:rsid w:val="3EF31D11"/>
    <w:rsid w:val="402A23C2"/>
    <w:rsid w:val="402F69B5"/>
    <w:rsid w:val="42083747"/>
    <w:rsid w:val="42A736DA"/>
    <w:rsid w:val="42B42A34"/>
    <w:rsid w:val="4357079C"/>
    <w:rsid w:val="43805247"/>
    <w:rsid w:val="43A06E5C"/>
    <w:rsid w:val="43A754AE"/>
    <w:rsid w:val="43DE0B83"/>
    <w:rsid w:val="458F1548"/>
    <w:rsid w:val="45AE0F60"/>
    <w:rsid w:val="4667386D"/>
    <w:rsid w:val="47797C91"/>
    <w:rsid w:val="48405BD4"/>
    <w:rsid w:val="48920E38"/>
    <w:rsid w:val="48ED3EEE"/>
    <w:rsid w:val="4A3A219D"/>
    <w:rsid w:val="4A9D4000"/>
    <w:rsid w:val="4AD3282B"/>
    <w:rsid w:val="4BD61A4D"/>
    <w:rsid w:val="4CC60F9D"/>
    <w:rsid w:val="4D1E7F2D"/>
    <w:rsid w:val="4F892703"/>
    <w:rsid w:val="4FC25504"/>
    <w:rsid w:val="4FE466E1"/>
    <w:rsid w:val="50850D04"/>
    <w:rsid w:val="518979CC"/>
    <w:rsid w:val="51967C91"/>
    <w:rsid w:val="528262A3"/>
    <w:rsid w:val="52BF27B0"/>
    <w:rsid w:val="52E96395"/>
    <w:rsid w:val="541609D6"/>
    <w:rsid w:val="55F04368"/>
    <w:rsid w:val="55F927FC"/>
    <w:rsid w:val="56201CD8"/>
    <w:rsid w:val="56A770DA"/>
    <w:rsid w:val="57233025"/>
    <w:rsid w:val="57BD6FD6"/>
    <w:rsid w:val="58B13C92"/>
    <w:rsid w:val="59906A15"/>
    <w:rsid w:val="599261D0"/>
    <w:rsid w:val="5B4120E5"/>
    <w:rsid w:val="5BE54D4B"/>
    <w:rsid w:val="5C596BA7"/>
    <w:rsid w:val="5C7A295F"/>
    <w:rsid w:val="5D635042"/>
    <w:rsid w:val="5D8A229D"/>
    <w:rsid w:val="5DFB3E7E"/>
    <w:rsid w:val="5E1A1401"/>
    <w:rsid w:val="5E40270F"/>
    <w:rsid w:val="5E6038A2"/>
    <w:rsid w:val="5EDA147B"/>
    <w:rsid w:val="5F242B53"/>
    <w:rsid w:val="5F5862D8"/>
    <w:rsid w:val="5F880136"/>
    <w:rsid w:val="6019331E"/>
    <w:rsid w:val="609A08A8"/>
    <w:rsid w:val="60D76317"/>
    <w:rsid w:val="619045D1"/>
    <w:rsid w:val="61C15914"/>
    <w:rsid w:val="61D440D0"/>
    <w:rsid w:val="625D436D"/>
    <w:rsid w:val="64E75692"/>
    <w:rsid w:val="67353E77"/>
    <w:rsid w:val="67800F8B"/>
    <w:rsid w:val="681539DF"/>
    <w:rsid w:val="69232124"/>
    <w:rsid w:val="692C4ACE"/>
    <w:rsid w:val="693469CC"/>
    <w:rsid w:val="699629B8"/>
    <w:rsid w:val="6AD55BB2"/>
    <w:rsid w:val="6B242C93"/>
    <w:rsid w:val="6B504740"/>
    <w:rsid w:val="6B62453E"/>
    <w:rsid w:val="6CB85165"/>
    <w:rsid w:val="6CBA3627"/>
    <w:rsid w:val="6CBF0583"/>
    <w:rsid w:val="6CE14A3F"/>
    <w:rsid w:val="6ECE3273"/>
    <w:rsid w:val="6ED638ED"/>
    <w:rsid w:val="70267301"/>
    <w:rsid w:val="7180288D"/>
    <w:rsid w:val="71876906"/>
    <w:rsid w:val="71B15BA8"/>
    <w:rsid w:val="73137FE7"/>
    <w:rsid w:val="736B56E0"/>
    <w:rsid w:val="73DF0290"/>
    <w:rsid w:val="73FF10F6"/>
    <w:rsid w:val="74F2726E"/>
    <w:rsid w:val="750162FC"/>
    <w:rsid w:val="767438C6"/>
    <w:rsid w:val="76F0340D"/>
    <w:rsid w:val="77962F90"/>
    <w:rsid w:val="779C68E4"/>
    <w:rsid w:val="77DA056C"/>
    <w:rsid w:val="77F0668A"/>
    <w:rsid w:val="783A52D0"/>
    <w:rsid w:val="788D7EA7"/>
    <w:rsid w:val="789B0816"/>
    <w:rsid w:val="78C937AB"/>
    <w:rsid w:val="791C3872"/>
    <w:rsid w:val="7A157C97"/>
    <w:rsid w:val="7A3C7DD6"/>
    <w:rsid w:val="7A4F6028"/>
    <w:rsid w:val="7A57778E"/>
    <w:rsid w:val="7A704213"/>
    <w:rsid w:val="7B2252BA"/>
    <w:rsid w:val="7BA50FC3"/>
    <w:rsid w:val="7C812849"/>
    <w:rsid w:val="7D5A2AA6"/>
    <w:rsid w:val="7DAA5057"/>
    <w:rsid w:val="7DE71122"/>
    <w:rsid w:val="7DFF6108"/>
    <w:rsid w:val="7E0D60C0"/>
    <w:rsid w:val="7E6671D0"/>
    <w:rsid w:val="7F006526"/>
    <w:rsid w:val="7F0A04A3"/>
    <w:rsid w:val="7F195E92"/>
    <w:rsid w:val="7F8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tabs>
        <w:tab w:val="left" w:pos="1021"/>
      </w:tabs>
      <w:spacing w:line="240" w:lineRule="auto"/>
      <w:ind w:firstLine="0" w:firstLineChars="0"/>
      <w:jc w:val="left"/>
      <w:outlineLvl w:val="0"/>
    </w:pPr>
    <w:rPr>
      <w:rFonts w:ascii="Calibri" w:hAnsi="Calibri" w:eastAsia="宋体" w:cs="Times New Roman"/>
      <w:b/>
      <w:bCs/>
      <w:kern w:val="44"/>
      <w:sz w:val="28"/>
      <w:szCs w:val="44"/>
    </w:rPr>
  </w:style>
  <w:style w:type="paragraph" w:styleId="3">
    <w:name w:val="heading 2"/>
    <w:basedOn w:val="1"/>
    <w:next w:val="1"/>
    <w:link w:val="34"/>
    <w:autoRedefine/>
    <w:semiHidden/>
    <w:unhideWhenUsed/>
    <w:qFormat/>
    <w:uiPriority w:val="0"/>
    <w:pPr>
      <w:keepNext/>
      <w:keepLines/>
      <w:tabs>
        <w:tab w:val="left" w:pos="1021"/>
      </w:tabs>
      <w:spacing w:line="360" w:lineRule="auto"/>
      <w:outlineLvl w:val="1"/>
    </w:pPr>
    <w:rPr>
      <w:rFonts w:ascii="Arial" w:hAnsi="Arial" w:eastAsia="宋体" w:cs="Times New Roman"/>
      <w:b/>
      <w:bCs/>
      <w:sz w:val="28"/>
      <w:szCs w:val="32"/>
    </w:rPr>
  </w:style>
  <w:style w:type="paragraph" w:styleId="4">
    <w:name w:val="heading 3"/>
    <w:basedOn w:val="1"/>
    <w:next w:val="1"/>
    <w:link w:val="35"/>
    <w:semiHidden/>
    <w:unhideWhenUsed/>
    <w:qFormat/>
    <w:uiPriority w:val="0"/>
    <w:pPr>
      <w:keepNext/>
      <w:keepLines/>
      <w:tabs>
        <w:tab w:val="left" w:pos="1021"/>
      </w:tabs>
      <w:adjustRightInd w:val="0"/>
      <w:snapToGrid w:val="0"/>
      <w:spacing w:line="240" w:lineRule="auto"/>
      <w:ind w:firstLine="0" w:firstLineChars="0"/>
      <w:outlineLvl w:val="2"/>
    </w:pPr>
    <w:rPr>
      <w:rFonts w:ascii="Times New Roman" w:hAnsi="Times New Roman" w:eastAsia="宋体" w:cs="Times New Roman"/>
      <w:b/>
      <w:sz w:val="28"/>
      <w:szCs w:val="21"/>
    </w:rPr>
  </w:style>
  <w:style w:type="paragraph" w:styleId="5">
    <w:name w:val="heading 4"/>
    <w:basedOn w:val="1"/>
    <w:next w:val="1"/>
    <w:autoRedefine/>
    <w:semiHidden/>
    <w:unhideWhenUsed/>
    <w:qFormat/>
    <w:uiPriority w:val="0"/>
    <w:pPr>
      <w:keepNext/>
      <w:keepLines/>
      <w:tabs>
        <w:tab w:val="left" w:pos="1021"/>
      </w:tabs>
      <w:spacing w:beforeLines="0" w:beforeAutospacing="0" w:afterLines="0" w:afterAutospacing="0" w:line="360" w:lineRule="auto"/>
      <w:ind w:firstLine="602" w:firstLineChars="200"/>
      <w:outlineLvl w:val="3"/>
    </w:pPr>
    <w:rPr>
      <w:rFonts w:ascii="Times New Roman" w:hAnsi="Times New Roman" w:eastAsia="宋体" w:cs="Times New Roman"/>
      <w:b/>
      <w:sz w:val="24"/>
      <w:szCs w:val="24"/>
    </w:rPr>
  </w:style>
  <w:style w:type="character" w:default="1" w:styleId="25">
    <w:name w:val="Default Paragraph Font"/>
    <w:autoRedefine/>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after="0" w:line="360" w:lineRule="auto"/>
      <w:ind w:firstLine="0" w:firstLineChars="0"/>
      <w:jc w:val="left"/>
    </w:pPr>
    <w:rPr>
      <w:rFonts w:eastAsia="宋体"/>
      <w:sz w:val="24"/>
      <w:szCs w:val="20"/>
    </w:rPr>
  </w:style>
  <w:style w:type="paragraph" w:styleId="7">
    <w:name w:val="annotation text"/>
    <w:basedOn w:val="1"/>
    <w:qFormat/>
    <w:uiPriority w:val="0"/>
    <w:pPr>
      <w:jc w:val="left"/>
    </w:pPr>
  </w:style>
  <w:style w:type="paragraph" w:styleId="8">
    <w:name w:val="Body Text"/>
    <w:basedOn w:val="1"/>
    <w:next w:val="9"/>
    <w:qFormat/>
    <w:uiPriority w:val="0"/>
    <w:pPr>
      <w:widowControl/>
      <w:snapToGrid w:val="0"/>
      <w:spacing w:before="60" w:after="160" w:line="259" w:lineRule="auto"/>
      <w:ind w:right="113"/>
    </w:pPr>
    <w:rPr>
      <w:kern w:val="0"/>
      <w:sz w:val="18"/>
      <w:szCs w:val="20"/>
    </w:rPr>
  </w:style>
  <w:style w:type="paragraph" w:customStyle="1" w:styleId="9">
    <w:name w:val="xl27"/>
    <w:basedOn w:val="1"/>
    <w:next w:val="10"/>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Body Text Indent 2"/>
    <w:basedOn w:val="1"/>
    <w:next w:val="1"/>
    <w:unhideWhenUsed/>
    <w:qFormat/>
    <w:uiPriority w:val="99"/>
    <w:pPr>
      <w:spacing w:after="120" w:line="480" w:lineRule="auto"/>
      <w:ind w:left="420" w:leftChars="200"/>
    </w:pPr>
  </w:style>
  <w:style w:type="paragraph" w:styleId="11">
    <w:name w:val="Body Text Indent"/>
    <w:basedOn w:val="1"/>
    <w:next w:val="12"/>
    <w:qFormat/>
    <w:uiPriority w:val="0"/>
    <w:pPr>
      <w:spacing w:after="120"/>
      <w:ind w:left="420" w:leftChars="200"/>
    </w:pPr>
    <w:rPr>
      <w:kern w:val="0"/>
      <w:sz w:val="24"/>
      <w:szCs w:val="20"/>
    </w:rPr>
  </w:style>
  <w:style w:type="paragraph" w:styleId="12">
    <w:name w:val="toc 3"/>
    <w:basedOn w:val="1"/>
    <w:next w:val="1"/>
    <w:qFormat/>
    <w:uiPriority w:val="0"/>
    <w:pPr>
      <w:ind w:left="840" w:leftChars="400"/>
    </w:pPr>
  </w:style>
  <w:style w:type="paragraph" w:styleId="13">
    <w:name w:val="toc 5"/>
    <w:basedOn w:val="1"/>
    <w:next w:val="1"/>
    <w:qFormat/>
    <w:uiPriority w:val="0"/>
    <w:pPr>
      <w:ind w:left="1680" w:leftChars="800"/>
    </w:pPr>
  </w:style>
  <w:style w:type="paragraph" w:styleId="14">
    <w:name w:val="Plain Text"/>
    <w:basedOn w:val="1"/>
    <w:next w:val="1"/>
    <w:qFormat/>
    <w:uiPriority w:val="0"/>
    <w:rPr>
      <w:rFonts w:ascii="宋体" w:hAnsi="Courier New"/>
      <w:szCs w:val="21"/>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line="440" w:lineRule="exact"/>
      <w:ind w:firstLine="425"/>
    </w:pPr>
    <w:rPr>
      <w:rFonts w:ascii="宋体"/>
      <w:b/>
      <w:bCs/>
      <w:i/>
      <w:iC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8"/>
    <w:next w:val="1"/>
    <w:qFormat/>
    <w:uiPriority w:val="0"/>
    <w:pPr>
      <w:adjustRightInd w:val="0"/>
      <w:snapToGrid w:val="0"/>
      <w:spacing w:before="156" w:beforeLines="50" w:after="0" w:afterLines="0" w:line="360" w:lineRule="auto"/>
      <w:ind w:firstLine="200" w:firstLineChars="200"/>
    </w:pPr>
    <w:rPr>
      <w:sz w:val="24"/>
    </w:rPr>
  </w:style>
  <w:style w:type="paragraph" w:styleId="22">
    <w:name w:val="Body Text First Indent 2"/>
    <w:basedOn w:val="11"/>
    <w:next w:val="1"/>
    <w:qFormat/>
    <w:uiPriority w:val="0"/>
    <w:pPr>
      <w:ind w:firstLine="210" w:firstLineChars="200"/>
    </w:pPr>
    <w:rPr>
      <w:kern w:val="2"/>
      <w:sz w:val="21"/>
      <w:szCs w:val="24"/>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四级条标题"/>
    <w:basedOn w:val="28"/>
    <w:next w:val="32"/>
    <w:qFormat/>
    <w:uiPriority w:val="0"/>
    <w:pPr>
      <w:tabs>
        <w:tab w:val="left" w:pos="1260"/>
      </w:tabs>
      <w:outlineLvl w:val="5"/>
    </w:pPr>
    <w:rPr>
      <w:szCs w:val="20"/>
    </w:rPr>
  </w:style>
  <w:style w:type="paragraph" w:customStyle="1" w:styleId="28">
    <w:name w:val="三级条标题"/>
    <w:basedOn w:val="29"/>
    <w:next w:val="32"/>
    <w:qFormat/>
    <w:uiPriority w:val="0"/>
    <w:pPr>
      <w:numPr>
        <w:ilvl w:val="0"/>
        <w:numId w:val="0"/>
      </w:numPr>
      <w:tabs>
        <w:tab w:val="left" w:pos="1260"/>
      </w:tabs>
      <w:outlineLvl w:val="4"/>
    </w:pPr>
  </w:style>
  <w:style w:type="paragraph" w:customStyle="1" w:styleId="29">
    <w:name w:val="二级条标题"/>
    <w:basedOn w:val="30"/>
    <w:next w:val="32"/>
    <w:qFormat/>
    <w:uiPriority w:val="0"/>
    <w:pPr>
      <w:numPr>
        <w:ilvl w:val="3"/>
      </w:numPr>
      <w:tabs>
        <w:tab w:val="left" w:pos="1260"/>
      </w:tabs>
      <w:outlineLvl w:val="3"/>
    </w:pPr>
  </w:style>
  <w:style w:type="paragraph" w:customStyle="1" w:styleId="30">
    <w:name w:val="一级条标题"/>
    <w:basedOn w:val="31"/>
    <w:next w:val="32"/>
    <w:qFormat/>
    <w:uiPriority w:val="0"/>
    <w:pPr>
      <w:numPr>
        <w:ilvl w:val="2"/>
        <w:numId w:val="1"/>
      </w:numPr>
      <w:spacing w:beforeLines="0" w:afterLines="0"/>
      <w:outlineLvl w:val="2"/>
    </w:pPr>
  </w:style>
  <w:style w:type="paragraph" w:customStyle="1" w:styleId="31">
    <w:name w:val="章标题"/>
    <w:next w:val="32"/>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2 Char"/>
    <w:link w:val="3"/>
    <w:qFormat/>
    <w:uiPriority w:val="0"/>
    <w:rPr>
      <w:rFonts w:ascii="Arial" w:hAnsi="Arial" w:eastAsia="宋体" w:cs="Times New Roman"/>
      <w:b/>
      <w:color w:val="auto"/>
      <w:sz w:val="30"/>
      <w:szCs w:val="28"/>
      <w:lang w:eastAsia="en-US"/>
    </w:rPr>
  </w:style>
  <w:style w:type="character" w:customStyle="1" w:styleId="35">
    <w:name w:val="标题 3 Char"/>
    <w:link w:val="4"/>
    <w:qFormat/>
    <w:uiPriority w:val="0"/>
    <w:rPr>
      <w:rFonts w:ascii="Times New Roman" w:hAnsi="Times New Roman" w:eastAsia="宋体" w:cs="Times New Roman"/>
      <w:b/>
      <w:color w:val="auto"/>
      <w:sz w:val="28"/>
      <w:szCs w:val="21"/>
      <w:lang w:eastAsia="en-US"/>
    </w:rPr>
  </w:style>
  <w:style w:type="character" w:customStyle="1" w:styleId="36">
    <w:name w:val="标题 1 Char"/>
    <w:link w:val="2"/>
    <w:autoRedefine/>
    <w:qFormat/>
    <w:uiPriority w:val="0"/>
    <w:rPr>
      <w:rFonts w:ascii="Calibri" w:hAnsi="Calibri" w:eastAsia="宋体" w:cs="Times New Roman"/>
      <w:b/>
      <w:kern w:val="44"/>
      <w:sz w:val="28"/>
    </w:rPr>
  </w:style>
  <w:style w:type="paragraph" w:customStyle="1" w:styleId="37">
    <w:name w:val="报告正文"/>
    <w:basedOn w:val="1"/>
    <w:link w:val="48"/>
    <w:autoRedefine/>
    <w:qFormat/>
    <w:uiPriority w:val="0"/>
    <w:pPr>
      <w:tabs>
        <w:tab w:val="left" w:pos="1021"/>
      </w:tabs>
      <w:wordWrap w:val="0"/>
      <w:topLinePunct/>
      <w:spacing w:line="360" w:lineRule="auto"/>
      <w:ind w:firstLine="200" w:firstLineChars="200"/>
    </w:pPr>
    <w:rPr>
      <w:rFonts w:ascii="Times New Roman" w:hAnsi="Times New Roman" w:eastAsia="宋体" w:cs="Times New Roman"/>
      <w:kern w:val="0"/>
      <w:sz w:val="24"/>
      <w:szCs w:val="24"/>
    </w:rPr>
  </w:style>
  <w:style w:type="paragraph" w:customStyle="1" w:styleId="38">
    <w:name w:val="样式1"/>
    <w:basedOn w:val="1"/>
    <w:autoRedefine/>
    <w:qFormat/>
    <w:uiPriority w:val="0"/>
    <w:pPr>
      <w:pBdr>
        <w:top w:val="single" w:color="auto" w:sz="12" w:space="1"/>
        <w:left w:val="single" w:color="auto" w:sz="12" w:space="4"/>
        <w:bottom w:val="single" w:color="auto" w:sz="12" w:space="1"/>
        <w:right w:val="single" w:color="auto" w:sz="12" w:space="4"/>
      </w:pBdr>
      <w:tabs>
        <w:tab w:val="left" w:pos="1021"/>
      </w:tabs>
      <w:jc w:val="center"/>
    </w:pPr>
    <w:rPr>
      <w:rFonts w:hint="eastAsia" w:ascii="Times New Roman" w:hAnsi="Times New Roman" w:eastAsia="Times New Roman" w:cs="Times New Roman"/>
      <w:color w:val="000000"/>
      <w:sz w:val="21"/>
      <w:szCs w:val="21"/>
      <w:shd w:val="clear" w:color="auto" w:fill="auto"/>
      <w:lang w:eastAsia="zh-CN" w:bidi="en-US"/>
    </w:rPr>
  </w:style>
  <w:style w:type="paragraph" w:customStyle="1" w:styleId="39">
    <w:name w:val="表的正文"/>
    <w:basedOn w:val="1"/>
    <w:link w:val="41"/>
    <w:autoRedefine/>
    <w:qFormat/>
    <w:uiPriority w:val="0"/>
    <w:pPr>
      <w:pBdr>
        <w:top w:val="none" w:color="auto" w:sz="0" w:space="1"/>
        <w:left w:val="none" w:color="auto" w:sz="0" w:space="4"/>
        <w:bottom w:val="none" w:color="auto" w:sz="0" w:space="1"/>
        <w:right w:val="none" w:color="auto" w:sz="0" w:space="4"/>
      </w:pBdr>
      <w:tabs>
        <w:tab w:val="left" w:pos="1021"/>
      </w:tabs>
      <w:jc w:val="center"/>
    </w:pPr>
    <w:rPr>
      <w:rFonts w:hint="eastAsia" w:ascii="Times New Roman" w:hAnsi="Times New Roman" w:eastAsia="Times New Roman" w:cs="Arial"/>
      <w:snapToGrid w:val="0"/>
      <w:color w:val="000000"/>
      <w:kern w:val="0"/>
      <w:sz w:val="21"/>
      <w:szCs w:val="21"/>
      <w:shd w:val="clear" w:color="auto" w:fill="auto"/>
      <w:lang w:eastAsia="zh-CN" w:bidi="en-US"/>
    </w:rPr>
  </w:style>
  <w:style w:type="character" w:customStyle="1" w:styleId="40">
    <w:name w:val="报告正文 Char"/>
    <w:link w:val="37"/>
    <w:autoRedefine/>
    <w:qFormat/>
    <w:uiPriority w:val="0"/>
    <w:rPr>
      <w:rFonts w:hint="eastAsia" w:ascii="Times New Roman" w:hAnsi="Times New Roman" w:eastAsia="宋体" w:cs="Times New Roman"/>
      <w:color w:val="000000"/>
      <w:sz w:val="24"/>
      <w:szCs w:val="24"/>
      <w:shd w:val="clear" w:color="auto" w:fill="auto"/>
      <w:lang w:eastAsia="zh-CN" w:bidi="en-US"/>
    </w:rPr>
  </w:style>
  <w:style w:type="character" w:customStyle="1" w:styleId="41">
    <w:name w:val="表的正文 Char"/>
    <w:link w:val="39"/>
    <w:autoRedefine/>
    <w:qFormat/>
    <w:uiPriority w:val="0"/>
    <w:rPr>
      <w:rFonts w:hint="eastAsia" w:ascii="Times New Roman" w:hAnsi="Times New Roman" w:eastAsia="Times New Roman" w:cs="Arial"/>
      <w:snapToGrid w:val="0"/>
      <w:color w:val="000000"/>
      <w:kern w:val="0"/>
      <w:sz w:val="21"/>
      <w:szCs w:val="21"/>
      <w:shd w:val="clear" w:color="auto" w:fill="auto"/>
      <w:lang w:eastAsia="zh-CN" w:bidi="en-US"/>
    </w:rPr>
  </w:style>
  <w:style w:type="paragraph" w:customStyle="1" w:styleId="42">
    <w:name w:val="表格内容"/>
    <w:basedOn w:val="43"/>
    <w:next w:val="44"/>
    <w:link w:val="47"/>
    <w:autoRedefine/>
    <w:qFormat/>
    <w:uiPriority w:val="0"/>
    <w:pPr>
      <w:tabs>
        <w:tab w:val="left" w:pos="1021"/>
      </w:tabs>
      <w:spacing w:line="240" w:lineRule="auto"/>
      <w:ind w:firstLine="0" w:firstLineChars="0"/>
    </w:pPr>
    <w:rPr>
      <w:rFonts w:ascii="Times New Roman" w:hAnsi="Times New Roman" w:eastAsia="宋体" w:cs="Times New Roman"/>
      <w:kern w:val="0"/>
      <w:sz w:val="21"/>
    </w:rPr>
  </w:style>
  <w:style w:type="paragraph" w:customStyle="1" w:styleId="43">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44">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paragraph" w:customStyle="1" w:styleId="45">
    <w:name w:val="表格"/>
    <w:basedOn w:val="46"/>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6">
    <w:name w:val="表格文字"/>
    <w:basedOn w:val="21"/>
    <w:next w:val="1"/>
    <w:autoRedefine/>
    <w:qFormat/>
    <w:uiPriority w:val="0"/>
    <w:pPr>
      <w:adjustRightInd w:val="0"/>
      <w:jc w:val="center"/>
    </w:pPr>
    <w:rPr>
      <w:rFonts w:ascii="Calibri" w:hAnsi="Calibri" w:eastAsia="宋体" w:cs="Times New Roman"/>
      <w:szCs w:val="21"/>
      <w:lang w:val="en-US" w:eastAsia="zh-CN" w:bidi="ar-SA"/>
    </w:rPr>
  </w:style>
  <w:style w:type="character" w:customStyle="1" w:styleId="47">
    <w:name w:val="表格内容 Char"/>
    <w:link w:val="42"/>
    <w:qFormat/>
    <w:uiPriority w:val="0"/>
    <w:rPr>
      <w:rFonts w:ascii="Times New Roman" w:hAnsi="Times New Roman" w:eastAsia="宋体" w:cs="Times New Roman"/>
      <w:kern w:val="0"/>
      <w:sz w:val="21"/>
      <w:vertAlign w:val="superscript"/>
    </w:rPr>
  </w:style>
  <w:style w:type="character" w:customStyle="1" w:styleId="48">
    <w:name w:val="报告正文 Char1"/>
    <w:link w:val="37"/>
    <w:autoRedefine/>
    <w:qFormat/>
    <w:uiPriority w:val="0"/>
    <w:rPr>
      <w:rFonts w:hint="eastAsia" w:ascii="Times New Roman" w:hAnsi="Times New Roman" w:eastAsia="宋体" w:cs="Times New Roman"/>
      <w:color w:val="000000"/>
      <w:sz w:val="24"/>
      <w:szCs w:val="24"/>
      <w:shd w:val="clear" w:color="auto" w:fill="auto"/>
      <w:lang w:bidi="en-US"/>
    </w:rPr>
  </w:style>
  <w:style w:type="paragraph" w:customStyle="1" w:styleId="49">
    <w:name w:val="0正文"/>
    <w:autoRedefine/>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50">
    <w:name w:val="Table Text"/>
    <w:basedOn w:val="1"/>
    <w:autoRedefine/>
    <w:semiHidden/>
    <w:qFormat/>
    <w:uiPriority w:val="0"/>
    <w:rPr>
      <w:rFonts w:ascii="宋体" w:hAnsi="宋体" w:eastAsia="宋体" w:cs="宋体"/>
      <w:sz w:val="20"/>
      <w:szCs w:val="20"/>
      <w:lang w:val="en-US" w:eastAsia="en-US" w:bidi="ar-SA"/>
    </w:rPr>
  </w:style>
  <w:style w:type="paragraph" w:customStyle="1" w:styleId="51">
    <w:name w:val="加粗"/>
    <w:basedOn w:val="52"/>
    <w:next w:val="1"/>
    <w:autoRedefine/>
    <w:qFormat/>
    <w:uiPriority w:val="0"/>
    <w:pPr>
      <w:ind w:firstLine="480" w:firstLineChars="200"/>
    </w:pPr>
  </w:style>
  <w:style w:type="paragraph" w:customStyle="1" w:styleId="52">
    <w:name w:val="加粗顶头"/>
    <w:next w:val="1"/>
    <w:autoRedefine/>
    <w:qFormat/>
    <w:uiPriority w:val="0"/>
    <w:pPr>
      <w:adjustRightInd w:val="0"/>
      <w:snapToGrid w:val="0"/>
      <w:spacing w:line="360" w:lineRule="auto"/>
      <w:ind w:firstLine="0" w:firstLineChars="0"/>
    </w:pPr>
    <w:rPr>
      <w:rFonts w:ascii="Calibri" w:hAnsi="Calibri" w:eastAsia="宋体" w:cs="Times New Roman"/>
      <w:b/>
      <w:sz w:val="24"/>
    </w:rPr>
  </w:style>
  <w:style w:type="table" w:customStyle="1" w:styleId="53">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54">
    <w:name w:val="表头"/>
    <w:basedOn w:val="1"/>
    <w:autoRedefine/>
    <w:qFormat/>
    <w:uiPriority w:val="0"/>
    <w:pPr>
      <w:keepNext w:val="0"/>
      <w:keepLines w:val="0"/>
      <w:widowControl/>
      <w:suppressLineNumbers w:val="0"/>
      <w:adjustRightInd w:val="0"/>
      <w:snapToGrid w:val="0"/>
      <w:spacing w:before="0" w:beforeAutospacing="0" w:after="0" w:afterAutospacing="0"/>
      <w:ind w:left="0" w:right="0"/>
      <w:jc w:val="center"/>
    </w:pPr>
    <w:rPr>
      <w:rFonts w:hint="default" w:ascii="Calibri" w:hAnsi="Calibri" w:eastAsia="宋体" w:cs="Times New Roman"/>
      <w:b/>
      <w:bCs/>
      <w:snapToGrid/>
      <w:kern w:val="2"/>
      <w:sz w:val="21"/>
      <w:szCs w:val="21"/>
      <w:lang w:val="en-US" w:eastAsia="zh-CN" w:bidi="ar"/>
    </w:rPr>
  </w:style>
  <w:style w:type="paragraph" w:customStyle="1" w:styleId="55">
    <w:name w:val="Default"/>
    <w:basedOn w:val="56"/>
    <w:next w:val="22"/>
    <w:autoRedefine/>
    <w:qFormat/>
    <w:uiPriority w:val="0"/>
    <w:pPr>
      <w:autoSpaceDE w:val="0"/>
      <w:autoSpaceDN w:val="0"/>
      <w:adjustRightInd w:val="0"/>
    </w:pPr>
    <w:rPr>
      <w:rFonts w:ascii="宋体"/>
      <w:color w:val="000000"/>
      <w:sz w:val="24"/>
    </w:rPr>
  </w:style>
  <w:style w:type="paragraph" w:customStyle="1" w:styleId="56">
    <w:name w:val="纯文本1"/>
    <w:basedOn w:val="1"/>
    <w:autoRedefine/>
    <w:qFormat/>
    <w:uiPriority w:val="0"/>
    <w:rPr>
      <w:rFonts w:ascii="宋体" w:hAnsi="Courier New"/>
    </w:rPr>
  </w:style>
  <w:style w:type="paragraph" w:customStyle="1" w:styleId="57">
    <w:name w:val="表标题"/>
    <w:basedOn w:val="1"/>
    <w:next w:val="45"/>
    <w:autoRedefine/>
    <w:qFormat/>
    <w:uiPriority w:val="0"/>
    <w:pPr>
      <w:spacing w:line="360" w:lineRule="auto"/>
      <w:jc w:val="center"/>
      <w:textAlignment w:val="baseline"/>
    </w:pPr>
    <w:rPr>
      <w:b/>
      <w:kern w:val="0"/>
      <w:szCs w:val="20"/>
    </w:rPr>
  </w:style>
  <w:style w:type="paragraph" w:customStyle="1" w:styleId="58">
    <w:name w:val="1正文段落"/>
    <w:basedOn w:val="1"/>
    <w:autoRedefine/>
    <w:qFormat/>
    <w:uiPriority w:val="0"/>
    <w:pPr>
      <w:spacing w:line="360" w:lineRule="auto"/>
      <w:ind w:firstLine="480" w:firstLineChars="200"/>
      <w:jc w:val="left"/>
    </w:pPr>
    <w:rPr>
      <w:snapToGrid w:val="0"/>
      <w:kern w:val="0"/>
      <w:sz w:val="24"/>
    </w:rPr>
  </w:style>
  <w:style w:type="paragraph" w:customStyle="1" w:styleId="59">
    <w:name w:val="mm正文"/>
    <w:basedOn w:val="1"/>
    <w:autoRedefine/>
    <w:qFormat/>
    <w:uiPriority w:val="0"/>
    <w:pPr>
      <w:spacing w:line="480" w:lineRule="exact"/>
      <w:ind w:firstLine="200" w:firstLineChars="200"/>
    </w:pPr>
    <w:rPr>
      <w:rFonts w:cs="宋体"/>
      <w:color w:val="000000"/>
      <w:sz w:val="24"/>
    </w:rPr>
  </w:style>
  <w:style w:type="paragraph" w:customStyle="1" w:styleId="60">
    <w:name w:val="样式2"/>
    <w:basedOn w:val="1"/>
    <w:autoRedefine/>
    <w:qFormat/>
    <w:uiPriority w:val="0"/>
    <w:pPr>
      <w:spacing w:line="360" w:lineRule="auto"/>
      <w:ind w:firstLine="200" w:firstLineChars="200"/>
    </w:pPr>
    <w:rPr>
      <w:sz w:val="24"/>
    </w:rPr>
  </w:style>
  <w:style w:type="paragraph" w:customStyle="1" w:styleId="61">
    <w:name w:val="正文内容"/>
    <w:basedOn w:val="1"/>
    <w:autoRedefine/>
    <w:qFormat/>
    <w:uiPriority w:val="0"/>
    <w:pPr>
      <w:spacing w:line="360" w:lineRule="auto"/>
      <w:ind w:firstLine="200" w:firstLineChars="200"/>
    </w:pPr>
    <w:rPr>
      <w:kern w:val="0"/>
      <w:sz w:val="24"/>
      <w:szCs w:val="21"/>
    </w:rPr>
  </w:style>
  <w:style w:type="paragraph" w:customStyle="1" w:styleId="62">
    <w:name w:val="List Paragraph"/>
    <w:basedOn w:val="1"/>
    <w:autoRedefine/>
    <w:qFormat/>
    <w:uiPriority w:val="1"/>
    <w:pPr>
      <w:ind w:left="277"/>
    </w:pPr>
    <w:rPr>
      <w:rFonts w:ascii="宋体" w:hAnsi="宋体" w:cs="宋体"/>
      <w:lang w:val="zh-CN" w:bidi="zh-CN"/>
    </w:rPr>
  </w:style>
  <w:style w:type="paragraph" w:customStyle="1" w:styleId="63">
    <w:name w:val="333正文"/>
    <w:basedOn w:val="1"/>
    <w:autoRedefine/>
    <w:qFormat/>
    <w:uiPriority w:val="0"/>
    <w:pPr>
      <w:spacing w:line="360" w:lineRule="auto"/>
      <w:ind w:firstLine="1440" w:firstLineChars="200"/>
      <w:jc w:val="left"/>
    </w:pPr>
    <w:rPr>
      <w:rFonts w:ascii="Times New Roman" w:hAnsi="Times New Roman" w:eastAsia="宋体"/>
      <w:sz w:val="24"/>
    </w:rPr>
  </w:style>
  <w:style w:type="paragraph" w:customStyle="1" w:styleId="64">
    <w:name w:val="报告书正文"/>
    <w:basedOn w:val="1"/>
    <w:autoRedefine/>
    <w:qFormat/>
    <w:uiPriority w:val="0"/>
    <w:pPr>
      <w:spacing w:line="300" w:lineRule="auto"/>
      <w:ind w:firstLine="200" w:firstLineChars="200"/>
    </w:pPr>
    <w:rPr>
      <w:sz w:val="24"/>
      <w:szCs w:val="20"/>
    </w:rPr>
  </w:style>
  <w:style w:type="paragraph" w:customStyle="1" w:styleId="65">
    <w:name w:val="正文_1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6">
    <w:name w:val="A正文1"/>
    <w:basedOn w:val="1"/>
    <w:qFormat/>
    <w:uiPriority w:val="0"/>
    <w:pPr>
      <w:spacing w:line="360" w:lineRule="auto"/>
      <w:ind w:firstLine="200" w:firstLineChars="200"/>
    </w:pPr>
    <w:rPr>
      <w:sz w:val="24"/>
      <w:szCs w:val="28"/>
    </w:rPr>
  </w:style>
  <w:style w:type="paragraph" w:customStyle="1" w:styleId="67">
    <w:name w:val="表1表2"/>
    <w:basedOn w:val="1"/>
    <w:qFormat/>
    <w:uiPriority w:val="0"/>
    <w:pPr>
      <w:autoSpaceDE w:val="0"/>
      <w:autoSpaceDN w:val="0"/>
      <w:adjustRightInd w:val="0"/>
      <w:spacing w:line="360" w:lineRule="auto"/>
      <w:jc w:val="center"/>
      <w:textAlignment w:val="center"/>
    </w:pPr>
    <w:rPr>
      <w:rFonts w:eastAsia="仿宋_GB2312"/>
      <w:kern w:val="0"/>
      <w:sz w:val="24"/>
      <w:szCs w:val="21"/>
    </w:rPr>
  </w:style>
  <w:style w:type="paragraph" w:customStyle="1" w:styleId="68">
    <w:name w:val="A0正文"/>
    <w:basedOn w:val="1"/>
    <w:qFormat/>
    <w:uiPriority w:val="0"/>
    <w:pPr>
      <w:spacing w:line="360" w:lineRule="auto"/>
      <w:ind w:firstLine="200" w:firstLineChars="200"/>
    </w:pPr>
    <w:rPr>
      <w:rFonts w:cs="宋体"/>
      <w:sz w:val="24"/>
      <w:szCs w:val="20"/>
      <w:lang w:val="zh-CN"/>
    </w:rPr>
  </w:style>
  <w:style w:type="paragraph" w:customStyle="1" w:styleId="69">
    <w:name w:val="WPSOffice手动目录 1"/>
    <w:autoRedefine/>
    <w:qFormat/>
    <w:uiPriority w:val="0"/>
    <w:pPr>
      <w:ind w:leftChars="0"/>
    </w:pPr>
    <w:rPr>
      <w:rFonts w:ascii="Times New Roman" w:hAnsi="Times New Roman" w:eastAsia="宋体" w:cs="Times New Roman"/>
      <w:sz w:val="20"/>
      <w:szCs w:val="20"/>
    </w:rPr>
  </w:style>
  <w:style w:type="paragraph" w:customStyle="1" w:styleId="70">
    <w:name w:val="表字体"/>
    <w:basedOn w:val="1"/>
    <w:next w:val="1"/>
    <w:qFormat/>
    <w:uiPriority w:val="0"/>
    <w:pPr>
      <w:jc w:val="center"/>
    </w:pPr>
    <w:rPr>
      <w:kern w:val="0"/>
      <w:szCs w:val="20"/>
    </w:rPr>
  </w:style>
  <w:style w:type="paragraph" w:customStyle="1" w:styleId="71">
    <w:name w:val="正文1"/>
    <w:basedOn w:val="1"/>
    <w:next w:val="1"/>
    <w:qFormat/>
    <w:uiPriority w:val="0"/>
    <w:pPr>
      <w:spacing w:line="360" w:lineRule="auto"/>
      <w:ind w:firstLine="723" w:firstLineChars="20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e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10075</Words>
  <Characters>10642</Characters>
  <Lines>0</Lines>
  <Paragraphs>0</Paragraphs>
  <TotalTime>2</TotalTime>
  <ScaleCrop>false</ScaleCrop>
  <LinksUpToDate>false</LinksUpToDate>
  <CharactersWithSpaces>10757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2022-03-21T01:02:00Z</dcterms:created>
  <dc:creator>Administrator</dc:creator>
  <cp:lastModifiedBy>刘宇灏</cp:lastModifiedBy>
  <cp:lastPrinted>2024-12-10T02:04:00Z</cp:lastPrinted>
  <dcterms:modified xsi:type="dcterms:W3CDTF">2025-02-18T07:43:22Z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998D2F4F023642D9B60E478A03DCF3EE_13</vt:lpwstr>
  </property>
  <property fmtid="{D5CDD505-2E9C-101B-9397-08002B2CF9AE}" pid="4" name="KSOTemplateDocerSaveRecord">
    <vt:lpwstr>eyJoZGlkIjoiZDYyYWUxZmE3ZWJkNWI4N2QzODU5ZjYxNTdhOTNjNmYiLCJ1c2VySWQiOiIxMzAxNDIwNjc5In0=</vt:lpwstr>
  </property>
</Properties>
</file>