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FD89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72"/>
          <w:szCs w:val="72"/>
        </w:rPr>
      </w:pPr>
    </w:p>
    <w:p w14:paraId="441B56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  <w:lang w:eastAsia="zh-CN"/>
        </w:rPr>
        <w:t>岳阳县市场建设管理中心2025年</w:t>
      </w:r>
      <w:r>
        <w:rPr>
          <w:rFonts w:hint="eastAsia" w:ascii="微软雅黑" w:hAnsi="微软雅黑" w:eastAsia="微软雅黑" w:cs="微软雅黑"/>
          <w:kern w:val="0"/>
          <w:sz w:val="72"/>
          <w:szCs w:val="72"/>
        </w:rPr>
        <w:t>度</w:t>
      </w:r>
    </w:p>
    <w:p w14:paraId="24EF1D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微软雅黑" w:hAnsi="微软雅黑" w:eastAsia="微软雅黑" w:cs="微软雅黑"/>
          <w:kern w:val="0"/>
          <w:sz w:val="72"/>
          <w:szCs w:val="72"/>
        </w:rPr>
      </w:pPr>
      <w:r>
        <w:rPr>
          <w:rFonts w:hint="eastAsia" w:ascii="微软雅黑" w:hAnsi="微软雅黑" w:eastAsia="微软雅黑" w:cs="微软雅黑"/>
          <w:kern w:val="0"/>
          <w:sz w:val="72"/>
          <w:szCs w:val="72"/>
          <w:lang w:val="en-US" w:eastAsia="zh-CN"/>
        </w:rPr>
        <w:t>单位预算</w:t>
      </w:r>
    </w:p>
    <w:p w14:paraId="4789C91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0" w:firstLineChars="200"/>
        <w:jc w:val="center"/>
        <w:textAlignment w:val="auto"/>
        <w:rPr>
          <w:rFonts w:hint="eastAsia" w:ascii="黑体" w:hAnsi="黑体" w:eastAsia="黑体" w:cs="黑体"/>
          <w:kern w:val="0"/>
          <w:sz w:val="44"/>
          <w:szCs w:val="44"/>
        </w:rPr>
      </w:pPr>
    </w:p>
    <w:p w14:paraId="5D1AC35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880" w:firstLineChars="200"/>
        <w:jc w:val="center"/>
        <w:textAlignment w:val="auto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目录</w:t>
      </w:r>
    </w:p>
    <w:p w14:paraId="129514D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ind w:firstLine="643" w:firstLineChars="200"/>
        <w:textAlignment w:val="auto"/>
        <w:rPr>
          <w:rFonts w:ascii="仿宋_GB2312" w:eastAsia="仿宋_GB2312"/>
          <w:b/>
          <w:bCs/>
          <w:kern w:val="0"/>
          <w:sz w:val="32"/>
          <w:szCs w:val="32"/>
        </w:rPr>
      </w:pPr>
    </w:p>
    <w:p w14:paraId="501C1AD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color w:val="auto"/>
          <w:kern w:val="0"/>
          <w:sz w:val="32"/>
          <w:szCs w:val="32"/>
        </w:rPr>
      </w:pPr>
      <w:r>
        <w:rPr>
          <w:rFonts w:hint="eastAsia" w:eastAsia="黑体" w:cs="黑体"/>
          <w:color w:val="auto"/>
          <w:kern w:val="0"/>
          <w:sz w:val="32"/>
          <w:szCs w:val="32"/>
        </w:rPr>
        <w:t>第一部分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2025年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eastAsia="黑体" w:cs="黑体"/>
          <w:color w:val="auto"/>
          <w:kern w:val="0"/>
          <w:sz w:val="32"/>
          <w:szCs w:val="32"/>
          <w:lang w:eastAsia="zh-CN"/>
        </w:rPr>
        <w:t>预算</w:t>
      </w:r>
      <w:r>
        <w:rPr>
          <w:rFonts w:hint="eastAsia" w:eastAsia="黑体" w:cs="黑体"/>
          <w:color w:val="auto"/>
          <w:kern w:val="0"/>
          <w:sz w:val="32"/>
          <w:szCs w:val="32"/>
        </w:rPr>
        <w:t>说明</w:t>
      </w:r>
    </w:p>
    <w:p w14:paraId="075C49A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黑体" w:cs="黑体"/>
          <w:kern w:val="0"/>
          <w:sz w:val="32"/>
          <w:szCs w:val="32"/>
        </w:rPr>
      </w:pPr>
      <w:r>
        <w:rPr>
          <w:rFonts w:hint="eastAsia" w:eastAsia="黑体" w:cs="黑体"/>
          <w:kern w:val="0"/>
          <w:sz w:val="32"/>
          <w:szCs w:val="32"/>
        </w:rPr>
        <w:t>第二部分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 xml:space="preserve">  单位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预算</w:t>
      </w:r>
      <w:r>
        <w:rPr>
          <w:rFonts w:hint="eastAsia" w:eastAsia="黑体" w:cs="黑体"/>
          <w:kern w:val="0"/>
          <w:sz w:val="32"/>
          <w:szCs w:val="32"/>
        </w:rPr>
        <w:t>公开表格</w:t>
      </w:r>
    </w:p>
    <w:p w14:paraId="4C2622A2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1、收支总表</w:t>
      </w:r>
    </w:p>
    <w:p w14:paraId="3E2003A5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2、收入总表</w:t>
      </w:r>
    </w:p>
    <w:p w14:paraId="4F63F79B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3、支出总表</w:t>
      </w:r>
    </w:p>
    <w:p w14:paraId="16F75327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4、支出预算分类汇总表（按政府预算经济分类）</w:t>
      </w:r>
    </w:p>
    <w:p w14:paraId="7149FE4A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5、支出预算分类汇总表（按部门预算经济分类）</w:t>
      </w:r>
    </w:p>
    <w:p w14:paraId="14C11B85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6、财政拨款收支总表</w:t>
      </w:r>
    </w:p>
    <w:p w14:paraId="146FBBF9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7、一般公共预算支出表</w:t>
      </w:r>
    </w:p>
    <w:p w14:paraId="5F9E53A2">
      <w:pPr>
        <w:widowControl/>
        <w:spacing w:line="600" w:lineRule="exact"/>
        <w:ind w:firstLine="640" w:firstLineChars="200"/>
        <w:jc w:val="left"/>
      </w:pP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一般公共预算基本支出表</w:t>
      </w:r>
    </w:p>
    <w:p w14:paraId="60B9626F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、一般公共预算基本支出表-人员经费（工资福利支出）（按政府预算经济分类）</w:t>
      </w:r>
    </w:p>
    <w:p w14:paraId="59FF09DC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、一般公共预算基本支出表-人员经费（工资福利支出）（按部门预算经济分类）</w:t>
      </w:r>
    </w:p>
    <w:p w14:paraId="5CF7D87B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、一般公共预算基本支出表-人员经费（对个人和家庭的补助）（按政府预算经济分类）</w:t>
      </w:r>
    </w:p>
    <w:p w14:paraId="7A1B2991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eastAsia="仿宋_GB2312"/>
          <w:sz w:val="32"/>
          <w:szCs w:val="32"/>
        </w:rPr>
        <w:t>、一般公共预算基本支出表-人员经费（对个人和家庭的补助）（按部门预算经济分类）</w:t>
      </w:r>
    </w:p>
    <w:p w14:paraId="350AD3E5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  <w:lang w:eastAsia="zh-CN"/>
        </w:rPr>
        <w:t>公用</w:t>
      </w:r>
      <w:r>
        <w:rPr>
          <w:rFonts w:eastAsia="仿宋_GB2312"/>
          <w:sz w:val="32"/>
          <w:szCs w:val="32"/>
        </w:rPr>
        <w:t>经费（商品和服务支出）（按政府预算经济分类）</w:t>
      </w:r>
    </w:p>
    <w:p w14:paraId="72A806BC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、一般公共预算基本支出表-</w:t>
      </w:r>
      <w:r>
        <w:rPr>
          <w:rFonts w:hint="eastAsia" w:eastAsia="仿宋_GB2312"/>
          <w:sz w:val="32"/>
          <w:szCs w:val="32"/>
          <w:lang w:eastAsia="zh-CN"/>
        </w:rPr>
        <w:t>公用</w:t>
      </w:r>
      <w:r>
        <w:rPr>
          <w:rFonts w:eastAsia="仿宋_GB2312"/>
          <w:sz w:val="32"/>
          <w:szCs w:val="32"/>
        </w:rPr>
        <w:t>经费（商品和服务支出）（按部门预算经济分类）</w:t>
      </w:r>
    </w:p>
    <w:p w14:paraId="0602F7A5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、一般公共预算“三公”经费支出表</w:t>
      </w:r>
    </w:p>
    <w:p w14:paraId="51DE0AD2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、政府性基金预算支出表</w:t>
      </w:r>
    </w:p>
    <w:p w14:paraId="0B2572DE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eastAsia="仿宋_GB2312"/>
          <w:sz w:val="32"/>
          <w:szCs w:val="32"/>
        </w:rPr>
        <w:t>、政府性基金预算支出分类汇总表（按政府预算经济分类）</w:t>
      </w:r>
    </w:p>
    <w:p w14:paraId="3F023D1B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、政府性基金预算支出分类汇总表（按部门预算经济分类）</w:t>
      </w:r>
    </w:p>
    <w:p w14:paraId="0F80D80B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eastAsia="仿宋_GB2312"/>
          <w:sz w:val="32"/>
          <w:szCs w:val="32"/>
        </w:rPr>
        <w:t>、国有资本经营预算支出表</w:t>
      </w:r>
    </w:p>
    <w:p w14:paraId="4FDB7AFC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、财政专户管理资金预算支出表</w:t>
      </w:r>
    </w:p>
    <w:p w14:paraId="2864D030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、专项资金预算汇总表</w:t>
      </w:r>
    </w:p>
    <w:p w14:paraId="691CD3C7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项目支出</w:t>
      </w:r>
      <w:r>
        <w:rPr>
          <w:rFonts w:eastAsia="仿宋_GB2312"/>
          <w:sz w:val="32"/>
          <w:szCs w:val="32"/>
        </w:rPr>
        <w:t>绩效目标表</w:t>
      </w:r>
    </w:p>
    <w:p w14:paraId="0DB85332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、部门整体支出绩效目标表</w:t>
      </w:r>
    </w:p>
    <w:p w14:paraId="1C645262">
      <w:pPr>
        <w:widowControl/>
        <w:spacing w:line="600" w:lineRule="exact"/>
        <w:ind w:firstLine="643" w:firstLineChars="200"/>
        <w:rPr>
          <w:rFonts w:hint="eastAsia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注：以上</w:t>
      </w:r>
      <w:r>
        <w:rPr>
          <w:rFonts w:hint="eastAsia" w:eastAsia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eastAsia="仿宋_GB2312"/>
          <w:b/>
          <w:bCs w:val="0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预算</w:t>
      </w:r>
      <w:r>
        <w:rPr>
          <w:rFonts w:hint="eastAsia" w:eastAsia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eastAsia="仿宋_GB2312"/>
          <w:b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报表中，空表表示本</w:t>
      </w:r>
      <w:r>
        <w:rPr>
          <w:rFonts w:hint="eastAsia" w:eastAsia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eastAsia="仿宋_GB2312"/>
          <w:b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无相关收支情况。</w:t>
      </w:r>
    </w:p>
    <w:p w14:paraId="0A481E9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eastAsia="黑体" w:cs="黑体"/>
          <w:kern w:val="0"/>
          <w:sz w:val="32"/>
          <w:szCs w:val="32"/>
        </w:rPr>
      </w:pPr>
      <w:r>
        <w:rPr>
          <w:rFonts w:hint="eastAsia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第一部分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2025年单位预算</w:t>
      </w:r>
      <w:r>
        <w:rPr>
          <w:rFonts w:hint="eastAsia" w:ascii="黑体" w:hAnsi="黑体" w:eastAsia="黑体" w:cs="黑体"/>
          <w:kern w:val="0"/>
          <w:sz w:val="32"/>
          <w:szCs w:val="32"/>
        </w:rPr>
        <w:t>说明</w:t>
      </w:r>
    </w:p>
    <w:p w14:paraId="251EFFD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</w:p>
    <w:p w14:paraId="3DD49BB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kern w:val="0"/>
          <w:sz w:val="32"/>
          <w:szCs w:val="32"/>
        </w:rPr>
        <w:t>基本概况</w:t>
      </w:r>
    </w:p>
    <w:p w14:paraId="72A04E4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（一）职能职责</w:t>
      </w:r>
    </w:p>
    <w:p w14:paraId="67437B4A"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岳阳县市场建设管理中心主要负责所辖市场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和超市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的经营管理及物业管理、市场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和超市的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开发和维修；提供交易场所和服务设施。</w:t>
      </w:r>
    </w:p>
    <w:p w14:paraId="47E30E4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（二）机构设置</w:t>
      </w:r>
    </w:p>
    <w:p w14:paraId="0AAC053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机关设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综合股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征收稽查股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物业股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、卫生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秩序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股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个股室。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现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有在编人数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46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人，退休2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人，临聘市场清洁人员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人。</w:t>
      </w:r>
    </w:p>
    <w:p w14:paraId="3393046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单位</w:t>
      </w:r>
      <w:r>
        <w:rPr>
          <w:rFonts w:hint="eastAsia" w:ascii="黑体" w:hAnsi="黑体" w:eastAsia="黑体" w:cs="黑体"/>
          <w:kern w:val="0"/>
          <w:sz w:val="32"/>
          <w:szCs w:val="32"/>
        </w:rPr>
        <w:t>收支总体情况</w:t>
      </w:r>
    </w:p>
    <w:p w14:paraId="715606D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（一）收入预算</w:t>
      </w:r>
    </w:p>
    <w:p w14:paraId="570B84FC">
      <w:pPr>
        <w:widowControl/>
        <w:spacing w:line="600" w:lineRule="exact"/>
        <w:ind w:firstLine="627" w:firstLineChars="196"/>
        <w:jc w:val="left"/>
        <w:rPr>
          <w:rFonts w:hint="eastAsia" w:ascii="楷体_GB2312" w:hAnsi="楷体_GB2312" w:eastAsia="仿宋_GB2312" w:cs="楷体_GB2312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包括一般公共预算、政府性基金、国有资本经营预算等财政拨款收入，以及经营收入、事业收入等单位资金。2025年本单位收入预算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529.71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万元，其中，一般公共预算拨款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527.71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万元，政府性基金预算拨款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万元，国有资本经营预算拨款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万元，财政专户管理资金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万元，上级补助收入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万元，事业单位经营收入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万元，上年结转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万元。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数据来源</w:t>
      </w:r>
      <w:r>
        <w:rPr>
          <w:rFonts w:hint="eastAsia" w:ascii="仿宋" w:hAnsi="仿宋" w:eastAsia="仿宋" w:cs="仿宋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见表2)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本单位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</w:rPr>
        <w:t>20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25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</w:rPr>
        <w:t>年没有政府性基金预算拨款和纳入专户管理的非税收入拨款收入，也没有使用政府性基金预算拨款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</w:rPr>
        <w:t>国有资本经营预算收入和纳入专户管理的非税收入拨款安排的支出，所以公开的附件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16-18（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</w:rPr>
        <w:t>政府性基金预算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</w:rPr>
        <w:t>、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19（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</w:rPr>
        <w:t>国有资本经营预算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</w:rPr>
        <w:t>、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20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</w:rPr>
        <w:t>表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财政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</w:rPr>
        <w:t>专户管理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资金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</w:rPr>
        <w:t>预算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</w:rPr>
        <w:t>均为空。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收入较去年减少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14.28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万元，主要是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因为有人员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eastAsia="zh-CN"/>
        </w:rPr>
        <w:t>退休和调出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。</w:t>
      </w:r>
    </w:p>
    <w:p w14:paraId="7CDA85C9">
      <w:pPr>
        <w:widowControl/>
        <w:spacing w:line="600" w:lineRule="exact"/>
        <w:ind w:firstLine="643" w:firstLineChars="200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（二）支出预算</w:t>
      </w:r>
    </w:p>
    <w:p w14:paraId="726A6EA2">
      <w:pPr>
        <w:widowControl/>
        <w:spacing w:line="600" w:lineRule="exact"/>
        <w:ind w:firstLine="627" w:firstLineChars="196"/>
        <w:jc w:val="left"/>
        <w:rPr>
          <w:rFonts w:hint="eastAsia" w:eastAsia="仿宋_GB2312" w:cs="仿宋_GB2312"/>
          <w:color w:val="auto"/>
          <w:kern w:val="0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2025年本单位</w:t>
      </w:r>
      <w:r>
        <w:rPr>
          <w:rFonts w:eastAsia="仿宋_GB2312"/>
          <w:sz w:val="32"/>
          <w:szCs w:val="32"/>
        </w:rPr>
        <w:t>支出预算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529.71</w:t>
      </w:r>
      <w:r>
        <w:rPr>
          <w:rFonts w:eastAsia="仿宋_GB2312"/>
          <w:sz w:val="32"/>
          <w:szCs w:val="32"/>
        </w:rPr>
        <w:t>万元，其中，一般公共服务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社会保障和就业支出（类）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49.82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卫生健康支出（类）27.85万元，商业服务业等支出（类）416.86万元，住房保障支出（类）35.18万元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数据来源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见表6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eastAsia="仿宋_GB2312"/>
          <w:color w:val="auto"/>
          <w:sz w:val="32"/>
          <w:szCs w:val="32"/>
        </w:rPr>
        <w:t>支出较去年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减少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14.28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万元，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其中</w:t>
      </w:r>
      <w:r>
        <w:rPr>
          <w:rFonts w:hint="eastAsia" w:eastAsia="仿宋_GB2312"/>
          <w:color w:val="auto"/>
          <w:sz w:val="32"/>
          <w:szCs w:val="32"/>
        </w:rPr>
        <w:t>基本支出</w:t>
      </w:r>
      <w:r>
        <w:rPr>
          <w:rFonts w:hint="eastAsia" w:eastAsia="仿宋_GB2312"/>
          <w:color w:val="auto"/>
          <w:sz w:val="32"/>
          <w:szCs w:val="32"/>
          <w:lang w:eastAsia="zh-CN"/>
        </w:rPr>
        <w:t>增长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16.72</w:t>
      </w:r>
      <w:r>
        <w:rPr>
          <w:rFonts w:hint="eastAsia" w:eastAsia="仿宋_GB2312"/>
          <w:color w:val="auto"/>
          <w:sz w:val="32"/>
          <w:szCs w:val="32"/>
        </w:rPr>
        <w:t>万元，项目支出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减少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31万</w:t>
      </w:r>
      <w:r>
        <w:rPr>
          <w:rFonts w:hint="eastAsia" w:eastAsia="仿宋_GB2312"/>
          <w:color w:val="auto"/>
          <w:sz w:val="32"/>
          <w:szCs w:val="32"/>
        </w:rPr>
        <w:t>元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（数据来源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见表7、16、19、20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，将其基本支出、项目支出相加）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，其中基本支出较上年增加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主要是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因为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/>
        </w:rPr>
        <w:t>本年度全县行政事业单位日常公用经费的预算标准提高；</w:t>
      </w:r>
      <w:r>
        <w:rPr>
          <w:rFonts w:hint="eastAsia" w:eastAsia="仿宋_GB2312"/>
          <w:color w:val="auto"/>
          <w:kern w:val="0"/>
          <w:sz w:val="32"/>
          <w:szCs w:val="32"/>
          <w:lang w:eastAsia="zh-CN"/>
        </w:rPr>
        <w:t>项目支出减少是因为取消了市场建设管理经费。</w:t>
      </w:r>
    </w:p>
    <w:p w14:paraId="1E86AB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kern w:val="0"/>
          <w:sz w:val="32"/>
          <w:szCs w:val="32"/>
        </w:rPr>
        <w:t>一般公共预算拨款支出预算</w:t>
      </w:r>
    </w:p>
    <w:p w14:paraId="6AAAE51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2025年</w:t>
      </w:r>
      <w:r>
        <w:rPr>
          <w:rFonts w:hint="eastAsia" w:eastAsia="仿宋_GB2312" w:cs="仿宋_GB2312"/>
          <w:kern w:val="0"/>
          <w:sz w:val="32"/>
          <w:szCs w:val="32"/>
        </w:rPr>
        <w:t>一般公共预算拨款支出预算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529.71</w:t>
      </w:r>
      <w:r>
        <w:rPr>
          <w:rFonts w:hint="eastAsia" w:eastAsia="仿宋_GB2312" w:cs="仿宋_GB2312"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其中</w:t>
      </w:r>
      <w:r>
        <w:rPr>
          <w:rFonts w:eastAsia="仿宋_GB2312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社会保障和就业支出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49.82万元，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占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9.41%，卫生健康支出27.85万元，占5.26%，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商业服务业支出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416.86万元，占78.69%，住房保障支出35.18万元，占6.64%。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数据来源</w:t>
      </w:r>
      <w:r>
        <w:rPr>
          <w:rFonts w:hint="eastAsia" w:eastAsia="仿宋_GB2312"/>
          <w:b/>
          <w:bCs/>
          <w:color w:val="auto"/>
          <w:sz w:val="32"/>
          <w:szCs w:val="32"/>
          <w:lang w:val="en-US" w:eastAsia="zh-CN"/>
        </w:rPr>
        <w:t>见表7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）具体安排情况如下：</w:t>
      </w:r>
    </w:p>
    <w:p w14:paraId="004D992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</w:rPr>
        <w:t>（一）基本支出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：2025年基本支出年初预算数为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529.71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万元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(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数据来源</w:t>
      </w:r>
      <w:r>
        <w:rPr>
          <w:rFonts w:hint="eastAsia" w:eastAsia="仿宋_GB2312"/>
          <w:b/>
          <w:bCs/>
          <w:color w:val="auto"/>
          <w:sz w:val="32"/>
          <w:szCs w:val="32"/>
          <w:lang w:val="en-US" w:eastAsia="zh-CN"/>
        </w:rPr>
        <w:t>见表5</w:t>
      </w:r>
      <w:r>
        <w:rPr>
          <w:rFonts w:hint="eastAsia" w:ascii="Times New Roman" w:hAnsi="Times New Roman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，是指为保障单位机构正常运转、完成日常工作任务而发生的各项支出，包括用于基本工资、津贴补贴等人员经费以及办公费、印刷费、水电费、差旅费等日常公用经费。</w:t>
      </w:r>
    </w:p>
    <w:p w14:paraId="22CBED26">
      <w:pPr>
        <w:widowControl/>
        <w:spacing w:line="600" w:lineRule="exact"/>
        <w:ind w:firstLine="66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</w:rPr>
        <w:t>（二）项目支出：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2025年度本单位无项目预算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697B02E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、政府性基金预算支出</w:t>
      </w:r>
    </w:p>
    <w:p w14:paraId="0CD7898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3216DC"/>
          <w:kern w:val="0"/>
          <w:sz w:val="32"/>
          <w:szCs w:val="32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2025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年度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本单位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</w:rPr>
        <w:t>无政府性基金安排的支出</w:t>
      </w:r>
      <w:r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所以公开的附件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16-18（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政府性基金预算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eastAsia="仿宋_GB2312" w:cs="仿宋_GB2312"/>
          <w:i w:val="0"/>
          <w:iCs w:val="0"/>
          <w:color w:val="auto"/>
          <w:kern w:val="0"/>
          <w:sz w:val="32"/>
          <w:szCs w:val="32"/>
          <w:u w:val="none"/>
        </w:rPr>
        <w:t>为空。</w:t>
      </w:r>
    </w:p>
    <w:p w14:paraId="4E78AC9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、其他重要事项的情况说明</w:t>
      </w:r>
    </w:p>
    <w:p w14:paraId="2DCCAF0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（一）机关运行经费</w:t>
      </w:r>
    </w:p>
    <w:p w14:paraId="1835AC0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本单位2025年</w:t>
      </w:r>
      <w:r>
        <w:rPr>
          <w:rFonts w:hint="eastAsia" w:eastAsia="仿宋_GB2312" w:cs="仿宋_GB2312"/>
          <w:kern w:val="0"/>
          <w:sz w:val="32"/>
          <w:szCs w:val="32"/>
        </w:rPr>
        <w:t>机关运行经费当年一般公共预算拨款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57.92</w:t>
      </w:r>
      <w:r>
        <w:rPr>
          <w:rFonts w:hint="eastAsia" w:eastAsia="仿宋_GB2312" w:cs="仿宋_GB2312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（数据来源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见表14，表14中公用经费57.92万元包含工作人员公务交通补贴0.72万元和机关运行经费57.2万元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）,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比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/>
        </w:rPr>
        <w:t>上一年增加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32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val="en-US" w:eastAsia="zh-CN"/>
        </w:rPr>
        <w:t>123.46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</w:rPr>
        <w:t>%。主要原因是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lang w:eastAsia="zh-CN"/>
        </w:rPr>
        <w:t>本年度全县行政事业单位日常公用经费的预算标准提高。</w:t>
      </w:r>
    </w:p>
    <w:p w14:paraId="641153C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（二）“三公”经费预算</w:t>
      </w:r>
    </w:p>
    <w:p w14:paraId="039F90F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本单位2025年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“三公”经费预算数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数据来源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见表15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，其中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，公务接待费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万元，因公出国（境）费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万元，公务用车购置及运行费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其中公务用车购置费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万元，公务用车运行费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万元。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跟上年持平。</w:t>
      </w:r>
    </w:p>
    <w:p w14:paraId="0F1F139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（三）一般性支出情况</w:t>
      </w:r>
    </w:p>
    <w:p w14:paraId="6AD7482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本单位2025年培训费预算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1.5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万元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（数据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来源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见表14会议费+培训费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/>
        </w:rPr>
        <w:t>）。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eastAsia="zh-CN"/>
        </w:rPr>
        <w:t>拟开展一次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培训，人数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46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人，内容为对事业单位工作人员在岗培训和对专业技术人员的业务培训。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年度本单位未计划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安排会议，未计划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举办节庆、晚会、论坛、赛事活动。</w:t>
      </w:r>
    </w:p>
    <w:p w14:paraId="6F003BD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eastAsia="zh-CN"/>
        </w:rPr>
        <w:t>（四）政府采购情况</w:t>
      </w:r>
    </w:p>
    <w:p w14:paraId="033083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本单位2025年政府采购预算总额21.56 万元，其中工程类0万元，货物类2.56 万元，服务类19 万元。</w:t>
      </w:r>
    </w:p>
    <w:p w14:paraId="02327D4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（五）国有资产占有使用及新增资产配置情况</w:t>
      </w:r>
    </w:p>
    <w:p w14:paraId="3C3C3CE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color w:val="auto"/>
          <w:kern w:val="0"/>
          <w:sz w:val="32"/>
          <w:szCs w:val="32"/>
        </w:rPr>
        <w:t>截至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上一年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12月底，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本单位</w:t>
      </w:r>
      <w:r>
        <w:rPr>
          <w:rFonts w:hint="eastAsia" w:eastAsia="仿宋_GB2312" w:cs="仿宋_GB2312"/>
          <w:color w:val="auto"/>
          <w:kern w:val="0"/>
          <w:sz w:val="32"/>
          <w:szCs w:val="32"/>
        </w:rPr>
        <w:t>共有车</w:t>
      </w:r>
      <w:r>
        <w:rPr>
          <w:rFonts w:hint="eastAsia" w:eastAsia="仿宋_GB2312" w:cs="仿宋_GB2312"/>
          <w:kern w:val="0"/>
          <w:sz w:val="32"/>
          <w:szCs w:val="32"/>
        </w:rPr>
        <w:t>辆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辆，其中领导干部用车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辆，一般公务用车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辆，其他用车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辆。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价值50万元以上通用设备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台，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 w:cs="仿宋_GB2312"/>
          <w:kern w:val="0"/>
          <w:sz w:val="32"/>
          <w:szCs w:val="32"/>
        </w:rPr>
        <w:t>价值100万元以上专用设备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 w:cs="仿宋_GB2312"/>
          <w:kern w:val="0"/>
          <w:sz w:val="32"/>
          <w:szCs w:val="32"/>
        </w:rPr>
        <w:t>台。</w:t>
      </w:r>
    </w:p>
    <w:p w14:paraId="4D45DC3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 w:cs="仿宋_GB2312"/>
          <w:color w:val="000000" w:themeColor="text1"/>
          <w:kern w:val="0"/>
          <w:sz w:val="36"/>
          <w:szCs w:val="36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2025年度本单位未计划处置或新增车辆、设备等。</w:t>
      </w:r>
    </w:p>
    <w:p w14:paraId="68C5499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（六）预算绩效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目标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说明</w:t>
      </w:r>
    </w:p>
    <w:p w14:paraId="6A5E9C8F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eastAsia="仿宋_GB2312"/>
          <w:bCs/>
          <w:kern w:val="0"/>
          <w:sz w:val="32"/>
          <w:szCs w:val="32"/>
          <w:lang w:eastAsia="zh-CN"/>
        </w:rPr>
        <w:t>本单位</w:t>
      </w:r>
      <w:r>
        <w:rPr>
          <w:rFonts w:eastAsia="仿宋_GB2312"/>
          <w:bCs/>
          <w:kern w:val="0"/>
          <w:sz w:val="32"/>
          <w:szCs w:val="32"/>
        </w:rPr>
        <w:t>所有支出实行绩效目标管理。纳入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202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eastAsia="仿宋_GB2312"/>
          <w:bCs/>
          <w:kern w:val="0"/>
          <w:sz w:val="32"/>
          <w:szCs w:val="32"/>
          <w:lang w:eastAsia="zh-CN"/>
        </w:rPr>
        <w:t>年单位</w:t>
      </w:r>
      <w:r>
        <w:rPr>
          <w:rFonts w:eastAsia="仿宋_GB2312"/>
          <w:bCs/>
          <w:kern w:val="0"/>
          <w:sz w:val="32"/>
          <w:szCs w:val="32"/>
        </w:rPr>
        <w:t>整体支出绩效目标的金额为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529.71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529.71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0</w:t>
      </w:r>
      <w:r>
        <w:rPr>
          <w:rFonts w:eastAsia="仿宋_GB2312"/>
          <w:bCs/>
          <w:kern w:val="0"/>
          <w:sz w:val="32"/>
          <w:szCs w:val="32"/>
        </w:rPr>
        <w:t>万元，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详见文尾附表中单位预算公开表格的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val="en-US" w:eastAsia="zh-CN"/>
        </w:rPr>
        <w:t>表22-23</w:t>
      </w:r>
      <w:r>
        <w:rPr>
          <w:rFonts w:hint="eastAsia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 w14:paraId="42D07D0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、名词解释</w:t>
      </w:r>
    </w:p>
    <w:p w14:paraId="12CE72A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</w:rPr>
        <w:t>1、机关运行经费：是指各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6C1F7B3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</w:rPr>
        <w:t>2、“三公”经费：纳入财政预算管理的“三公“经费，是指用一般公共预算拨款安排的公务接待费、公务用车购置及运行维护费和因公出国（境）费。其中，公务接待费反映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按规定开支的各类公务接待支出；公务用车购置及运行费反映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hint="eastAsia" w:eastAsia="仿宋_GB2312"/>
          <w:kern w:val="0"/>
          <w:sz w:val="32"/>
          <w:szCs w:val="32"/>
          <w:lang w:eastAsia="zh-CN"/>
        </w:rPr>
        <w:t>单位</w:t>
      </w:r>
      <w:r>
        <w:rPr>
          <w:rFonts w:hint="eastAsia" w:eastAsia="仿宋_GB2312"/>
          <w:kern w:val="0"/>
          <w:sz w:val="32"/>
          <w:szCs w:val="32"/>
        </w:rPr>
        <w:t>公务出国（境）的国际旅费、国外城市间交通费、食宿费等支出。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             </w:t>
      </w:r>
    </w:p>
    <w:p w14:paraId="4A4170F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eastAsia="黑体" w:cs="黑体"/>
          <w:kern w:val="0"/>
          <w:sz w:val="32"/>
          <w:szCs w:val="32"/>
        </w:rPr>
        <w:br w:type="page"/>
      </w:r>
      <w:r>
        <w:rPr>
          <w:rFonts w:hint="eastAsia" w:eastAsia="黑体" w:cs="黑体"/>
          <w:kern w:val="0"/>
          <w:sz w:val="32"/>
          <w:szCs w:val="32"/>
        </w:rPr>
        <w:t>第二部分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eastAsia="黑体" w:cs="黑体"/>
          <w:kern w:val="0"/>
          <w:sz w:val="32"/>
          <w:szCs w:val="32"/>
          <w:lang w:eastAsia="zh-CN"/>
        </w:rPr>
        <w:t>单位预算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公开</w:t>
      </w:r>
      <w:r>
        <w:rPr>
          <w:rFonts w:hint="eastAsia" w:eastAsia="黑体" w:cs="黑体"/>
          <w:kern w:val="0"/>
          <w:sz w:val="32"/>
          <w:szCs w:val="32"/>
        </w:rPr>
        <w:t>表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格</w:t>
      </w:r>
      <w:bookmarkStart w:id="0" w:name="_GoBack"/>
      <w:bookmarkEnd w:id="0"/>
    </w:p>
    <w:p w14:paraId="46EB83C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600" w:lineRule="exact"/>
        <w:textAlignment w:val="auto"/>
        <w:rPr>
          <w:rFonts w:hint="default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eastAsia="黑体" w:cs="黑体"/>
          <w:kern w:val="0"/>
          <w:sz w:val="32"/>
          <w:szCs w:val="32"/>
          <w:lang w:eastAsia="zh-CN"/>
        </w:rPr>
        <w:t>附件：</w:t>
      </w:r>
      <w:r>
        <w:rPr>
          <w:rFonts w:hint="eastAsia" w:eastAsia="黑体" w:cs="黑体"/>
          <w:kern w:val="0"/>
          <w:sz w:val="32"/>
          <w:szCs w:val="32"/>
          <w:lang w:val="en-US" w:eastAsia="zh-CN"/>
        </w:rPr>
        <w:t>岳阳县市场建设管理中心预算公开表格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4000C6-AC07-41B0-A08F-D6A73126C9E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0FA20D2-6283-409F-A913-0D1D0B9E92D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5B64876A-4BBE-4C36-A13A-9C20959EFA2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DD50550-7534-49FB-A044-1F6E9A6856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C9FA252B-E2A7-4010-A72C-81FFAA807A6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64AECD35-CAE0-441E-867F-1C812E2BBCB4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D5606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9ED2DB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181E1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636B5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9BB8A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970E7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45"/>
  <w:doNotDisplayPageBoundaries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hZjE4ZTkxMDRhODEzZDc4NjgwY2FhZjAwNTY0ZGMifQ==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13637D1"/>
    <w:rsid w:val="01492937"/>
    <w:rsid w:val="02DF562C"/>
    <w:rsid w:val="032D48E5"/>
    <w:rsid w:val="036A7762"/>
    <w:rsid w:val="039837D0"/>
    <w:rsid w:val="04497920"/>
    <w:rsid w:val="069419C6"/>
    <w:rsid w:val="06FC6D33"/>
    <w:rsid w:val="08281851"/>
    <w:rsid w:val="0AF15A72"/>
    <w:rsid w:val="0C0C6008"/>
    <w:rsid w:val="0C4F7AFC"/>
    <w:rsid w:val="0C8B0DAD"/>
    <w:rsid w:val="0D5B6622"/>
    <w:rsid w:val="0E064421"/>
    <w:rsid w:val="0ED234CD"/>
    <w:rsid w:val="0F654CC7"/>
    <w:rsid w:val="0F9E0A26"/>
    <w:rsid w:val="14903A2F"/>
    <w:rsid w:val="150712B5"/>
    <w:rsid w:val="15D9563A"/>
    <w:rsid w:val="16873D30"/>
    <w:rsid w:val="170830C2"/>
    <w:rsid w:val="19420C90"/>
    <w:rsid w:val="196C0D88"/>
    <w:rsid w:val="19D5374E"/>
    <w:rsid w:val="1AC31CB7"/>
    <w:rsid w:val="1BEF6124"/>
    <w:rsid w:val="1EAD2225"/>
    <w:rsid w:val="1F06438B"/>
    <w:rsid w:val="1F1F1226"/>
    <w:rsid w:val="261235E2"/>
    <w:rsid w:val="26570D53"/>
    <w:rsid w:val="27D417C1"/>
    <w:rsid w:val="27D848B8"/>
    <w:rsid w:val="2AA0743E"/>
    <w:rsid w:val="2CDB483B"/>
    <w:rsid w:val="2FC40521"/>
    <w:rsid w:val="31464495"/>
    <w:rsid w:val="3405688C"/>
    <w:rsid w:val="34E11E02"/>
    <w:rsid w:val="351D5C2D"/>
    <w:rsid w:val="3778763E"/>
    <w:rsid w:val="388764A3"/>
    <w:rsid w:val="38C74734"/>
    <w:rsid w:val="3BC82B6A"/>
    <w:rsid w:val="3CEF4259"/>
    <w:rsid w:val="3E4D3BDD"/>
    <w:rsid w:val="415E1E56"/>
    <w:rsid w:val="41DA7DB9"/>
    <w:rsid w:val="447637E8"/>
    <w:rsid w:val="461F0024"/>
    <w:rsid w:val="49EF4858"/>
    <w:rsid w:val="4AE9742D"/>
    <w:rsid w:val="4BA67C06"/>
    <w:rsid w:val="4CA46ED7"/>
    <w:rsid w:val="4D013E21"/>
    <w:rsid w:val="4D8D7228"/>
    <w:rsid w:val="4DDD2C7F"/>
    <w:rsid w:val="4EF676C9"/>
    <w:rsid w:val="4F1826FF"/>
    <w:rsid w:val="506C2AB0"/>
    <w:rsid w:val="520B4DA2"/>
    <w:rsid w:val="5333248A"/>
    <w:rsid w:val="53344C63"/>
    <w:rsid w:val="55295806"/>
    <w:rsid w:val="55D3446A"/>
    <w:rsid w:val="593F63D3"/>
    <w:rsid w:val="5B423ECD"/>
    <w:rsid w:val="5CDA4DA9"/>
    <w:rsid w:val="62820F98"/>
    <w:rsid w:val="62873CEC"/>
    <w:rsid w:val="63BC45E5"/>
    <w:rsid w:val="64035B71"/>
    <w:rsid w:val="64DB31B9"/>
    <w:rsid w:val="681842B0"/>
    <w:rsid w:val="6AE87D9C"/>
    <w:rsid w:val="6F8561D3"/>
    <w:rsid w:val="70271B5B"/>
    <w:rsid w:val="711B04FA"/>
    <w:rsid w:val="71AC0C24"/>
    <w:rsid w:val="773C67F0"/>
    <w:rsid w:val="777C37A4"/>
    <w:rsid w:val="7BE116AA"/>
    <w:rsid w:val="7BFD2A05"/>
    <w:rsid w:val="7D751CB9"/>
    <w:rsid w:val="7DFA5EB0"/>
    <w:rsid w:val="7E3E73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autoRedefine/>
    <w:qFormat/>
    <w:uiPriority w:val="0"/>
    <w:pPr>
      <w:spacing w:after="120"/>
    </w:pPr>
  </w:style>
  <w:style w:type="paragraph" w:styleId="4">
    <w:name w:val="Date"/>
    <w:basedOn w:val="1"/>
    <w:next w:val="1"/>
    <w:link w:val="12"/>
    <w:autoRedefine/>
    <w:qFormat/>
    <w:uiPriority w:val="0"/>
    <w:pPr>
      <w:ind w:left="100" w:leftChars="2500"/>
    </w:pPr>
  </w:style>
  <w:style w:type="paragraph" w:styleId="5">
    <w:name w:val="Balloon Text"/>
    <w:basedOn w:val="1"/>
    <w:link w:val="13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Body Text Char"/>
    <w:basedOn w:val="10"/>
    <w:link w:val="3"/>
    <w:autoRedefine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Date Char"/>
    <w:basedOn w:val="10"/>
    <w:link w:val="4"/>
    <w:autoRedefine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Balloon Text Char"/>
    <w:basedOn w:val="10"/>
    <w:link w:val="5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Footer Char"/>
    <w:basedOn w:val="10"/>
    <w:link w:val="6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Header Char"/>
    <w:basedOn w:val="10"/>
    <w:link w:val="7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autoRedefine/>
    <w:qFormat/>
    <w:uiPriority w:val="0"/>
    <w:pPr>
      <w:suppressLineNumbers/>
      <w:suppressAutoHyphens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4</Pages>
  <Words>2452</Words>
  <Characters>2676</Characters>
  <Lines>38</Lines>
  <Paragraphs>10</Paragraphs>
  <TotalTime>4</TotalTime>
  <ScaleCrop>false</ScaleCrop>
  <LinksUpToDate>false</LinksUpToDate>
  <CharactersWithSpaces>2702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2018-08-09T00:21:00Z</dcterms:created>
  <dc:creator>周继恩 10.105.113.143</dc:creator>
  <cp:lastModifiedBy>何荣荣</cp:lastModifiedBy>
  <cp:lastPrinted>2019-05-05T07:55:00Z</cp:lastPrinted>
  <dcterms:modified xsi:type="dcterms:W3CDTF">2025-02-26T07:31:08Z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200FB9526DE34659881B1517C05ADD0F_13</vt:lpwstr>
  </property>
  <property fmtid="{D5CDD505-2E9C-101B-9397-08002B2CF9AE}" pid="4" name="KSOTemplateDocerSaveRecord">
    <vt:lpwstr>eyJoZGlkIjoiYWI0YTVjYTIyMmQ2ZGZiNzljNzFhMTAyNzRlODllNTAiLCJ1c2VySWQiOiIxMTU3MzMyNTc1In0=</vt:lpwstr>
  </property>
</Properties>
</file>