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DCC6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536FC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岳阳县文化馆2025年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 w14:paraId="1655D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 w14:paraId="002250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3B6416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7EAB1A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2025年单位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705A5E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4E45E24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2EBB42D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23650E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5CC5D90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200774C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532845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3809D3D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0D49694F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22130FB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C873E8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7F10CE83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4FA9FA8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01363C8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6EBEA3F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177D128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1A59A2C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30B95E7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2EEDB7E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4C6104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0FDF884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491FFCC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73B9F4A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1FB67CF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01EC901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2BCD4A1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2025年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0D7C07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5BFC86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0EC8B13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6FA5D2BD">
      <w:pPr>
        <w:widowControl/>
        <w:spacing w:line="600" w:lineRule="exact"/>
        <w:ind w:firstLine="640" w:firstLineChars="200"/>
        <w:rPr>
          <w:rFonts w:hint="eastAsia" w:ascii="inherit" w:hAnsi="inherit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岳阳县文化馆的主要职责是全民艺术普及，其中包括：免费开放、艺术创作、艺术培训、群文活动、民间艺术文化保护传承和挖掘。是政府为了向广大人民群众进行宣传教育，组织辅导群众开展文化活动而设立的公益类事业单位，是当地群众文化艺术活动的中心。</w:t>
      </w:r>
    </w:p>
    <w:p w14:paraId="02F5DB0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1EFAA565"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岳阳县文化馆设下列内设机构:综合部、培训部、创研部、岳阳县花鼓戏传承保护中心。</w:t>
      </w:r>
    </w:p>
    <w:p w14:paraId="7A9BA6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19E95E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621D9C7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包括一般公共预算、政府性基金、国有资本经营预算等财政拨款收入，以及经营收入、事业收入等单位资金。2025年本单位收入预算687.62万元，其中，一般公共预算拨款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594.34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93.28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本单位2025年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single"/>
        </w:rPr>
        <w:t>均为空。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收入较上年减少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51.06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万元，主要是因为预算执行进度加快，本年度年初结转资金较上年度年初结转资金减少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77DC508E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1F06C68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687.62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文化旅游体育与传媒支出598.40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社会保障和就业支出43.37万元，卫生健康支出20.2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万元，住房保障支出25.5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万元。支出较</w:t>
      </w:r>
      <w:r>
        <w:rPr>
          <w:rFonts w:hint="eastAsia" w:eastAsia="仿宋_GB2312"/>
          <w:sz w:val="32"/>
          <w:szCs w:val="32"/>
          <w:lang w:eastAsia="zh-CN"/>
        </w:rPr>
        <w:t>上年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51.06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其中基本支出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18.64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项目支出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69.70</w:t>
      </w:r>
      <w:r>
        <w:rPr>
          <w:rFonts w:hint="eastAsia" w:eastAsia="仿宋_GB2312"/>
          <w:sz w:val="32"/>
          <w:szCs w:val="32"/>
        </w:rPr>
        <w:t>万元。</w:t>
      </w:r>
      <w:r>
        <w:rPr>
          <w:rFonts w:hint="eastAsia" w:eastAsia="仿宋_GB2312"/>
          <w:sz w:val="32"/>
          <w:szCs w:val="32"/>
          <w:lang w:eastAsia="zh-CN"/>
        </w:rPr>
        <w:t>其中基本支出较上年</w:t>
      </w:r>
      <w:r>
        <w:rPr>
          <w:rFonts w:hint="eastAsia" w:eastAsia="仿宋_GB2312"/>
          <w:sz w:val="32"/>
          <w:szCs w:val="32"/>
          <w:lang w:val="en-US" w:eastAsia="zh-CN"/>
        </w:rPr>
        <w:t>减少</w:t>
      </w:r>
      <w:r>
        <w:rPr>
          <w:rFonts w:hint="eastAsia" w:eastAsia="仿宋_GB2312"/>
          <w:sz w:val="32"/>
          <w:szCs w:val="32"/>
          <w:lang w:eastAsia="zh-CN"/>
        </w:rPr>
        <w:t>主要是</w:t>
      </w:r>
      <w:r>
        <w:rPr>
          <w:rFonts w:hint="eastAsia" w:eastAsia="仿宋_GB2312"/>
          <w:sz w:val="32"/>
          <w:szCs w:val="32"/>
          <w:lang w:val="en-US" w:eastAsia="zh-CN"/>
        </w:rPr>
        <w:t>因为本年度财政提高了公用经费保障标准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项目支出减少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主要是因为预算执行进度加快，本年度年初结转项目资金较上年度年初结转项目资金减少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34139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642D78D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687.62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文化旅游体育与传媒支出598.40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87.02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社会保障和就业支出43.37万元，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6.31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卫生健康支出20.2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2.95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住房保障支出25.5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3.72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77D03D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2025年基本支出年初预算数为408.84万元，是指为保障单位机构正常运转、完成日常工作任务而发生的各项支出，包括用于基本工资、奖金、津贴补贴、绩效工资、机关事业单位基本养老保险缴费、职业年金缴费、 其他社会保障缴费、职工基本医疗保险缴费、公务员医疗补助缴费、住房公积金等人员经费以及办公费、电费、印刷费、 公务接待费、差旅费、其他交通费用、其他商品和服务支出、  水费、培训费、维修（护）费、物业管理费、邮电费等日常公用经费。</w:t>
      </w:r>
    </w:p>
    <w:p w14:paraId="0650C79C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278.78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278.78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花鼓戏保护保存、 剧团传承经费、送戏下乡惠民活动、演出专项经费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049FB6E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14F18E9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2025年度本单位无政府性基金安排的支出，所以公开的附件16-18（政府性基金预算）为空。</w:t>
      </w:r>
    </w:p>
    <w:p w14:paraId="50FB3BF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7617F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1396972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机关运行经费当年一般公共预算拨款56.52万元，比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年增加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21.79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增长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62.74</w:t>
      </w:r>
      <w:r>
        <w:rPr>
          <w:rFonts w:hint="eastAsia" w:eastAsia="仿宋_GB2312" w:cs="仿宋_GB2312"/>
          <w:kern w:val="0"/>
          <w:sz w:val="32"/>
          <w:szCs w:val="32"/>
        </w:rPr>
        <w:t>%。主要原因是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本年度实行零基预算改革，财政提高了公用经费保障标准。</w:t>
      </w:r>
    </w:p>
    <w:p w14:paraId="376EAA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4B37B30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1.60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1.60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其中公务用车购置费0万元，公务用车运行费0万元。与上年持平，主要原因是按上级文件要求严控三公经费开支。</w:t>
      </w:r>
    </w:p>
    <w:p w14:paraId="3097C07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513B6F5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本单位2025年培训费预算2万元，拟开展3次培训，人数12人，内容为干部职工执业能力提升培训；2025年度本单位未计划安排会议，未计划举办节庆、晚会、论坛、赛事活动。</w:t>
      </w:r>
    </w:p>
    <w:p w14:paraId="57D34D9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214B1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政府采购预算总额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252.9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万元，其中工程类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万元，货物类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84.6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万元，服务类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168.3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</w:p>
    <w:p w14:paraId="506783D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57C311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512B4BF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2025年度本单位未计划处置或新增车辆、设备等。</w:t>
      </w:r>
    </w:p>
    <w:p w14:paraId="7F06AEA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1B23C69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2025年单位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687.62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408.84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278.78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74664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6ACD6B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21A3D43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6C9F48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5F775B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岳阳县文化馆单位预算公开表格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B17372-E665-4823-BE36-9496DAA04F5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EF7778A-F4BF-483D-9892-DE90DEA5E5F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E150917-22FF-4031-8324-664F6063FC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72FA6DF-3D33-4E66-87FD-46B6D6CC5944}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B04B9B68-4B3F-480F-8701-68F04943DE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7E1A6B8-197A-4575-B289-E5470BDE6D8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3060862-D2A4-4889-8A67-7E0126B981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E9A4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DB3D1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35BB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7DC87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9723E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3D8A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Dk0NzM2ZTlhZmRjMmU3YmRjN2NiZDIwYmYyMj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44F71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833867"/>
    <w:rsid w:val="02DF562C"/>
    <w:rsid w:val="032D48E5"/>
    <w:rsid w:val="039837D0"/>
    <w:rsid w:val="042F62B6"/>
    <w:rsid w:val="04335DA6"/>
    <w:rsid w:val="04497920"/>
    <w:rsid w:val="069419C6"/>
    <w:rsid w:val="070C65B9"/>
    <w:rsid w:val="08281851"/>
    <w:rsid w:val="09327787"/>
    <w:rsid w:val="0AF15A72"/>
    <w:rsid w:val="0B5C0021"/>
    <w:rsid w:val="0C0C6008"/>
    <w:rsid w:val="0C4F7AFC"/>
    <w:rsid w:val="0D5B6622"/>
    <w:rsid w:val="0D8970B2"/>
    <w:rsid w:val="0E064421"/>
    <w:rsid w:val="0EB846B3"/>
    <w:rsid w:val="0ED234CD"/>
    <w:rsid w:val="0F654CC7"/>
    <w:rsid w:val="0F9E0A26"/>
    <w:rsid w:val="0FF13EE2"/>
    <w:rsid w:val="12041C48"/>
    <w:rsid w:val="1231570E"/>
    <w:rsid w:val="14B506ED"/>
    <w:rsid w:val="15D8652F"/>
    <w:rsid w:val="15D9563A"/>
    <w:rsid w:val="181810E3"/>
    <w:rsid w:val="183439D8"/>
    <w:rsid w:val="19420C90"/>
    <w:rsid w:val="19AA220F"/>
    <w:rsid w:val="19D5374E"/>
    <w:rsid w:val="1A4D6694"/>
    <w:rsid w:val="1AC31CB7"/>
    <w:rsid w:val="1B952161"/>
    <w:rsid w:val="1BEF6124"/>
    <w:rsid w:val="1F1F1226"/>
    <w:rsid w:val="1FA12E5F"/>
    <w:rsid w:val="26570D53"/>
    <w:rsid w:val="271409BD"/>
    <w:rsid w:val="27D848B8"/>
    <w:rsid w:val="2B451C10"/>
    <w:rsid w:val="2BEF737C"/>
    <w:rsid w:val="2CDB483B"/>
    <w:rsid w:val="2ECD0C4F"/>
    <w:rsid w:val="2FC40521"/>
    <w:rsid w:val="3405688C"/>
    <w:rsid w:val="343835A7"/>
    <w:rsid w:val="34E11E02"/>
    <w:rsid w:val="35085527"/>
    <w:rsid w:val="367E56C3"/>
    <w:rsid w:val="388764A3"/>
    <w:rsid w:val="3AD735EE"/>
    <w:rsid w:val="3BC82B6A"/>
    <w:rsid w:val="3DEE3AD2"/>
    <w:rsid w:val="3E466385"/>
    <w:rsid w:val="3E4D3BDD"/>
    <w:rsid w:val="3E813CBF"/>
    <w:rsid w:val="3F7927D8"/>
    <w:rsid w:val="41DA7DB9"/>
    <w:rsid w:val="433A4E85"/>
    <w:rsid w:val="447637E8"/>
    <w:rsid w:val="46334724"/>
    <w:rsid w:val="46F340C9"/>
    <w:rsid w:val="49EF4858"/>
    <w:rsid w:val="4AD67CC5"/>
    <w:rsid w:val="4AE9742D"/>
    <w:rsid w:val="4BA67C06"/>
    <w:rsid w:val="4CA46ED7"/>
    <w:rsid w:val="4D013E21"/>
    <w:rsid w:val="4D8D7228"/>
    <w:rsid w:val="4DDD2C7F"/>
    <w:rsid w:val="4E147F73"/>
    <w:rsid w:val="4EA931BA"/>
    <w:rsid w:val="4F1826FF"/>
    <w:rsid w:val="4FCD194B"/>
    <w:rsid w:val="506C2AB0"/>
    <w:rsid w:val="51CB3A8E"/>
    <w:rsid w:val="524456CC"/>
    <w:rsid w:val="53344C63"/>
    <w:rsid w:val="5437467A"/>
    <w:rsid w:val="54604425"/>
    <w:rsid w:val="54F478A3"/>
    <w:rsid w:val="55295806"/>
    <w:rsid w:val="555E164E"/>
    <w:rsid w:val="55684751"/>
    <w:rsid w:val="55D3446A"/>
    <w:rsid w:val="589D0AFE"/>
    <w:rsid w:val="593F63D3"/>
    <w:rsid w:val="59E34602"/>
    <w:rsid w:val="5B423ECD"/>
    <w:rsid w:val="5BAE6D9A"/>
    <w:rsid w:val="5C166E0B"/>
    <w:rsid w:val="5C781AC0"/>
    <w:rsid w:val="5CDA4DA9"/>
    <w:rsid w:val="5D466B0F"/>
    <w:rsid w:val="5F09470F"/>
    <w:rsid w:val="60A03DAA"/>
    <w:rsid w:val="619134D5"/>
    <w:rsid w:val="61F50CD8"/>
    <w:rsid w:val="62820F98"/>
    <w:rsid w:val="63376618"/>
    <w:rsid w:val="64035B71"/>
    <w:rsid w:val="64A96679"/>
    <w:rsid w:val="64DB31B9"/>
    <w:rsid w:val="65C24764"/>
    <w:rsid w:val="66571397"/>
    <w:rsid w:val="681842B0"/>
    <w:rsid w:val="688B12C0"/>
    <w:rsid w:val="689E66A8"/>
    <w:rsid w:val="6AE87D9C"/>
    <w:rsid w:val="6D0B588B"/>
    <w:rsid w:val="6D6B5DC9"/>
    <w:rsid w:val="6F615109"/>
    <w:rsid w:val="6F8561D3"/>
    <w:rsid w:val="70271B5B"/>
    <w:rsid w:val="71AC0C24"/>
    <w:rsid w:val="73FB2961"/>
    <w:rsid w:val="746E109E"/>
    <w:rsid w:val="74FB24CD"/>
    <w:rsid w:val="75344BFC"/>
    <w:rsid w:val="7547419D"/>
    <w:rsid w:val="76286F0E"/>
    <w:rsid w:val="762B56CB"/>
    <w:rsid w:val="773C67F0"/>
    <w:rsid w:val="77C3648D"/>
    <w:rsid w:val="77E33076"/>
    <w:rsid w:val="789A2290"/>
    <w:rsid w:val="7DFA5EB0"/>
    <w:rsid w:val="7E394FC2"/>
    <w:rsid w:val="7E3E736E"/>
    <w:rsid w:val="7EFE5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7</Pages>
  <Words>2599</Words>
  <Characters>2823</Characters>
  <Lines>38</Lines>
  <Paragraphs>10</Paragraphs>
  <TotalTime>2</TotalTime>
  <ScaleCrop>false</ScaleCrop>
  <LinksUpToDate>false</LinksUpToDate>
  <CharactersWithSpaces>2849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悬剑</cp:lastModifiedBy>
  <cp:lastPrinted>2019-05-05T07:55:00Z</cp:lastPrinted>
  <dcterms:modified xsi:type="dcterms:W3CDTF">2025-02-28T02:56:16Z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5E8BD144427B4992B6AB84D4B376F7F3</vt:lpwstr>
  </property>
</Properties>
</file>