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0D" w:rsidRDefault="0037036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岳阳县荣家湾镇中心学校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F5270D" w:rsidRDefault="0037036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F5270D" w:rsidRDefault="00F5270D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F5270D" w:rsidRDefault="0037036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F5270D" w:rsidRDefault="00F5270D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F5270D" w:rsidRDefault="003703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F5270D" w:rsidRDefault="00370365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5270D" w:rsidRDefault="00F5270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（一）职能职责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、贯彻落实党和国家的教育方针、政策、法律、法规、规章，研究制定地方性的教育政策并监督执行；研究制订全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教育事业发展规划和年度计划，科学合理确定教育发展重点、规模、速度和步骤，指导和协调教育规划、计划的实施；统筹管理全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教育；主管全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学校招生考试；综合管理和指导各层次的非学历培训、学前教育、继续教育等工作；组织指导教育理论、教材教法和教学手段方法等方面的研究。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、领导全镇教育系统的纪检、监察工作；指导学校思想政治工作、德育工作、体育、卫生、艺术教育和国防教育工作。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、指导编制并负责汇总全镇学校发展情况和教育经费年度预、决算，归口管理本乡教育事业经费；组织、指导全镇教育系统的内部审计工作；负责中小学校的经济责任审计。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、会同有关部门制订全镇教育系统有关机构编制、劳动工资、工作绩效奖惩、人事管理等方面的规章制度并组织实施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；负责全镇教育系统教师资格认定、招聘录用、人员调配等工作；负责全镇教师系列专业技术职务的评聘。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、负责全镇教师和教育行政干部队伍的建设工作；统筹管理全镇社会力量办学，负责社会力量办学的审批、注册和报批工作；指导、管理全镇学校勤工俭学工作。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拟订全镇群众体育工作的发展规划；推行全民健身计划，建立和完善全民健身体系，负责全民健身工程的实施和监督管理；指导开展群众性体育活动；组织协调参加乡级以上群众性体育赛事及活动；指导和管理体育行业和群众性单项体育协会的工作；指导开展国民体质监测活动和体育场地普查工作；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导《国家体育锻炼标准》实施；依法管理高危体育项目的审查、批准、检查。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负责全镇体育产业的开发和管理；指导公共体育设施的建设，推动体育标准化建设具体工作；承担规范体育服务管理、公共体育设施监督管理、体育统计、体育彩票发行管理工作。指导管理全镇竞技体育、体育科学研究工作，拟定全镇青少年体育工作发展规划，指导监督青少年体育锻炼标准的实施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、指导推动学校体育的发展，指导和管理全镇青少年体育竞赛活动，抓好反兴奋剂工作；负责全镇等级运动员的审核、申报、办理工作及业余体校教练员的岗位培训工作；负责竞赛项目裁判员、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课余训练教练员的业务培训、考核；制订优秀运动员奖励政策和措施。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、负责全镇中小学体育和国防教育工作的管理、指导和评价；负责组织开展本级、指导协调参加县级以上体育竞赛等交流活动；指导并监督全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学生体质状况监测，指导协调学校阳光体育、校园足球工作的实施；负责并协调学校国防教育和学生军训工作。负责全镇学生健康教育、环境卫生、教学卫生工作；负责并协调城区学校爱卫迎检工作。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荣家湾镇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中心学校机关是行政事业单位，属一级预算单位。岳阳县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荣家湾镇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中心学校是主管全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教育体育事业和语言文字工作的人民政府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工作部门。纳入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预算编制范围的二级预算单位包括：初中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所，九年一贯制学校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所，小学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含教学点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，幼儿园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含民办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)</w:t>
      </w:r>
    </w:p>
    <w:p w:rsidR="00F5270D" w:rsidRDefault="00F5270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5,900.41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5,900.41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1392.43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因为原岳阳县城关中心学校和岳阳县鹿角中心学校合并。人员增加的原因。</w:t>
      </w:r>
    </w:p>
    <w:p w:rsidR="00F5270D" w:rsidRDefault="00370365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F5270D" w:rsidRDefault="00370365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5,900.41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4,481.43</w:t>
      </w:r>
      <w:r>
        <w:rPr>
          <w:rFonts w:ascii="微软雅黑" w:eastAsia="微软雅黑" w:hAnsi="微软雅黑" w:cs="微软雅黑"/>
          <w:sz w:val="32"/>
        </w:rPr>
        <w:t>万元，科学技术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</w:t>
      </w:r>
      <w:r w:rsidR="00A40DED">
        <w:rPr>
          <w:rFonts w:ascii="微软雅黑" w:eastAsia="微软雅黑" w:hAnsi="微软雅黑" w:cs="微软雅黑" w:hint="eastAsia"/>
          <w:sz w:val="32"/>
        </w:rPr>
        <w:t>，社会保障和就业支出626.56万元，卫生健康支出350.14万元,住房保障支出442.28万元</w:t>
      </w:r>
      <w:r w:rsidR="00A40DED"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1392.43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1385.23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因为城关中心学校和鹿角中心学校合并后人员增加工资增加的原因。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单位运行维护经费增加。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5,900.41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</w:t>
      </w:r>
      <w:r w:rsidR="001B2DC4">
        <w:rPr>
          <w:rFonts w:ascii="微软雅黑" w:eastAsia="微软雅黑" w:hAnsi="微软雅黑" w:cs="微软雅黑"/>
          <w:sz w:val="32"/>
        </w:rPr>
        <w:t>教育4,481.43万元，</w:t>
      </w:r>
      <w:r w:rsidR="001B2DC4">
        <w:rPr>
          <w:rFonts w:ascii="微软雅黑" w:eastAsia="微软雅黑" w:hAnsi="微软雅黑" w:cs="微软雅黑" w:hint="eastAsia"/>
          <w:sz w:val="32"/>
        </w:rPr>
        <w:t>占75.95%；</w:t>
      </w:r>
      <w:r w:rsidR="001B2DC4">
        <w:rPr>
          <w:rFonts w:ascii="微软雅黑" w:eastAsia="微软雅黑" w:hAnsi="微软雅黑" w:cs="微软雅黑"/>
          <w:sz w:val="32"/>
        </w:rPr>
        <w:t>科学技术0万元</w:t>
      </w:r>
      <w:r w:rsidR="001B2DC4">
        <w:rPr>
          <w:rFonts w:ascii="微软雅黑" w:eastAsia="微软雅黑" w:hAnsi="微软雅黑" w:cs="微软雅黑" w:hint="eastAsia"/>
          <w:sz w:val="32"/>
        </w:rPr>
        <w:t>，占0%；社会保障和就业支出626.56万元，占10.62%；卫生健康支出350.14万元,占5.93%；住房保障支出442.28万元，占7.5%。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5,884.21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F5270D" w:rsidRDefault="00370365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16.20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kern w:val="0"/>
          <w:sz w:val="32"/>
          <w:szCs w:val="32"/>
        </w:rPr>
        <w:t>主要用于</w:t>
      </w:r>
      <w:r>
        <w:rPr>
          <w:rFonts w:ascii="微软雅黑" w:eastAsia="微软雅黑" w:hAnsi="微软雅黑" w:cs="微软雅黑"/>
          <w:kern w:val="0"/>
          <w:sz w:val="32"/>
          <w:szCs w:val="32"/>
        </w:rPr>
        <w:t>本单位的日常运行维修维护</w:t>
      </w:r>
      <w:r>
        <w:rPr>
          <w:rFonts w:ascii="微软雅黑" w:eastAsia="微软雅黑" w:hAnsi="微软雅黑" w:cs="微软雅黑"/>
          <w:kern w:val="0"/>
          <w:sz w:val="32"/>
          <w:szCs w:val="32"/>
        </w:rPr>
        <w:t>等方面</w:t>
      </w:r>
      <w:r>
        <w:rPr>
          <w:color w:val="000000"/>
          <w:sz w:val="32"/>
          <w:szCs w:val="32"/>
          <w:shd w:val="clear" w:color="auto" w:fill="FFFFFF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F5270D" w:rsidRDefault="0037036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</w:rPr>
        <w:t>没有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F5270D" w:rsidRDefault="0037036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没有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F5270D" w:rsidRDefault="0037036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年度本单位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年度本单位未安排政府采购预算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XX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年度本单位未计划处置或新增车辆、设备等。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  <w:bookmarkStart w:id="0" w:name="_GoBack"/>
      <w:bookmarkEnd w:id="0"/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5,900.41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5,884.21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16.20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F5270D" w:rsidRDefault="003703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F5270D" w:rsidRDefault="0037036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F5270D" w:rsidRDefault="0037036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岳阳县荣家湾镇中心学校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F5270D" w:rsidSect="00F52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65" w:rsidRDefault="00370365" w:rsidP="00F5270D">
      <w:r>
        <w:separator/>
      </w:r>
    </w:p>
  </w:endnote>
  <w:endnote w:type="continuationSeparator" w:id="0">
    <w:p w:rsidR="00370365" w:rsidRDefault="00370365" w:rsidP="00F52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4070785F-FE2E-44AE-AEC2-7B8EA513FCC9}"/>
    <w:embedBold r:id="rId2" w:subsetted="1" w:fontKey="{2717C2C4-7D7C-4A68-BC4D-7E3B7374298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0D" w:rsidRDefault="00F527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0D" w:rsidRDefault="00F527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0D" w:rsidRDefault="00F527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65" w:rsidRDefault="00370365" w:rsidP="00F5270D">
      <w:r>
        <w:separator/>
      </w:r>
    </w:p>
  </w:footnote>
  <w:footnote w:type="continuationSeparator" w:id="0">
    <w:p w:rsidR="00370365" w:rsidRDefault="00370365" w:rsidP="00F52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0D" w:rsidRDefault="00F5270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0D" w:rsidRDefault="00F5270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0D" w:rsidRDefault="00F5270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B2DC4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70365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40DED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5270D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933F2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9902CD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C781E36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5270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F5270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F5270D"/>
    <w:pPr>
      <w:spacing w:after="120"/>
    </w:pPr>
  </w:style>
  <w:style w:type="paragraph" w:styleId="a5">
    <w:name w:val="Date"/>
    <w:basedOn w:val="a"/>
    <w:next w:val="a"/>
    <w:link w:val="Char0"/>
    <w:qFormat/>
    <w:rsid w:val="00F5270D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F5270D"/>
    <w:rPr>
      <w:sz w:val="18"/>
      <w:szCs w:val="18"/>
    </w:rPr>
  </w:style>
  <w:style w:type="paragraph" w:styleId="a7">
    <w:name w:val="footer"/>
    <w:basedOn w:val="a"/>
    <w:link w:val="Char2"/>
    <w:qFormat/>
    <w:rsid w:val="00F52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F52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5270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F5270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F5270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F5270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F5270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F5270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F5270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559</Words>
  <Characters>3188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2025-03-10T02:02:00Z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eyJoZGlkIjoiYmZiYzVlZjRhOWUzOTI5ODk2ODY1YjM3MzhmYjQyMGEiLCJ1c2VySWQiOiI5MzM0MDQzMDkifQ==</vt:lpwstr>
  </property>
</Properties>
</file>