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F61D40C">
      <w:pPr>
        <w:pStyle w:val="188"/>
        <w:jc w:val="center"/>
        <w:rPr>
          <w:rFonts w:hint="eastAsia" w:ascii="微软雅黑" w:hAnsi="微软雅黑" w:eastAsia="微软雅黑" w:cs="微软雅黑"/>
          <w:sz w:val="56"/>
          <w:szCs w:val="56"/>
        </w:rPr>
      </w:pPr>
      <w:bookmarkStart w:id="0" w:name="_GoBack"/>
      <w:bookmarkEnd w:id="0"/>
    </w:p>
    <w:p w14:paraId="61A0B894">
      <w:pPr>
        <w:pStyle w:val="188"/>
        <w:jc w:val="center"/>
        <w:rPr>
          <w:rFonts w:hint="eastAsia" w:ascii="微软雅黑" w:hAnsi="微软雅黑" w:eastAsia="微软雅黑" w:cs="微软雅黑"/>
          <w:sz w:val="56"/>
          <w:szCs w:val="56"/>
        </w:rPr>
      </w:pPr>
    </w:p>
    <w:p w14:paraId="16A1434F">
      <w:pPr>
        <w:pStyle w:val="188"/>
        <w:jc w:val="center"/>
        <w:rPr>
          <w:rFonts w:hint="eastAsia" w:ascii="微软雅黑" w:hAnsi="微软雅黑" w:eastAsia="微软雅黑" w:cs="微软雅黑"/>
          <w:sz w:val="84"/>
          <w:szCs w:val="84"/>
        </w:rPr>
      </w:pPr>
    </w:p>
    <w:p w14:paraId="2E994A88">
      <w:pPr>
        <w:pStyle w:val="188"/>
        <w:jc w:val="center"/>
        <w:rPr>
          <w:rFonts w:hint="eastAsia" w:ascii="微软雅黑" w:hAnsi="微软雅黑" w:eastAsia="微软雅黑" w:cs="微软雅黑"/>
          <w:sz w:val="84"/>
          <w:szCs w:val="84"/>
        </w:rPr>
      </w:pPr>
    </w:p>
    <w:p w14:paraId="42CC6E2B">
      <w:pPr>
        <w:pStyle w:val="188"/>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2023</w:t>
      </w:r>
      <w:r>
        <w:rPr>
          <w:rFonts w:ascii="微软雅黑" w:hAnsi="微软雅黑" w:eastAsia="微软雅黑" w:cs="微软雅黑"/>
          <w:b/>
          <w:sz w:val="84"/>
        </w:rPr>
        <w:t>年度</w:t>
      </w:r>
    </w:p>
    <w:p w14:paraId="0B00D1CC">
      <w:pPr>
        <w:pStyle w:val="188"/>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岳阳县畜禽良种繁殖场</w:t>
      </w:r>
      <w:r>
        <w:rPr>
          <w:rFonts w:ascii="微软雅黑" w:hAnsi="微软雅黑" w:eastAsia="微软雅黑" w:cs="微软雅黑"/>
          <w:b/>
          <w:sz w:val="84"/>
        </w:rPr>
        <w:t>部门（单位）部门决算</w:t>
      </w:r>
    </w:p>
    <w:p w14:paraId="397C2472">
      <w:pPr>
        <w:pStyle w:val="188"/>
        <w:jc w:val="center"/>
        <w:rPr>
          <w:rFonts w:hint="eastAsia" w:ascii="微软雅黑" w:hAnsi="微软雅黑" w:eastAsia="微软雅黑" w:cs="微软雅黑"/>
          <w:sz w:val="84"/>
          <w:szCs w:val="84"/>
        </w:rPr>
      </w:pPr>
    </w:p>
    <w:p w14:paraId="4BF92100">
      <w:pPr>
        <w:pStyle w:val="188"/>
        <w:jc w:val="center"/>
        <w:rPr>
          <w:rFonts w:hint="eastAsia" w:ascii="微软雅黑" w:hAnsi="微软雅黑" w:eastAsia="微软雅黑" w:cs="微软雅黑"/>
          <w:sz w:val="84"/>
          <w:szCs w:val="84"/>
        </w:rPr>
      </w:pPr>
    </w:p>
    <w:p w14:paraId="5E35EF72">
      <w:pPr>
        <w:pStyle w:val="188"/>
        <w:jc w:val="center"/>
        <w:rPr>
          <w:rFonts w:hint="eastAsia" w:ascii="微软雅黑" w:hAnsi="微软雅黑" w:eastAsia="微软雅黑" w:cs="微软雅黑"/>
          <w:sz w:val="84"/>
          <w:szCs w:val="84"/>
        </w:rPr>
      </w:pPr>
    </w:p>
    <w:p w14:paraId="562F47F4">
      <w:pPr>
        <w:pStyle w:val="188"/>
        <w:jc w:val="center"/>
        <w:rPr>
          <w:rFonts w:hint="eastAsia" w:ascii="微软雅黑" w:hAnsi="微软雅黑" w:eastAsia="微软雅黑" w:cs="微软雅黑"/>
          <w:sz w:val="84"/>
          <w:szCs w:val="84"/>
        </w:rPr>
      </w:pPr>
    </w:p>
    <w:p w14:paraId="0697178E">
      <w:pPr>
        <w:rPr>
          <w:rFonts w:hint="eastAsia" w:ascii="微软雅黑" w:hAnsi="微软雅黑" w:eastAsia="微软雅黑" w:cs="微软雅黑"/>
        </w:rPr>
      </w:pPr>
    </w:p>
    <w:p w14:paraId="28F7DA12">
      <w:pPr>
        <w:pStyle w:val="188"/>
        <w:spacing w:line="500" w:lineRule="exact"/>
        <w:jc w:val="center"/>
        <w:rPr>
          <w:rFonts w:hint="eastAsia" w:ascii="微软雅黑" w:hAnsi="微软雅黑" w:eastAsia="微软雅黑" w:cs="微软雅黑"/>
          <w:b/>
          <w:sz w:val="36"/>
          <w:szCs w:val="28"/>
        </w:rPr>
      </w:pPr>
      <w:r>
        <w:rPr>
          <w:rFonts w:hint="eastAsia" w:ascii="微软雅黑" w:hAnsi="微软雅黑" w:eastAsia="微软雅黑" w:cs="微软雅黑"/>
          <w:b/>
          <w:sz w:val="36"/>
          <w:szCs w:val="28"/>
        </w:rPr>
        <w:t>目录</w:t>
      </w:r>
    </w:p>
    <w:p w14:paraId="066A112C">
      <w:pPr>
        <w:pStyle w:val="188"/>
        <w:spacing w:line="500" w:lineRule="exact"/>
        <w:jc w:val="center"/>
        <w:rPr>
          <w:rFonts w:hint="eastAsia" w:ascii="微软雅黑" w:hAnsi="微软雅黑" w:eastAsia="微软雅黑" w:cs="微软雅黑"/>
          <w:b/>
          <w:sz w:val="36"/>
          <w:szCs w:val="28"/>
        </w:rPr>
      </w:pPr>
    </w:p>
    <w:p w14:paraId="363E48BB">
      <w:pPr>
        <w:pStyle w:val="188"/>
        <w:keepNext w:val="0"/>
        <w:keepLines w:val="0"/>
        <w:pageBreakBefore w:val="0"/>
        <w:widowControl w:val="0"/>
        <w:spacing w:line="360" w:lineRule="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第一部分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岳阳县畜禽良种繁殖场</w:t>
      </w:r>
      <w:r>
        <w:rPr>
          <w:rFonts w:hint="eastAsia" w:ascii="微软雅黑" w:hAnsi="微软雅黑" w:eastAsia="微软雅黑" w:cs="微软雅黑"/>
          <w:b/>
          <w:bCs w:val="0"/>
          <w:sz w:val="28"/>
          <w:szCs w:val="28"/>
          <w:lang w:eastAsia="zh-CN"/>
        </w:rPr>
        <w:t>部门（</w:t>
      </w:r>
      <w:r>
        <w:rPr>
          <w:rFonts w:hint="eastAsia" w:ascii="微软雅黑" w:hAnsi="微软雅黑" w:eastAsia="微软雅黑" w:cs="微软雅黑"/>
          <w:b/>
          <w:bCs w:val="0"/>
          <w:sz w:val="28"/>
          <w:szCs w:val="28"/>
        </w:rPr>
        <w:t>单位</w:t>
      </w:r>
      <w:r>
        <w:rPr>
          <w:rFonts w:hint="eastAsia" w:ascii="微软雅黑" w:hAnsi="微软雅黑" w:eastAsia="微软雅黑" w:cs="微软雅黑"/>
          <w:b/>
          <w:bCs w:val="0"/>
          <w:sz w:val="28"/>
          <w:szCs w:val="28"/>
          <w:lang w:eastAsia="zh-CN"/>
        </w:rPr>
        <w:t>）</w:t>
      </w:r>
      <w:r>
        <w:rPr>
          <w:rFonts w:hint="eastAsia" w:ascii="微软雅黑" w:hAnsi="微软雅黑" w:eastAsia="微软雅黑" w:cs="微软雅黑"/>
          <w:b/>
          <w:bCs w:val="0"/>
          <w:sz w:val="28"/>
          <w:szCs w:val="28"/>
        </w:rPr>
        <w:t>概况</w:t>
      </w:r>
    </w:p>
    <w:p w14:paraId="45384176">
      <w:pPr>
        <w:pStyle w:val="188"/>
        <w:keepNext w:val="0"/>
        <w:keepLines w:val="0"/>
        <w:pageBreakBefore w:val="0"/>
        <w:widowControl w:val="0"/>
        <w:spacing w:line="360" w:lineRule="auto"/>
        <w:ind w:firstLine="700"/>
        <w:rPr>
          <w:rFonts w:hint="eastAsia" w:ascii="微软雅黑" w:hAnsi="微软雅黑" w:eastAsia="微软雅黑" w:cs="微软雅黑"/>
          <w:sz w:val="28"/>
          <w:szCs w:val="28"/>
        </w:rPr>
      </w:pPr>
      <w:r>
        <w:rPr>
          <w:rFonts w:hint="eastAsia" w:ascii="微软雅黑" w:hAnsi="微软雅黑" w:eastAsia="微软雅黑" w:cs="微软雅黑"/>
          <w:sz w:val="28"/>
          <w:szCs w:val="28"/>
        </w:rPr>
        <w:t>一、部门职责</w:t>
      </w:r>
    </w:p>
    <w:p w14:paraId="6EFB5FC9">
      <w:pPr>
        <w:pStyle w:val="188"/>
        <w:keepNext w:val="0"/>
        <w:keepLines w:val="0"/>
        <w:pageBreakBefore w:val="0"/>
        <w:widowControl w:val="0"/>
        <w:spacing w:line="360" w:lineRule="auto"/>
        <w:ind w:firstLine="700"/>
        <w:rPr>
          <w:rFonts w:hint="eastAsia" w:ascii="微软雅黑" w:hAnsi="微软雅黑" w:eastAsia="微软雅黑" w:cs="微软雅黑"/>
          <w:sz w:val="28"/>
          <w:szCs w:val="28"/>
        </w:rPr>
      </w:pPr>
      <w:r>
        <w:rPr>
          <w:rFonts w:hint="eastAsia" w:ascii="微软雅黑" w:hAnsi="微软雅黑" w:eastAsia="微软雅黑" w:cs="微软雅黑"/>
          <w:sz w:val="28"/>
          <w:szCs w:val="28"/>
        </w:rPr>
        <w:t>二、机构设置及决算单位构成</w:t>
      </w:r>
    </w:p>
    <w:p w14:paraId="300D272B">
      <w:pPr>
        <w:pStyle w:val="188"/>
        <w:keepNext w:val="0"/>
        <w:keepLines w:val="0"/>
        <w:pageBreakBefore w:val="0"/>
        <w:widowControl w:val="0"/>
        <w:spacing w:line="360" w:lineRule="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第二部分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部门决算表</w:t>
      </w:r>
    </w:p>
    <w:p w14:paraId="13AB6E7D">
      <w:pPr>
        <w:pStyle w:val="188"/>
        <w:keepNext w:val="0"/>
        <w:keepLines w:val="0"/>
        <w:pageBreakBefore w:val="0"/>
        <w:widowControl w:val="0"/>
        <w:spacing w:line="360" w:lineRule="auto"/>
        <w:ind w:firstLine="700"/>
        <w:rPr>
          <w:rFonts w:hint="eastAsia" w:ascii="微软雅黑" w:hAnsi="微软雅黑" w:eastAsia="微软雅黑" w:cs="微软雅黑"/>
          <w:sz w:val="28"/>
          <w:szCs w:val="28"/>
        </w:rPr>
      </w:pPr>
      <w:r>
        <w:rPr>
          <w:rFonts w:hint="eastAsia" w:ascii="微软雅黑" w:hAnsi="微软雅黑" w:eastAsia="微软雅黑" w:cs="微软雅黑"/>
          <w:sz w:val="28"/>
          <w:szCs w:val="28"/>
        </w:rPr>
        <w:t>一、收入支出决算总表</w:t>
      </w:r>
    </w:p>
    <w:p w14:paraId="43965058">
      <w:pPr>
        <w:pStyle w:val="188"/>
        <w:keepNext w:val="0"/>
        <w:keepLines w:val="0"/>
        <w:pageBreakBefore w:val="0"/>
        <w:widowControl w:val="0"/>
        <w:spacing w:line="360" w:lineRule="auto"/>
        <w:ind w:firstLine="700"/>
        <w:rPr>
          <w:rFonts w:hint="eastAsia" w:ascii="微软雅黑" w:hAnsi="微软雅黑" w:eastAsia="微软雅黑" w:cs="微软雅黑"/>
          <w:sz w:val="28"/>
          <w:szCs w:val="28"/>
        </w:rPr>
      </w:pPr>
      <w:r>
        <w:rPr>
          <w:rFonts w:hint="eastAsia" w:ascii="微软雅黑" w:hAnsi="微软雅黑" w:eastAsia="微软雅黑" w:cs="微软雅黑"/>
          <w:sz w:val="28"/>
          <w:szCs w:val="28"/>
        </w:rPr>
        <w:t>二、收入决算表</w:t>
      </w:r>
    </w:p>
    <w:p w14:paraId="2CA1CD00">
      <w:pPr>
        <w:pStyle w:val="188"/>
        <w:keepNext w:val="0"/>
        <w:keepLines w:val="0"/>
        <w:pageBreakBefore w:val="0"/>
        <w:widowControl w:val="0"/>
        <w:spacing w:line="360" w:lineRule="auto"/>
        <w:ind w:firstLine="700"/>
        <w:rPr>
          <w:rFonts w:hint="eastAsia" w:ascii="微软雅黑" w:hAnsi="微软雅黑" w:eastAsia="微软雅黑" w:cs="微软雅黑"/>
          <w:sz w:val="28"/>
          <w:szCs w:val="28"/>
        </w:rPr>
      </w:pPr>
      <w:r>
        <w:rPr>
          <w:rFonts w:hint="eastAsia" w:ascii="微软雅黑" w:hAnsi="微软雅黑" w:eastAsia="微软雅黑" w:cs="微软雅黑"/>
          <w:sz w:val="28"/>
          <w:szCs w:val="28"/>
        </w:rPr>
        <w:t>三、支出决算表</w:t>
      </w:r>
    </w:p>
    <w:p w14:paraId="1E905FC5">
      <w:pPr>
        <w:pStyle w:val="188"/>
        <w:keepNext w:val="0"/>
        <w:keepLines w:val="0"/>
        <w:pageBreakBefore w:val="0"/>
        <w:widowControl w:val="0"/>
        <w:spacing w:line="360" w:lineRule="auto"/>
        <w:ind w:firstLine="700"/>
        <w:rPr>
          <w:rFonts w:hint="eastAsia" w:ascii="微软雅黑" w:hAnsi="微软雅黑" w:eastAsia="微软雅黑" w:cs="微软雅黑"/>
          <w:sz w:val="28"/>
          <w:szCs w:val="28"/>
        </w:rPr>
      </w:pPr>
      <w:r>
        <w:rPr>
          <w:rFonts w:hint="eastAsia" w:ascii="微软雅黑" w:hAnsi="微软雅黑" w:eastAsia="微软雅黑" w:cs="微软雅黑"/>
          <w:sz w:val="28"/>
          <w:szCs w:val="28"/>
        </w:rPr>
        <w:t>四、财政拨款收入支出决算总表</w:t>
      </w:r>
    </w:p>
    <w:p w14:paraId="03E3A5CE">
      <w:pPr>
        <w:pStyle w:val="188"/>
        <w:keepNext w:val="0"/>
        <w:keepLines w:val="0"/>
        <w:pageBreakBefore w:val="0"/>
        <w:widowControl w:val="0"/>
        <w:spacing w:line="360" w:lineRule="auto"/>
        <w:ind w:firstLine="700"/>
        <w:rPr>
          <w:rFonts w:hint="eastAsia" w:ascii="微软雅黑" w:hAnsi="微软雅黑" w:eastAsia="微软雅黑" w:cs="微软雅黑"/>
          <w:sz w:val="28"/>
          <w:szCs w:val="28"/>
        </w:rPr>
      </w:pPr>
      <w:r>
        <w:rPr>
          <w:rFonts w:hint="eastAsia" w:ascii="微软雅黑" w:hAnsi="微软雅黑" w:eastAsia="微软雅黑" w:cs="微软雅黑"/>
          <w:sz w:val="28"/>
          <w:szCs w:val="28"/>
        </w:rPr>
        <w:t>五、一般公共预算财政拨款支出决算表</w:t>
      </w:r>
    </w:p>
    <w:p w14:paraId="359CD634">
      <w:pPr>
        <w:pStyle w:val="188"/>
        <w:keepNext w:val="0"/>
        <w:keepLines w:val="0"/>
        <w:pageBreakBefore w:val="0"/>
        <w:widowControl w:val="0"/>
        <w:spacing w:line="360" w:lineRule="auto"/>
        <w:ind w:firstLine="700"/>
        <w:rPr>
          <w:rFonts w:hint="eastAsia" w:ascii="微软雅黑" w:hAnsi="微软雅黑" w:eastAsia="微软雅黑" w:cs="微软雅黑"/>
          <w:sz w:val="28"/>
          <w:szCs w:val="28"/>
        </w:rPr>
      </w:pPr>
      <w:r>
        <w:rPr>
          <w:rFonts w:hint="eastAsia" w:ascii="微软雅黑" w:hAnsi="微软雅黑" w:eastAsia="微软雅黑" w:cs="微软雅黑"/>
          <w:sz w:val="28"/>
          <w:szCs w:val="28"/>
        </w:rPr>
        <w:t>六、一般公共预算财政拨款基本支出决算明细表</w:t>
      </w:r>
    </w:p>
    <w:p w14:paraId="58ECF793">
      <w:pPr>
        <w:pStyle w:val="188"/>
        <w:keepNext w:val="0"/>
        <w:keepLines w:val="0"/>
        <w:pageBreakBefore w:val="0"/>
        <w:widowControl w:val="0"/>
        <w:spacing w:line="360" w:lineRule="auto"/>
        <w:ind w:firstLine="700"/>
        <w:rPr>
          <w:rFonts w:hint="eastAsia" w:ascii="微软雅黑" w:hAnsi="微软雅黑" w:eastAsia="微软雅黑" w:cs="微软雅黑"/>
          <w:sz w:val="28"/>
          <w:szCs w:val="28"/>
        </w:rPr>
      </w:pPr>
      <w:r>
        <w:rPr>
          <w:rFonts w:hint="eastAsia" w:ascii="微软雅黑" w:hAnsi="微软雅黑" w:eastAsia="微软雅黑" w:cs="微软雅黑"/>
          <w:sz w:val="28"/>
          <w:szCs w:val="28"/>
        </w:rPr>
        <w:t>七、政府性基金预算财政拨款收入支出决算表</w:t>
      </w:r>
    </w:p>
    <w:p w14:paraId="1E167CAE">
      <w:pPr>
        <w:pStyle w:val="188"/>
        <w:keepNext w:val="0"/>
        <w:keepLines w:val="0"/>
        <w:pageBreakBefore w:val="0"/>
        <w:widowControl w:val="0"/>
        <w:spacing w:line="360" w:lineRule="auto"/>
        <w:ind w:firstLine="700"/>
        <w:rPr>
          <w:rFonts w:hint="eastAsia" w:ascii="微软雅黑" w:hAnsi="微软雅黑" w:eastAsia="微软雅黑" w:cs="微软雅黑"/>
          <w:sz w:val="28"/>
          <w:szCs w:val="28"/>
        </w:rPr>
      </w:pPr>
      <w:r>
        <w:rPr>
          <w:rFonts w:hint="eastAsia" w:ascii="微软雅黑" w:hAnsi="微软雅黑" w:eastAsia="微软雅黑" w:cs="微软雅黑"/>
          <w:sz w:val="28"/>
          <w:szCs w:val="28"/>
        </w:rPr>
        <w:t>八、国有资本经营预算财政拨款支出决算表</w:t>
      </w:r>
    </w:p>
    <w:p w14:paraId="31B14EDD">
      <w:pPr>
        <w:pStyle w:val="188"/>
        <w:keepNext w:val="0"/>
        <w:keepLines w:val="0"/>
        <w:pageBreakBefore w:val="0"/>
        <w:widowControl w:val="0"/>
        <w:spacing w:line="360" w:lineRule="auto"/>
        <w:ind w:firstLine="700"/>
        <w:rPr>
          <w:rFonts w:hint="eastAsia" w:ascii="微软雅黑" w:hAnsi="微软雅黑" w:eastAsia="微软雅黑" w:cs="微软雅黑"/>
          <w:sz w:val="28"/>
          <w:szCs w:val="28"/>
        </w:rPr>
      </w:pPr>
      <w:r>
        <w:rPr>
          <w:rFonts w:hint="eastAsia" w:ascii="微软雅黑" w:hAnsi="微软雅黑" w:eastAsia="微软雅黑" w:cs="微软雅黑"/>
          <w:sz w:val="28"/>
          <w:szCs w:val="28"/>
        </w:rPr>
        <w:t>九、财政拨款“三公”经费支出决算表</w:t>
      </w:r>
    </w:p>
    <w:p w14:paraId="153EF438">
      <w:pPr>
        <w:pStyle w:val="188"/>
        <w:keepNext w:val="0"/>
        <w:keepLines w:val="0"/>
        <w:pageBreakBefore w:val="0"/>
        <w:widowControl w:val="0"/>
        <w:spacing w:line="360" w:lineRule="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第三部分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部门决算情况说明</w:t>
      </w:r>
    </w:p>
    <w:p w14:paraId="7CD7D9DB">
      <w:pPr>
        <w:pStyle w:val="188"/>
        <w:keepNext w:val="0"/>
        <w:keepLines w:val="0"/>
        <w:pageBreakBefore w:val="0"/>
        <w:widowControl w:val="0"/>
        <w:spacing w:line="360" w:lineRule="auto"/>
        <w:ind w:firstLine="700"/>
        <w:rPr>
          <w:rFonts w:hint="eastAsia" w:ascii="微软雅黑" w:hAnsi="微软雅黑" w:eastAsia="微软雅黑" w:cs="微软雅黑"/>
          <w:sz w:val="28"/>
          <w:szCs w:val="28"/>
        </w:rPr>
      </w:pPr>
      <w:r>
        <w:rPr>
          <w:rFonts w:hint="eastAsia" w:ascii="微软雅黑" w:hAnsi="微软雅黑" w:eastAsia="微软雅黑" w:cs="微软雅黑"/>
          <w:sz w:val="28"/>
          <w:szCs w:val="28"/>
        </w:rPr>
        <w:t>一、收入支出决算总体情况说明</w:t>
      </w:r>
    </w:p>
    <w:p w14:paraId="04DA668F">
      <w:pPr>
        <w:pStyle w:val="188"/>
        <w:keepNext w:val="0"/>
        <w:keepLines w:val="0"/>
        <w:pageBreakBefore w:val="0"/>
        <w:widowControl w:val="0"/>
        <w:spacing w:line="360" w:lineRule="auto"/>
        <w:ind w:firstLine="700"/>
        <w:rPr>
          <w:rFonts w:hint="eastAsia" w:ascii="微软雅黑" w:hAnsi="微软雅黑" w:eastAsia="微软雅黑" w:cs="微软雅黑"/>
          <w:sz w:val="28"/>
          <w:szCs w:val="28"/>
        </w:rPr>
      </w:pPr>
      <w:r>
        <w:rPr>
          <w:rFonts w:hint="eastAsia" w:ascii="微软雅黑" w:hAnsi="微软雅黑" w:eastAsia="微软雅黑" w:cs="微软雅黑"/>
          <w:sz w:val="28"/>
          <w:szCs w:val="28"/>
        </w:rPr>
        <w:t>二、收入决算情况说明</w:t>
      </w:r>
    </w:p>
    <w:p w14:paraId="0B2ABE5E">
      <w:pPr>
        <w:pStyle w:val="188"/>
        <w:keepNext w:val="0"/>
        <w:keepLines w:val="0"/>
        <w:pageBreakBefore w:val="0"/>
        <w:widowControl w:val="0"/>
        <w:spacing w:line="360" w:lineRule="auto"/>
        <w:ind w:firstLine="700"/>
        <w:rPr>
          <w:rFonts w:hint="eastAsia" w:ascii="微软雅黑" w:hAnsi="微软雅黑" w:eastAsia="微软雅黑" w:cs="微软雅黑"/>
          <w:sz w:val="28"/>
          <w:szCs w:val="28"/>
        </w:rPr>
      </w:pPr>
      <w:r>
        <w:rPr>
          <w:rFonts w:hint="eastAsia" w:ascii="微软雅黑" w:hAnsi="微软雅黑" w:eastAsia="微软雅黑" w:cs="微软雅黑"/>
          <w:sz w:val="28"/>
          <w:szCs w:val="28"/>
        </w:rPr>
        <w:t>三、支出决算情况说明</w:t>
      </w:r>
    </w:p>
    <w:p w14:paraId="79AF43BF">
      <w:pPr>
        <w:pStyle w:val="188"/>
        <w:keepNext w:val="0"/>
        <w:keepLines w:val="0"/>
        <w:pageBreakBefore w:val="0"/>
        <w:widowControl w:val="0"/>
        <w:spacing w:line="360" w:lineRule="auto"/>
        <w:ind w:firstLine="700"/>
        <w:rPr>
          <w:rFonts w:hint="eastAsia" w:ascii="微软雅黑" w:hAnsi="微软雅黑" w:eastAsia="微软雅黑" w:cs="微软雅黑"/>
          <w:sz w:val="28"/>
          <w:szCs w:val="28"/>
        </w:rPr>
      </w:pPr>
      <w:r>
        <w:rPr>
          <w:rFonts w:hint="eastAsia" w:ascii="微软雅黑" w:hAnsi="微软雅黑" w:eastAsia="微软雅黑" w:cs="微软雅黑"/>
          <w:sz w:val="28"/>
          <w:szCs w:val="28"/>
        </w:rPr>
        <w:t>四、财政拨款收入支出决算总体情况说明</w:t>
      </w:r>
    </w:p>
    <w:p w14:paraId="09361C2C">
      <w:pPr>
        <w:pStyle w:val="188"/>
        <w:keepNext w:val="0"/>
        <w:keepLines w:val="0"/>
        <w:pageBreakBefore w:val="0"/>
        <w:widowControl w:val="0"/>
        <w:spacing w:line="360" w:lineRule="auto"/>
        <w:ind w:firstLine="700"/>
        <w:rPr>
          <w:rFonts w:hint="eastAsia" w:ascii="微软雅黑" w:hAnsi="微软雅黑" w:eastAsia="微软雅黑" w:cs="微软雅黑"/>
          <w:sz w:val="28"/>
          <w:szCs w:val="28"/>
        </w:rPr>
      </w:pPr>
      <w:r>
        <w:rPr>
          <w:rFonts w:hint="eastAsia" w:ascii="微软雅黑" w:hAnsi="微软雅黑" w:eastAsia="微软雅黑" w:cs="微软雅黑"/>
          <w:sz w:val="28"/>
          <w:szCs w:val="28"/>
        </w:rPr>
        <w:t>五、一般公共预算财政拨款支出决算情况说明</w:t>
      </w:r>
    </w:p>
    <w:p w14:paraId="4F4F977A">
      <w:pPr>
        <w:pStyle w:val="188"/>
        <w:keepNext w:val="0"/>
        <w:keepLines w:val="0"/>
        <w:pageBreakBefore w:val="0"/>
        <w:widowControl w:val="0"/>
        <w:spacing w:line="360" w:lineRule="auto"/>
        <w:ind w:firstLine="700"/>
        <w:rPr>
          <w:rFonts w:hint="eastAsia" w:ascii="微软雅黑" w:hAnsi="微软雅黑" w:eastAsia="微软雅黑" w:cs="微软雅黑"/>
          <w:sz w:val="28"/>
          <w:szCs w:val="28"/>
        </w:rPr>
      </w:pPr>
      <w:r>
        <w:rPr>
          <w:rFonts w:hint="eastAsia" w:ascii="微软雅黑" w:hAnsi="微软雅黑" w:eastAsia="微软雅黑" w:cs="微软雅黑"/>
          <w:sz w:val="28"/>
          <w:szCs w:val="28"/>
        </w:rPr>
        <w:t>六、一般公共预算财政拨款基本支出决算情况说明</w:t>
      </w:r>
    </w:p>
    <w:p w14:paraId="0ED23155">
      <w:pPr>
        <w:pStyle w:val="188"/>
        <w:keepNext w:val="0"/>
        <w:keepLines w:val="0"/>
        <w:pageBreakBefore w:val="0"/>
        <w:widowControl w:val="0"/>
        <w:spacing w:line="360" w:lineRule="auto"/>
        <w:ind w:firstLine="700"/>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七</w:t>
      </w:r>
      <w:r>
        <w:rPr>
          <w:rFonts w:hint="eastAsia" w:ascii="微软雅黑" w:hAnsi="微软雅黑" w:eastAsia="微软雅黑" w:cs="微软雅黑"/>
          <w:sz w:val="28"/>
          <w:szCs w:val="28"/>
        </w:rPr>
        <w:t>、政府性基金预算收入支出决算情况</w:t>
      </w:r>
    </w:p>
    <w:p w14:paraId="1CAD48C8">
      <w:pPr>
        <w:pStyle w:val="188"/>
        <w:keepNext w:val="0"/>
        <w:keepLines w:val="0"/>
        <w:pageBreakBefore w:val="0"/>
        <w:widowControl w:val="0"/>
        <w:spacing w:line="360" w:lineRule="auto"/>
        <w:ind w:firstLine="700"/>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八</w:t>
      </w:r>
      <w:r>
        <w:rPr>
          <w:rFonts w:hint="eastAsia" w:ascii="微软雅黑" w:hAnsi="微软雅黑" w:eastAsia="微软雅黑" w:cs="微软雅黑"/>
          <w:sz w:val="28"/>
          <w:szCs w:val="28"/>
        </w:rPr>
        <w:t>、国有资本经营预算财政拨款支出决算</w:t>
      </w:r>
      <w:r>
        <w:rPr>
          <w:rFonts w:hint="eastAsia" w:ascii="微软雅黑" w:hAnsi="微软雅黑" w:eastAsia="微软雅黑" w:cs="微软雅黑"/>
          <w:sz w:val="28"/>
          <w:szCs w:val="28"/>
          <w:lang w:eastAsia="zh-CN"/>
        </w:rPr>
        <w:t>情况</w:t>
      </w:r>
    </w:p>
    <w:p w14:paraId="555F3274">
      <w:pPr>
        <w:pStyle w:val="188"/>
        <w:keepNext w:val="0"/>
        <w:keepLines w:val="0"/>
        <w:pageBreakBefore w:val="0"/>
        <w:widowControl w:val="0"/>
        <w:spacing w:line="360" w:lineRule="auto"/>
        <w:ind w:firstLine="700"/>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九</w:t>
      </w:r>
      <w:r>
        <w:rPr>
          <w:rFonts w:hint="eastAsia" w:ascii="微软雅黑" w:hAnsi="微软雅黑" w:eastAsia="微软雅黑" w:cs="微软雅黑"/>
          <w:sz w:val="28"/>
          <w:szCs w:val="28"/>
        </w:rPr>
        <w:t>、财政拨款三公经费支出决算情况说明</w:t>
      </w:r>
    </w:p>
    <w:p w14:paraId="5C6C0EED">
      <w:pPr>
        <w:pStyle w:val="188"/>
        <w:keepNext w:val="0"/>
        <w:keepLines w:val="0"/>
        <w:pageBreakBefore w:val="0"/>
        <w:widowControl w:val="0"/>
        <w:spacing w:line="360" w:lineRule="auto"/>
        <w:ind w:firstLine="700"/>
        <w:rPr>
          <w:rFonts w:hint="eastAsia" w:ascii="微软雅黑" w:hAnsi="微软雅黑" w:eastAsia="微软雅黑" w:cs="微软雅黑"/>
          <w:sz w:val="28"/>
          <w:szCs w:val="28"/>
        </w:rPr>
      </w:pPr>
      <w:r>
        <w:rPr>
          <w:rFonts w:hint="eastAsia" w:ascii="微软雅黑" w:hAnsi="微软雅黑" w:eastAsia="微软雅黑" w:cs="微软雅黑"/>
          <w:sz w:val="28"/>
          <w:szCs w:val="28"/>
        </w:rPr>
        <w:t>十、关于机关运行经费支出说明</w:t>
      </w:r>
    </w:p>
    <w:p w14:paraId="51FC4F0C">
      <w:pPr>
        <w:pStyle w:val="188"/>
        <w:keepNext w:val="0"/>
        <w:keepLines w:val="0"/>
        <w:pageBreakBefore w:val="0"/>
        <w:widowControl w:val="0"/>
        <w:spacing w:line="360" w:lineRule="auto"/>
        <w:ind w:firstLine="700"/>
        <w:rPr>
          <w:rFonts w:hint="eastAsia" w:ascii="微软雅黑" w:hAnsi="微软雅黑" w:eastAsia="微软雅黑" w:cs="微软雅黑"/>
          <w:sz w:val="28"/>
          <w:szCs w:val="28"/>
        </w:rPr>
      </w:pPr>
      <w:r>
        <w:rPr>
          <w:rFonts w:hint="eastAsia" w:ascii="微软雅黑" w:hAnsi="微软雅黑" w:eastAsia="微软雅黑" w:cs="微软雅黑"/>
          <w:sz w:val="28"/>
          <w:szCs w:val="28"/>
        </w:rPr>
        <w:t>十一、一般性支出情况说明</w:t>
      </w:r>
    </w:p>
    <w:p w14:paraId="6D498B59">
      <w:pPr>
        <w:pStyle w:val="188"/>
        <w:keepNext w:val="0"/>
        <w:keepLines w:val="0"/>
        <w:pageBreakBefore w:val="0"/>
        <w:widowControl w:val="0"/>
        <w:spacing w:line="360" w:lineRule="auto"/>
        <w:ind w:firstLine="700"/>
        <w:rPr>
          <w:rFonts w:hint="eastAsia" w:ascii="微软雅黑" w:hAnsi="微软雅黑" w:eastAsia="微软雅黑" w:cs="微软雅黑"/>
          <w:sz w:val="28"/>
          <w:szCs w:val="28"/>
        </w:rPr>
      </w:pPr>
      <w:r>
        <w:rPr>
          <w:rFonts w:hint="eastAsia" w:ascii="微软雅黑" w:hAnsi="微软雅黑" w:eastAsia="微软雅黑" w:cs="微软雅黑"/>
          <w:sz w:val="28"/>
          <w:szCs w:val="28"/>
        </w:rPr>
        <w:t>十二、关于政府采购支出说明</w:t>
      </w:r>
    </w:p>
    <w:p w14:paraId="11456BF9">
      <w:pPr>
        <w:pStyle w:val="188"/>
        <w:keepNext w:val="0"/>
        <w:keepLines w:val="0"/>
        <w:pageBreakBefore w:val="0"/>
        <w:widowControl w:val="0"/>
        <w:spacing w:line="360" w:lineRule="auto"/>
        <w:ind w:firstLine="700"/>
        <w:rPr>
          <w:rFonts w:hint="eastAsia" w:ascii="微软雅黑" w:hAnsi="微软雅黑" w:eastAsia="微软雅黑" w:cs="微软雅黑"/>
          <w:sz w:val="28"/>
          <w:szCs w:val="28"/>
        </w:rPr>
      </w:pPr>
      <w:r>
        <w:rPr>
          <w:rFonts w:hint="eastAsia" w:ascii="微软雅黑" w:hAnsi="微软雅黑" w:eastAsia="微软雅黑" w:cs="微软雅黑"/>
          <w:sz w:val="28"/>
          <w:szCs w:val="28"/>
        </w:rPr>
        <w:t>十三、关于国有资产占用情况说明</w:t>
      </w:r>
    </w:p>
    <w:p w14:paraId="32BB51F2">
      <w:pPr>
        <w:pStyle w:val="188"/>
        <w:keepNext w:val="0"/>
        <w:keepLines w:val="0"/>
        <w:pageBreakBefore w:val="0"/>
        <w:widowControl w:val="0"/>
        <w:spacing w:line="360" w:lineRule="auto"/>
        <w:ind w:firstLine="700"/>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十四、</w:t>
      </w:r>
      <w:r>
        <w:rPr>
          <w:rFonts w:hint="eastAsia" w:ascii="微软雅黑" w:hAnsi="微软雅黑" w:eastAsia="微软雅黑" w:cs="微软雅黑"/>
          <w:sz w:val="28"/>
          <w:szCs w:val="28"/>
        </w:rPr>
        <w:t>关于</w:t>
      </w:r>
      <w:r>
        <w:rPr>
          <w:rFonts w:hint="eastAsia" w:ascii="微软雅黑" w:hAnsi="微软雅黑" w:eastAsia="微软雅黑" w:cs="微软雅黑"/>
          <w:sz w:val="28"/>
          <w:szCs w:val="28"/>
          <w:lang w:val="en-US" w:eastAsia="zh-CN"/>
        </w:rPr>
        <w:t>2023</w:t>
      </w:r>
      <w:r>
        <w:rPr>
          <w:rFonts w:ascii="微软雅黑" w:hAnsi="微软雅黑" w:eastAsia="微软雅黑" w:cs="微软雅黑"/>
          <w:sz w:val="28"/>
        </w:rPr>
        <w:t>年度</w:t>
      </w:r>
      <w:r>
        <w:rPr>
          <w:rFonts w:hint="eastAsia" w:ascii="微软雅黑" w:hAnsi="微软雅黑" w:eastAsia="微软雅黑" w:cs="微软雅黑"/>
          <w:sz w:val="28"/>
          <w:szCs w:val="28"/>
        </w:rPr>
        <w:t>绩效</w:t>
      </w:r>
      <w:r>
        <w:rPr>
          <w:rFonts w:hint="eastAsia" w:ascii="微软雅黑" w:hAnsi="微软雅黑" w:eastAsia="微软雅黑" w:cs="微软雅黑"/>
          <w:sz w:val="28"/>
          <w:szCs w:val="28"/>
          <w:lang w:val="en-US" w:eastAsia="zh-CN"/>
        </w:rPr>
        <w:t>评价</w:t>
      </w:r>
      <w:r>
        <w:rPr>
          <w:rFonts w:hint="eastAsia" w:ascii="微软雅黑" w:hAnsi="微软雅黑" w:eastAsia="微软雅黑" w:cs="微软雅黑"/>
          <w:sz w:val="28"/>
          <w:szCs w:val="28"/>
        </w:rPr>
        <w:t>情况的说明</w:t>
      </w:r>
    </w:p>
    <w:p w14:paraId="4A037CBF">
      <w:pPr>
        <w:pStyle w:val="188"/>
        <w:keepNext w:val="0"/>
        <w:keepLines w:val="0"/>
        <w:pageBreakBefore w:val="0"/>
        <w:widowControl w:val="0"/>
        <w:spacing w:line="360" w:lineRule="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第四部分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名词解释</w:t>
      </w:r>
    </w:p>
    <w:p w14:paraId="77C7D673">
      <w:pPr>
        <w:pStyle w:val="188"/>
        <w:keepNext w:val="0"/>
        <w:keepLines w:val="0"/>
        <w:pageBreakBefore w:val="0"/>
        <w:widowControl w:val="0"/>
        <w:spacing w:line="360" w:lineRule="auto"/>
        <w:rPr>
          <w:rFonts w:hint="eastAsia" w:ascii="微软雅黑" w:hAnsi="微软雅黑" w:eastAsia="微软雅黑" w:cs="微软雅黑"/>
          <w:b/>
          <w:bCs w:val="0"/>
          <w:sz w:val="28"/>
          <w:szCs w:val="28"/>
          <w:lang w:val="en-US" w:eastAsia="zh-CN"/>
        </w:rPr>
      </w:pPr>
      <w:r>
        <w:rPr>
          <w:rFonts w:hint="eastAsia" w:ascii="微软雅黑" w:hAnsi="微软雅黑" w:eastAsia="微软雅黑" w:cs="微软雅黑"/>
          <w:b/>
          <w:bCs w:val="0"/>
          <w:sz w:val="28"/>
          <w:szCs w:val="28"/>
          <w:lang w:val="en-US" w:eastAsia="zh-CN"/>
        </w:rPr>
        <w:t>第五部分 附件</w:t>
      </w:r>
    </w:p>
    <w:p w14:paraId="2BFBDCC0">
      <w:pPr>
        <w:pStyle w:val="188"/>
        <w:spacing w:line="500" w:lineRule="exact"/>
        <w:rPr>
          <w:rFonts w:hint="eastAsia" w:ascii="微软雅黑" w:hAnsi="微软雅黑" w:eastAsia="微软雅黑" w:cs="微软雅黑"/>
          <w:b w:val="0"/>
          <w:bCs/>
          <w:sz w:val="28"/>
          <w:szCs w:val="28"/>
          <w:lang w:val="en-US" w:eastAsia="zh-CN"/>
        </w:rPr>
      </w:pPr>
      <w:r>
        <w:rPr>
          <w:rFonts w:hint="eastAsia" w:ascii="微软雅黑" w:hAnsi="微软雅黑" w:eastAsia="微软雅黑" w:cs="微软雅黑"/>
          <w:b w:val="0"/>
          <w:bCs/>
          <w:sz w:val="28"/>
          <w:szCs w:val="28"/>
          <w:lang w:val="en-US" w:eastAsia="zh-CN"/>
        </w:rPr>
        <w:br w:type="page" w:clear="all"/>
      </w:r>
    </w:p>
    <w:p w14:paraId="18D3536F">
      <w:pPr>
        <w:jc w:val="center"/>
        <w:rPr>
          <w:rFonts w:hint="eastAsia" w:ascii="微软雅黑" w:hAnsi="微软雅黑" w:eastAsia="微软雅黑" w:cs="微软雅黑"/>
          <w:sz w:val="72"/>
          <w:szCs w:val="72"/>
        </w:rPr>
      </w:pPr>
    </w:p>
    <w:p w14:paraId="6B31C715">
      <w:pPr>
        <w:jc w:val="center"/>
        <w:rPr>
          <w:rFonts w:hint="eastAsia" w:ascii="微软雅黑" w:hAnsi="微软雅黑" w:eastAsia="微软雅黑" w:cs="微软雅黑"/>
          <w:sz w:val="72"/>
          <w:szCs w:val="72"/>
        </w:rPr>
      </w:pPr>
    </w:p>
    <w:p w14:paraId="39513323">
      <w:pPr>
        <w:jc w:val="center"/>
        <w:rPr>
          <w:rFonts w:hint="eastAsia" w:ascii="微软雅黑" w:hAnsi="微软雅黑" w:eastAsia="微软雅黑" w:cs="微软雅黑"/>
          <w:sz w:val="72"/>
          <w:szCs w:val="72"/>
        </w:rPr>
      </w:pPr>
    </w:p>
    <w:p w14:paraId="5DEEA5A7">
      <w:pPr>
        <w:jc w:val="center"/>
        <w:rPr>
          <w:rFonts w:hint="eastAsia" w:ascii="微软雅黑" w:hAnsi="微软雅黑" w:eastAsia="微软雅黑" w:cs="微软雅黑"/>
          <w:sz w:val="72"/>
          <w:szCs w:val="72"/>
        </w:rPr>
      </w:pPr>
    </w:p>
    <w:p w14:paraId="4C1014D8">
      <w:pPr>
        <w:pStyle w:val="188"/>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 xml:space="preserve">第一部分 </w:t>
      </w:r>
    </w:p>
    <w:p w14:paraId="00B897EF">
      <w:pPr>
        <w:pStyle w:val="188"/>
        <w:jc w:val="center"/>
        <w:rPr>
          <w:rFonts w:hint="eastAsia" w:ascii="微软雅黑" w:hAnsi="微软雅黑" w:eastAsia="微软雅黑" w:cs="微软雅黑"/>
          <w:b/>
          <w:bCs/>
          <w:sz w:val="84"/>
          <w:szCs w:val="84"/>
        </w:rPr>
      </w:pPr>
    </w:p>
    <w:p w14:paraId="2A76DAED">
      <w:pPr>
        <w:pStyle w:val="188"/>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岳阳县畜禽良种繁殖场</w:t>
      </w:r>
      <w:r>
        <w:rPr>
          <w:rFonts w:hint="eastAsia" w:ascii="微软雅黑" w:hAnsi="微软雅黑" w:eastAsia="微软雅黑" w:cs="微软雅黑"/>
          <w:b/>
          <w:bCs/>
          <w:sz w:val="84"/>
          <w:szCs w:val="84"/>
          <w:lang w:eastAsia="zh-CN"/>
        </w:rPr>
        <w:t>部门（</w:t>
      </w:r>
      <w:r>
        <w:rPr>
          <w:rFonts w:hint="eastAsia" w:ascii="微软雅黑" w:hAnsi="微软雅黑" w:eastAsia="微软雅黑" w:cs="微软雅黑"/>
          <w:b/>
          <w:bCs/>
          <w:sz w:val="84"/>
          <w:szCs w:val="84"/>
        </w:rPr>
        <w:t>单位</w:t>
      </w:r>
      <w:r>
        <w:rPr>
          <w:rFonts w:hint="eastAsia" w:ascii="微软雅黑" w:hAnsi="微软雅黑" w:eastAsia="微软雅黑" w:cs="微软雅黑"/>
          <w:b/>
          <w:bCs/>
          <w:sz w:val="84"/>
          <w:szCs w:val="84"/>
          <w:lang w:eastAsia="zh-CN"/>
        </w:rPr>
        <w:t>）</w:t>
      </w:r>
      <w:r>
        <w:rPr>
          <w:rFonts w:hint="eastAsia" w:ascii="微软雅黑" w:hAnsi="微软雅黑" w:eastAsia="微软雅黑" w:cs="微软雅黑"/>
          <w:b/>
          <w:bCs/>
          <w:sz w:val="84"/>
          <w:szCs w:val="84"/>
        </w:rPr>
        <w:t>概况</w:t>
      </w:r>
    </w:p>
    <w:p w14:paraId="5CC78E54">
      <w:pPr>
        <w:jc w:val="center"/>
        <w:rPr>
          <w:rFonts w:hint="eastAsia" w:ascii="微软雅黑" w:hAnsi="微软雅黑" w:eastAsia="微软雅黑" w:cs="微软雅黑"/>
          <w:sz w:val="72"/>
          <w:szCs w:val="72"/>
        </w:rPr>
      </w:pPr>
    </w:p>
    <w:p w14:paraId="54272D8F">
      <w:pPr>
        <w:jc w:val="center"/>
        <w:rPr>
          <w:rFonts w:hint="eastAsia" w:ascii="微软雅黑" w:hAnsi="微软雅黑" w:eastAsia="微软雅黑" w:cs="微软雅黑"/>
          <w:sz w:val="72"/>
          <w:szCs w:val="72"/>
        </w:rPr>
      </w:pPr>
    </w:p>
    <w:p w14:paraId="55F94C1E">
      <w:pPr>
        <w:jc w:val="center"/>
        <w:rPr>
          <w:rFonts w:hint="eastAsia" w:ascii="微软雅黑" w:hAnsi="微软雅黑" w:eastAsia="微软雅黑" w:cs="微软雅黑"/>
          <w:sz w:val="72"/>
          <w:szCs w:val="72"/>
        </w:rPr>
      </w:pPr>
    </w:p>
    <w:p w14:paraId="624E50A1">
      <w:pPr>
        <w:jc w:val="center"/>
        <w:rPr>
          <w:rFonts w:hint="eastAsia" w:ascii="微软雅黑" w:hAnsi="微软雅黑" w:eastAsia="微软雅黑" w:cs="微软雅黑"/>
          <w:sz w:val="72"/>
          <w:szCs w:val="72"/>
        </w:rPr>
      </w:pPr>
    </w:p>
    <w:p w14:paraId="4D1776FE">
      <w:pPr>
        <w:jc w:val="center"/>
        <w:rPr>
          <w:rFonts w:hint="eastAsia" w:ascii="微软雅黑" w:hAnsi="微软雅黑" w:eastAsia="微软雅黑" w:cs="微软雅黑"/>
          <w:sz w:val="72"/>
          <w:szCs w:val="72"/>
        </w:rPr>
      </w:pPr>
    </w:p>
    <w:p w14:paraId="37E0646E">
      <w:pPr>
        <w:pStyle w:val="189"/>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微软雅黑" w:hAnsi="微软雅黑" w:eastAsia="微软雅黑" w:cs="微软雅黑"/>
          <w:b/>
          <w:bCs/>
          <w:sz w:val="32"/>
          <w:szCs w:val="32"/>
        </w:rPr>
      </w:pPr>
      <w:r>
        <w:rPr>
          <w:rFonts w:hint="eastAsia" w:ascii="微软雅黑" w:hAnsi="微软雅黑" w:eastAsia="微软雅黑" w:cs="微软雅黑"/>
          <w:b/>
          <w:bCs/>
          <w:sz w:val="32"/>
          <w:szCs w:val="32"/>
          <w:lang w:val="en-US" w:eastAsia="zh-CN"/>
        </w:rPr>
        <w:t>一、</w:t>
      </w:r>
      <w:r>
        <w:rPr>
          <w:rFonts w:hint="eastAsia" w:ascii="微软雅黑" w:hAnsi="微软雅黑" w:eastAsia="微软雅黑" w:cs="微软雅黑"/>
          <w:b/>
          <w:bCs/>
          <w:sz w:val="32"/>
          <w:szCs w:val="32"/>
        </w:rPr>
        <w:t>部门职责</w:t>
      </w:r>
    </w:p>
    <w:p w14:paraId="11C97B5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napToGrid w:val="0"/>
          <w:color w:val="3D3D3D"/>
          <w:sz w:val="32"/>
          <w:szCs w:val="32"/>
          <w:shd w:val="clear" w:color="auto" w:fill="FFFFFF"/>
        </w:rPr>
      </w:pPr>
      <w:r>
        <w:rPr>
          <w:rFonts w:hint="eastAsia" w:ascii="仿宋" w:hAnsi="仿宋" w:eastAsia="仿宋" w:cs="仿宋"/>
          <w:snapToGrid w:val="0"/>
          <w:color w:val="3D3D3D"/>
          <w:sz w:val="32"/>
          <w:szCs w:val="32"/>
          <w:shd w:val="clear" w:color="auto" w:fill="FFFFFF"/>
        </w:rPr>
        <w:t>岳阳县畜禽良种繁殖场是隶属于岳阳县畜牧水产发展服务中心的二级机构，主要负责畜禽类优质高效遗传控制和改良研究，研究开发畜禽育种技术、建立科学的畜禽良种繁育体系，推广应用冷精配种技术和研究开发胚胎繁殖技术等。</w:t>
      </w:r>
    </w:p>
    <w:p w14:paraId="20217112">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二、机构设置及决算单位构成</w:t>
      </w:r>
    </w:p>
    <w:p w14:paraId="1352C5F9">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微软雅黑" w:hAnsi="微软雅黑" w:eastAsia="微软雅黑" w:cs="微软雅黑"/>
          <w:bCs/>
          <w:sz w:val="32"/>
          <w:szCs w:val="32"/>
        </w:rPr>
      </w:pPr>
      <w:r>
        <w:rPr>
          <w:rFonts w:hint="eastAsia" w:ascii="微软雅黑" w:hAnsi="微软雅黑" w:eastAsia="微软雅黑" w:cs="微软雅黑"/>
          <w:bCs/>
          <w:sz w:val="32"/>
          <w:szCs w:val="32"/>
        </w:rPr>
        <w:t>（一）内设机构设置。</w:t>
      </w:r>
    </w:p>
    <w:p w14:paraId="3900FE31">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napToGrid w:val="0"/>
          <w:color w:val="3D3D3D"/>
          <w:sz w:val="32"/>
          <w:szCs w:val="32"/>
          <w:shd w:val="clear" w:color="auto" w:fill="FFFFFF"/>
        </w:rPr>
      </w:pPr>
      <w:r>
        <w:rPr>
          <w:rFonts w:hint="eastAsia" w:ascii="仿宋" w:hAnsi="仿宋" w:eastAsia="仿宋" w:cs="仿宋"/>
          <w:snapToGrid w:val="0"/>
          <w:color w:val="3D3D3D"/>
          <w:sz w:val="32"/>
          <w:szCs w:val="32"/>
          <w:shd w:val="clear" w:color="auto" w:fill="FFFFFF"/>
        </w:rPr>
        <w:t>岳阳县畜禽良种繁殖场属差额拨款事业单位，内设机构7个：生产部、办公室、财务室、场长室、档案室、供精站、工会。</w:t>
      </w:r>
    </w:p>
    <w:p w14:paraId="69251161">
      <w:pPr>
        <w:keepNext w:val="0"/>
        <w:keepLines w:val="0"/>
        <w:pageBreakBefore w:val="0"/>
        <w:widowControl/>
        <w:numPr>
          <w:ilvl w:val="0"/>
          <w:numId w:val="1"/>
        </w:numPr>
        <w:kinsoku/>
        <w:wordWrap/>
        <w:overflowPunct/>
        <w:topLinePunct w:val="0"/>
        <w:autoSpaceDE/>
        <w:autoSpaceDN/>
        <w:bidi w:val="0"/>
        <w:adjustRightInd/>
        <w:snapToGrid/>
        <w:spacing w:line="600" w:lineRule="exact"/>
        <w:ind w:firstLine="640" w:firstLineChars="200"/>
        <w:jc w:val="left"/>
        <w:textAlignment w:val="auto"/>
        <w:rPr>
          <w:rFonts w:hint="default" w:ascii="微软雅黑" w:hAnsi="微软雅黑" w:eastAsia="微软雅黑" w:cs="微软雅黑"/>
          <w:bCs/>
          <w:sz w:val="32"/>
          <w:szCs w:val="32"/>
          <w:lang w:val="en-US" w:eastAsia="zh-CN"/>
        </w:rPr>
      </w:pPr>
      <w:r>
        <w:rPr>
          <w:rFonts w:hint="eastAsia" w:ascii="微软雅黑" w:hAnsi="微软雅黑" w:eastAsia="微软雅黑" w:cs="微软雅黑"/>
          <w:bCs/>
          <w:sz w:val="32"/>
          <w:szCs w:val="32"/>
        </w:rPr>
        <w:t>决算单位构成。</w:t>
      </w:r>
    </w:p>
    <w:p w14:paraId="79ED4A36">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default" w:ascii="微软雅黑" w:hAnsi="微软雅黑" w:eastAsia="微软雅黑" w:cs="微软雅黑"/>
          <w:bCs/>
          <w:sz w:val="32"/>
          <w:szCs w:val="32"/>
          <w:lang w:val="en-US" w:eastAsia="zh-CN"/>
        </w:rPr>
      </w:pPr>
      <w:r>
        <w:rPr>
          <w:rFonts w:hint="eastAsia" w:ascii="仿宋" w:hAnsi="仿宋" w:eastAsia="仿宋" w:cs="仿宋"/>
          <w:snapToGrid w:val="0"/>
          <w:color w:val="3D3D3D"/>
          <w:sz w:val="32"/>
          <w:szCs w:val="32"/>
          <w:shd w:val="clear" w:color="auto" w:fill="FFFFFF"/>
          <w:lang w:val="en-US" w:eastAsia="zh-CN"/>
        </w:rPr>
        <w:t>2023年部门决算汇总公开单位构成为岳阳县畜禽良种繁殖场本级决算。</w:t>
      </w:r>
    </w:p>
    <w:p w14:paraId="6995EFC7">
      <w:pPr>
        <w:jc w:val="center"/>
        <w:rPr>
          <w:rFonts w:hint="eastAsia" w:ascii="微软雅黑" w:hAnsi="微软雅黑" w:eastAsia="微软雅黑" w:cs="微软雅黑"/>
          <w:sz w:val="72"/>
          <w:szCs w:val="72"/>
        </w:rPr>
      </w:pPr>
    </w:p>
    <w:p w14:paraId="7B7ADE79">
      <w:pPr>
        <w:jc w:val="center"/>
        <w:rPr>
          <w:rFonts w:hint="eastAsia" w:ascii="微软雅黑" w:hAnsi="微软雅黑" w:eastAsia="微软雅黑" w:cs="微软雅黑"/>
          <w:sz w:val="72"/>
          <w:szCs w:val="72"/>
        </w:rPr>
      </w:pPr>
    </w:p>
    <w:p w14:paraId="0596B4F6">
      <w:pPr>
        <w:jc w:val="center"/>
        <w:rPr>
          <w:rFonts w:hint="eastAsia" w:ascii="微软雅黑" w:hAnsi="微软雅黑" w:eastAsia="微软雅黑" w:cs="微软雅黑"/>
          <w:sz w:val="72"/>
          <w:szCs w:val="72"/>
        </w:rPr>
      </w:pPr>
    </w:p>
    <w:p w14:paraId="40FFF721">
      <w:pPr>
        <w:pStyle w:val="188"/>
        <w:jc w:val="center"/>
        <w:rPr>
          <w:rFonts w:hint="eastAsia" w:ascii="微软雅黑" w:hAnsi="微软雅黑" w:eastAsia="微软雅黑" w:cs="微软雅黑"/>
          <w:sz w:val="84"/>
          <w:szCs w:val="84"/>
        </w:rPr>
      </w:pPr>
    </w:p>
    <w:p w14:paraId="265E7733">
      <w:pPr>
        <w:pStyle w:val="188"/>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第二部分</w:t>
      </w:r>
    </w:p>
    <w:p w14:paraId="3E2366DD">
      <w:pPr>
        <w:pStyle w:val="188"/>
        <w:jc w:val="center"/>
        <w:rPr>
          <w:rFonts w:hint="eastAsia" w:ascii="微软雅黑" w:hAnsi="微软雅黑" w:eastAsia="微软雅黑" w:cs="微软雅黑"/>
          <w:b/>
          <w:bCs/>
          <w:sz w:val="72"/>
          <w:szCs w:val="72"/>
        </w:rPr>
      </w:pPr>
    </w:p>
    <w:p w14:paraId="30944A00">
      <w:pPr>
        <w:pStyle w:val="188"/>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部门决算表</w:t>
      </w:r>
    </w:p>
    <w:p w14:paraId="5D02266B">
      <w:pPr>
        <w:jc w:val="center"/>
        <w:rPr>
          <w:rFonts w:hint="eastAsia" w:ascii="微软雅黑" w:hAnsi="微软雅黑" w:eastAsia="微软雅黑" w:cs="微软雅黑"/>
          <w:b/>
          <w:bCs/>
          <w:sz w:val="72"/>
          <w:szCs w:val="72"/>
          <w:lang w:eastAsia="zh-CN"/>
        </w:rPr>
        <w:sectPr>
          <w:pgSz w:w="11906" w:h="16838" w:orient="landscape"/>
          <w:pgMar w:top="720" w:right="720" w:bottom="720" w:left="720" w:header="851" w:footer="992" w:gutter="0"/>
          <w:cols w:space="720" w:num="1"/>
        </w:sectPr>
      </w:pPr>
      <w:r>
        <w:rPr>
          <w:rFonts w:hint="eastAsia" w:ascii="微软雅黑" w:hAnsi="微软雅黑" w:eastAsia="微软雅黑" w:cs="微软雅黑"/>
          <w:b/>
          <w:bCs/>
          <w:sz w:val="72"/>
          <w:szCs w:val="72"/>
          <w:lang w:eastAsia="zh-CN"/>
        </w:rPr>
        <w:t>（见附件）</w:t>
      </w:r>
    </w:p>
    <w:p w14:paraId="65CFB430">
      <w:pPr>
        <w:pStyle w:val="188"/>
        <w:jc w:val="center"/>
        <w:rPr>
          <w:rFonts w:hint="eastAsia" w:ascii="微软雅黑" w:hAnsi="微软雅黑" w:eastAsia="微软雅黑" w:cs="微软雅黑"/>
          <w:sz w:val="72"/>
          <w:szCs w:val="72"/>
        </w:rPr>
      </w:pPr>
    </w:p>
    <w:p w14:paraId="1510F91E">
      <w:pPr>
        <w:pStyle w:val="188"/>
        <w:jc w:val="center"/>
        <w:rPr>
          <w:rFonts w:hint="eastAsia" w:ascii="微软雅黑" w:hAnsi="微软雅黑" w:eastAsia="微软雅黑" w:cs="微软雅黑"/>
          <w:sz w:val="72"/>
          <w:szCs w:val="72"/>
        </w:rPr>
      </w:pPr>
    </w:p>
    <w:p w14:paraId="5C89BDF8">
      <w:pPr>
        <w:pStyle w:val="188"/>
        <w:jc w:val="center"/>
        <w:rPr>
          <w:rFonts w:hint="eastAsia" w:ascii="微软雅黑" w:hAnsi="微软雅黑" w:eastAsia="微软雅黑" w:cs="微软雅黑"/>
          <w:sz w:val="72"/>
          <w:szCs w:val="72"/>
        </w:rPr>
      </w:pPr>
    </w:p>
    <w:p w14:paraId="1BF702DA">
      <w:pPr>
        <w:pStyle w:val="188"/>
        <w:jc w:val="center"/>
        <w:rPr>
          <w:rFonts w:hint="eastAsia" w:ascii="微软雅黑" w:hAnsi="微软雅黑" w:eastAsia="微软雅黑" w:cs="微软雅黑"/>
          <w:sz w:val="72"/>
          <w:szCs w:val="72"/>
        </w:rPr>
      </w:pPr>
    </w:p>
    <w:p w14:paraId="44607A46">
      <w:pPr>
        <w:pStyle w:val="188"/>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第三部分</w:t>
      </w:r>
    </w:p>
    <w:p w14:paraId="079A90FD">
      <w:pPr>
        <w:pStyle w:val="188"/>
        <w:jc w:val="center"/>
        <w:rPr>
          <w:rFonts w:hint="eastAsia" w:ascii="微软雅黑" w:hAnsi="微软雅黑" w:eastAsia="微软雅黑" w:cs="微软雅黑"/>
          <w:b/>
          <w:bCs/>
          <w:sz w:val="70"/>
          <w:szCs w:val="70"/>
        </w:rPr>
      </w:pPr>
    </w:p>
    <w:p w14:paraId="3B8166FF">
      <w:pPr>
        <w:pStyle w:val="188"/>
        <w:jc w:val="center"/>
        <w:rPr>
          <w:rFonts w:hint="eastAsia" w:ascii="微软雅黑" w:hAnsi="微软雅黑" w:eastAsia="微软雅黑" w:cs="微软雅黑"/>
          <w:sz w:val="70"/>
          <w:szCs w:val="70"/>
        </w:rPr>
      </w:pPr>
      <w:r>
        <w:rPr>
          <w:rFonts w:hint="eastAsia" w:ascii="微软雅黑" w:hAnsi="微软雅黑" w:eastAsia="微软雅黑" w:cs="微软雅黑"/>
          <w:b/>
          <w:bCs/>
          <w:sz w:val="70"/>
          <w:szCs w:val="70"/>
          <w:lang w:eastAsia="zh-CN"/>
        </w:rPr>
        <w:t>2023</w:t>
      </w:r>
      <w:r>
        <w:rPr>
          <w:rFonts w:hint="eastAsia" w:ascii="微软雅黑" w:hAnsi="微软雅黑" w:eastAsia="微软雅黑" w:cs="微软雅黑"/>
          <w:b/>
          <w:bCs/>
          <w:sz w:val="70"/>
          <w:szCs w:val="70"/>
        </w:rPr>
        <w:t>年度部门决算情况说明</w:t>
      </w:r>
    </w:p>
    <w:p w14:paraId="5996F7D9">
      <w:pPr>
        <w:pStyle w:val="188"/>
        <w:jc w:val="center"/>
        <w:rPr>
          <w:rFonts w:hint="eastAsia" w:ascii="微软雅黑" w:hAnsi="微软雅黑" w:eastAsia="微软雅黑" w:cs="微软雅黑"/>
          <w:sz w:val="70"/>
          <w:szCs w:val="70"/>
        </w:rPr>
      </w:pPr>
    </w:p>
    <w:p w14:paraId="050BBC83">
      <w:pPr>
        <w:pStyle w:val="188"/>
        <w:jc w:val="center"/>
        <w:rPr>
          <w:rFonts w:hint="eastAsia" w:ascii="微软雅黑" w:hAnsi="微软雅黑" w:eastAsia="微软雅黑" w:cs="微软雅黑"/>
          <w:sz w:val="70"/>
          <w:szCs w:val="70"/>
        </w:rPr>
      </w:pPr>
    </w:p>
    <w:p w14:paraId="5B039062">
      <w:pPr>
        <w:pStyle w:val="188"/>
        <w:jc w:val="center"/>
        <w:rPr>
          <w:rFonts w:hint="eastAsia" w:ascii="微软雅黑" w:hAnsi="微软雅黑" w:eastAsia="微软雅黑" w:cs="微软雅黑"/>
          <w:sz w:val="70"/>
          <w:szCs w:val="70"/>
        </w:rPr>
      </w:pPr>
    </w:p>
    <w:p w14:paraId="7E23D8F8">
      <w:pPr>
        <w:pStyle w:val="188"/>
        <w:jc w:val="center"/>
        <w:rPr>
          <w:rFonts w:hint="eastAsia" w:ascii="微软雅黑" w:hAnsi="微软雅黑" w:eastAsia="微软雅黑" w:cs="微软雅黑"/>
          <w:sz w:val="70"/>
          <w:szCs w:val="70"/>
        </w:rPr>
      </w:pPr>
    </w:p>
    <w:p w14:paraId="1FABFEA3">
      <w:pPr>
        <w:pStyle w:val="188"/>
        <w:jc w:val="center"/>
        <w:rPr>
          <w:rFonts w:hint="eastAsia" w:ascii="微软雅黑" w:hAnsi="微软雅黑" w:eastAsia="微软雅黑" w:cs="微软雅黑"/>
          <w:sz w:val="70"/>
          <w:szCs w:val="70"/>
        </w:rPr>
      </w:pPr>
    </w:p>
    <w:p w14:paraId="68A07318">
      <w:pPr>
        <w:pStyle w:val="188"/>
        <w:keepNext w:val="0"/>
        <w:keepLines w:val="0"/>
        <w:pageBreakBefore w:val="0"/>
        <w:widowControl w:val="0"/>
        <w:spacing w:line="600" w:lineRule="exact"/>
        <w:ind w:firstLine="640"/>
        <w:rPr>
          <w:rFonts w:hint="eastAsia" w:ascii="微软雅黑" w:hAnsi="微软雅黑" w:eastAsia="微软雅黑" w:cs="微软雅黑"/>
          <w:b/>
          <w:bCs w:val="0"/>
          <w:sz w:val="32"/>
          <w:szCs w:val="32"/>
        </w:rPr>
      </w:pPr>
    </w:p>
    <w:p w14:paraId="53527B88">
      <w:pPr>
        <w:pStyle w:val="18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一、收入支出决算总体情况说明</w:t>
      </w:r>
    </w:p>
    <w:p w14:paraId="1F0BCE8C">
      <w:pPr>
        <w:pStyle w:val="188"/>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 w:hAnsi="仿宋" w:eastAsia="仿宋" w:cs="仿宋"/>
          <w:snapToGrid w:val="0"/>
          <w:color w:val="3D3D3D"/>
          <w:sz w:val="32"/>
          <w:szCs w:val="32"/>
          <w:highlight w:val="yellow"/>
          <w:shd w:val="clear" w:color="auto" w:fill="FFFFFF"/>
          <w:lang w:val="en-US" w:eastAsia="zh-CN" w:bidi="ar-SA"/>
        </w:rPr>
      </w:pPr>
      <w:r>
        <w:rPr>
          <w:rFonts w:hint="eastAsia" w:ascii="仿宋" w:hAnsi="仿宋" w:eastAsia="仿宋" w:cs="仿宋"/>
          <w:snapToGrid w:val="0"/>
          <w:color w:val="3D3D3D"/>
          <w:sz w:val="32"/>
          <w:szCs w:val="32"/>
          <w:shd w:val="clear" w:color="auto" w:fill="FFFFFF"/>
          <w:lang w:val="en-US" w:eastAsia="zh-CN" w:bidi="ar-SA"/>
        </w:rPr>
        <w:t>2023年度收、支总计277.88万元。与上年相比，减少135.08万元，减少32.71%，主要是本期无项目设备购置开支。</w:t>
      </w:r>
    </w:p>
    <w:p w14:paraId="540C6744">
      <w:pPr>
        <w:pStyle w:val="188"/>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二、收入决算情况说明</w:t>
      </w:r>
    </w:p>
    <w:p w14:paraId="46EE31A8">
      <w:pPr>
        <w:pStyle w:val="188"/>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napToGrid w:val="0"/>
          <w:color w:val="3D3D3D"/>
          <w:sz w:val="32"/>
          <w:szCs w:val="32"/>
          <w:shd w:val="clear" w:color="auto" w:fill="FFFFFF"/>
          <w:lang w:val="en-US" w:eastAsia="zh-CN" w:bidi="ar-SA"/>
        </w:rPr>
      </w:pPr>
      <w:r>
        <w:rPr>
          <w:rFonts w:hint="eastAsia" w:ascii="仿宋" w:hAnsi="仿宋" w:eastAsia="仿宋" w:cs="仿宋"/>
          <w:snapToGrid w:val="0"/>
          <w:color w:val="3D3D3D"/>
          <w:sz w:val="32"/>
          <w:szCs w:val="32"/>
          <w:shd w:val="clear" w:color="auto" w:fill="FFFFFF"/>
          <w:lang w:val="en-US" w:eastAsia="zh-CN" w:bidi="ar-SA"/>
        </w:rPr>
        <w:t>2023年度收入合计277.88万元，其中：财政拨款收入78.09万元，占28.10%；上级补助收入0.00万元，占0.00%；事业收入0.00万元，占0.00%；经营收入0.00万元，占0.00%；附属单位上缴收入0.00万元，占0.00%；其他收入199.79万元，占71.90%。</w:t>
      </w:r>
    </w:p>
    <w:p w14:paraId="2818E4DC">
      <w:pPr>
        <w:pStyle w:val="18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三、支出决算情况说明</w:t>
      </w:r>
    </w:p>
    <w:p w14:paraId="50E3C741">
      <w:pPr>
        <w:pStyle w:val="188"/>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napToGrid w:val="0"/>
          <w:color w:val="3D3D3D"/>
          <w:sz w:val="32"/>
          <w:szCs w:val="32"/>
          <w:shd w:val="clear" w:color="auto" w:fill="FFFFFF"/>
          <w:lang w:val="en-US" w:eastAsia="zh-CN" w:bidi="ar-SA"/>
        </w:rPr>
      </w:pPr>
      <w:r>
        <w:rPr>
          <w:rFonts w:hint="eastAsia" w:ascii="仿宋" w:hAnsi="仿宋" w:eastAsia="仿宋" w:cs="仿宋"/>
          <w:snapToGrid w:val="0"/>
          <w:color w:val="3D3D3D"/>
          <w:sz w:val="32"/>
          <w:szCs w:val="32"/>
          <w:shd w:val="clear" w:color="auto" w:fill="FFFFFF"/>
          <w:lang w:val="en-US" w:eastAsia="zh-CN" w:bidi="ar-SA"/>
        </w:rPr>
        <w:t>2023年度支出合计277.8804万元，其中：基本支出277.8804万元，占100.00%；项目支出0万元，占0%；上缴上级支出0万元，占0%；经营支出0万元，占0%；对附属单位补助支出0万元，占0%。</w:t>
      </w:r>
    </w:p>
    <w:p w14:paraId="5C0DCD14">
      <w:pPr>
        <w:pStyle w:val="188"/>
        <w:keepNext w:val="0"/>
        <w:keepLines w:val="0"/>
        <w:pageBreakBefore w:val="0"/>
        <w:widowControl w:val="0"/>
        <w:spacing w:line="600" w:lineRule="exact"/>
        <w:ind w:firstLine="640"/>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四、财政拨款收入支出决算总体情况说明</w:t>
      </w:r>
    </w:p>
    <w:p w14:paraId="75CF5C9C">
      <w:pPr>
        <w:pStyle w:val="188"/>
        <w:keepNext w:val="0"/>
        <w:keepLines w:val="0"/>
        <w:pageBreakBefore w:val="0"/>
        <w:widowControl w:val="0"/>
        <w:spacing w:line="600" w:lineRule="exact"/>
        <w:rPr>
          <w:rFonts w:hint="eastAsia" w:ascii="仿宋" w:hAnsi="仿宋" w:eastAsia="仿宋" w:cs="仿宋"/>
          <w:sz w:val="32"/>
          <w:szCs w:val="32"/>
        </w:rPr>
      </w:pPr>
      <w:r>
        <w:rPr>
          <w:rFonts w:hint="eastAsia" w:ascii="微软雅黑" w:hAnsi="微软雅黑" w:eastAsia="微软雅黑" w:cs="微软雅黑"/>
          <w:sz w:val="32"/>
          <w:szCs w:val="32"/>
        </w:rPr>
        <w:t xml:space="preserve">   </w:t>
      </w:r>
      <w:r>
        <w:rPr>
          <w:rFonts w:hint="eastAsia" w:ascii="仿宋" w:hAnsi="仿宋" w:eastAsia="仿宋" w:cs="仿宋"/>
          <w:sz w:val="32"/>
          <w:szCs w:val="32"/>
        </w:rPr>
        <w:t xml:space="preserve"> </w:t>
      </w:r>
      <w:r>
        <w:rPr>
          <w:rFonts w:hint="eastAsia" w:ascii="仿宋" w:hAnsi="仿宋" w:eastAsia="仿宋" w:cs="仿宋"/>
          <w:sz w:val="32"/>
          <w:szCs w:val="32"/>
          <w:lang w:eastAsia="zh-CN"/>
        </w:rPr>
        <w:t>2023</w:t>
      </w:r>
      <w:r>
        <w:rPr>
          <w:rFonts w:hint="eastAsia" w:ascii="仿宋" w:hAnsi="仿宋" w:eastAsia="仿宋" w:cs="仿宋"/>
          <w:sz w:val="32"/>
        </w:rPr>
        <w:t>年度财政拨款收、支总计78.09万元，与上年相比，增长19.29万元,增长32.81%，</w:t>
      </w:r>
      <w:r>
        <w:rPr>
          <w:rFonts w:hint="eastAsia" w:ascii="仿宋" w:hAnsi="仿宋" w:eastAsia="仿宋"/>
          <w:sz w:val="32"/>
          <w:szCs w:val="32"/>
        </w:rPr>
        <w:t>主要是因为人员异动及工资调整。</w:t>
      </w:r>
    </w:p>
    <w:p w14:paraId="253E3787">
      <w:pPr>
        <w:pStyle w:val="188"/>
        <w:keepNext w:val="0"/>
        <w:keepLines w:val="0"/>
        <w:pageBreakBefore w:val="0"/>
        <w:widowControl w:val="0"/>
        <w:spacing w:line="600" w:lineRule="exact"/>
        <w:ind w:firstLine="640"/>
        <w:rPr>
          <w:rFonts w:hint="eastAsia" w:ascii="微软雅黑" w:hAnsi="微软雅黑" w:eastAsia="微软雅黑" w:cs="微软雅黑"/>
          <w:b w:val="0"/>
          <w:bCs/>
          <w:sz w:val="32"/>
          <w:szCs w:val="32"/>
        </w:rPr>
      </w:pPr>
      <w:r>
        <w:rPr>
          <w:rFonts w:hint="eastAsia" w:ascii="微软雅黑" w:hAnsi="微软雅黑" w:eastAsia="微软雅黑" w:cs="微软雅黑"/>
          <w:b/>
          <w:bCs w:val="0"/>
          <w:sz w:val="32"/>
          <w:szCs w:val="32"/>
        </w:rPr>
        <w:t>五、一般公共预算财政拨款支出决算情况说明</w:t>
      </w:r>
    </w:p>
    <w:p w14:paraId="116455CD">
      <w:pPr>
        <w:pStyle w:val="188"/>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（一）财政拨款支出决算总体情况</w:t>
      </w:r>
    </w:p>
    <w:p w14:paraId="73D39763">
      <w:pPr>
        <w:pStyle w:val="18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lang w:eastAsia="zh-CN"/>
        </w:rPr>
      </w:pPr>
      <w:r>
        <w:rPr>
          <w:rFonts w:hint="eastAsia" w:ascii="仿宋" w:hAnsi="仿宋" w:eastAsia="仿宋" w:cs="仿宋"/>
          <w:sz w:val="32"/>
          <w:lang w:eastAsia="zh-CN"/>
        </w:rPr>
        <w:t>2023</w:t>
      </w:r>
      <w:r>
        <w:rPr>
          <w:rFonts w:hint="eastAsia" w:ascii="仿宋" w:hAnsi="仿宋" w:eastAsia="仿宋" w:cs="仿宋"/>
          <w:sz w:val="32"/>
        </w:rPr>
        <w:t>年度财政拨款支出78.09万元，占本年支出合计的28.10</w:t>
      </w:r>
      <w:r>
        <w:rPr>
          <w:rFonts w:hint="eastAsia" w:ascii="仿宋" w:hAnsi="仿宋" w:eastAsia="仿宋" w:cs="仿宋"/>
          <w:sz w:val="32"/>
          <w:lang w:eastAsia="zh-CN"/>
        </w:rPr>
        <w:t>%，与上年相比，财政拨款支出</w:t>
      </w:r>
      <w:r>
        <w:rPr>
          <w:rFonts w:hint="eastAsia" w:ascii="仿宋" w:hAnsi="仿宋" w:eastAsia="仿宋" w:cs="仿宋"/>
          <w:sz w:val="32"/>
        </w:rPr>
        <w:t>增长19.29万元，增长32.81%，</w:t>
      </w:r>
      <w:r>
        <w:rPr>
          <w:rFonts w:hint="eastAsia" w:ascii="仿宋" w:hAnsi="仿宋" w:eastAsia="仿宋"/>
          <w:sz w:val="32"/>
          <w:szCs w:val="32"/>
        </w:rPr>
        <w:t>主要是因为人员异动及工资调整。</w:t>
      </w:r>
    </w:p>
    <w:p w14:paraId="23D0B6AD">
      <w:pPr>
        <w:pStyle w:val="188"/>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（二）财政拨款支出决算结构情况</w:t>
      </w:r>
    </w:p>
    <w:p w14:paraId="4FBFDB95">
      <w:pPr>
        <w:pStyle w:val="18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楷体"/>
          <w:sz w:val="32"/>
          <w:szCs w:val="32"/>
        </w:rPr>
      </w:pPr>
      <w:r>
        <w:rPr>
          <w:rFonts w:hint="eastAsia" w:ascii="仿宋" w:hAnsi="仿宋" w:eastAsia="仿宋" w:cs="仿宋"/>
          <w:sz w:val="32"/>
          <w:lang w:eastAsia="zh-CN"/>
        </w:rPr>
        <w:t>2023年度财政拨款支出78.09万元，</w:t>
      </w:r>
      <w:r>
        <w:rPr>
          <w:rFonts w:hint="eastAsia" w:ascii="仿宋" w:hAnsi="仿宋" w:eastAsia="仿宋"/>
          <w:sz w:val="32"/>
          <w:szCs w:val="32"/>
        </w:rPr>
        <w:t>主要用于以下方面：农林水（类）支出</w:t>
      </w:r>
      <w:r>
        <w:rPr>
          <w:rFonts w:hint="eastAsia" w:ascii="仿宋" w:hAnsi="仿宋" w:eastAsia="仿宋"/>
          <w:sz w:val="32"/>
          <w:szCs w:val="32"/>
          <w:lang w:val="en-US" w:eastAsia="zh-CN"/>
        </w:rPr>
        <w:t>78.09</w:t>
      </w:r>
      <w:r>
        <w:rPr>
          <w:rFonts w:hint="eastAsia" w:ascii="仿宋" w:hAnsi="仿宋" w:eastAsia="仿宋"/>
          <w:sz w:val="32"/>
          <w:szCs w:val="32"/>
        </w:rPr>
        <w:t>万元，占100%。</w:t>
      </w:r>
    </w:p>
    <w:p w14:paraId="54CE6697">
      <w:pPr>
        <w:pStyle w:val="188"/>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（三）财政拨款支出决算具体情况</w:t>
      </w:r>
    </w:p>
    <w:p w14:paraId="3395237D">
      <w:pPr>
        <w:pStyle w:val="188"/>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lang w:eastAsia="zh-CN"/>
        </w:rPr>
      </w:pPr>
      <w:r>
        <w:rPr>
          <w:rFonts w:hint="eastAsia" w:ascii="仿宋" w:hAnsi="仿宋" w:eastAsia="仿宋" w:cs="仿宋"/>
          <w:sz w:val="32"/>
          <w:lang w:eastAsia="zh-CN"/>
        </w:rPr>
        <w:t>2023年度财政拨款支出年初预算数为78.12万元，支出决算数为78.09万元，完成年初预算的99.96%，其中：</w:t>
      </w:r>
      <w:r>
        <w:rPr>
          <w:rFonts w:ascii="仿宋" w:hAnsi="仿宋" w:eastAsia="仿宋"/>
          <w:sz w:val="32"/>
          <w:szCs w:val="32"/>
        </w:rPr>
        <w:t>农林水支出（类）农业（款）行政运行（项）：</w:t>
      </w:r>
      <w:r>
        <w:rPr>
          <w:rFonts w:hint="eastAsia" w:ascii="仿宋" w:hAnsi="仿宋" w:eastAsia="仿宋" w:cs="仿宋"/>
          <w:sz w:val="32"/>
          <w:lang w:eastAsia="zh-CN"/>
        </w:rPr>
        <w:t>年初预算为</w:t>
      </w:r>
      <w:r>
        <w:rPr>
          <w:rFonts w:hint="eastAsia" w:ascii="仿宋" w:hAnsi="仿宋" w:eastAsia="仿宋" w:cs="仿宋"/>
          <w:sz w:val="32"/>
          <w:lang w:val="en-US" w:eastAsia="zh-CN"/>
        </w:rPr>
        <w:t>78.12</w:t>
      </w:r>
      <w:r>
        <w:rPr>
          <w:rFonts w:hint="eastAsia" w:ascii="仿宋" w:hAnsi="仿宋" w:eastAsia="仿宋" w:cs="仿宋"/>
          <w:sz w:val="32"/>
          <w:lang w:eastAsia="zh-CN"/>
        </w:rPr>
        <w:t>万元，支出决算为</w:t>
      </w:r>
      <w:r>
        <w:rPr>
          <w:rFonts w:hint="eastAsia" w:ascii="仿宋" w:hAnsi="仿宋" w:eastAsia="仿宋" w:cs="仿宋"/>
          <w:sz w:val="32"/>
          <w:lang w:val="en-US" w:eastAsia="zh-CN"/>
        </w:rPr>
        <w:t>78.09</w:t>
      </w:r>
      <w:r>
        <w:rPr>
          <w:rFonts w:hint="eastAsia" w:ascii="仿宋" w:hAnsi="仿宋" w:eastAsia="仿宋" w:cs="仿宋"/>
          <w:sz w:val="32"/>
          <w:lang w:eastAsia="zh-CN"/>
        </w:rPr>
        <w:t>万元，完成年初预算的99.96%。</w:t>
      </w:r>
    </w:p>
    <w:p w14:paraId="33E0A5FB">
      <w:pPr>
        <w:pStyle w:val="188"/>
        <w:keepNext w:val="0"/>
        <w:keepLines w:val="0"/>
        <w:pageBreakBefore w:val="0"/>
        <w:widowControl w:val="0"/>
        <w:spacing w:line="600" w:lineRule="exact"/>
        <w:ind w:firstLine="640"/>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六、一般公共预算财政拨款基本支出决算情况说明</w:t>
      </w:r>
    </w:p>
    <w:p w14:paraId="2FD218E8">
      <w:pPr>
        <w:pStyle w:val="188"/>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2023</w:t>
      </w:r>
      <w:r>
        <w:rPr>
          <w:rFonts w:hint="eastAsia" w:ascii="仿宋" w:hAnsi="仿宋" w:eastAsia="仿宋" w:cs="仿宋"/>
          <w:sz w:val="32"/>
        </w:rPr>
        <w:t>年度财政拨款基本支出</w:t>
      </w:r>
      <w:r>
        <w:rPr>
          <w:rFonts w:hint="eastAsia" w:ascii="仿宋" w:hAnsi="仿宋" w:eastAsia="仿宋" w:cs="仿宋"/>
          <w:sz w:val="32"/>
          <w:lang w:val="en-US" w:eastAsia="zh-CN"/>
        </w:rPr>
        <w:t>78.09</w:t>
      </w:r>
      <w:r>
        <w:rPr>
          <w:rFonts w:hint="eastAsia" w:ascii="仿宋" w:hAnsi="仿宋" w:eastAsia="仿宋" w:cs="仿宋"/>
          <w:sz w:val="32"/>
        </w:rPr>
        <w:t>万元，其中：</w:t>
      </w:r>
    </w:p>
    <w:p w14:paraId="79E2AD67">
      <w:pPr>
        <w:pStyle w:val="18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rPr>
      </w:pPr>
      <w:r>
        <w:rPr>
          <w:rFonts w:hint="eastAsia" w:ascii="仿宋" w:hAnsi="仿宋" w:eastAsia="仿宋" w:cs="仿宋"/>
          <w:sz w:val="32"/>
          <w:szCs w:val="32"/>
          <w:lang w:eastAsia="zh-CN"/>
        </w:rPr>
        <w:t>人员经费</w:t>
      </w:r>
      <w:r>
        <w:rPr>
          <w:rFonts w:hint="eastAsia" w:ascii="仿宋" w:hAnsi="仿宋" w:eastAsia="仿宋" w:cs="仿宋"/>
          <w:sz w:val="32"/>
        </w:rPr>
        <w:t>74.26万元，占基本支出的</w:t>
      </w:r>
      <w:r>
        <w:rPr>
          <w:rFonts w:hint="eastAsia" w:ascii="仿宋" w:hAnsi="仿宋" w:eastAsia="仿宋" w:cs="仿宋"/>
          <w:sz w:val="32"/>
          <w:lang w:val="en-US" w:eastAsia="zh-CN"/>
        </w:rPr>
        <w:t>95.10</w:t>
      </w:r>
      <w:r>
        <w:rPr>
          <w:rFonts w:hint="eastAsia" w:ascii="仿宋" w:hAnsi="仿宋" w:eastAsia="仿宋" w:cs="仿宋"/>
          <w:sz w:val="32"/>
        </w:rPr>
        <w:t>%,主要包括基本工资、津贴补贴、奖金、伙食补助费</w:t>
      </w:r>
      <w:r>
        <w:rPr>
          <w:rFonts w:hint="eastAsia" w:ascii="仿宋" w:hAnsi="仿宋" w:eastAsia="仿宋" w:cs="仿宋"/>
          <w:sz w:val="32"/>
          <w:lang w:eastAsia="zh-CN"/>
        </w:rPr>
        <w:t>、</w:t>
      </w:r>
      <w:r>
        <w:rPr>
          <w:rFonts w:ascii="仿宋" w:hAnsi="仿宋" w:eastAsia="仿宋"/>
          <w:sz w:val="32"/>
          <w:szCs w:val="32"/>
        </w:rPr>
        <w:t>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仿宋" w:hAnsi="仿宋" w:eastAsia="仿宋"/>
          <w:sz w:val="32"/>
          <w:szCs w:val="32"/>
        </w:rPr>
        <w:t>。</w:t>
      </w:r>
    </w:p>
    <w:p w14:paraId="555FCE08">
      <w:pPr>
        <w:pStyle w:val="18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rPr>
      </w:pPr>
      <w:r>
        <w:rPr>
          <w:rFonts w:ascii="仿宋" w:hAnsi="仿宋" w:eastAsia="仿宋" w:cs="仿宋"/>
          <w:i w:val="0"/>
          <w:iCs w:val="0"/>
          <w:caps w:val="0"/>
          <w:color w:val="000000"/>
          <w:spacing w:val="0"/>
          <w:sz w:val="32"/>
          <w:szCs w:val="32"/>
          <w:shd w:val="clear" w:fill="FFFFFF"/>
        </w:rPr>
        <w:t>公用经费</w:t>
      </w:r>
      <w:r>
        <w:rPr>
          <w:rFonts w:hint="eastAsia" w:ascii="仿宋" w:hAnsi="仿宋" w:eastAsia="仿宋" w:cs="仿宋"/>
          <w:i w:val="0"/>
          <w:iCs w:val="0"/>
          <w:caps w:val="0"/>
          <w:color w:val="000000"/>
          <w:spacing w:val="0"/>
          <w:sz w:val="32"/>
          <w:szCs w:val="32"/>
          <w:shd w:val="clear" w:fill="FFFFFF"/>
          <w:lang w:val="en-US" w:eastAsia="zh-CN"/>
        </w:rPr>
        <w:t>3.83</w:t>
      </w:r>
      <w:r>
        <w:rPr>
          <w:rFonts w:hint="eastAsia" w:ascii="仿宋" w:hAnsi="仿宋" w:eastAsia="仿宋" w:cs="仿宋"/>
          <w:i w:val="0"/>
          <w:iCs w:val="0"/>
          <w:caps w:val="0"/>
          <w:color w:val="000000"/>
          <w:spacing w:val="0"/>
          <w:sz w:val="32"/>
          <w:szCs w:val="32"/>
          <w:shd w:val="clear" w:fill="FFFFFF"/>
        </w:rPr>
        <w:t>万元，占基本支出的</w:t>
      </w:r>
      <w:r>
        <w:rPr>
          <w:rFonts w:hint="eastAsia" w:ascii="仿宋" w:hAnsi="仿宋" w:eastAsia="仿宋" w:cs="仿宋"/>
          <w:i w:val="0"/>
          <w:iCs w:val="0"/>
          <w:caps w:val="0"/>
          <w:color w:val="000000"/>
          <w:spacing w:val="0"/>
          <w:sz w:val="32"/>
          <w:szCs w:val="32"/>
          <w:shd w:val="clear" w:fill="FFFFFF"/>
          <w:lang w:val="en-US" w:eastAsia="zh-CN"/>
        </w:rPr>
        <w:t>4.90</w:t>
      </w:r>
      <w:r>
        <w:rPr>
          <w:rFonts w:hint="eastAsia" w:ascii="仿宋" w:hAnsi="仿宋" w:eastAsia="仿宋" w:cs="仿宋"/>
          <w:i w:val="0"/>
          <w:iCs w:val="0"/>
          <w:caps w:val="0"/>
          <w:color w:val="000000"/>
          <w:spacing w:val="0"/>
          <w:sz w:val="32"/>
          <w:szCs w:val="32"/>
          <w:shd w:val="clear" w:fill="FFFFFF"/>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其他商品和服务支出、办公设备购置、专用设备购置、信息网络及软件购置更新、公务用车购置、无形资产购置、其他资本性支出。</w:t>
      </w:r>
    </w:p>
    <w:p w14:paraId="43691F18">
      <w:pPr>
        <w:pStyle w:val="18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lang w:eastAsia="zh-CN"/>
        </w:rPr>
        <w:t>七</w:t>
      </w:r>
      <w:r>
        <w:rPr>
          <w:rFonts w:hint="eastAsia" w:ascii="微软雅黑" w:hAnsi="微软雅黑" w:eastAsia="微软雅黑" w:cs="微软雅黑"/>
          <w:b/>
          <w:bCs w:val="0"/>
          <w:sz w:val="32"/>
          <w:szCs w:val="32"/>
        </w:rPr>
        <w:t>、政府性基金预算收入支出决算情况</w:t>
      </w:r>
    </w:p>
    <w:p w14:paraId="433542DD">
      <w:pPr>
        <w:pStyle w:val="18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rPr>
      </w:pPr>
      <w:r>
        <w:rPr>
          <w:rFonts w:hint="eastAsia" w:ascii="仿宋" w:hAnsi="仿宋" w:eastAsia="仿宋" w:cs="仿宋"/>
          <w:sz w:val="32"/>
          <w:lang w:eastAsia="zh-CN"/>
        </w:rPr>
        <w:t>2023</w:t>
      </w:r>
      <w:r>
        <w:rPr>
          <w:rFonts w:hint="eastAsia" w:ascii="仿宋" w:hAnsi="仿宋" w:eastAsia="仿宋" w:cs="仿宋"/>
          <w:sz w:val="32"/>
        </w:rPr>
        <w:t>年度政府性基金预算财政拨款收入0</w:t>
      </w:r>
      <w:r>
        <w:rPr>
          <w:rFonts w:hint="eastAsia" w:ascii="仿宋" w:hAnsi="仿宋" w:eastAsia="仿宋" w:cs="仿宋"/>
          <w:sz w:val="32"/>
          <w:lang w:eastAsia="zh-CN"/>
        </w:rPr>
        <w:t>万元；年初结转和结余</w:t>
      </w:r>
      <w:r>
        <w:rPr>
          <w:rFonts w:hint="eastAsia" w:ascii="仿宋" w:hAnsi="仿宋" w:eastAsia="仿宋" w:cs="仿宋"/>
          <w:sz w:val="32"/>
        </w:rPr>
        <w:t>0</w:t>
      </w:r>
      <w:r>
        <w:rPr>
          <w:rFonts w:hint="eastAsia" w:ascii="仿宋" w:hAnsi="仿宋" w:eastAsia="仿宋" w:cs="仿宋"/>
          <w:sz w:val="32"/>
          <w:lang w:eastAsia="zh-CN"/>
        </w:rPr>
        <w:t>万元；支出</w:t>
      </w:r>
      <w:r>
        <w:rPr>
          <w:rFonts w:hint="eastAsia" w:ascii="仿宋" w:hAnsi="仿宋" w:eastAsia="仿宋" w:cs="仿宋"/>
          <w:sz w:val="32"/>
        </w:rPr>
        <w:t>0</w:t>
      </w:r>
      <w:r>
        <w:rPr>
          <w:rFonts w:hint="eastAsia" w:ascii="仿宋" w:hAnsi="仿宋" w:eastAsia="仿宋" w:cs="仿宋"/>
          <w:sz w:val="32"/>
          <w:lang w:eastAsia="zh-CN"/>
        </w:rPr>
        <w:t>万元，其中基本支出</w:t>
      </w:r>
      <w:r>
        <w:rPr>
          <w:rFonts w:hint="eastAsia" w:ascii="仿宋" w:hAnsi="仿宋" w:eastAsia="仿宋" w:cs="仿宋"/>
          <w:sz w:val="32"/>
        </w:rPr>
        <w:t>0</w:t>
      </w:r>
      <w:r>
        <w:rPr>
          <w:rFonts w:hint="eastAsia" w:ascii="仿宋" w:hAnsi="仿宋" w:eastAsia="仿宋" w:cs="仿宋"/>
          <w:sz w:val="32"/>
          <w:lang w:eastAsia="zh-CN"/>
        </w:rPr>
        <w:t>万元，项目支出</w:t>
      </w:r>
      <w:r>
        <w:rPr>
          <w:rFonts w:hint="eastAsia" w:ascii="仿宋" w:hAnsi="仿宋" w:eastAsia="仿宋" w:cs="仿宋"/>
          <w:sz w:val="32"/>
        </w:rPr>
        <w:t>0</w:t>
      </w:r>
      <w:r>
        <w:rPr>
          <w:rFonts w:hint="eastAsia" w:ascii="仿宋" w:hAnsi="仿宋" w:eastAsia="仿宋" w:cs="仿宋"/>
          <w:sz w:val="32"/>
          <w:lang w:eastAsia="zh-CN"/>
        </w:rPr>
        <w:t>万元；年末结转和结余</w:t>
      </w:r>
      <w:r>
        <w:rPr>
          <w:rFonts w:hint="eastAsia" w:ascii="仿宋" w:hAnsi="仿宋" w:eastAsia="仿宋" w:cs="仿宋"/>
          <w:sz w:val="32"/>
        </w:rPr>
        <w:t>0</w:t>
      </w:r>
      <w:r>
        <w:rPr>
          <w:rFonts w:hint="eastAsia" w:ascii="仿宋" w:hAnsi="仿宋" w:eastAsia="仿宋" w:cs="仿宋"/>
          <w:sz w:val="32"/>
          <w:lang w:eastAsia="zh-CN"/>
        </w:rPr>
        <w:t>万元，</w:t>
      </w:r>
      <w:r>
        <w:rPr>
          <w:rFonts w:hint="eastAsia" w:ascii="仿宋" w:hAnsi="仿宋" w:eastAsia="仿宋" w:cs="仿宋"/>
          <w:sz w:val="32"/>
        </w:rPr>
        <w:t>本单位无政府性基金收支。</w:t>
      </w:r>
    </w:p>
    <w:p w14:paraId="69874D42">
      <w:pPr>
        <w:pStyle w:val="18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微软雅黑" w:hAnsi="微软雅黑" w:eastAsia="微软雅黑" w:cs="微软雅黑"/>
          <w:b/>
          <w:bCs w:val="0"/>
          <w:sz w:val="32"/>
          <w:szCs w:val="32"/>
          <w:lang w:eastAsia="zh-CN"/>
        </w:rPr>
      </w:pPr>
      <w:r>
        <w:rPr>
          <w:rFonts w:hint="eastAsia" w:ascii="微软雅黑" w:hAnsi="微软雅黑" w:eastAsia="微软雅黑" w:cs="微软雅黑"/>
          <w:b/>
          <w:bCs w:val="0"/>
          <w:sz w:val="32"/>
          <w:szCs w:val="32"/>
          <w:lang w:eastAsia="zh-CN"/>
        </w:rPr>
        <w:t>八</w:t>
      </w:r>
      <w:r>
        <w:rPr>
          <w:rFonts w:hint="eastAsia" w:ascii="微软雅黑" w:hAnsi="微软雅黑" w:eastAsia="微软雅黑" w:cs="微软雅黑"/>
          <w:b/>
          <w:bCs w:val="0"/>
          <w:sz w:val="32"/>
          <w:szCs w:val="32"/>
        </w:rPr>
        <w:t>、国有资本经营预算财政拨款支出决算</w:t>
      </w:r>
      <w:r>
        <w:rPr>
          <w:rFonts w:hint="eastAsia" w:ascii="微软雅黑" w:hAnsi="微软雅黑" w:eastAsia="微软雅黑" w:cs="微软雅黑"/>
          <w:b/>
          <w:bCs w:val="0"/>
          <w:sz w:val="32"/>
          <w:szCs w:val="32"/>
          <w:lang w:eastAsia="zh-CN"/>
        </w:rPr>
        <w:t>情况</w:t>
      </w:r>
    </w:p>
    <w:p w14:paraId="25BD8898">
      <w:pPr>
        <w:pStyle w:val="188"/>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微软雅黑" w:hAnsi="微软雅黑" w:eastAsia="微软雅黑" w:cs="微软雅黑"/>
          <w:sz w:val="32"/>
          <w:szCs w:val="32"/>
          <w:lang w:eastAsia="zh-CN"/>
        </w:rPr>
      </w:pPr>
      <w:r>
        <w:rPr>
          <w:rFonts w:hint="eastAsia" w:ascii="仿宋" w:hAnsi="仿宋" w:eastAsia="仿宋" w:cs="仿宋"/>
          <w:sz w:val="32"/>
          <w:lang w:eastAsia="zh-CN"/>
        </w:rPr>
        <w:t>2023年度国有资本经营预算财政拨款支出0万元；基本支出0万元，项目支出0万元，本单位无国有资本经营预算财政拨款支出。</w:t>
      </w:r>
    </w:p>
    <w:p w14:paraId="65105BEC">
      <w:pPr>
        <w:pStyle w:val="188"/>
        <w:keepNext w:val="0"/>
        <w:keepLines w:val="0"/>
        <w:pageBreakBefore w:val="0"/>
        <w:widowControl w:val="0"/>
        <w:numPr>
          <w:ilvl w:val="0"/>
          <w:numId w:val="0"/>
        </w:numPr>
        <w:spacing w:line="600" w:lineRule="exact"/>
        <w:ind w:firstLine="640"/>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highlight w:val="none"/>
          <w:lang w:eastAsia="zh-CN"/>
        </w:rPr>
        <w:t>九、</w:t>
      </w:r>
      <w:r>
        <w:rPr>
          <w:rFonts w:hint="eastAsia" w:ascii="微软雅黑" w:hAnsi="微软雅黑" w:eastAsia="微软雅黑" w:cs="微软雅黑"/>
          <w:b/>
          <w:bCs w:val="0"/>
          <w:sz w:val="32"/>
          <w:szCs w:val="32"/>
        </w:rPr>
        <w:t>财政拨款三公经费支出决算情况说明</w:t>
      </w:r>
    </w:p>
    <w:p w14:paraId="0C055580">
      <w:pPr>
        <w:pStyle w:val="188"/>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val="0"/>
          <w:sz w:val="32"/>
          <w:szCs w:val="32"/>
        </w:rPr>
      </w:pPr>
      <w:r>
        <w:rPr>
          <w:rFonts w:hint="eastAsia" w:ascii="仿宋" w:hAnsi="仿宋" w:eastAsia="仿宋" w:cs="仿宋"/>
          <w:b/>
          <w:bCs w:val="0"/>
          <w:sz w:val="32"/>
          <w:szCs w:val="32"/>
        </w:rPr>
        <w:t>（一）“三公”经费财政拨款支出决算总体情况说明</w:t>
      </w:r>
    </w:p>
    <w:p w14:paraId="304B8783">
      <w:pPr>
        <w:pStyle w:val="18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“三公”经费财政拨款支出预算为</w:t>
      </w:r>
      <w:r>
        <w:rPr>
          <w:rFonts w:hint="eastAsia" w:ascii="仿宋" w:hAnsi="仿宋" w:eastAsia="仿宋" w:cs="仿宋"/>
          <w:sz w:val="32"/>
        </w:rPr>
        <w:t>0</w:t>
      </w:r>
      <w:r>
        <w:rPr>
          <w:rFonts w:hint="eastAsia" w:ascii="仿宋" w:hAnsi="仿宋" w:eastAsia="仿宋" w:cs="仿宋"/>
          <w:sz w:val="32"/>
          <w:szCs w:val="32"/>
        </w:rPr>
        <w:t>万元，支出决算为</w:t>
      </w:r>
      <w:r>
        <w:rPr>
          <w:rFonts w:hint="eastAsia" w:ascii="仿宋" w:hAnsi="仿宋" w:eastAsia="仿宋" w:cs="仿宋"/>
          <w:sz w:val="32"/>
        </w:rPr>
        <w:t>0</w:t>
      </w:r>
      <w:r>
        <w:rPr>
          <w:rFonts w:hint="eastAsia" w:ascii="仿宋" w:hAnsi="仿宋" w:eastAsia="仿宋" w:cs="仿宋"/>
          <w:sz w:val="32"/>
          <w:szCs w:val="32"/>
        </w:rPr>
        <w:t>万元，完成预算的</w:t>
      </w:r>
      <w:r>
        <w:rPr>
          <w:rFonts w:hint="eastAsia" w:ascii="仿宋" w:hAnsi="仿宋" w:eastAsia="仿宋" w:cs="仿宋"/>
          <w:sz w:val="32"/>
        </w:rPr>
        <w:t>0</w:t>
      </w:r>
      <w:r>
        <w:rPr>
          <w:rFonts w:hint="eastAsia" w:ascii="仿宋" w:hAnsi="仿宋" w:eastAsia="仿宋" w:cs="仿宋"/>
          <w:sz w:val="32"/>
          <w:szCs w:val="32"/>
        </w:rPr>
        <w:t>%，其中：</w:t>
      </w:r>
    </w:p>
    <w:p w14:paraId="3F7DE81F">
      <w:pPr>
        <w:pStyle w:val="18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hint="eastAsia" w:ascii="仿宋" w:hAnsi="仿宋" w:eastAsia="仿宋" w:cs="仿宋"/>
          <w:sz w:val="32"/>
          <w:szCs w:val="32"/>
        </w:rPr>
        <w:t>因公出国（境）费支出预算为</w:t>
      </w:r>
      <w:r>
        <w:rPr>
          <w:rFonts w:hint="eastAsia" w:ascii="仿宋" w:hAnsi="仿宋" w:eastAsia="仿宋" w:cs="仿宋"/>
          <w:sz w:val="32"/>
        </w:rPr>
        <w:t>0</w:t>
      </w:r>
      <w:r>
        <w:rPr>
          <w:rFonts w:hint="eastAsia" w:ascii="仿宋" w:hAnsi="仿宋" w:eastAsia="仿宋" w:cs="仿宋"/>
          <w:sz w:val="32"/>
          <w:szCs w:val="32"/>
        </w:rPr>
        <w:t>万元，支出决算为</w:t>
      </w:r>
      <w:r>
        <w:rPr>
          <w:rFonts w:hint="eastAsia" w:ascii="仿宋" w:hAnsi="仿宋" w:eastAsia="仿宋" w:cs="仿宋"/>
          <w:sz w:val="32"/>
        </w:rPr>
        <w:t>0</w:t>
      </w:r>
      <w:r>
        <w:rPr>
          <w:rFonts w:hint="eastAsia" w:ascii="仿宋" w:hAnsi="仿宋" w:eastAsia="仿宋" w:cs="仿宋"/>
          <w:sz w:val="32"/>
          <w:szCs w:val="32"/>
        </w:rPr>
        <w:t>万元，完成预算的</w:t>
      </w:r>
      <w:r>
        <w:rPr>
          <w:rFonts w:hint="eastAsia" w:ascii="仿宋" w:hAnsi="仿宋" w:eastAsia="仿宋" w:cs="仿宋"/>
          <w:sz w:val="32"/>
        </w:rPr>
        <w:t>0</w:t>
      </w:r>
      <w:r>
        <w:rPr>
          <w:rFonts w:hint="eastAsia" w:ascii="仿宋" w:hAnsi="仿宋" w:eastAsia="仿宋" w:cs="仿宋"/>
          <w:sz w:val="32"/>
          <w:szCs w:val="32"/>
        </w:rPr>
        <w:t>%，</w:t>
      </w:r>
      <w:r>
        <w:rPr>
          <w:rFonts w:hint="eastAsia" w:ascii="仿宋" w:hAnsi="仿宋" w:eastAsia="仿宋"/>
          <w:sz w:val="32"/>
          <w:szCs w:val="32"/>
        </w:rPr>
        <w:t>与上年持平。</w:t>
      </w:r>
    </w:p>
    <w:p w14:paraId="31E9CDF6">
      <w:pPr>
        <w:pStyle w:val="18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公务接待费支出预算为</w:t>
      </w:r>
      <w:r>
        <w:rPr>
          <w:rFonts w:hint="eastAsia" w:ascii="仿宋" w:hAnsi="仿宋" w:eastAsia="仿宋" w:cs="仿宋"/>
          <w:sz w:val="32"/>
        </w:rPr>
        <w:t>0</w:t>
      </w:r>
      <w:r>
        <w:rPr>
          <w:rFonts w:hint="eastAsia" w:ascii="仿宋" w:hAnsi="仿宋" w:eastAsia="仿宋" w:cs="仿宋"/>
          <w:sz w:val="32"/>
          <w:szCs w:val="32"/>
        </w:rPr>
        <w:t>万元，支出决算为</w:t>
      </w:r>
      <w:r>
        <w:rPr>
          <w:rFonts w:hint="eastAsia" w:ascii="仿宋" w:hAnsi="仿宋" w:eastAsia="仿宋" w:cs="仿宋"/>
          <w:sz w:val="32"/>
        </w:rPr>
        <w:t>0</w:t>
      </w:r>
      <w:r>
        <w:rPr>
          <w:rFonts w:hint="eastAsia" w:ascii="仿宋" w:hAnsi="仿宋" w:eastAsia="仿宋" w:cs="仿宋"/>
          <w:sz w:val="32"/>
          <w:szCs w:val="32"/>
        </w:rPr>
        <w:t>万元，完成预算的</w:t>
      </w:r>
      <w:r>
        <w:rPr>
          <w:rFonts w:hint="eastAsia" w:ascii="仿宋" w:hAnsi="仿宋" w:eastAsia="仿宋" w:cs="仿宋"/>
          <w:sz w:val="32"/>
        </w:rPr>
        <w:t>0</w:t>
      </w:r>
      <w:r>
        <w:rPr>
          <w:rFonts w:hint="eastAsia" w:ascii="仿宋" w:hAnsi="仿宋" w:eastAsia="仿宋" w:cs="仿宋"/>
          <w:sz w:val="32"/>
          <w:szCs w:val="32"/>
        </w:rPr>
        <w:t>%，与上年相比</w:t>
      </w:r>
      <w:r>
        <w:rPr>
          <w:rFonts w:hint="eastAsia" w:ascii="仿宋" w:hAnsi="仿宋" w:eastAsia="仿宋" w:cs="仿宋"/>
          <w:sz w:val="32"/>
        </w:rPr>
        <w:t>减少1.03</w:t>
      </w:r>
      <w:r>
        <w:rPr>
          <w:rFonts w:hint="eastAsia" w:ascii="仿宋" w:hAnsi="仿宋" w:eastAsia="仿宋" w:cs="仿宋"/>
          <w:sz w:val="32"/>
          <w:szCs w:val="32"/>
        </w:rPr>
        <w:t>万元，</w:t>
      </w:r>
      <w:r>
        <w:rPr>
          <w:rFonts w:hint="eastAsia" w:ascii="仿宋" w:hAnsi="仿宋" w:eastAsia="仿宋" w:cs="仿宋"/>
          <w:color w:val="auto"/>
          <w:sz w:val="32"/>
          <w:szCs w:val="32"/>
          <w:highlight w:val="none"/>
          <w:lang w:val="en-US" w:eastAsia="zh-CN"/>
        </w:rPr>
        <w:t>减少100.26</w:t>
      </w:r>
      <w:r>
        <w:rPr>
          <w:rFonts w:hint="eastAsia" w:ascii="仿宋" w:hAnsi="仿宋" w:eastAsia="仿宋" w:cs="仿宋"/>
          <w:sz w:val="32"/>
          <w:szCs w:val="32"/>
        </w:rPr>
        <w:t>%,</w:t>
      </w:r>
      <w:r>
        <w:rPr>
          <w:rFonts w:hint="eastAsia" w:ascii="仿宋" w:hAnsi="仿宋" w:eastAsia="仿宋"/>
          <w:sz w:val="32"/>
          <w:szCs w:val="32"/>
        </w:rPr>
        <w:t>减少的主要原因为本年度压缩开支</w:t>
      </w:r>
      <w:r>
        <w:rPr>
          <w:rFonts w:hint="eastAsia" w:ascii="仿宋" w:hAnsi="仿宋" w:eastAsia="仿宋" w:cs="仿宋"/>
          <w:sz w:val="32"/>
          <w:szCs w:val="32"/>
        </w:rPr>
        <w:t>。</w:t>
      </w:r>
    </w:p>
    <w:p w14:paraId="38622F76">
      <w:pPr>
        <w:pStyle w:val="188"/>
        <w:spacing w:line="600" w:lineRule="exact"/>
        <w:ind w:firstLine="640" w:firstLineChars="200"/>
        <w:rPr>
          <w:rFonts w:ascii="仿宋" w:hAnsi="仿宋" w:eastAsia="仿宋"/>
          <w:sz w:val="32"/>
          <w:szCs w:val="32"/>
        </w:rPr>
      </w:pPr>
      <w:r>
        <w:rPr>
          <w:rFonts w:hint="eastAsia" w:ascii="仿宋" w:hAnsi="仿宋" w:eastAsia="仿宋"/>
          <w:sz w:val="32"/>
          <w:szCs w:val="32"/>
        </w:rPr>
        <w:t>公务用车购置费支出预算为0万元，支出决算为0万元，完成预算的0%，与上年持平。</w:t>
      </w:r>
    </w:p>
    <w:p w14:paraId="0F8AA503">
      <w:pPr>
        <w:pStyle w:val="188"/>
        <w:spacing w:line="600" w:lineRule="exact"/>
        <w:ind w:firstLine="640" w:firstLineChars="200"/>
        <w:rPr>
          <w:rFonts w:ascii="仿宋" w:hAnsi="仿宋" w:eastAsia="仿宋"/>
          <w:sz w:val="32"/>
          <w:szCs w:val="32"/>
        </w:rPr>
      </w:pPr>
      <w:r>
        <w:rPr>
          <w:rFonts w:hint="eastAsia" w:ascii="仿宋" w:hAnsi="仿宋" w:eastAsia="仿宋"/>
          <w:sz w:val="32"/>
          <w:szCs w:val="32"/>
        </w:rPr>
        <w:t>公务用车运行维护费支出预算为0万元，支出决算为0万元，完成预算的0%，与上年持平。</w:t>
      </w:r>
    </w:p>
    <w:p w14:paraId="455CBDC6">
      <w:pPr>
        <w:pStyle w:val="188"/>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val="0"/>
          <w:sz w:val="32"/>
          <w:szCs w:val="32"/>
        </w:rPr>
      </w:pPr>
      <w:r>
        <w:rPr>
          <w:rFonts w:hint="eastAsia" w:ascii="仿宋" w:hAnsi="仿宋" w:eastAsia="仿宋" w:cs="仿宋"/>
          <w:b/>
          <w:bCs w:val="0"/>
          <w:sz w:val="32"/>
          <w:szCs w:val="32"/>
        </w:rPr>
        <w:t>（二）“三公”经费财政拨款支出决算具体情况说明</w:t>
      </w:r>
    </w:p>
    <w:p w14:paraId="4EA95D31">
      <w:pPr>
        <w:pStyle w:val="18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2023</w:t>
      </w:r>
      <w:r>
        <w:rPr>
          <w:rFonts w:hint="eastAsia" w:ascii="仿宋" w:hAnsi="仿宋" w:eastAsia="仿宋" w:cs="仿宋"/>
          <w:sz w:val="32"/>
          <w:szCs w:val="32"/>
        </w:rPr>
        <w:t>年度“三公”经费财政拨款支出决算中，公务接待费支出决算0万元，占0%,因公出国（境）费支出决算0万元，占0%,公务用车购置费及运行维护费支出决算0.00万元，占0%。其中：</w:t>
      </w:r>
    </w:p>
    <w:p w14:paraId="23C8A83E">
      <w:pPr>
        <w:pStyle w:val="18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i/>
          <w:color w:val="auto"/>
          <w:sz w:val="32"/>
          <w:szCs w:val="32"/>
          <w:lang w:val="en-US"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因公出国（境）费支出决算为0万元，全年安排因公出国（境）团组</w:t>
      </w:r>
      <w:r>
        <w:rPr>
          <w:rFonts w:hint="eastAsia" w:ascii="仿宋" w:hAnsi="仿宋" w:eastAsia="仿宋" w:cs="仿宋"/>
          <w:sz w:val="32"/>
          <w:szCs w:val="32"/>
          <w:lang w:val="en-US" w:eastAsia="zh-CN"/>
        </w:rPr>
        <w:t>0</w:t>
      </w:r>
      <w:r>
        <w:rPr>
          <w:rFonts w:hint="eastAsia" w:ascii="仿宋" w:hAnsi="仿宋" w:eastAsia="仿宋" w:cs="仿宋"/>
          <w:sz w:val="32"/>
          <w:szCs w:val="32"/>
        </w:rPr>
        <w:t>个，累计</w:t>
      </w:r>
      <w:r>
        <w:rPr>
          <w:rFonts w:hint="eastAsia" w:ascii="仿宋" w:hAnsi="仿宋" w:eastAsia="仿宋" w:cs="仿宋"/>
          <w:sz w:val="32"/>
          <w:szCs w:val="32"/>
          <w:lang w:val="en-US" w:eastAsia="zh-CN"/>
        </w:rPr>
        <w:t>0</w:t>
      </w:r>
      <w:r>
        <w:rPr>
          <w:rFonts w:hint="eastAsia" w:ascii="仿宋" w:hAnsi="仿宋" w:eastAsia="仿宋" w:cs="仿宋"/>
          <w:sz w:val="32"/>
          <w:szCs w:val="32"/>
        </w:rPr>
        <w:t>人次</w:t>
      </w:r>
      <w:r>
        <w:rPr>
          <w:rFonts w:hint="eastAsia" w:ascii="仿宋" w:hAnsi="仿宋" w:eastAsia="仿宋" w:cs="仿宋"/>
          <w:sz w:val="32"/>
          <w:szCs w:val="32"/>
          <w:lang w:eastAsia="zh-CN"/>
        </w:rPr>
        <w:t>。</w:t>
      </w:r>
    </w:p>
    <w:p w14:paraId="5845D323">
      <w:pPr>
        <w:pStyle w:val="18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2、公务接待费支出决算为0万元，全年共接待来访团组</w:t>
      </w:r>
      <w:r>
        <w:rPr>
          <w:rFonts w:hint="eastAsia" w:ascii="仿宋" w:hAnsi="仿宋" w:eastAsia="仿宋" w:cs="仿宋"/>
          <w:sz w:val="32"/>
          <w:szCs w:val="32"/>
          <w:lang w:val="en-US" w:eastAsia="zh-CN"/>
        </w:rPr>
        <w:t>0</w:t>
      </w:r>
      <w:r>
        <w:rPr>
          <w:rFonts w:hint="eastAsia" w:ascii="仿宋" w:hAnsi="仿宋" w:eastAsia="仿宋" w:cs="仿宋"/>
          <w:sz w:val="32"/>
          <w:szCs w:val="32"/>
        </w:rPr>
        <w:t>个、来宾</w:t>
      </w:r>
      <w:r>
        <w:rPr>
          <w:rFonts w:hint="eastAsia" w:ascii="仿宋" w:hAnsi="仿宋" w:eastAsia="仿宋" w:cs="仿宋"/>
          <w:sz w:val="32"/>
          <w:szCs w:val="32"/>
          <w:lang w:val="en-US" w:eastAsia="zh-CN"/>
        </w:rPr>
        <w:t>0</w:t>
      </w:r>
      <w:r>
        <w:rPr>
          <w:rFonts w:hint="eastAsia" w:ascii="仿宋" w:hAnsi="仿宋" w:eastAsia="仿宋" w:cs="仿宋"/>
          <w:sz w:val="32"/>
          <w:szCs w:val="32"/>
        </w:rPr>
        <w:t>人次。</w:t>
      </w:r>
    </w:p>
    <w:p w14:paraId="275BD3E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i/>
          <w:color w:val="auto"/>
          <w:sz w:val="32"/>
          <w:szCs w:val="32"/>
          <w:lang w:val="en-US" w:eastAsia="zh-CN" w:bidi="ar-SA"/>
        </w:rPr>
      </w:pPr>
      <w:r>
        <w:rPr>
          <w:rFonts w:hint="eastAsia" w:ascii="仿宋" w:hAnsi="仿宋" w:eastAsia="仿宋" w:cs="仿宋"/>
          <w:sz w:val="32"/>
          <w:szCs w:val="32"/>
        </w:rPr>
        <w:t>3、公务用车购置费及运行维护费支出决算为0.00万元，其中：公务用车购置费0万元，岳阳县畜禽良种繁殖场（单位本级或某二级机构）更新公务用车</w:t>
      </w:r>
      <w:r>
        <w:rPr>
          <w:rFonts w:hint="eastAsia" w:ascii="仿宋" w:hAnsi="仿宋" w:eastAsia="仿宋" w:cs="仿宋"/>
          <w:sz w:val="32"/>
          <w:szCs w:val="32"/>
          <w:lang w:val="en-US" w:eastAsia="zh-CN"/>
        </w:rPr>
        <w:t>0</w:t>
      </w:r>
      <w:r>
        <w:rPr>
          <w:rFonts w:hint="eastAsia" w:ascii="仿宋" w:hAnsi="仿宋" w:eastAsia="仿宋" w:cs="仿宋"/>
          <w:sz w:val="32"/>
          <w:szCs w:val="32"/>
        </w:rPr>
        <w:t>辆</w:t>
      </w:r>
      <w:r>
        <w:rPr>
          <w:rFonts w:hint="eastAsia" w:ascii="仿宋" w:hAnsi="仿宋" w:eastAsia="仿宋" w:cs="仿宋"/>
          <w:sz w:val="32"/>
          <w:szCs w:val="32"/>
          <w:lang w:eastAsia="zh-CN"/>
        </w:rPr>
        <w:t>，</w:t>
      </w:r>
      <w:r>
        <w:rPr>
          <w:rFonts w:hint="eastAsia" w:ascii="仿宋" w:hAnsi="仿宋" w:eastAsia="仿宋" w:cs="仿宋"/>
          <w:sz w:val="32"/>
          <w:szCs w:val="32"/>
        </w:rPr>
        <w:t>公务用车运行维护费0万元，截</w:t>
      </w:r>
      <w:r>
        <w:rPr>
          <w:rFonts w:hint="eastAsia" w:ascii="仿宋" w:hAnsi="仿宋" w:eastAsia="仿宋" w:cs="仿宋"/>
          <w:sz w:val="32"/>
          <w:szCs w:val="32"/>
          <w:lang w:val="en-US" w:eastAsia="zh-CN"/>
        </w:rPr>
        <w:t>至</w:t>
      </w:r>
      <w:r>
        <w:rPr>
          <w:rFonts w:hint="eastAsia" w:ascii="仿宋" w:hAnsi="仿宋" w:eastAsia="仿宋" w:cs="仿宋"/>
          <w:sz w:val="32"/>
          <w:szCs w:val="32"/>
          <w:lang w:eastAsia="zh-CN"/>
        </w:rPr>
        <w:t>2023</w:t>
      </w:r>
      <w:r>
        <w:rPr>
          <w:rFonts w:hint="eastAsia" w:ascii="仿宋" w:hAnsi="仿宋" w:eastAsia="仿宋" w:cs="仿宋"/>
          <w:sz w:val="32"/>
          <w:szCs w:val="32"/>
        </w:rPr>
        <w:t>年12月31日，我单位开支财政拨款的公务用车保有量为</w:t>
      </w:r>
      <w:r>
        <w:rPr>
          <w:rFonts w:hint="eastAsia" w:ascii="仿宋" w:hAnsi="仿宋" w:eastAsia="仿宋" w:cs="仿宋"/>
          <w:sz w:val="32"/>
          <w:szCs w:val="32"/>
          <w:lang w:val="en-US" w:eastAsia="zh-CN"/>
        </w:rPr>
        <w:t>0</w:t>
      </w:r>
      <w:r>
        <w:rPr>
          <w:rFonts w:hint="eastAsia" w:ascii="仿宋" w:hAnsi="仿宋" w:eastAsia="仿宋" w:cs="仿宋"/>
          <w:sz w:val="32"/>
          <w:szCs w:val="32"/>
        </w:rPr>
        <w:t>辆。</w:t>
      </w:r>
    </w:p>
    <w:p w14:paraId="216220FA">
      <w:pPr>
        <w:pStyle w:val="18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微软雅黑" w:hAnsi="微软雅黑" w:eastAsia="微软雅黑" w:cs="微软雅黑"/>
          <w:b/>
          <w:sz w:val="32"/>
          <w:szCs w:val="32"/>
        </w:rPr>
      </w:pPr>
      <w:r>
        <w:rPr>
          <w:rFonts w:hint="eastAsia" w:ascii="微软雅黑" w:hAnsi="微软雅黑" w:eastAsia="微软雅黑" w:cs="微软雅黑"/>
          <w:b/>
          <w:sz w:val="32"/>
          <w:szCs w:val="32"/>
          <w:lang w:eastAsia="zh-CN"/>
        </w:rPr>
        <w:t>十、</w:t>
      </w:r>
      <w:r>
        <w:rPr>
          <w:rFonts w:hint="eastAsia" w:ascii="微软雅黑" w:hAnsi="微软雅黑" w:eastAsia="微软雅黑" w:cs="微软雅黑"/>
          <w:b/>
          <w:sz w:val="32"/>
          <w:szCs w:val="32"/>
        </w:rPr>
        <w:t>关于机关运行经费支出说明</w:t>
      </w:r>
    </w:p>
    <w:p w14:paraId="66F2192A">
      <w:pPr>
        <w:pStyle w:val="18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color w:val="auto"/>
          <w:sz w:val="32"/>
          <w:szCs w:val="32"/>
          <w:lang w:val="en-US" w:eastAsia="zh-CN" w:bidi="ar-SA"/>
        </w:rPr>
      </w:pPr>
      <w:r>
        <w:rPr>
          <w:rFonts w:hint="eastAsia" w:ascii="仿宋" w:hAnsi="仿宋" w:eastAsia="仿宋" w:cs="仿宋"/>
          <w:color w:val="auto"/>
          <w:sz w:val="32"/>
          <w:szCs w:val="32"/>
          <w:lang w:val="en-US" w:eastAsia="zh-CN" w:bidi="ar-SA"/>
        </w:rPr>
        <w:t>本部门2023年度机关运行经费支出0万元，比年初预算数（或者上年决算数）减少1.83 万元，减少100.15 %，主要原因是本期无办公设备购置开支。</w:t>
      </w:r>
    </w:p>
    <w:p w14:paraId="5A26073D">
      <w:pPr>
        <w:pStyle w:val="188"/>
        <w:keepNext w:val="0"/>
        <w:keepLines w:val="0"/>
        <w:pageBreakBefore w:val="0"/>
        <w:widowControl w:val="0"/>
        <w:spacing w:line="600" w:lineRule="exact"/>
        <w:ind w:firstLine="640"/>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一</w:t>
      </w:r>
      <w:r>
        <w:rPr>
          <w:rFonts w:hint="eastAsia" w:ascii="微软雅黑" w:hAnsi="微软雅黑" w:eastAsia="微软雅黑" w:cs="微软雅黑"/>
          <w:b/>
          <w:bCs w:val="0"/>
          <w:sz w:val="32"/>
          <w:szCs w:val="32"/>
        </w:rPr>
        <w:t>、一般性支出情况说明</w:t>
      </w:r>
    </w:p>
    <w:p w14:paraId="658CF12B">
      <w:pPr>
        <w:pStyle w:val="18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auto"/>
          <w:sz w:val="32"/>
          <w:szCs w:val="32"/>
          <w:lang w:val="en-US" w:eastAsia="zh-CN" w:bidi="ar-SA"/>
        </w:rPr>
      </w:pPr>
      <w:r>
        <w:rPr>
          <w:rFonts w:hint="eastAsia" w:ascii="仿宋" w:hAnsi="仿宋" w:eastAsia="仿宋" w:cs="仿宋"/>
          <w:color w:val="auto"/>
          <w:sz w:val="32"/>
          <w:szCs w:val="32"/>
          <w:lang w:val="en-US" w:eastAsia="zh-CN" w:bidi="ar-SA"/>
        </w:rPr>
        <w:t>2023年本部门开支会议费0万元，用于召开0次会议，人数0人；开支培训费0万元，用于开展0次培训，人数0人；未举办节庆、晚会、论坛、赛事活动，开支0万元。</w:t>
      </w:r>
    </w:p>
    <w:p w14:paraId="70C05F6B">
      <w:pPr>
        <w:pStyle w:val="188"/>
        <w:keepNext w:val="0"/>
        <w:keepLines w:val="0"/>
        <w:pageBreakBefore w:val="0"/>
        <w:widowControl w:val="0"/>
        <w:spacing w:line="600" w:lineRule="exact"/>
        <w:ind w:firstLine="640"/>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二</w:t>
      </w:r>
      <w:r>
        <w:rPr>
          <w:rFonts w:hint="eastAsia" w:ascii="微软雅黑" w:hAnsi="微软雅黑" w:eastAsia="微软雅黑" w:cs="微软雅黑"/>
          <w:b/>
          <w:bCs w:val="0"/>
          <w:sz w:val="32"/>
          <w:szCs w:val="32"/>
        </w:rPr>
        <w:t>、关于政府采购支出说明</w:t>
      </w:r>
    </w:p>
    <w:p w14:paraId="21E15BA6">
      <w:pPr>
        <w:pStyle w:val="18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本部门</w:t>
      </w:r>
      <w:r>
        <w:rPr>
          <w:rFonts w:hint="eastAsia" w:ascii="仿宋" w:hAnsi="仿宋" w:eastAsia="仿宋" w:cs="仿宋"/>
          <w:sz w:val="32"/>
          <w:szCs w:val="32"/>
          <w:lang w:eastAsia="zh-CN"/>
        </w:rPr>
        <w:t>2023</w:t>
      </w:r>
      <w:r>
        <w:rPr>
          <w:rFonts w:hint="eastAsia" w:ascii="仿宋" w:hAnsi="仿宋" w:eastAsia="仿宋" w:cs="仿宋"/>
          <w:sz w:val="32"/>
          <w:szCs w:val="32"/>
        </w:rPr>
        <w:t>年度政府采购支出总额</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万元，其中：政府采购货物支出</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万元、政府采购工程支出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万元、政府采购服务支出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万元。授予中小企业合同金额</w:t>
      </w:r>
      <w:r>
        <w:rPr>
          <w:rFonts w:hint="eastAsia" w:ascii="仿宋" w:hAnsi="仿宋" w:eastAsia="仿宋" w:cs="仿宋"/>
          <w:sz w:val="32"/>
          <w:szCs w:val="32"/>
          <w:lang w:val="en-US" w:eastAsia="zh-CN"/>
        </w:rPr>
        <w:t>0</w:t>
      </w:r>
      <w:r>
        <w:rPr>
          <w:rFonts w:hint="eastAsia" w:ascii="仿宋" w:hAnsi="仿宋" w:eastAsia="仿宋" w:cs="仿宋"/>
          <w:sz w:val="32"/>
          <w:szCs w:val="32"/>
        </w:rPr>
        <w:t>万元，占政府采购支出总额的</w:t>
      </w:r>
      <w:r>
        <w:rPr>
          <w:rFonts w:hint="eastAsia" w:ascii="仿宋" w:hAnsi="仿宋" w:eastAsia="仿宋" w:cs="仿宋"/>
          <w:sz w:val="32"/>
          <w:szCs w:val="32"/>
          <w:lang w:val="en-US" w:eastAsia="zh-CN"/>
        </w:rPr>
        <w:t>0</w:t>
      </w:r>
      <w:r>
        <w:rPr>
          <w:rFonts w:hint="eastAsia" w:ascii="仿宋" w:hAnsi="仿宋" w:eastAsia="仿宋" w:cs="仿宋"/>
          <w:sz w:val="32"/>
          <w:szCs w:val="32"/>
        </w:rPr>
        <w:t>%，其中：授予小微企业合同金额</w:t>
      </w:r>
      <w:r>
        <w:rPr>
          <w:rFonts w:hint="eastAsia" w:ascii="仿宋" w:hAnsi="仿宋" w:eastAsia="仿宋" w:cs="仿宋"/>
          <w:sz w:val="32"/>
          <w:szCs w:val="32"/>
          <w:lang w:val="en-US" w:eastAsia="zh-CN"/>
        </w:rPr>
        <w:t>0</w:t>
      </w:r>
      <w:r>
        <w:rPr>
          <w:rFonts w:hint="eastAsia" w:ascii="仿宋" w:hAnsi="仿宋" w:eastAsia="仿宋" w:cs="仿宋"/>
          <w:sz w:val="32"/>
          <w:szCs w:val="32"/>
        </w:rPr>
        <w:t>万元，占授予中小企业合同金额的</w:t>
      </w:r>
      <w:r>
        <w:rPr>
          <w:rFonts w:hint="eastAsia" w:ascii="仿宋" w:hAnsi="仿宋" w:eastAsia="仿宋" w:cs="仿宋"/>
          <w:sz w:val="32"/>
          <w:szCs w:val="32"/>
          <w:lang w:val="en-US" w:eastAsia="zh-CN"/>
        </w:rPr>
        <w:t>0</w:t>
      </w:r>
      <w:r>
        <w:rPr>
          <w:rFonts w:hint="eastAsia" w:ascii="仿宋" w:hAnsi="仿宋" w:eastAsia="仿宋" w:cs="仿宋"/>
          <w:sz w:val="32"/>
          <w:szCs w:val="32"/>
        </w:rPr>
        <w:t>%。货物采购授予中小企业合同金额占货物支出金额的</w:t>
      </w:r>
      <w:r>
        <w:rPr>
          <w:rFonts w:hint="eastAsia" w:ascii="仿宋" w:hAnsi="仿宋" w:eastAsia="仿宋" w:cs="仿宋"/>
          <w:sz w:val="32"/>
          <w:szCs w:val="32"/>
          <w:lang w:val="en-US" w:eastAsia="zh-CN"/>
        </w:rPr>
        <w:t>0</w:t>
      </w:r>
      <w:r>
        <w:rPr>
          <w:rFonts w:hint="eastAsia" w:ascii="仿宋" w:hAnsi="仿宋" w:eastAsia="仿宋" w:cs="仿宋"/>
          <w:sz w:val="32"/>
          <w:szCs w:val="32"/>
        </w:rPr>
        <w:t>%，工程采购授予中小企业合同金额占工程支出金额的</w:t>
      </w:r>
      <w:r>
        <w:rPr>
          <w:rFonts w:hint="eastAsia" w:ascii="仿宋" w:hAnsi="仿宋" w:eastAsia="仿宋" w:cs="仿宋"/>
          <w:sz w:val="32"/>
          <w:szCs w:val="32"/>
          <w:lang w:val="en-US" w:eastAsia="zh-CN"/>
        </w:rPr>
        <w:t>0</w:t>
      </w:r>
      <w:r>
        <w:rPr>
          <w:rFonts w:hint="eastAsia" w:ascii="仿宋" w:hAnsi="仿宋" w:eastAsia="仿宋" w:cs="仿宋"/>
          <w:sz w:val="32"/>
          <w:szCs w:val="32"/>
        </w:rPr>
        <w:t>%，服务采购授予中小企业合同金额占服务支出金额的</w:t>
      </w:r>
      <w:r>
        <w:rPr>
          <w:rFonts w:hint="eastAsia" w:ascii="仿宋" w:hAnsi="仿宋" w:eastAsia="仿宋" w:cs="仿宋"/>
          <w:sz w:val="32"/>
          <w:szCs w:val="32"/>
          <w:lang w:val="en-US" w:eastAsia="zh-CN"/>
        </w:rPr>
        <w:t>0</w:t>
      </w:r>
      <w:r>
        <w:rPr>
          <w:rFonts w:hint="eastAsia" w:ascii="仿宋" w:hAnsi="仿宋" w:eastAsia="仿宋" w:cs="仿宋"/>
          <w:sz w:val="32"/>
          <w:szCs w:val="32"/>
        </w:rPr>
        <w:t>%。</w:t>
      </w:r>
    </w:p>
    <w:p w14:paraId="36D1F344">
      <w:pPr>
        <w:pStyle w:val="188"/>
        <w:keepNext w:val="0"/>
        <w:keepLines w:val="0"/>
        <w:pageBreakBefore w:val="0"/>
        <w:widowControl w:val="0"/>
        <w:spacing w:line="600" w:lineRule="exact"/>
        <w:ind w:firstLine="640"/>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三</w:t>
      </w:r>
      <w:r>
        <w:rPr>
          <w:rFonts w:hint="eastAsia" w:ascii="微软雅黑" w:hAnsi="微软雅黑" w:eastAsia="微软雅黑" w:cs="微软雅黑"/>
          <w:b/>
          <w:bCs w:val="0"/>
          <w:sz w:val="32"/>
          <w:szCs w:val="32"/>
        </w:rPr>
        <w:t>、关于国有资产占用情况说明</w:t>
      </w:r>
    </w:p>
    <w:p w14:paraId="1F9085A9">
      <w:pPr>
        <w:pStyle w:val="188"/>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截至202</w:t>
      </w:r>
      <w:r>
        <w:rPr>
          <w:rFonts w:hint="eastAsia" w:ascii="仿宋" w:hAnsi="仿宋" w:eastAsia="仿宋"/>
          <w:sz w:val="32"/>
          <w:szCs w:val="32"/>
          <w:lang w:val="en-US" w:eastAsia="zh-CN"/>
        </w:rPr>
        <w:t>3</w:t>
      </w:r>
      <w:r>
        <w:rPr>
          <w:rFonts w:hint="eastAsia" w:ascii="仿宋" w:hAnsi="仿宋" w:eastAsia="仿宋"/>
          <w:sz w:val="32"/>
          <w:szCs w:val="32"/>
        </w:rPr>
        <w:t>年12月31日，本单位共有车辆0辆，其中，主要领导干部用车0辆，机要通信用车0辆、应急保障用车0辆、执法执勤用车0辆、特种专业技术用车0辆、其他用车0辆；单位价值50万元以上通用设备0台（套）；单位价值100万元以上专用设备0台（套）。</w:t>
      </w:r>
    </w:p>
    <w:p w14:paraId="756279F6">
      <w:pPr>
        <w:pStyle w:val="188"/>
        <w:keepNext w:val="0"/>
        <w:keepLines w:val="0"/>
        <w:pageBreakBefore w:val="0"/>
        <w:widowControl w:val="0"/>
        <w:spacing w:line="600" w:lineRule="exact"/>
        <w:ind w:firstLine="640"/>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四</w:t>
      </w:r>
      <w:r>
        <w:rPr>
          <w:rFonts w:hint="eastAsia" w:ascii="微软雅黑" w:hAnsi="微软雅黑" w:eastAsia="微软雅黑" w:cs="微软雅黑"/>
          <w:b/>
          <w:bCs w:val="0"/>
          <w:sz w:val="32"/>
          <w:szCs w:val="32"/>
        </w:rPr>
        <w:t>、关于</w:t>
      </w:r>
      <w:r>
        <w:rPr>
          <w:rFonts w:hint="eastAsia" w:ascii="微软雅黑" w:hAnsi="微软雅黑" w:eastAsia="微软雅黑" w:cs="微软雅黑"/>
          <w:b/>
          <w:bCs w:val="0"/>
          <w:sz w:val="32"/>
          <w:szCs w:val="32"/>
          <w:lang w:eastAsia="zh-CN"/>
        </w:rPr>
        <w:t>2023</w:t>
      </w:r>
      <w:r>
        <w:rPr>
          <w:rFonts w:hint="eastAsia" w:ascii="微软雅黑" w:hAnsi="微软雅黑" w:eastAsia="微软雅黑" w:cs="微软雅黑"/>
          <w:b/>
          <w:bCs w:val="0"/>
          <w:sz w:val="32"/>
          <w:szCs w:val="32"/>
        </w:rPr>
        <w:t>年度绩效</w:t>
      </w:r>
      <w:r>
        <w:rPr>
          <w:rFonts w:hint="eastAsia" w:ascii="微软雅黑" w:hAnsi="微软雅黑" w:eastAsia="微软雅黑" w:cs="微软雅黑"/>
          <w:b/>
          <w:bCs w:val="0"/>
          <w:sz w:val="32"/>
          <w:szCs w:val="32"/>
          <w:lang w:val="en-US" w:eastAsia="zh-CN"/>
        </w:rPr>
        <w:t>评价</w:t>
      </w:r>
      <w:r>
        <w:rPr>
          <w:rFonts w:hint="eastAsia" w:ascii="微软雅黑" w:hAnsi="微软雅黑" w:eastAsia="微软雅黑" w:cs="微软雅黑"/>
          <w:b/>
          <w:bCs w:val="0"/>
          <w:sz w:val="32"/>
          <w:szCs w:val="32"/>
        </w:rPr>
        <w:t>情况的说明</w:t>
      </w:r>
    </w:p>
    <w:p w14:paraId="7B34803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微软雅黑" w:hAnsi="微软雅黑" w:eastAsia="微软雅黑" w:cs="微软雅黑"/>
          <w:color w:val="000000"/>
          <w:sz w:val="32"/>
          <w:szCs w:val="32"/>
        </w:rPr>
      </w:pPr>
      <w:r>
        <w:rPr>
          <w:rFonts w:hint="eastAsia" w:ascii="微软雅黑" w:hAnsi="微软雅黑" w:eastAsia="微软雅黑" w:cs="微软雅黑"/>
          <w:b/>
          <w:color w:val="000000"/>
          <w:sz w:val="32"/>
          <w:szCs w:val="32"/>
        </w:rPr>
        <w:t>（1）绩效管理评价工作开展情况</w:t>
      </w:r>
      <w:r>
        <w:rPr>
          <w:rFonts w:hint="eastAsia" w:ascii="微软雅黑" w:hAnsi="微软雅黑" w:eastAsia="微软雅黑" w:cs="微软雅黑"/>
          <w:color w:val="000000"/>
          <w:sz w:val="32"/>
          <w:szCs w:val="32"/>
        </w:rPr>
        <w:t>。</w:t>
      </w:r>
    </w:p>
    <w:p w14:paraId="50F4067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000000"/>
          <w:sz w:val="32"/>
          <w:szCs w:val="32"/>
          <w:lang w:val="en-US" w:eastAsia="zh-CN" w:bidi="ar-SA"/>
        </w:rPr>
      </w:pPr>
      <w:r>
        <w:rPr>
          <w:rFonts w:hint="eastAsia" w:ascii="仿宋" w:hAnsi="仿宋" w:eastAsia="仿宋" w:cs="仿宋"/>
          <w:color w:val="000000"/>
          <w:sz w:val="32"/>
          <w:szCs w:val="32"/>
          <w:lang w:val="en-US" w:eastAsia="zh-CN" w:bidi="ar-SA"/>
        </w:rPr>
        <w:t>根据预算绩效管理要求，我部门组织对</w:t>
      </w:r>
      <w:r>
        <w:rPr>
          <w:rFonts w:hint="eastAsia" w:ascii="仿宋" w:hAnsi="仿宋" w:eastAsia="仿宋" w:cs="仿宋"/>
          <w:color w:val="000000"/>
          <w:sz w:val="32"/>
        </w:rPr>
        <w:t>2023年度一般公共预算项目支出全面开展绩效自评，其中，一级项目</w:t>
      </w:r>
      <w:r>
        <w:rPr>
          <w:rFonts w:hint="eastAsia" w:ascii="仿宋" w:hAnsi="仿宋" w:eastAsia="仿宋" w:cs="仿宋"/>
          <w:color w:val="000000"/>
          <w:sz w:val="32"/>
          <w:lang w:val="en-US" w:eastAsia="zh-CN"/>
        </w:rPr>
        <w:t>0</w:t>
      </w:r>
      <w:r>
        <w:rPr>
          <w:rFonts w:hint="eastAsia" w:ascii="仿宋" w:hAnsi="仿宋" w:eastAsia="仿宋" w:cs="仿宋"/>
          <w:color w:val="000000"/>
          <w:sz w:val="32"/>
        </w:rPr>
        <w:t>个，二级项目</w:t>
      </w:r>
      <w:r>
        <w:rPr>
          <w:rFonts w:hint="eastAsia" w:ascii="仿宋" w:hAnsi="仿宋" w:eastAsia="仿宋" w:cs="仿宋"/>
          <w:color w:val="000000"/>
          <w:sz w:val="32"/>
          <w:lang w:val="en-US" w:eastAsia="zh-CN"/>
        </w:rPr>
        <w:t>0</w:t>
      </w:r>
      <w:r>
        <w:rPr>
          <w:rFonts w:hint="eastAsia" w:ascii="仿宋" w:hAnsi="仿宋" w:eastAsia="仿宋" w:cs="仿宋"/>
          <w:color w:val="000000"/>
          <w:sz w:val="32"/>
        </w:rPr>
        <w:t>个，共涉及资金</w:t>
      </w:r>
      <w:r>
        <w:rPr>
          <w:rFonts w:hint="eastAsia" w:ascii="仿宋" w:hAnsi="仿宋" w:eastAsia="仿宋" w:cs="仿宋"/>
          <w:color w:val="000000"/>
          <w:sz w:val="32"/>
          <w:lang w:val="en-US" w:eastAsia="zh-CN"/>
        </w:rPr>
        <w:t>0</w:t>
      </w:r>
      <w:r>
        <w:rPr>
          <w:rFonts w:hint="eastAsia" w:ascii="仿宋" w:hAnsi="仿宋" w:eastAsia="仿宋" w:cs="仿宋"/>
          <w:color w:val="000000"/>
          <w:sz w:val="32"/>
        </w:rPr>
        <w:t>万元，占一般公共预算项目支出总额的</w:t>
      </w:r>
      <w:r>
        <w:rPr>
          <w:rFonts w:hint="eastAsia" w:ascii="仿宋" w:hAnsi="仿宋" w:eastAsia="仿宋" w:cs="仿宋"/>
          <w:color w:val="000000"/>
          <w:sz w:val="32"/>
          <w:lang w:val="en-US" w:eastAsia="zh-CN"/>
        </w:rPr>
        <w:t>0</w:t>
      </w:r>
      <w:r>
        <w:rPr>
          <w:rFonts w:hint="eastAsia" w:ascii="仿宋" w:hAnsi="仿宋" w:eastAsia="仿宋" w:cs="仿宋"/>
          <w:color w:val="000000"/>
          <w:sz w:val="32"/>
        </w:rPr>
        <w:t>%。组织对2023年度</w:t>
      </w:r>
      <w:r>
        <w:rPr>
          <w:rFonts w:hint="eastAsia" w:ascii="仿宋" w:hAnsi="仿宋" w:eastAsia="仿宋" w:cs="仿宋"/>
          <w:color w:val="000000"/>
          <w:sz w:val="32"/>
          <w:lang w:val="en-US" w:eastAsia="zh-CN"/>
        </w:rPr>
        <w:t>0</w:t>
      </w:r>
      <w:r>
        <w:rPr>
          <w:rFonts w:hint="eastAsia" w:ascii="仿宋" w:hAnsi="仿宋" w:eastAsia="仿宋" w:cs="仿宋"/>
          <w:color w:val="000000"/>
          <w:sz w:val="32"/>
        </w:rPr>
        <w:t>个政府性基金预算项目支出开展绩效自评，共涉及资金</w:t>
      </w:r>
      <w:r>
        <w:rPr>
          <w:rFonts w:hint="eastAsia" w:ascii="仿宋" w:hAnsi="仿宋" w:eastAsia="仿宋" w:cs="仿宋"/>
          <w:color w:val="000000"/>
          <w:sz w:val="32"/>
          <w:lang w:val="en-US" w:eastAsia="zh-CN"/>
        </w:rPr>
        <w:t>0</w:t>
      </w:r>
      <w:r>
        <w:rPr>
          <w:rFonts w:hint="eastAsia" w:ascii="仿宋" w:hAnsi="仿宋" w:eastAsia="仿宋" w:cs="仿宋"/>
          <w:color w:val="000000"/>
          <w:sz w:val="32"/>
        </w:rPr>
        <w:t>万元，占政府性基金预算项目支出总额的</w:t>
      </w:r>
      <w:r>
        <w:rPr>
          <w:rFonts w:hint="eastAsia" w:ascii="仿宋" w:hAnsi="仿宋" w:eastAsia="仿宋" w:cs="仿宋"/>
          <w:color w:val="000000"/>
          <w:sz w:val="32"/>
          <w:lang w:val="en-US" w:eastAsia="zh-CN"/>
        </w:rPr>
        <w:t>0</w:t>
      </w:r>
      <w:r>
        <w:rPr>
          <w:rFonts w:hint="eastAsia" w:ascii="仿宋" w:hAnsi="仿宋" w:eastAsia="仿宋" w:cs="仿宋"/>
          <w:color w:val="000000"/>
          <w:sz w:val="32"/>
        </w:rPr>
        <w:t>%。组织对2023年度</w:t>
      </w:r>
      <w:r>
        <w:rPr>
          <w:rFonts w:hint="eastAsia" w:ascii="仿宋" w:hAnsi="仿宋" w:eastAsia="仿宋" w:cs="仿宋"/>
          <w:color w:val="000000"/>
          <w:sz w:val="32"/>
          <w:lang w:val="en-US" w:eastAsia="zh-CN"/>
        </w:rPr>
        <w:t>0</w:t>
      </w:r>
      <w:r>
        <w:rPr>
          <w:rFonts w:hint="eastAsia" w:ascii="仿宋" w:hAnsi="仿宋" w:eastAsia="仿宋" w:cs="仿宋"/>
          <w:color w:val="000000"/>
          <w:sz w:val="32"/>
        </w:rPr>
        <w:t xml:space="preserve"> 个国有资本经营预算项目支出开展绩效自评，共涉及资金</w:t>
      </w:r>
      <w:r>
        <w:rPr>
          <w:rFonts w:hint="eastAsia" w:ascii="仿宋" w:hAnsi="仿宋" w:eastAsia="仿宋" w:cs="仿宋"/>
          <w:color w:val="000000"/>
          <w:sz w:val="32"/>
          <w:lang w:val="en-US" w:eastAsia="zh-CN"/>
        </w:rPr>
        <w:t>0</w:t>
      </w:r>
      <w:r>
        <w:rPr>
          <w:rFonts w:hint="eastAsia" w:ascii="仿宋" w:hAnsi="仿宋" w:eastAsia="仿宋" w:cs="仿宋"/>
          <w:color w:val="000000"/>
          <w:sz w:val="32"/>
        </w:rPr>
        <w:t xml:space="preserve"> 万元，占国有资本经营预算项目支出总额的</w:t>
      </w:r>
      <w:r>
        <w:rPr>
          <w:rFonts w:hint="eastAsia" w:ascii="仿宋" w:hAnsi="仿宋" w:eastAsia="仿宋" w:cs="仿宋"/>
          <w:color w:val="000000"/>
          <w:sz w:val="32"/>
          <w:lang w:val="en-US" w:eastAsia="zh-CN"/>
        </w:rPr>
        <w:t>0</w:t>
      </w:r>
      <w:r>
        <w:rPr>
          <w:rFonts w:hint="eastAsia" w:ascii="仿宋" w:hAnsi="仿宋" w:eastAsia="仿宋" w:cs="仿宋"/>
          <w:color w:val="000000"/>
          <w:sz w:val="32"/>
        </w:rPr>
        <w:t>%。</w:t>
      </w:r>
    </w:p>
    <w:p w14:paraId="42B2E485">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 w:hAnsi="仿宋" w:eastAsia="仿宋" w:cs="仿宋"/>
          <w:color w:val="000000"/>
          <w:kern w:val="0"/>
          <w:sz w:val="32"/>
          <w:szCs w:val="32"/>
        </w:rPr>
      </w:pPr>
      <w:r>
        <w:rPr>
          <w:rFonts w:hint="eastAsia" w:ascii="仿宋" w:hAnsi="仿宋" w:eastAsia="仿宋" w:cs="仿宋"/>
          <w:color w:val="000000"/>
          <w:sz w:val="32"/>
          <w:szCs w:val="32"/>
          <w:lang w:val="en-US" w:eastAsia="zh-CN" w:bidi="ar-SA"/>
        </w:rPr>
        <w:t>组织对</w:t>
      </w:r>
      <w:r>
        <w:rPr>
          <w:rFonts w:hint="eastAsia" w:ascii="仿宋" w:hAnsi="仿宋" w:eastAsia="仿宋" w:cs="仿宋"/>
          <w:color w:val="000000"/>
          <w:kern w:val="0"/>
          <w:sz w:val="32"/>
          <w:szCs w:val="32"/>
        </w:rPr>
        <w:t>“岳阳县畜禽良种繁殖场”0个项目开展了部门评价</w:t>
      </w:r>
      <w:r>
        <w:rPr>
          <w:rFonts w:hint="eastAsia" w:ascii="仿宋" w:hAnsi="仿宋" w:eastAsia="仿宋" w:cs="仿宋"/>
          <w:color w:val="000000"/>
          <w:sz w:val="32"/>
          <w:szCs w:val="32"/>
          <w:lang w:val="en-US" w:eastAsia="zh-CN" w:bidi="ar-SA"/>
        </w:rPr>
        <w:t>，涉及一般公共预算支出0万元，政府性基金预算支出0万元，国有资本经营预算支出0万元。从评价情况来看</w:t>
      </w:r>
      <w:r>
        <w:rPr>
          <w:rFonts w:hint="eastAsia" w:ascii="仿宋" w:hAnsi="仿宋" w:eastAsia="仿宋" w:cs="仿宋"/>
          <w:color w:val="000000"/>
          <w:kern w:val="0"/>
          <w:sz w:val="32"/>
          <w:szCs w:val="32"/>
        </w:rPr>
        <w:t>根据岳阳县财政局岳县财发【202</w:t>
      </w:r>
      <w:r>
        <w:rPr>
          <w:rFonts w:hint="eastAsia" w:ascii="仿宋" w:hAnsi="仿宋" w:eastAsia="仿宋" w:cs="仿宋"/>
          <w:color w:val="000000"/>
          <w:kern w:val="0"/>
          <w:sz w:val="32"/>
          <w:szCs w:val="32"/>
          <w:lang w:val="en-US" w:eastAsia="zh-CN"/>
        </w:rPr>
        <w:t>4</w:t>
      </w:r>
      <w:r>
        <w:rPr>
          <w:rFonts w:hint="eastAsia" w:ascii="仿宋" w:hAnsi="仿宋" w:eastAsia="仿宋" w:cs="仿宋"/>
          <w:color w:val="000000"/>
          <w:kern w:val="0"/>
          <w:sz w:val="32"/>
          <w:szCs w:val="32"/>
        </w:rPr>
        <w:t>】</w:t>
      </w:r>
      <w:r>
        <w:rPr>
          <w:rFonts w:hint="eastAsia" w:ascii="仿宋" w:hAnsi="仿宋" w:eastAsia="仿宋" w:cs="仿宋"/>
          <w:color w:val="000000"/>
          <w:kern w:val="0"/>
          <w:sz w:val="32"/>
          <w:szCs w:val="32"/>
          <w:lang w:val="en-US" w:eastAsia="zh-CN"/>
        </w:rPr>
        <w:t>26</w:t>
      </w:r>
      <w:r>
        <w:rPr>
          <w:rFonts w:hint="eastAsia" w:ascii="仿宋" w:hAnsi="仿宋" w:eastAsia="仿宋" w:cs="仿宋"/>
          <w:color w:val="000000"/>
          <w:kern w:val="0"/>
          <w:sz w:val="32"/>
          <w:szCs w:val="32"/>
        </w:rPr>
        <w:t>号《关于开展202</w:t>
      </w:r>
      <w:r>
        <w:rPr>
          <w:rFonts w:hint="eastAsia" w:ascii="仿宋" w:hAnsi="仿宋" w:eastAsia="仿宋" w:cs="仿宋"/>
          <w:color w:val="000000"/>
          <w:kern w:val="0"/>
          <w:sz w:val="32"/>
          <w:szCs w:val="32"/>
          <w:lang w:val="en-US" w:eastAsia="zh-CN"/>
        </w:rPr>
        <w:t>3</w:t>
      </w:r>
      <w:r>
        <w:rPr>
          <w:rFonts w:hint="eastAsia" w:ascii="仿宋" w:hAnsi="仿宋" w:eastAsia="仿宋" w:cs="仿宋"/>
          <w:color w:val="000000"/>
          <w:kern w:val="0"/>
          <w:sz w:val="32"/>
          <w:szCs w:val="32"/>
        </w:rPr>
        <w:t>年</w:t>
      </w:r>
      <w:r>
        <w:rPr>
          <w:rFonts w:hint="eastAsia" w:ascii="仿宋" w:hAnsi="仿宋" w:eastAsia="仿宋" w:cs="仿宋"/>
          <w:color w:val="000000"/>
          <w:kern w:val="0"/>
          <w:sz w:val="32"/>
          <w:szCs w:val="32"/>
          <w:lang w:val="en-US" w:eastAsia="zh-CN"/>
        </w:rPr>
        <w:t>度</w:t>
      </w:r>
      <w:r>
        <w:rPr>
          <w:rFonts w:hint="eastAsia" w:ascii="仿宋" w:hAnsi="仿宋" w:eastAsia="仿宋" w:cs="仿宋"/>
          <w:color w:val="000000"/>
          <w:kern w:val="0"/>
          <w:sz w:val="32"/>
          <w:szCs w:val="32"/>
        </w:rPr>
        <w:t>财政支出绩效自评工作的通知》文件的要求，为进一步规范财政资金管理，强化绩效和责任意识，切实提高财政资金使用效益，我单位对2022年度项目支出进行了绩效自评。</w:t>
      </w:r>
    </w:p>
    <w:p w14:paraId="6C5FBA1A">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组织对“岳阳县畜禽良种繁殖场”1个单位开展整体支出绩效评价，涉及一般公共预算支出</w:t>
      </w:r>
      <w:r>
        <w:rPr>
          <w:rFonts w:hint="eastAsia" w:ascii="仿宋" w:hAnsi="仿宋" w:eastAsia="仿宋" w:cs="仿宋"/>
          <w:color w:val="000000"/>
          <w:kern w:val="0"/>
          <w:sz w:val="32"/>
          <w:szCs w:val="32"/>
          <w:lang w:val="en-US" w:eastAsia="zh-CN"/>
        </w:rPr>
        <w:t>78.09</w:t>
      </w:r>
      <w:r>
        <w:rPr>
          <w:rFonts w:hint="eastAsia" w:ascii="仿宋" w:hAnsi="仿宋" w:eastAsia="仿宋" w:cs="仿宋"/>
          <w:color w:val="000000"/>
          <w:kern w:val="0"/>
          <w:sz w:val="32"/>
          <w:szCs w:val="32"/>
        </w:rPr>
        <w:t>万元，政府性基金预算支出0万元。从评价情况来看，根据岳阳县财政局岳县财发【202</w:t>
      </w:r>
      <w:r>
        <w:rPr>
          <w:rFonts w:hint="eastAsia" w:ascii="仿宋" w:hAnsi="仿宋" w:eastAsia="仿宋" w:cs="仿宋"/>
          <w:color w:val="000000"/>
          <w:kern w:val="0"/>
          <w:sz w:val="32"/>
          <w:szCs w:val="32"/>
          <w:lang w:val="en-US" w:eastAsia="zh-CN"/>
        </w:rPr>
        <w:t>4</w:t>
      </w:r>
      <w:r>
        <w:rPr>
          <w:rFonts w:hint="eastAsia" w:ascii="仿宋" w:hAnsi="仿宋" w:eastAsia="仿宋" w:cs="仿宋"/>
          <w:color w:val="000000"/>
          <w:kern w:val="0"/>
          <w:sz w:val="32"/>
          <w:szCs w:val="32"/>
        </w:rPr>
        <w:t>】</w:t>
      </w:r>
      <w:r>
        <w:rPr>
          <w:rFonts w:hint="eastAsia" w:ascii="仿宋" w:hAnsi="仿宋" w:eastAsia="仿宋" w:cs="仿宋"/>
          <w:color w:val="000000"/>
          <w:kern w:val="0"/>
          <w:sz w:val="32"/>
          <w:szCs w:val="32"/>
          <w:lang w:val="en-US" w:eastAsia="zh-CN"/>
        </w:rPr>
        <w:t>26</w:t>
      </w:r>
      <w:r>
        <w:rPr>
          <w:rFonts w:hint="eastAsia" w:ascii="仿宋" w:hAnsi="仿宋" w:eastAsia="仿宋" w:cs="仿宋"/>
          <w:color w:val="000000"/>
          <w:kern w:val="0"/>
          <w:sz w:val="32"/>
          <w:szCs w:val="32"/>
        </w:rPr>
        <w:t>号《关于开展202</w:t>
      </w:r>
      <w:r>
        <w:rPr>
          <w:rFonts w:hint="eastAsia" w:ascii="仿宋" w:hAnsi="仿宋" w:eastAsia="仿宋" w:cs="仿宋"/>
          <w:color w:val="000000"/>
          <w:kern w:val="0"/>
          <w:sz w:val="32"/>
          <w:szCs w:val="32"/>
          <w:lang w:val="en-US" w:eastAsia="zh-CN"/>
        </w:rPr>
        <w:t>3</w:t>
      </w:r>
      <w:r>
        <w:rPr>
          <w:rFonts w:hint="eastAsia" w:ascii="仿宋" w:hAnsi="仿宋" w:eastAsia="仿宋" w:cs="仿宋"/>
          <w:color w:val="000000"/>
          <w:kern w:val="0"/>
          <w:sz w:val="32"/>
          <w:szCs w:val="32"/>
        </w:rPr>
        <w:t>年</w:t>
      </w:r>
      <w:r>
        <w:rPr>
          <w:rFonts w:hint="eastAsia" w:ascii="仿宋" w:hAnsi="仿宋" w:eastAsia="仿宋" w:cs="仿宋"/>
          <w:color w:val="000000"/>
          <w:kern w:val="0"/>
          <w:sz w:val="32"/>
          <w:szCs w:val="32"/>
          <w:lang w:val="en-US" w:eastAsia="zh-CN"/>
        </w:rPr>
        <w:t>度</w:t>
      </w:r>
      <w:r>
        <w:rPr>
          <w:rFonts w:hint="eastAsia" w:ascii="仿宋" w:hAnsi="仿宋" w:eastAsia="仿宋" w:cs="仿宋"/>
          <w:color w:val="000000"/>
          <w:kern w:val="0"/>
          <w:sz w:val="32"/>
          <w:szCs w:val="32"/>
        </w:rPr>
        <w:t>财政支出绩效自评工作的通知》文件的要求，为进一步规范财政资金管理，强化绩效和责任意识，切实提高财政资金使用效益，我单位对202</w:t>
      </w:r>
      <w:r>
        <w:rPr>
          <w:rFonts w:hint="eastAsia" w:ascii="仿宋" w:hAnsi="仿宋" w:eastAsia="仿宋" w:cs="仿宋"/>
          <w:color w:val="000000"/>
          <w:kern w:val="0"/>
          <w:sz w:val="32"/>
          <w:szCs w:val="32"/>
          <w:lang w:val="en-US" w:eastAsia="zh-CN"/>
        </w:rPr>
        <w:t>3</w:t>
      </w:r>
      <w:r>
        <w:rPr>
          <w:rFonts w:hint="eastAsia" w:ascii="仿宋" w:hAnsi="仿宋" w:eastAsia="仿宋" w:cs="仿宋"/>
          <w:color w:val="000000"/>
          <w:kern w:val="0"/>
          <w:sz w:val="32"/>
          <w:szCs w:val="32"/>
        </w:rPr>
        <w:t>年度部门整体支出进行了绩效自评。</w:t>
      </w:r>
    </w:p>
    <w:p w14:paraId="39BD1D5D">
      <w:pPr>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b w:val="0"/>
          <w:bCs w:val="0"/>
          <w:i/>
          <w:iCs/>
          <w:color w:val="FF0000"/>
          <w:sz w:val="32"/>
          <w:szCs w:val="32"/>
          <w:lang w:eastAsia="zh-CN"/>
        </w:rPr>
        <w:br w:type="page" w:clear="all"/>
      </w:r>
    </w:p>
    <w:p w14:paraId="0F870481">
      <w:pPr>
        <w:pStyle w:val="188"/>
        <w:keepNext w:val="0"/>
        <w:keepLines w:val="0"/>
        <w:pageBreakBefore w:val="0"/>
        <w:widowControl w:val="0"/>
        <w:spacing w:line="360" w:lineRule="auto"/>
        <w:ind w:firstLine="640"/>
        <w:rPr>
          <w:rFonts w:hint="eastAsia" w:ascii="微软雅黑" w:hAnsi="微软雅黑" w:eastAsia="微软雅黑" w:cs="微软雅黑"/>
          <w:b w:val="0"/>
          <w:bCs w:val="0"/>
          <w:i/>
          <w:iCs/>
          <w:color w:val="FF0000"/>
          <w:sz w:val="32"/>
          <w:szCs w:val="32"/>
          <w:lang w:eastAsia="zh-CN"/>
        </w:rPr>
      </w:pPr>
    </w:p>
    <w:p w14:paraId="67FC7637">
      <w:pPr>
        <w:pStyle w:val="188"/>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第四部分</w:t>
      </w:r>
    </w:p>
    <w:p w14:paraId="6EA2E52C">
      <w:pPr>
        <w:jc w:val="center"/>
        <w:rPr>
          <w:rFonts w:hint="eastAsia" w:ascii="微软雅黑" w:hAnsi="微软雅黑" w:eastAsia="微软雅黑" w:cs="微软雅黑"/>
          <w:b/>
          <w:bCs/>
          <w:color w:val="000000"/>
          <w:sz w:val="70"/>
          <w:szCs w:val="70"/>
        </w:rPr>
      </w:pPr>
    </w:p>
    <w:p w14:paraId="585DFEA9">
      <w:pPr>
        <w:jc w:val="center"/>
        <w:rPr>
          <w:rFonts w:hint="eastAsia" w:ascii="微软雅黑" w:hAnsi="微软雅黑" w:eastAsia="微软雅黑" w:cs="微软雅黑"/>
          <w:b/>
          <w:bCs/>
          <w:color w:val="000000"/>
          <w:sz w:val="70"/>
          <w:szCs w:val="70"/>
        </w:rPr>
      </w:pPr>
      <w:r>
        <w:rPr>
          <w:rFonts w:hint="eastAsia" w:ascii="微软雅黑" w:hAnsi="微软雅黑" w:eastAsia="微软雅黑" w:cs="微软雅黑"/>
          <w:b/>
          <w:bCs/>
          <w:color w:val="000000"/>
          <w:sz w:val="70"/>
          <w:szCs w:val="70"/>
        </w:rPr>
        <w:t>名词解释</w:t>
      </w:r>
    </w:p>
    <w:p w14:paraId="170DC1A0">
      <w:pPr>
        <w:widowControl/>
        <w:jc w:val="left"/>
        <w:rPr>
          <w:rFonts w:hint="eastAsia" w:ascii="微软雅黑" w:hAnsi="微软雅黑" w:eastAsia="微软雅黑" w:cs="微软雅黑"/>
          <w:color w:val="000000"/>
          <w:sz w:val="32"/>
          <w:szCs w:val="32"/>
        </w:rPr>
      </w:pPr>
    </w:p>
    <w:p w14:paraId="7610F230">
      <w:pPr>
        <w:keepNext w:val="0"/>
        <w:keepLines w:val="0"/>
        <w:pageBreakBefore w:val="0"/>
        <w:widowControl w:val="0"/>
        <w:spacing w:line="360" w:lineRule="auto"/>
        <w:ind w:firstLine="640"/>
        <w:jc w:val="left"/>
        <w:rPr>
          <w:rFonts w:hint="eastAsia" w:ascii="微软雅黑" w:hAnsi="微软雅黑" w:eastAsia="微软雅黑" w:cs="微软雅黑"/>
          <w:color w:val="000000"/>
          <w:sz w:val="32"/>
          <w:szCs w:val="32"/>
        </w:rPr>
      </w:pPr>
      <w:r>
        <w:rPr>
          <w:rFonts w:hint="eastAsia" w:ascii="微软雅黑" w:hAnsi="微软雅黑" w:eastAsia="微软雅黑" w:cs="微软雅黑"/>
          <w:color w:val="00000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39D7EB63">
      <w:pPr>
        <w:keepNext w:val="0"/>
        <w:keepLines w:val="0"/>
        <w:pageBreakBefore w:val="0"/>
        <w:widowControl w:val="0"/>
        <w:spacing w:line="360" w:lineRule="auto"/>
        <w:ind w:firstLine="640"/>
        <w:jc w:val="left"/>
        <w:rPr>
          <w:rFonts w:hint="eastAsia" w:ascii="微软雅黑" w:hAnsi="微软雅黑" w:eastAsia="微软雅黑" w:cs="微软雅黑"/>
          <w:color w:val="000000"/>
          <w:sz w:val="32"/>
          <w:szCs w:val="32"/>
        </w:rPr>
      </w:pPr>
      <w:r>
        <w:rPr>
          <w:rFonts w:hint="eastAsia" w:ascii="微软雅黑" w:hAnsi="微软雅黑" w:eastAsia="微软雅黑" w:cs="微软雅黑"/>
          <w:color w:val="000000"/>
          <w:sz w:val="32"/>
          <w:szCs w:val="32"/>
        </w:rPr>
        <w:t>二、机关运行经费</w:t>
      </w:r>
      <w:r>
        <w:rPr>
          <w:rFonts w:hint="eastAsia" w:ascii="微软雅黑" w:hAnsi="微软雅黑" w:eastAsia="微软雅黑" w:cs="微软雅黑"/>
          <w:color w:val="000000"/>
          <w:sz w:val="32"/>
          <w:szCs w:val="32"/>
          <w:lang w:eastAsia="zh-CN"/>
        </w:rPr>
        <w:t>，</w:t>
      </w:r>
      <w:r>
        <w:rPr>
          <w:rFonts w:hint="eastAsia" w:ascii="微软雅黑" w:hAnsi="微软雅黑" w:eastAsia="微软雅黑" w:cs="微软雅黑"/>
          <w:color w:val="000000"/>
          <w:sz w:val="32"/>
          <w:szCs w:val="32"/>
        </w:rPr>
        <w:t>是指各部门的公用经费，包括办公及印刷费、邮电费、差旅费、会议费、福利费、日常维修费、专用材料及一般设备购置费、办公用房水电费、办公用房取暖费、办公用房物业管理费、公务用车运行维护费以及其他费用。</w:t>
      </w:r>
    </w:p>
    <w:p w14:paraId="4F8A338B">
      <w:pPr>
        <w:keepNext w:val="0"/>
        <w:keepLines w:val="0"/>
        <w:pageBreakBefore w:val="0"/>
        <w:widowControl w:val="0"/>
        <w:spacing w:line="360" w:lineRule="auto"/>
        <w:ind w:firstLine="640"/>
        <w:jc w:val="left"/>
        <w:rPr>
          <w:rFonts w:hint="eastAsia" w:ascii="微软雅黑" w:hAnsi="微软雅黑" w:eastAsia="微软雅黑" w:cs="微软雅黑"/>
          <w:color w:val="000000"/>
          <w:sz w:val="32"/>
          <w:szCs w:val="32"/>
        </w:rPr>
      </w:pPr>
      <w:r>
        <w:rPr>
          <w:rFonts w:hint="eastAsia" w:ascii="微软雅黑" w:hAnsi="微软雅黑" w:eastAsia="微软雅黑" w:cs="微软雅黑"/>
          <w:color w:val="000000"/>
          <w:sz w:val="32"/>
          <w:szCs w:val="32"/>
        </w:rPr>
        <w:t>三、……</w:t>
      </w:r>
    </w:p>
    <w:p w14:paraId="4EF8B5A3">
      <w:pPr>
        <w:pStyle w:val="188"/>
        <w:keepNext w:val="0"/>
        <w:keepLines w:val="0"/>
        <w:pageBreakBefore w:val="0"/>
        <w:widowControl w:val="0"/>
        <w:spacing w:line="360" w:lineRule="auto"/>
        <w:ind w:firstLine="640"/>
        <w:rPr>
          <w:rFonts w:hint="eastAsia" w:ascii="微软雅黑" w:hAnsi="微软雅黑" w:eastAsia="微软雅黑" w:cs="微软雅黑"/>
          <w:color w:val="000000"/>
          <w:sz w:val="32"/>
          <w:szCs w:val="32"/>
          <w:lang w:val="en-US" w:eastAsia="zh-CN" w:bidi="ar-SA"/>
        </w:rPr>
      </w:pPr>
      <w:r>
        <w:rPr>
          <w:rFonts w:hint="eastAsia" w:ascii="微软雅黑" w:hAnsi="微软雅黑" w:eastAsia="微软雅黑" w:cs="微软雅黑"/>
          <w:color w:val="000000"/>
          <w:sz w:val="32"/>
          <w:szCs w:val="32"/>
          <w:lang w:val="en-US" w:eastAsia="zh-CN" w:bidi="ar-SA"/>
        </w:rPr>
        <w:t>………</w:t>
      </w:r>
    </w:p>
    <w:p w14:paraId="1AAFB7C2">
      <w:pPr>
        <w:pStyle w:val="188"/>
        <w:keepNext w:val="0"/>
        <w:keepLines w:val="0"/>
        <w:pageBreakBefore w:val="0"/>
        <w:widowControl w:val="0"/>
        <w:spacing w:line="600" w:lineRule="exact"/>
        <w:ind w:firstLine="640"/>
        <w:rPr>
          <w:rFonts w:hint="eastAsia" w:ascii="微软雅黑" w:hAnsi="微软雅黑" w:eastAsia="微软雅黑" w:cs="微软雅黑"/>
          <w:b/>
          <w:bCs/>
          <w:i/>
          <w:color w:val="FF0000"/>
          <w:sz w:val="32"/>
          <w:szCs w:val="32"/>
          <w:lang w:val="en-US" w:eastAsia="zh-CN" w:bidi="ar-SA"/>
        </w:rPr>
      </w:pPr>
    </w:p>
    <w:p w14:paraId="4C1B3D64">
      <w:pPr>
        <w:rPr>
          <w:rFonts w:hint="eastAsia" w:ascii="微软雅黑" w:hAnsi="微软雅黑" w:eastAsia="微软雅黑" w:cs="微软雅黑"/>
          <w:sz w:val="72"/>
          <w:szCs w:val="72"/>
        </w:rPr>
      </w:pPr>
      <w:r>
        <w:rPr>
          <w:rFonts w:hint="eastAsia" w:ascii="微软雅黑" w:hAnsi="微软雅黑" w:eastAsia="微软雅黑" w:cs="微软雅黑"/>
          <w:sz w:val="72"/>
          <w:szCs w:val="72"/>
        </w:rPr>
        <w:br w:type="page" w:clear="all"/>
      </w:r>
    </w:p>
    <w:p w14:paraId="630A1751">
      <w:pPr>
        <w:pStyle w:val="188"/>
        <w:jc w:val="center"/>
        <w:rPr>
          <w:rFonts w:hint="eastAsia" w:ascii="微软雅黑" w:hAnsi="微软雅黑" w:eastAsia="微软雅黑" w:cs="微软雅黑"/>
          <w:sz w:val="72"/>
          <w:szCs w:val="72"/>
        </w:rPr>
      </w:pPr>
    </w:p>
    <w:p w14:paraId="4567805C">
      <w:pPr>
        <w:pStyle w:val="188"/>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第五部分</w:t>
      </w:r>
    </w:p>
    <w:p w14:paraId="3A148526">
      <w:pPr>
        <w:jc w:val="center"/>
        <w:rPr>
          <w:rFonts w:hint="eastAsia" w:ascii="微软雅黑" w:hAnsi="微软雅黑" w:eastAsia="微软雅黑" w:cs="微软雅黑"/>
          <w:b/>
          <w:bCs/>
          <w:color w:val="000000"/>
          <w:sz w:val="70"/>
          <w:szCs w:val="70"/>
        </w:rPr>
      </w:pPr>
    </w:p>
    <w:p w14:paraId="56E7C591">
      <w:pPr>
        <w:pStyle w:val="188"/>
        <w:jc w:val="center"/>
        <w:rPr>
          <w:rFonts w:hint="eastAsia" w:ascii="微软雅黑" w:hAnsi="微软雅黑" w:eastAsia="微软雅黑" w:cs="微软雅黑"/>
          <w:b/>
          <w:bCs/>
          <w:sz w:val="72"/>
          <w:szCs w:val="72"/>
        </w:rPr>
      </w:pPr>
      <w:r>
        <w:rPr>
          <w:rFonts w:hint="eastAsia" w:ascii="微软雅黑" w:hAnsi="微软雅黑" w:eastAsia="微软雅黑" w:cs="微软雅黑"/>
          <w:b/>
          <w:bCs/>
          <w:color w:val="000000"/>
          <w:sz w:val="70"/>
          <w:szCs w:val="70"/>
        </w:rPr>
        <w:t>附件</w:t>
      </w:r>
    </w:p>
    <w:p w14:paraId="1376548F">
      <w:pPr>
        <w:ind w:firstLine="640"/>
        <w:jc w:val="left"/>
        <w:rPr>
          <w:rFonts w:hint="eastAsia" w:ascii="微软雅黑" w:hAnsi="微软雅黑" w:eastAsia="微软雅黑" w:cs="微软雅黑"/>
          <w:b/>
          <w:bCs/>
          <w:color w:val="000000"/>
          <w:sz w:val="32"/>
          <w:szCs w:val="32"/>
          <w:lang w:val="en-US" w:eastAsia="zh-CN"/>
        </w:rPr>
      </w:pPr>
    </w:p>
    <w:p w14:paraId="03B1B485">
      <w:pPr>
        <w:keepNext w:val="0"/>
        <w:keepLines w:val="0"/>
        <w:pageBreakBefore w:val="0"/>
        <w:widowControl w:val="0"/>
        <w:spacing w:line="360" w:lineRule="auto"/>
        <w:ind w:firstLine="640"/>
        <w:jc w:val="left"/>
        <w:rPr>
          <w:rFonts w:hint="eastAsia" w:ascii="微软雅黑" w:hAnsi="微软雅黑" w:eastAsia="微软雅黑" w:cs="微软雅黑"/>
          <w:b/>
          <w:bCs/>
          <w:color w:val="000000"/>
          <w:sz w:val="32"/>
          <w:szCs w:val="32"/>
          <w:lang w:val="en-US" w:eastAsia="zh-CN"/>
        </w:rPr>
      </w:pPr>
      <w:r>
        <w:rPr>
          <w:rFonts w:hint="eastAsia" w:ascii="微软雅黑" w:hAnsi="微软雅黑" w:eastAsia="微软雅黑" w:cs="微软雅黑"/>
          <w:b/>
          <w:bCs/>
          <w:color w:val="000000"/>
          <w:sz w:val="32"/>
          <w:szCs w:val="32"/>
          <w:lang w:val="en-US" w:eastAsia="zh-CN"/>
        </w:rPr>
        <w:t>1、</w:t>
      </w:r>
      <w:r>
        <w:rPr>
          <w:rFonts w:ascii="微软雅黑" w:hAnsi="微软雅黑" w:eastAsia="微软雅黑" w:cs="微软雅黑"/>
          <w:b/>
          <w:color w:val="000000"/>
          <w:sz w:val="32"/>
        </w:rPr>
        <w:t>2023年部门决算公开表格</w:t>
      </w:r>
    </w:p>
    <w:p w14:paraId="06B82FC9">
      <w:pPr>
        <w:keepNext w:val="0"/>
        <w:keepLines w:val="0"/>
        <w:pageBreakBefore w:val="0"/>
        <w:widowControl w:val="0"/>
        <w:spacing w:line="360" w:lineRule="auto"/>
        <w:ind w:firstLine="640"/>
        <w:jc w:val="left"/>
        <w:rPr>
          <w:rFonts w:hint="eastAsia" w:ascii="微软雅黑" w:hAnsi="微软雅黑" w:eastAsia="微软雅黑" w:cs="微软雅黑"/>
          <w:b/>
          <w:bCs/>
          <w:color w:val="000000"/>
          <w:sz w:val="32"/>
          <w:szCs w:val="32"/>
        </w:rPr>
      </w:pPr>
      <w:r>
        <w:rPr>
          <w:rFonts w:hint="eastAsia" w:ascii="微软雅黑" w:hAnsi="微软雅黑" w:eastAsia="微软雅黑" w:cs="微软雅黑"/>
          <w:b/>
          <w:bCs/>
          <w:color w:val="000000"/>
          <w:sz w:val="32"/>
          <w:szCs w:val="32"/>
          <w:lang w:val="en-US" w:eastAsia="zh-CN"/>
        </w:rPr>
        <w:t>2、</w:t>
      </w:r>
      <w:r>
        <w:rPr>
          <w:rFonts w:hint="eastAsia" w:ascii="微软雅黑" w:hAnsi="微软雅黑" w:eastAsia="微软雅黑" w:cs="微软雅黑"/>
          <w:b/>
          <w:bCs/>
          <w:color w:val="000000"/>
          <w:sz w:val="32"/>
          <w:szCs w:val="32"/>
          <w:lang w:eastAsia="zh-CN"/>
        </w:rPr>
        <w:t>2023</w:t>
      </w:r>
      <w:r>
        <w:rPr>
          <w:rFonts w:hint="eastAsia" w:ascii="微软雅黑" w:hAnsi="微软雅黑" w:eastAsia="微软雅黑" w:cs="微软雅黑"/>
          <w:b/>
          <w:bCs/>
          <w:color w:val="000000"/>
          <w:sz w:val="32"/>
          <w:szCs w:val="32"/>
        </w:rPr>
        <w:t>年度部门整体支出绩效评价报告</w:t>
      </w:r>
    </w:p>
    <w:sectPr>
      <w:pgSz w:w="11906" w:h="16838" w:orient="landscape"/>
      <w:pgMar w:top="720" w:right="720" w:bottom="720" w:left="72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FD23B7"/>
    <w:multiLevelType w:val="singleLevel"/>
    <w:tmpl w:val="14FD23B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balanceSingleByteDoubleByteWidth/>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xYWFmZjcyZjdmYjFiNDc5ZTI5Y2M0YTdhNzM0ZmIifQ=="/>
  </w:docVars>
  <w:rsids>
    <w:rsidRoot w:val="00000000"/>
    <w:rsid w:val="01BD17FD"/>
    <w:rsid w:val="01DF79C5"/>
    <w:rsid w:val="0261662C"/>
    <w:rsid w:val="063C222C"/>
    <w:rsid w:val="0C6C5544"/>
    <w:rsid w:val="0F9F39DA"/>
    <w:rsid w:val="1CCE706E"/>
    <w:rsid w:val="1D3F2857"/>
    <w:rsid w:val="1EE461C3"/>
    <w:rsid w:val="1FD53D5E"/>
    <w:rsid w:val="21F95A0E"/>
    <w:rsid w:val="289E2394"/>
    <w:rsid w:val="2C01229D"/>
    <w:rsid w:val="2F6D5D61"/>
    <w:rsid w:val="2F776BDF"/>
    <w:rsid w:val="3888036A"/>
    <w:rsid w:val="3C8F7316"/>
    <w:rsid w:val="4049674F"/>
    <w:rsid w:val="40D21EC7"/>
    <w:rsid w:val="448A413C"/>
    <w:rsid w:val="4B4439C2"/>
    <w:rsid w:val="581A61D6"/>
    <w:rsid w:val="58BB0AAB"/>
    <w:rsid w:val="5B4A5024"/>
    <w:rsid w:val="5B5473DC"/>
    <w:rsid w:val="5B982CBF"/>
    <w:rsid w:val="62612C54"/>
    <w:rsid w:val="6CE028C4"/>
    <w:rsid w:val="6D392803"/>
    <w:rsid w:val="6D8005C2"/>
    <w:rsid w:val="72934ED9"/>
    <w:rsid w:val="72B97AC9"/>
    <w:rsid w:val="77FF36A0"/>
    <w:rsid w:val="7B504264"/>
    <w:rsid w:val="7B7830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uiPriority="39" w:semiHidden="0" w:name="toc 7"/>
    <w:lsdException w:qFormat="1" w:uiPriority="39" w:semiHidden="0" w:name="toc 8"/>
    <w:lsdException w:uiPriority="39" w:semiHidden="0"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uiPriority="99" w:name="page number"/>
    <w:lsdException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default" w:ascii="Calibri" w:hAnsi="Calibri" w:eastAsia="宋体" w:cs="Times New Roman"/>
      <w:sz w:val="21"/>
      <w:szCs w:val="22"/>
      <w:lang w:val="en-US" w:eastAsia="zh-CN" w:bidi="ar-SA"/>
    </w:rPr>
  </w:style>
  <w:style w:type="paragraph" w:styleId="2">
    <w:name w:val="heading 1"/>
    <w:basedOn w:val="1"/>
    <w:next w:val="1"/>
    <w:link w:val="35"/>
    <w:qFormat/>
    <w:uiPriority w:val="9"/>
    <w:pPr>
      <w:keepNext/>
      <w:keepLines/>
      <w:spacing w:before="480" w:after="200"/>
      <w:outlineLvl w:val="0"/>
    </w:pPr>
    <w:rPr>
      <w:rFonts w:ascii="等线" w:hAnsi="等线" w:eastAsia="等线" w:cs="等线"/>
      <w:sz w:val="40"/>
      <w:szCs w:val="40"/>
    </w:rPr>
  </w:style>
  <w:style w:type="paragraph" w:styleId="3">
    <w:name w:val="heading 2"/>
    <w:basedOn w:val="1"/>
    <w:next w:val="1"/>
    <w:link w:val="36"/>
    <w:unhideWhenUsed/>
    <w:qFormat/>
    <w:uiPriority w:val="9"/>
    <w:pPr>
      <w:keepNext/>
      <w:keepLines/>
      <w:spacing w:before="360" w:after="200"/>
      <w:outlineLvl w:val="1"/>
    </w:pPr>
    <w:rPr>
      <w:rFonts w:ascii="等线" w:hAnsi="等线" w:eastAsia="等线" w:cs="等线"/>
      <w:sz w:val="34"/>
    </w:rPr>
  </w:style>
  <w:style w:type="paragraph" w:styleId="4">
    <w:name w:val="heading 3"/>
    <w:basedOn w:val="1"/>
    <w:next w:val="1"/>
    <w:link w:val="37"/>
    <w:unhideWhenUsed/>
    <w:qFormat/>
    <w:uiPriority w:val="9"/>
    <w:pPr>
      <w:keepNext/>
      <w:keepLines/>
      <w:spacing w:before="320" w:after="200"/>
      <w:outlineLvl w:val="2"/>
    </w:pPr>
    <w:rPr>
      <w:rFonts w:ascii="等线" w:hAnsi="等线" w:eastAsia="等线" w:cs="等线"/>
      <w:sz w:val="30"/>
      <w:szCs w:val="30"/>
    </w:rPr>
  </w:style>
  <w:style w:type="paragraph" w:styleId="5">
    <w:name w:val="heading 4"/>
    <w:basedOn w:val="1"/>
    <w:next w:val="1"/>
    <w:link w:val="38"/>
    <w:unhideWhenUsed/>
    <w:qFormat/>
    <w:uiPriority w:val="9"/>
    <w:pPr>
      <w:keepNext/>
      <w:keepLines/>
      <w:spacing w:before="320" w:after="200"/>
      <w:outlineLvl w:val="3"/>
    </w:pPr>
    <w:rPr>
      <w:rFonts w:ascii="等线" w:hAnsi="等线" w:eastAsia="等线" w:cs="等线"/>
      <w:b/>
      <w:bCs/>
      <w:sz w:val="26"/>
      <w:szCs w:val="26"/>
    </w:rPr>
  </w:style>
  <w:style w:type="paragraph" w:styleId="6">
    <w:name w:val="heading 5"/>
    <w:basedOn w:val="1"/>
    <w:next w:val="1"/>
    <w:link w:val="39"/>
    <w:unhideWhenUsed/>
    <w:qFormat/>
    <w:uiPriority w:val="9"/>
    <w:pPr>
      <w:keepNext/>
      <w:keepLines/>
      <w:spacing w:before="320" w:after="200"/>
      <w:outlineLvl w:val="4"/>
    </w:pPr>
    <w:rPr>
      <w:rFonts w:ascii="等线" w:hAnsi="等线" w:eastAsia="等线" w:cs="等线"/>
      <w:b/>
      <w:bCs/>
      <w:sz w:val="24"/>
      <w:szCs w:val="24"/>
    </w:rPr>
  </w:style>
  <w:style w:type="paragraph" w:styleId="7">
    <w:name w:val="heading 6"/>
    <w:basedOn w:val="1"/>
    <w:next w:val="1"/>
    <w:link w:val="40"/>
    <w:unhideWhenUsed/>
    <w:qFormat/>
    <w:uiPriority w:val="9"/>
    <w:pPr>
      <w:keepNext/>
      <w:keepLines/>
      <w:spacing w:before="320" w:after="200"/>
      <w:outlineLvl w:val="5"/>
    </w:pPr>
    <w:rPr>
      <w:rFonts w:ascii="等线" w:hAnsi="等线" w:eastAsia="等线" w:cs="等线"/>
      <w:b/>
      <w:bCs/>
      <w:sz w:val="22"/>
      <w:szCs w:val="22"/>
    </w:rPr>
  </w:style>
  <w:style w:type="paragraph" w:styleId="8">
    <w:name w:val="heading 7"/>
    <w:basedOn w:val="1"/>
    <w:next w:val="1"/>
    <w:link w:val="41"/>
    <w:unhideWhenUsed/>
    <w:qFormat/>
    <w:uiPriority w:val="9"/>
    <w:pPr>
      <w:keepNext/>
      <w:keepLines/>
      <w:spacing w:before="320" w:after="200"/>
      <w:outlineLvl w:val="6"/>
    </w:pPr>
    <w:rPr>
      <w:rFonts w:ascii="等线" w:hAnsi="等线" w:eastAsia="等线" w:cs="等线"/>
      <w:b/>
      <w:bCs/>
      <w:i/>
      <w:iCs/>
      <w:sz w:val="22"/>
      <w:szCs w:val="22"/>
    </w:rPr>
  </w:style>
  <w:style w:type="paragraph" w:styleId="9">
    <w:name w:val="heading 8"/>
    <w:basedOn w:val="1"/>
    <w:next w:val="1"/>
    <w:link w:val="42"/>
    <w:unhideWhenUsed/>
    <w:qFormat/>
    <w:uiPriority w:val="9"/>
    <w:pPr>
      <w:keepNext/>
      <w:keepLines/>
      <w:spacing w:before="320" w:after="200"/>
      <w:outlineLvl w:val="7"/>
    </w:pPr>
    <w:rPr>
      <w:rFonts w:ascii="等线" w:hAnsi="等线" w:eastAsia="等线" w:cs="等线"/>
      <w:i/>
      <w:iCs/>
      <w:sz w:val="22"/>
      <w:szCs w:val="22"/>
    </w:rPr>
  </w:style>
  <w:style w:type="paragraph" w:styleId="10">
    <w:name w:val="heading 9"/>
    <w:basedOn w:val="1"/>
    <w:next w:val="1"/>
    <w:link w:val="43"/>
    <w:unhideWhenUsed/>
    <w:qFormat/>
    <w:uiPriority w:val="9"/>
    <w:pPr>
      <w:keepNext/>
      <w:keepLines/>
      <w:spacing w:before="320" w:after="200"/>
      <w:outlineLvl w:val="8"/>
    </w:pPr>
    <w:rPr>
      <w:rFonts w:ascii="等线" w:hAnsi="等线" w:eastAsia="等线" w:cs="等线"/>
      <w:i/>
      <w:iCs/>
      <w:sz w:val="21"/>
      <w:szCs w:val="21"/>
    </w:rPr>
  </w:style>
  <w:style w:type="character" w:default="1" w:styleId="31">
    <w:name w:val="Default Paragraph Font"/>
    <w:unhideWhenUsed/>
    <w:qFormat/>
    <w:uiPriority w:val="1"/>
  </w:style>
  <w:style w:type="table" w:default="1" w:styleId="29">
    <w:name w:val="Normal Table"/>
    <w:unhideWhenUsed/>
    <w:qFormat/>
    <w:uiPriority w:val="99"/>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paragraph" w:styleId="11">
    <w:name w:val="toc 7"/>
    <w:basedOn w:val="1"/>
    <w:next w:val="1"/>
    <w:unhideWhenUsed/>
    <w:uiPriority w:val="39"/>
    <w:pPr>
      <w:spacing w:after="57"/>
      <w:ind w:left="1701" w:right="0" w:firstLine="0"/>
    </w:pPr>
  </w:style>
  <w:style w:type="paragraph" w:styleId="12">
    <w:name w:val="caption"/>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paragraph" w:styleId="13">
    <w:name w:val="toc 5"/>
    <w:basedOn w:val="1"/>
    <w:next w:val="1"/>
    <w:unhideWhenUsed/>
    <w:qFormat/>
    <w:uiPriority w:val="39"/>
    <w:pPr>
      <w:spacing w:after="57"/>
      <w:ind w:left="1134" w:right="0" w:firstLine="0"/>
    </w:pPr>
  </w:style>
  <w:style w:type="paragraph" w:styleId="14">
    <w:name w:val="toc 3"/>
    <w:basedOn w:val="1"/>
    <w:next w:val="1"/>
    <w:unhideWhenUsed/>
    <w:qFormat/>
    <w:uiPriority w:val="39"/>
    <w:pPr>
      <w:spacing w:after="57"/>
      <w:ind w:left="567" w:right="0" w:firstLine="0"/>
    </w:pPr>
  </w:style>
  <w:style w:type="paragraph" w:styleId="15">
    <w:name w:val="toc 8"/>
    <w:basedOn w:val="1"/>
    <w:next w:val="1"/>
    <w:unhideWhenUsed/>
    <w:qFormat/>
    <w:uiPriority w:val="39"/>
    <w:pPr>
      <w:spacing w:after="57"/>
      <w:ind w:left="1984" w:right="0" w:firstLine="0"/>
    </w:pPr>
  </w:style>
  <w:style w:type="paragraph" w:styleId="16">
    <w:name w:val="endnote text"/>
    <w:basedOn w:val="1"/>
    <w:link w:val="180"/>
    <w:semiHidden/>
    <w:unhideWhenUsed/>
    <w:qFormat/>
    <w:uiPriority w:val="99"/>
    <w:pPr>
      <w:spacing w:after="0" w:line="240" w:lineRule="auto"/>
    </w:pPr>
    <w:rPr>
      <w:sz w:val="20"/>
    </w:rPr>
  </w:style>
  <w:style w:type="paragraph" w:styleId="17">
    <w:name w:val="Balloon Text"/>
    <w:basedOn w:val="1"/>
    <w:link w:val="182"/>
    <w:unhideWhenUsed/>
    <w:qFormat/>
    <w:uiPriority w:val="99"/>
    <w:rPr>
      <w:sz w:val="18"/>
      <w:szCs w:val="18"/>
    </w:rPr>
  </w:style>
  <w:style w:type="paragraph" w:styleId="18">
    <w:name w:val="footer"/>
    <w:basedOn w:val="1"/>
    <w:link w:val="183"/>
    <w:unhideWhenUsed/>
    <w:qFormat/>
    <w:uiPriority w:val="99"/>
    <w:pPr>
      <w:tabs>
        <w:tab w:val="center" w:pos="4153"/>
        <w:tab w:val="right" w:pos="8306"/>
      </w:tabs>
      <w:jc w:val="left"/>
    </w:pPr>
    <w:rPr>
      <w:sz w:val="18"/>
      <w:szCs w:val="18"/>
    </w:rPr>
  </w:style>
  <w:style w:type="paragraph" w:styleId="19">
    <w:name w:val="header"/>
    <w:basedOn w:val="1"/>
    <w:link w:val="184"/>
    <w:unhideWhenUsed/>
    <w:qFormat/>
    <w:uiPriority w:val="99"/>
    <w:pPr>
      <w:pBdr>
        <w:bottom w:val="single" w:color="000000" w:sz="6" w:space="1"/>
      </w:pBdr>
      <w:tabs>
        <w:tab w:val="center" w:pos="4153"/>
        <w:tab w:val="right" w:pos="8306"/>
      </w:tabs>
      <w:jc w:val="center"/>
    </w:pPr>
    <w:rPr>
      <w:sz w:val="18"/>
      <w:szCs w:val="18"/>
    </w:rPr>
  </w:style>
  <w:style w:type="paragraph" w:styleId="20">
    <w:name w:val="toc 1"/>
    <w:basedOn w:val="1"/>
    <w:next w:val="1"/>
    <w:unhideWhenUsed/>
    <w:qFormat/>
    <w:uiPriority w:val="39"/>
    <w:pPr>
      <w:spacing w:after="57"/>
      <w:ind w:left="0" w:right="0" w:firstLine="0"/>
    </w:pPr>
  </w:style>
  <w:style w:type="paragraph" w:styleId="21">
    <w:name w:val="toc 4"/>
    <w:basedOn w:val="1"/>
    <w:next w:val="1"/>
    <w:unhideWhenUsed/>
    <w:qFormat/>
    <w:uiPriority w:val="39"/>
    <w:pPr>
      <w:spacing w:after="57"/>
      <w:ind w:left="850" w:right="0" w:firstLine="0"/>
    </w:pPr>
  </w:style>
  <w:style w:type="paragraph" w:styleId="22">
    <w:name w:val="Subtitle"/>
    <w:basedOn w:val="1"/>
    <w:next w:val="1"/>
    <w:link w:val="46"/>
    <w:qFormat/>
    <w:uiPriority w:val="11"/>
    <w:pPr>
      <w:spacing w:before="200" w:after="200"/>
    </w:pPr>
    <w:rPr>
      <w:sz w:val="24"/>
      <w:szCs w:val="24"/>
    </w:rPr>
  </w:style>
  <w:style w:type="paragraph" w:styleId="23">
    <w:name w:val="footnote text"/>
    <w:basedOn w:val="1"/>
    <w:link w:val="179"/>
    <w:semiHidden/>
    <w:unhideWhenUsed/>
    <w:qFormat/>
    <w:uiPriority w:val="99"/>
    <w:pPr>
      <w:spacing w:after="40" w:line="240" w:lineRule="auto"/>
    </w:pPr>
    <w:rPr>
      <w:sz w:val="18"/>
    </w:rPr>
  </w:style>
  <w:style w:type="paragraph" w:styleId="24">
    <w:name w:val="toc 6"/>
    <w:basedOn w:val="1"/>
    <w:next w:val="1"/>
    <w:unhideWhenUsed/>
    <w:qFormat/>
    <w:uiPriority w:val="39"/>
    <w:pPr>
      <w:spacing w:after="57"/>
      <w:ind w:left="1417" w:right="0" w:firstLine="0"/>
    </w:pPr>
  </w:style>
  <w:style w:type="paragraph" w:styleId="25">
    <w:name w:val="table of figures"/>
    <w:basedOn w:val="1"/>
    <w:next w:val="1"/>
    <w:unhideWhenUsed/>
    <w:qFormat/>
    <w:uiPriority w:val="99"/>
    <w:pPr>
      <w:spacing w:after="0" w:afterAutospacing="0"/>
    </w:pPr>
  </w:style>
  <w:style w:type="paragraph" w:styleId="26">
    <w:name w:val="toc 2"/>
    <w:basedOn w:val="1"/>
    <w:next w:val="1"/>
    <w:unhideWhenUsed/>
    <w:qFormat/>
    <w:uiPriority w:val="39"/>
    <w:pPr>
      <w:spacing w:after="57"/>
      <w:ind w:left="283" w:right="0" w:firstLine="0"/>
    </w:pPr>
  </w:style>
  <w:style w:type="paragraph" w:styleId="27">
    <w:name w:val="toc 9"/>
    <w:basedOn w:val="1"/>
    <w:next w:val="1"/>
    <w:unhideWhenUsed/>
    <w:uiPriority w:val="39"/>
    <w:pPr>
      <w:spacing w:after="57"/>
      <w:ind w:left="2268" w:right="0" w:firstLine="0"/>
    </w:pPr>
  </w:style>
  <w:style w:type="paragraph" w:styleId="28">
    <w:name w:val="Title"/>
    <w:basedOn w:val="1"/>
    <w:next w:val="1"/>
    <w:link w:val="45"/>
    <w:qFormat/>
    <w:uiPriority w:val="10"/>
    <w:pPr>
      <w:spacing w:before="300" w:after="200"/>
      <w:contextualSpacing/>
    </w:pPr>
    <w:rPr>
      <w:sz w:val="48"/>
      <w:szCs w:val="48"/>
    </w:rPr>
  </w:style>
  <w:style w:type="table" w:styleId="30">
    <w:name w:val="Table Grid"/>
    <w:basedOn w:val="29"/>
    <w:qFormat/>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character" w:styleId="32">
    <w:name w:val="endnote reference"/>
    <w:basedOn w:val="31"/>
    <w:semiHidden/>
    <w:unhideWhenUsed/>
    <w:uiPriority w:val="99"/>
    <w:rPr>
      <w:vertAlign w:val="superscript"/>
    </w:rPr>
  </w:style>
  <w:style w:type="character" w:styleId="33">
    <w:name w:val="Hyperlink"/>
    <w:unhideWhenUsed/>
    <w:qFormat/>
    <w:uiPriority w:val="99"/>
    <w:rPr>
      <w:color w:val="0000FF" w:themeColor="hyperlink"/>
      <w:u w:val="single"/>
      <w14:textFill>
        <w14:solidFill>
          <w14:schemeClr w14:val="hlink"/>
        </w14:solidFill>
      </w14:textFill>
    </w:rPr>
  </w:style>
  <w:style w:type="character" w:styleId="34">
    <w:name w:val="footnote reference"/>
    <w:basedOn w:val="31"/>
    <w:unhideWhenUsed/>
    <w:qFormat/>
    <w:uiPriority w:val="99"/>
    <w:rPr>
      <w:vertAlign w:val="superscript"/>
    </w:rPr>
  </w:style>
  <w:style w:type="character" w:customStyle="1" w:styleId="35">
    <w:name w:val="Heading 1 Char"/>
    <w:basedOn w:val="31"/>
    <w:link w:val="2"/>
    <w:qFormat/>
    <w:uiPriority w:val="9"/>
    <w:rPr>
      <w:rFonts w:ascii="等线" w:hAnsi="等线" w:eastAsia="等线" w:cs="等线"/>
      <w:sz w:val="40"/>
      <w:szCs w:val="40"/>
    </w:rPr>
  </w:style>
  <w:style w:type="character" w:customStyle="1" w:styleId="36">
    <w:name w:val="Heading 2 Char"/>
    <w:basedOn w:val="31"/>
    <w:link w:val="3"/>
    <w:qFormat/>
    <w:uiPriority w:val="9"/>
    <w:rPr>
      <w:rFonts w:ascii="等线" w:hAnsi="等线" w:eastAsia="等线" w:cs="等线"/>
      <w:sz w:val="34"/>
    </w:rPr>
  </w:style>
  <w:style w:type="character" w:customStyle="1" w:styleId="37">
    <w:name w:val="Heading 3 Char"/>
    <w:basedOn w:val="31"/>
    <w:link w:val="4"/>
    <w:qFormat/>
    <w:uiPriority w:val="9"/>
    <w:rPr>
      <w:rFonts w:ascii="等线" w:hAnsi="等线" w:eastAsia="等线" w:cs="等线"/>
      <w:sz w:val="30"/>
      <w:szCs w:val="30"/>
    </w:rPr>
  </w:style>
  <w:style w:type="character" w:customStyle="1" w:styleId="38">
    <w:name w:val="Heading 4 Char"/>
    <w:basedOn w:val="31"/>
    <w:link w:val="5"/>
    <w:uiPriority w:val="9"/>
    <w:rPr>
      <w:rFonts w:ascii="等线" w:hAnsi="等线" w:eastAsia="等线" w:cs="等线"/>
      <w:b/>
      <w:bCs/>
      <w:sz w:val="26"/>
      <w:szCs w:val="26"/>
    </w:rPr>
  </w:style>
  <w:style w:type="character" w:customStyle="1" w:styleId="39">
    <w:name w:val="Heading 5 Char"/>
    <w:basedOn w:val="31"/>
    <w:link w:val="6"/>
    <w:qFormat/>
    <w:uiPriority w:val="9"/>
    <w:rPr>
      <w:rFonts w:ascii="等线" w:hAnsi="等线" w:eastAsia="等线" w:cs="等线"/>
      <w:b/>
      <w:bCs/>
      <w:sz w:val="24"/>
      <w:szCs w:val="24"/>
    </w:rPr>
  </w:style>
  <w:style w:type="character" w:customStyle="1" w:styleId="40">
    <w:name w:val="Heading 6 Char"/>
    <w:basedOn w:val="31"/>
    <w:link w:val="7"/>
    <w:qFormat/>
    <w:uiPriority w:val="9"/>
    <w:rPr>
      <w:rFonts w:ascii="等线" w:hAnsi="等线" w:eastAsia="等线" w:cs="等线"/>
      <w:b/>
      <w:bCs/>
      <w:sz w:val="22"/>
      <w:szCs w:val="22"/>
    </w:rPr>
  </w:style>
  <w:style w:type="character" w:customStyle="1" w:styleId="41">
    <w:name w:val="Heading 7 Char"/>
    <w:basedOn w:val="31"/>
    <w:link w:val="8"/>
    <w:qFormat/>
    <w:uiPriority w:val="9"/>
    <w:rPr>
      <w:rFonts w:ascii="等线" w:hAnsi="等线" w:eastAsia="等线" w:cs="等线"/>
      <w:b/>
      <w:bCs/>
      <w:i/>
      <w:iCs/>
      <w:sz w:val="22"/>
      <w:szCs w:val="22"/>
    </w:rPr>
  </w:style>
  <w:style w:type="character" w:customStyle="1" w:styleId="42">
    <w:name w:val="Heading 8 Char"/>
    <w:basedOn w:val="31"/>
    <w:link w:val="9"/>
    <w:qFormat/>
    <w:uiPriority w:val="9"/>
    <w:rPr>
      <w:rFonts w:ascii="等线" w:hAnsi="等线" w:eastAsia="等线" w:cs="等线"/>
      <w:i/>
      <w:iCs/>
      <w:sz w:val="22"/>
      <w:szCs w:val="22"/>
    </w:rPr>
  </w:style>
  <w:style w:type="character" w:customStyle="1" w:styleId="43">
    <w:name w:val="Heading 9 Char"/>
    <w:basedOn w:val="31"/>
    <w:link w:val="10"/>
    <w:uiPriority w:val="9"/>
    <w:rPr>
      <w:rFonts w:ascii="等线" w:hAnsi="等线" w:eastAsia="等线" w:cs="等线"/>
      <w:i/>
      <w:iCs/>
      <w:sz w:val="21"/>
      <w:szCs w:val="21"/>
    </w:rPr>
  </w:style>
  <w:style w:type="paragraph" w:styleId="44">
    <w:name w:val="No Spacing"/>
    <w:qFormat/>
    <w:uiPriority w:val="1"/>
    <w:pPr>
      <w:spacing w:before="0" w:after="0" w:line="240" w:lineRule="auto"/>
    </w:pPr>
    <w:rPr>
      <w:rFonts w:hint="default" w:ascii="Times New Roman" w:hAnsi="Times New Roman" w:eastAsia="宋体" w:cs="Times New Roman"/>
    </w:rPr>
  </w:style>
  <w:style w:type="character" w:customStyle="1" w:styleId="45">
    <w:name w:val="Title Char"/>
    <w:basedOn w:val="31"/>
    <w:link w:val="28"/>
    <w:qFormat/>
    <w:uiPriority w:val="10"/>
    <w:rPr>
      <w:sz w:val="48"/>
      <w:szCs w:val="48"/>
    </w:rPr>
  </w:style>
  <w:style w:type="character" w:customStyle="1" w:styleId="46">
    <w:name w:val="Subtitle Char"/>
    <w:basedOn w:val="31"/>
    <w:link w:val="22"/>
    <w:qFormat/>
    <w:uiPriority w:val="11"/>
    <w:rPr>
      <w:sz w:val="24"/>
      <w:szCs w:val="24"/>
    </w:rPr>
  </w:style>
  <w:style w:type="paragraph" w:styleId="47">
    <w:name w:val="Quote"/>
    <w:basedOn w:val="1"/>
    <w:next w:val="1"/>
    <w:link w:val="48"/>
    <w:qFormat/>
    <w:uiPriority w:val="29"/>
    <w:pPr>
      <w:ind w:left="720" w:right="720"/>
    </w:pPr>
    <w:rPr>
      <w:i/>
    </w:rPr>
  </w:style>
  <w:style w:type="character" w:customStyle="1" w:styleId="48">
    <w:name w:val="Quote Char"/>
    <w:link w:val="47"/>
    <w:qFormat/>
    <w:uiPriority w:val="29"/>
    <w:rPr>
      <w:i/>
    </w:rPr>
  </w:style>
  <w:style w:type="paragraph" w:styleId="49">
    <w:name w:val="Intense Quote"/>
    <w:basedOn w:val="1"/>
    <w:next w:val="1"/>
    <w:link w:val="50"/>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contextualSpacing w:val="0"/>
    </w:pPr>
    <w:rPr>
      <w:i/>
    </w:rPr>
  </w:style>
  <w:style w:type="character" w:customStyle="1" w:styleId="50">
    <w:name w:val="Intense Quote Char"/>
    <w:link w:val="49"/>
    <w:qFormat/>
    <w:uiPriority w:val="30"/>
    <w:rPr>
      <w:i/>
    </w:rPr>
  </w:style>
  <w:style w:type="character" w:customStyle="1" w:styleId="51">
    <w:name w:val="Header Char"/>
    <w:basedOn w:val="31"/>
    <w:uiPriority w:val="99"/>
  </w:style>
  <w:style w:type="character" w:customStyle="1" w:styleId="52">
    <w:name w:val="Footer Char"/>
    <w:basedOn w:val="31"/>
    <w:qFormat/>
    <w:uiPriority w:val="99"/>
  </w:style>
  <w:style w:type="character" w:customStyle="1" w:styleId="53">
    <w:name w:val="Caption Char"/>
    <w:uiPriority w:val="99"/>
  </w:style>
  <w:style w:type="table" w:customStyle="1" w:styleId="54">
    <w:name w:val="Table Grid Light"/>
    <w:basedOn w:val="29"/>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55">
    <w:name w:val="Plain Table 1"/>
    <w:basedOn w:val="29"/>
    <w:qFormat/>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2Vert"/>
    <w:tblStylePr w:type="band1Horz">
      <w:tcPr>
        <w:shd w:val="clear" w:color="F1F1F1" w:themeColor="text1" w:themeTint="0D" w:fill="F1F1F1" w:themeFill="text1" w:themeFillTint="0D"/>
      </w:tcPr>
    </w:tblStylePr>
    <w:tblStylePr w:type="band2Horz"/>
    <w:tblStylePr w:type="neCell"/>
    <w:tblStylePr w:type="nwCell"/>
    <w:tblStylePr w:type="seCell"/>
    <w:tblStylePr w:type="swCell"/>
  </w:style>
  <w:style w:type="table" w:customStyle="1" w:styleId="56">
    <w:name w:val="Plain Table 2"/>
    <w:basedOn w:val="29"/>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top w:w="0" w:type="dxa"/>
        <w:left w:w="108" w:type="dxa"/>
        <w:bottom w:w="0" w:type="dxa"/>
        <w:right w:w="108" w:type="dxa"/>
      </w:tblCellMar>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tblStylePr w:type="band2Horz"/>
    <w:tblStylePr w:type="neCell"/>
    <w:tblStylePr w:type="nwCell"/>
    <w:tblStylePr w:type="seCell"/>
    <w:tblStylePr w:type="swCell"/>
  </w:style>
  <w:style w:type="table" w:customStyle="1" w:styleId="57">
    <w:name w:val="Plain Table 3"/>
    <w:basedOn w:val="29"/>
    <w:qFormat/>
    <w:uiPriority w:val="99"/>
    <w:pPr>
      <w:spacing w:after="0" w:line="240" w:lineRule="auto"/>
    </w:pPr>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2Vert"/>
    <w:tblStylePr w:type="band1Horz">
      <w:rPr>
        <w:rFonts w:ascii="Arial" w:hAnsi="Arial"/>
        <w:color w:val="404040"/>
        <w:sz w:val="22"/>
      </w:rPr>
      <w:tcPr>
        <w:shd w:val="clear" w:color="F1F1F1" w:themeColor="text1" w:themeTint="0D" w:fill="F1F1F1" w:themeFill="text1" w:themeFillTint="0D"/>
      </w:tcPr>
    </w:tblStylePr>
    <w:tblStylePr w:type="band2Horz"/>
    <w:tblStylePr w:type="neCell"/>
    <w:tblStylePr w:type="nwCell"/>
    <w:tblStylePr w:type="seCell"/>
    <w:tblStylePr w:type="swCell"/>
  </w:style>
  <w:style w:type="table" w:customStyle="1" w:styleId="58">
    <w:name w:val="Plain Table 4"/>
    <w:basedOn w:val="29"/>
    <w:qFormat/>
    <w:uiPriority w:val="99"/>
    <w:pPr>
      <w:spacing w:after="0" w:line="240" w:lineRule="auto"/>
    </w:p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2Vert"/>
    <w:tblStylePr w:type="band1Horz">
      <w:rPr>
        <w:rFonts w:ascii="Arial" w:hAnsi="Arial"/>
        <w:color w:val="404040"/>
        <w:sz w:val="22"/>
      </w:rPr>
      <w:tcPr>
        <w:shd w:val="clear" w:color="F1F1F1" w:themeColor="text1" w:themeTint="0D" w:fill="F1F1F1" w:themeFill="text1" w:themeFillTint="0D"/>
      </w:tcPr>
    </w:tblStylePr>
    <w:tblStylePr w:type="band2Horz"/>
    <w:tblStylePr w:type="neCell"/>
    <w:tblStylePr w:type="nwCell"/>
    <w:tblStylePr w:type="seCell"/>
    <w:tblStylePr w:type="swCell"/>
  </w:style>
  <w:style w:type="table" w:customStyle="1" w:styleId="59">
    <w:name w:val="Plain Table 5"/>
    <w:basedOn w:val="29"/>
    <w:qFormat/>
    <w:uiPriority w:val="99"/>
    <w:pPr>
      <w:spacing w:after="0" w:line="240" w:lineRule="auto"/>
    </w:pPr>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2Vert"/>
    <w:tblStylePr w:type="band1Horz">
      <w:rPr>
        <w:rFonts w:ascii="Arial" w:hAnsi="Arial"/>
        <w:color w:val="404040"/>
        <w:sz w:val="22"/>
      </w:rPr>
      <w:tcPr>
        <w:shd w:val="clear" w:color="F1F1F1" w:themeColor="text1" w:themeTint="0D" w:fill="F1F1F1" w:themeFill="text1" w:themeFillTint="0D"/>
      </w:tcPr>
    </w:tblStylePr>
    <w:tblStylePr w:type="band2Horz"/>
    <w:tblStylePr w:type="neCell"/>
    <w:tblStylePr w:type="nwCell"/>
    <w:tblStylePr w:type="seCell"/>
    <w:tblStylePr w:type="swCell"/>
  </w:style>
  <w:style w:type="table" w:customStyle="1" w:styleId="60">
    <w:name w:val="Grid Table 1 Light"/>
    <w:basedOn w:val="29"/>
    <w:uiPriority w:val="99"/>
    <w:pPr>
      <w:spacing w:after="0" w:line="240" w:lineRule="auto"/>
    </w:pPr>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Vert"/>
    <w:tblStylePr w:type="band2Vert"/>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tblStylePr w:type="band2Horz"/>
    <w:tblStylePr w:type="neCell"/>
    <w:tblStylePr w:type="nwCell"/>
    <w:tblStylePr w:type="seCell"/>
    <w:tblStylePr w:type="swCell"/>
  </w:style>
  <w:style w:type="table" w:customStyle="1" w:styleId="61">
    <w:name w:val="Grid Table 1 Light - Accent 1"/>
    <w:basedOn w:val="29"/>
    <w:uiPriority w:val="99"/>
    <w:pPr>
      <w:spacing w:after="0" w:line="240" w:lineRule="auto"/>
    </w:pPr>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Vert"/>
    <w:tblStylePr w:type="band2Vert"/>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tblStylePr w:type="band2Horz"/>
    <w:tblStylePr w:type="neCell"/>
    <w:tblStylePr w:type="nwCell"/>
    <w:tblStylePr w:type="seCell"/>
    <w:tblStylePr w:type="swCell"/>
  </w:style>
  <w:style w:type="table" w:customStyle="1" w:styleId="62">
    <w:name w:val="Grid Table 1 Light - Accent 2"/>
    <w:basedOn w:val="29"/>
    <w:uiPriority w:val="99"/>
    <w:pPr>
      <w:spacing w:after="0" w:line="240" w:lineRule="auto"/>
    </w:pPr>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Vert"/>
    <w:tblStylePr w:type="band2Vert"/>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tblStylePr w:type="band2Horz"/>
    <w:tblStylePr w:type="neCell"/>
    <w:tblStylePr w:type="nwCell"/>
    <w:tblStylePr w:type="seCell"/>
    <w:tblStylePr w:type="swCell"/>
  </w:style>
  <w:style w:type="table" w:customStyle="1" w:styleId="63">
    <w:name w:val="Grid Table 1 Light - Accent 3"/>
    <w:basedOn w:val="29"/>
    <w:uiPriority w:val="99"/>
    <w:pPr>
      <w:spacing w:after="0" w:line="240" w:lineRule="auto"/>
    </w:pPr>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Vert"/>
    <w:tblStylePr w:type="band2Vert"/>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2Horz"/>
    <w:tblStylePr w:type="neCell"/>
    <w:tblStylePr w:type="nwCell"/>
    <w:tblStylePr w:type="seCell"/>
    <w:tblStylePr w:type="swCell"/>
  </w:style>
  <w:style w:type="table" w:customStyle="1" w:styleId="64">
    <w:name w:val="Grid Table 1 Light - Accent 4"/>
    <w:basedOn w:val="29"/>
    <w:uiPriority w:val="99"/>
    <w:pPr>
      <w:spacing w:after="0" w:line="240" w:lineRule="auto"/>
    </w:pPr>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Vert"/>
    <w:tblStylePr w:type="band2Vert"/>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2Horz"/>
    <w:tblStylePr w:type="neCell"/>
    <w:tblStylePr w:type="nwCell"/>
    <w:tblStylePr w:type="seCell"/>
    <w:tblStylePr w:type="swCell"/>
  </w:style>
  <w:style w:type="table" w:customStyle="1" w:styleId="65">
    <w:name w:val="Grid Table 1 Light - Accent 5"/>
    <w:basedOn w:val="29"/>
    <w:uiPriority w:val="99"/>
    <w:pPr>
      <w:spacing w:after="0" w:line="240" w:lineRule="auto"/>
    </w:pPr>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Vert"/>
    <w:tblStylePr w:type="band2Vert"/>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tblStylePr w:type="band2Horz"/>
    <w:tblStylePr w:type="neCell"/>
    <w:tblStylePr w:type="nwCell"/>
    <w:tblStylePr w:type="seCell"/>
    <w:tblStylePr w:type="swCell"/>
  </w:style>
  <w:style w:type="table" w:customStyle="1" w:styleId="66">
    <w:name w:val="Grid Table 1 Light - Accent 6"/>
    <w:basedOn w:val="29"/>
    <w:uiPriority w:val="99"/>
    <w:pPr>
      <w:spacing w:after="0" w:line="240" w:lineRule="auto"/>
    </w:pPr>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Vert"/>
    <w:tblStylePr w:type="band2Vert"/>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2Horz"/>
    <w:tblStylePr w:type="neCell"/>
    <w:tblStylePr w:type="nwCell"/>
    <w:tblStylePr w:type="seCell"/>
    <w:tblStylePr w:type="swCell"/>
  </w:style>
  <w:style w:type="table" w:customStyle="1" w:styleId="67">
    <w:name w:val="Grid Table 2"/>
    <w:basedOn w:val="29"/>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2Vert"/>
    <w:tblStylePr w:type="band1Horz">
      <w:rPr>
        <w:rFonts w:ascii="Arial" w:hAnsi="Arial"/>
        <w:color w:val="404040"/>
        <w:sz w:val="22"/>
      </w:rPr>
      <w:tcPr>
        <w:shd w:val="clear" w:color="CACACA" w:themeColor="text1" w:themeTint="34" w:fill="CACACA" w:themeFill="text1" w:themeFillTint="34"/>
      </w:tcPr>
    </w:tblStylePr>
    <w:tblStylePr w:type="band2Horz"/>
    <w:tblStylePr w:type="neCell"/>
    <w:tblStylePr w:type="nwCell"/>
    <w:tblStylePr w:type="seCell"/>
    <w:tblStylePr w:type="swCell"/>
  </w:style>
  <w:style w:type="table" w:customStyle="1" w:styleId="68">
    <w:name w:val="Grid Table 2 - Accent 1"/>
    <w:basedOn w:val="29"/>
    <w:uiPriority w:val="99"/>
    <w:pPr>
      <w:spacing w:after="0" w:line="240" w:lineRule="auto"/>
    </w:pPr>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DBE5F1" w:themeFill="accent1" w:themeFillTint="34"/>
      </w:tcPr>
    </w:tblStylePr>
    <w:tblStylePr w:type="band2Vert"/>
    <w:tblStylePr w:type="band1Horz">
      <w:rPr>
        <w:rFonts w:ascii="Arial" w:hAnsi="Arial"/>
        <w:color w:val="404040"/>
        <w:sz w:val="22"/>
      </w:rPr>
      <w:tcPr>
        <w:shd w:val="clear" w:color="DBE5F1" w:themeColor="accent1" w:themeTint="34" w:fill="DBE5F1" w:themeFill="accent1" w:themeFillTint="34"/>
      </w:tcPr>
    </w:tblStylePr>
    <w:tblStylePr w:type="band2Horz"/>
    <w:tblStylePr w:type="neCell"/>
    <w:tblStylePr w:type="nwCell"/>
    <w:tblStylePr w:type="seCell"/>
    <w:tblStylePr w:type="swCell"/>
  </w:style>
  <w:style w:type="table" w:customStyle="1" w:styleId="69">
    <w:name w:val="Grid Table 2 - Accent 2"/>
    <w:basedOn w:val="29"/>
    <w:uiPriority w:val="99"/>
    <w:pPr>
      <w:spacing w:after="0" w:line="240" w:lineRule="auto"/>
    </w:pPr>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2Vert"/>
    <w:tblStylePr w:type="band1Horz">
      <w:rPr>
        <w:rFonts w:ascii="Arial" w:hAnsi="Arial"/>
        <w:color w:val="404040"/>
        <w:sz w:val="22"/>
      </w:rPr>
      <w:tcPr>
        <w:shd w:val="clear" w:color="F2DCDC" w:themeColor="accent2" w:themeTint="32" w:fill="F2DCDC" w:themeFill="accent2" w:themeFillTint="32"/>
      </w:tcPr>
    </w:tblStylePr>
    <w:tblStylePr w:type="band2Horz"/>
    <w:tblStylePr w:type="neCell"/>
    <w:tblStylePr w:type="nwCell"/>
    <w:tblStylePr w:type="seCell"/>
    <w:tblStylePr w:type="swCell"/>
  </w:style>
  <w:style w:type="table" w:customStyle="1" w:styleId="70">
    <w:name w:val="Grid Table 2 - Accent 3"/>
    <w:basedOn w:val="29"/>
    <w:uiPriority w:val="99"/>
    <w:pPr>
      <w:spacing w:after="0" w:line="240" w:lineRule="auto"/>
    </w:pPr>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2Vert"/>
    <w:tblStylePr w:type="band1Horz">
      <w:rPr>
        <w:rFonts w:ascii="Arial" w:hAnsi="Arial"/>
        <w:color w:val="404040"/>
        <w:sz w:val="22"/>
      </w:rPr>
      <w:tcPr>
        <w:shd w:val="clear" w:color="EAF1DD" w:themeColor="accent3" w:themeTint="34" w:fill="EAF1DD" w:themeFill="accent3" w:themeFillTint="34"/>
      </w:tcPr>
    </w:tblStylePr>
    <w:tblStylePr w:type="band2Horz"/>
    <w:tblStylePr w:type="neCell"/>
    <w:tblStylePr w:type="nwCell"/>
    <w:tblStylePr w:type="seCell"/>
    <w:tblStylePr w:type="swCell"/>
  </w:style>
  <w:style w:type="table" w:customStyle="1" w:styleId="71">
    <w:name w:val="Grid Table 2 - Accent 4"/>
    <w:basedOn w:val="29"/>
    <w:uiPriority w:val="99"/>
    <w:pPr>
      <w:spacing w:after="0" w:line="240" w:lineRule="auto"/>
    </w:pPr>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2Vert"/>
    <w:tblStylePr w:type="band1Horz">
      <w:rPr>
        <w:rFonts w:ascii="Arial" w:hAnsi="Arial"/>
        <w:color w:val="404040"/>
        <w:sz w:val="22"/>
      </w:rPr>
      <w:tcPr>
        <w:shd w:val="clear" w:color="E5DFEC" w:themeColor="accent4" w:themeTint="34" w:fill="E5DFEC" w:themeFill="accent4" w:themeFillTint="34"/>
      </w:tcPr>
    </w:tblStylePr>
    <w:tblStylePr w:type="band2Horz"/>
    <w:tblStylePr w:type="neCell"/>
    <w:tblStylePr w:type="nwCell"/>
    <w:tblStylePr w:type="seCell"/>
    <w:tblStylePr w:type="swCell"/>
  </w:style>
  <w:style w:type="table" w:customStyle="1" w:styleId="72">
    <w:name w:val="Grid Table 2 - Accent 5"/>
    <w:basedOn w:val="29"/>
    <w:uiPriority w:val="99"/>
    <w:pPr>
      <w:spacing w:after="0" w:line="240" w:lineRule="auto"/>
    </w:pPr>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2Vert"/>
    <w:tblStylePr w:type="band1Horz">
      <w:rPr>
        <w:rFonts w:ascii="Arial" w:hAnsi="Arial"/>
        <w:color w:val="404040"/>
        <w:sz w:val="22"/>
      </w:rPr>
      <w:tcPr>
        <w:shd w:val="clear" w:color="DAEEF3" w:themeColor="accent5" w:themeTint="34" w:fill="DAEEF3" w:themeFill="accent5" w:themeFillTint="34"/>
      </w:tcPr>
    </w:tblStylePr>
    <w:tblStylePr w:type="band2Horz"/>
    <w:tblStylePr w:type="neCell"/>
    <w:tblStylePr w:type="nwCell"/>
    <w:tblStylePr w:type="seCell"/>
    <w:tblStylePr w:type="swCell"/>
  </w:style>
  <w:style w:type="table" w:customStyle="1" w:styleId="73">
    <w:name w:val="Grid Table 2 - Accent 6"/>
    <w:basedOn w:val="29"/>
    <w:uiPriority w:val="99"/>
    <w:pPr>
      <w:spacing w:after="0" w:line="240" w:lineRule="auto"/>
    </w:pPr>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2Vert"/>
    <w:tblStylePr w:type="band1Horz">
      <w:rPr>
        <w:rFonts w:ascii="Arial" w:hAnsi="Arial"/>
        <w:color w:val="404040"/>
        <w:sz w:val="22"/>
      </w:rPr>
      <w:tcPr>
        <w:shd w:val="clear" w:color="FDE9D9" w:themeColor="accent6" w:themeTint="34" w:fill="FDE9D9" w:themeFill="accent6" w:themeFillTint="34"/>
      </w:tcPr>
    </w:tblStylePr>
    <w:tblStylePr w:type="band2Horz"/>
    <w:tblStylePr w:type="neCell"/>
    <w:tblStylePr w:type="nwCell"/>
    <w:tblStylePr w:type="seCell"/>
    <w:tblStylePr w:type="swCell"/>
  </w:style>
  <w:style w:type="table" w:customStyle="1" w:styleId="74">
    <w:name w:val="Grid Table 3"/>
    <w:basedOn w:val="29"/>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2Vert"/>
    <w:tblStylePr w:type="band1Horz">
      <w:rPr>
        <w:rFonts w:ascii="Arial" w:hAnsi="Arial"/>
        <w:color w:val="404040"/>
        <w:sz w:val="22"/>
      </w:rPr>
      <w:tcPr>
        <w:shd w:val="clear" w:color="CACACA" w:themeColor="text1" w:themeTint="34" w:fill="CACACA" w:themeFill="text1" w:themeFillTint="34"/>
      </w:tcPr>
    </w:tblStylePr>
    <w:tblStylePr w:type="band2Horz"/>
    <w:tblStylePr w:type="neCell"/>
    <w:tblStylePr w:type="nwCell"/>
    <w:tblStylePr w:type="seCell"/>
    <w:tblStylePr w:type="swCell"/>
  </w:style>
  <w:style w:type="table" w:customStyle="1" w:styleId="75">
    <w:name w:val="Grid Table 3 - Accent 1"/>
    <w:basedOn w:val="29"/>
    <w:uiPriority w:val="99"/>
    <w:pPr>
      <w:spacing w:after="0" w:line="240" w:lineRule="auto"/>
    </w:pPr>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DBE5F1" w:themeFill="accent1" w:themeFillTint="34"/>
      </w:tcPr>
    </w:tblStylePr>
    <w:tblStylePr w:type="band2Vert"/>
    <w:tblStylePr w:type="band1Horz">
      <w:rPr>
        <w:rFonts w:ascii="Arial" w:hAnsi="Arial"/>
        <w:color w:val="404040"/>
        <w:sz w:val="22"/>
      </w:rPr>
      <w:tcPr>
        <w:shd w:val="clear" w:color="DBE5F1" w:themeColor="accent1" w:themeTint="34" w:fill="DBE5F1" w:themeFill="accent1" w:themeFillTint="34"/>
      </w:tcPr>
    </w:tblStylePr>
    <w:tblStylePr w:type="band2Horz"/>
    <w:tblStylePr w:type="neCell"/>
    <w:tblStylePr w:type="nwCell"/>
    <w:tblStylePr w:type="seCell"/>
    <w:tblStylePr w:type="swCell"/>
  </w:style>
  <w:style w:type="table" w:customStyle="1" w:styleId="76">
    <w:name w:val="Grid Table 3 - Accent 2"/>
    <w:basedOn w:val="29"/>
    <w:uiPriority w:val="99"/>
    <w:pPr>
      <w:spacing w:after="0" w:line="240" w:lineRule="auto"/>
    </w:pPr>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F2DCDC" w:themeFill="accent2" w:themeFillTint="32"/>
      </w:tcPr>
    </w:tblStylePr>
    <w:tblStylePr w:type="band2Vert"/>
    <w:tblStylePr w:type="band1Horz">
      <w:rPr>
        <w:rFonts w:ascii="Arial" w:hAnsi="Arial"/>
        <w:color w:val="404040"/>
        <w:sz w:val="22"/>
      </w:rPr>
      <w:tcPr>
        <w:shd w:val="clear" w:color="F2DCDC" w:themeColor="accent2" w:themeTint="32" w:fill="F2DCDC" w:themeFill="accent2" w:themeFillTint="32"/>
      </w:tcPr>
    </w:tblStylePr>
    <w:tblStylePr w:type="band2Horz"/>
    <w:tblStylePr w:type="neCell"/>
    <w:tblStylePr w:type="nwCell"/>
    <w:tblStylePr w:type="seCell"/>
    <w:tblStylePr w:type="swCell"/>
  </w:style>
  <w:style w:type="table" w:customStyle="1" w:styleId="77">
    <w:name w:val="Grid Table 3 - Accent 3"/>
    <w:basedOn w:val="29"/>
    <w:uiPriority w:val="99"/>
    <w:pPr>
      <w:spacing w:after="0" w:line="240" w:lineRule="auto"/>
    </w:pPr>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EAF1DD" w:themeFill="accent3" w:themeFillTint="34"/>
      </w:tcPr>
    </w:tblStylePr>
    <w:tblStylePr w:type="band2Vert"/>
    <w:tblStylePr w:type="band1Horz">
      <w:rPr>
        <w:rFonts w:ascii="Arial" w:hAnsi="Arial"/>
        <w:color w:val="404040"/>
        <w:sz w:val="22"/>
      </w:rPr>
      <w:tcPr>
        <w:shd w:val="clear" w:color="EAF1DD" w:themeColor="accent3" w:themeTint="34" w:fill="EAF1DD" w:themeFill="accent3" w:themeFillTint="34"/>
      </w:tcPr>
    </w:tblStylePr>
    <w:tblStylePr w:type="band2Horz"/>
    <w:tblStylePr w:type="neCell"/>
    <w:tblStylePr w:type="nwCell"/>
    <w:tblStylePr w:type="seCell"/>
    <w:tblStylePr w:type="swCell"/>
  </w:style>
  <w:style w:type="table" w:customStyle="1" w:styleId="78">
    <w:name w:val="Grid Table 3 - Accent 4"/>
    <w:basedOn w:val="29"/>
    <w:qFormat/>
    <w:uiPriority w:val="99"/>
    <w:pPr>
      <w:spacing w:after="0" w:line="240" w:lineRule="auto"/>
    </w:pPr>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E5DFEC" w:themeFill="accent4" w:themeFillTint="34"/>
      </w:tcPr>
    </w:tblStylePr>
    <w:tblStylePr w:type="band2Vert"/>
    <w:tblStylePr w:type="band1Horz">
      <w:rPr>
        <w:rFonts w:ascii="Arial" w:hAnsi="Arial"/>
        <w:color w:val="404040"/>
        <w:sz w:val="22"/>
      </w:rPr>
      <w:tcPr>
        <w:shd w:val="clear" w:color="E5DFEC" w:themeColor="accent4" w:themeTint="34" w:fill="E5DFEC" w:themeFill="accent4" w:themeFillTint="34"/>
      </w:tcPr>
    </w:tblStylePr>
    <w:tblStylePr w:type="band2Horz"/>
    <w:tblStylePr w:type="neCell"/>
    <w:tblStylePr w:type="nwCell"/>
    <w:tblStylePr w:type="seCell"/>
    <w:tblStylePr w:type="swCell"/>
  </w:style>
  <w:style w:type="table" w:customStyle="1" w:styleId="79">
    <w:name w:val="Grid Table 3 - Accent 5"/>
    <w:basedOn w:val="29"/>
    <w:uiPriority w:val="99"/>
    <w:pPr>
      <w:spacing w:after="0" w:line="240" w:lineRule="auto"/>
    </w:pPr>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DAEEF3" w:themeFill="accent5" w:themeFillTint="34"/>
      </w:tcPr>
    </w:tblStylePr>
    <w:tblStylePr w:type="band2Vert"/>
    <w:tblStylePr w:type="band1Horz">
      <w:rPr>
        <w:rFonts w:ascii="Arial" w:hAnsi="Arial"/>
        <w:color w:val="404040"/>
        <w:sz w:val="22"/>
      </w:rPr>
      <w:tcPr>
        <w:shd w:val="clear" w:color="DAEEF3" w:themeColor="accent5" w:themeTint="34" w:fill="DAEEF3" w:themeFill="accent5" w:themeFillTint="34"/>
      </w:tcPr>
    </w:tblStylePr>
    <w:tblStylePr w:type="band2Horz"/>
    <w:tblStylePr w:type="neCell"/>
    <w:tblStylePr w:type="nwCell"/>
    <w:tblStylePr w:type="seCell"/>
    <w:tblStylePr w:type="swCell"/>
  </w:style>
  <w:style w:type="table" w:customStyle="1" w:styleId="80">
    <w:name w:val="Grid Table 3 - Accent 6"/>
    <w:basedOn w:val="29"/>
    <w:qFormat/>
    <w:uiPriority w:val="99"/>
    <w:pPr>
      <w:spacing w:after="0" w:line="240" w:lineRule="auto"/>
    </w:pPr>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FDE9D9" w:themeFill="accent6" w:themeFillTint="34"/>
      </w:tcPr>
    </w:tblStylePr>
    <w:tblStylePr w:type="band2Vert"/>
    <w:tblStylePr w:type="band1Horz">
      <w:rPr>
        <w:rFonts w:ascii="Arial" w:hAnsi="Arial"/>
        <w:color w:val="404040"/>
        <w:sz w:val="22"/>
      </w:rPr>
      <w:tcPr>
        <w:shd w:val="clear" w:color="FDE9D9" w:themeColor="accent6" w:themeTint="34" w:fill="FDE9D9" w:themeFill="accent6" w:themeFillTint="34"/>
      </w:tcPr>
    </w:tblStylePr>
    <w:tblStylePr w:type="band2Horz"/>
    <w:tblStylePr w:type="neCell"/>
    <w:tblStylePr w:type="nwCell"/>
    <w:tblStylePr w:type="seCell"/>
    <w:tblStylePr w:type="swCell"/>
  </w:style>
  <w:style w:type="table" w:customStyle="1" w:styleId="81">
    <w:name w:val="Grid Table 4"/>
    <w:basedOn w:val="29"/>
    <w:qFormat/>
    <w:uiPriority w:val="59"/>
    <w:pPr>
      <w:spacing w:after="0" w:line="240" w:lineRule="auto"/>
    </w:pPr>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2Vert"/>
    <w:tblStylePr w:type="band1Horz">
      <w:rPr>
        <w:rFonts w:ascii="Arial" w:hAnsi="Arial"/>
        <w:color w:val="404040"/>
        <w:sz w:val="22"/>
      </w:rPr>
      <w:tcPr>
        <w:shd w:val="clear" w:color="CACACA" w:themeColor="text1" w:themeTint="34" w:fill="CACACA" w:themeFill="text1" w:themeFillTint="34"/>
      </w:tcPr>
    </w:tblStylePr>
    <w:tblStylePr w:type="band2Horz"/>
    <w:tblStylePr w:type="neCell"/>
    <w:tblStylePr w:type="nwCell"/>
    <w:tblStylePr w:type="seCell"/>
    <w:tblStylePr w:type="swCell"/>
  </w:style>
  <w:style w:type="table" w:customStyle="1" w:styleId="82">
    <w:name w:val="Grid Table 4 - Accent 1"/>
    <w:basedOn w:val="29"/>
    <w:uiPriority w:val="59"/>
    <w:pPr>
      <w:spacing w:after="0" w:line="240" w:lineRule="auto"/>
    </w:pPr>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5D8BC2" w:themeFill="accent1" w:themeFillTint="EA"/>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DCE6F2" w:themeFill="accent1" w:themeFillTint="32"/>
      </w:tcPr>
    </w:tblStylePr>
    <w:tblStylePr w:type="band2Vert"/>
    <w:tblStylePr w:type="band1Horz">
      <w:rPr>
        <w:rFonts w:ascii="Arial" w:hAnsi="Arial"/>
        <w:color w:val="404040"/>
        <w:sz w:val="22"/>
      </w:rPr>
      <w:tcPr>
        <w:shd w:val="clear" w:color="DCE6F2" w:themeColor="accent1" w:themeTint="32" w:fill="DCE6F2" w:themeFill="accent1" w:themeFillTint="32"/>
      </w:tcPr>
    </w:tblStylePr>
    <w:tblStylePr w:type="band2Horz"/>
    <w:tblStylePr w:type="neCell"/>
    <w:tblStylePr w:type="nwCell"/>
    <w:tblStylePr w:type="seCell"/>
    <w:tblStylePr w:type="swCell"/>
  </w:style>
  <w:style w:type="table" w:customStyle="1" w:styleId="83">
    <w:name w:val="Grid Table 4 - Accent 2"/>
    <w:basedOn w:val="29"/>
    <w:qFormat/>
    <w:uiPriority w:val="59"/>
    <w:pPr>
      <w:spacing w:after="0" w:line="240" w:lineRule="auto"/>
    </w:pPr>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D99795" w:themeFill="accent2" w:themeFillTint="97"/>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2Vert"/>
    <w:tblStylePr w:type="band1Horz">
      <w:rPr>
        <w:rFonts w:ascii="Arial" w:hAnsi="Arial"/>
        <w:color w:val="404040"/>
        <w:sz w:val="22"/>
      </w:rPr>
      <w:tcPr>
        <w:shd w:val="clear" w:color="F2DCDC" w:themeColor="accent2" w:themeTint="32" w:fill="F2DCDC" w:themeFill="accent2" w:themeFillTint="32"/>
      </w:tcPr>
    </w:tblStylePr>
    <w:tblStylePr w:type="band2Horz"/>
    <w:tblStylePr w:type="neCell"/>
    <w:tblStylePr w:type="nwCell"/>
    <w:tblStylePr w:type="seCell"/>
    <w:tblStylePr w:type="swCell"/>
  </w:style>
  <w:style w:type="table" w:customStyle="1" w:styleId="84">
    <w:name w:val="Grid Table 4 - Accent 3"/>
    <w:basedOn w:val="29"/>
    <w:qFormat/>
    <w:uiPriority w:val="59"/>
    <w:pPr>
      <w:spacing w:after="0" w:line="240" w:lineRule="auto"/>
    </w:pPr>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9BBB59" w:themeFill="accent3" w:themeFillTint="FE"/>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2Vert"/>
    <w:tblStylePr w:type="band1Horz">
      <w:rPr>
        <w:rFonts w:ascii="Arial" w:hAnsi="Arial"/>
        <w:color w:val="404040"/>
        <w:sz w:val="22"/>
      </w:rPr>
      <w:tcPr>
        <w:shd w:val="clear" w:color="EAF1DD" w:themeColor="accent3" w:themeTint="34" w:fill="EAF1DD" w:themeFill="accent3" w:themeFillTint="34"/>
      </w:tcPr>
    </w:tblStylePr>
    <w:tblStylePr w:type="band2Horz"/>
    <w:tblStylePr w:type="neCell"/>
    <w:tblStylePr w:type="nwCell"/>
    <w:tblStylePr w:type="seCell"/>
    <w:tblStylePr w:type="swCell"/>
  </w:style>
  <w:style w:type="table" w:customStyle="1" w:styleId="85">
    <w:name w:val="Grid Table 4 - Accent 4"/>
    <w:basedOn w:val="29"/>
    <w:qFormat/>
    <w:uiPriority w:val="59"/>
    <w:pPr>
      <w:spacing w:after="0" w:line="240" w:lineRule="auto"/>
    </w:pPr>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B2A1C6" w:themeFill="accent4" w:themeFillTint="9A"/>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2Vert"/>
    <w:tblStylePr w:type="band1Horz">
      <w:rPr>
        <w:rFonts w:ascii="Arial" w:hAnsi="Arial"/>
        <w:color w:val="404040"/>
        <w:sz w:val="22"/>
      </w:rPr>
      <w:tcPr>
        <w:shd w:val="clear" w:color="E5DFEC" w:themeColor="accent4" w:themeTint="34" w:fill="E5DFEC" w:themeFill="accent4" w:themeFillTint="34"/>
      </w:tcPr>
    </w:tblStylePr>
    <w:tblStylePr w:type="band2Horz"/>
    <w:tblStylePr w:type="neCell"/>
    <w:tblStylePr w:type="nwCell"/>
    <w:tblStylePr w:type="seCell"/>
    <w:tblStylePr w:type="swCell"/>
  </w:style>
  <w:style w:type="table" w:customStyle="1" w:styleId="86">
    <w:name w:val="Grid Table 4 - Accent 5"/>
    <w:basedOn w:val="29"/>
    <w:qFormat/>
    <w:uiPriority w:val="59"/>
    <w:pPr>
      <w:spacing w:after="0" w:line="240" w:lineRule="auto"/>
    </w:pPr>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4BACC6" w:themeFill="accent5"/>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2Vert"/>
    <w:tblStylePr w:type="band1Horz">
      <w:rPr>
        <w:rFonts w:ascii="Arial" w:hAnsi="Arial"/>
        <w:color w:val="404040"/>
        <w:sz w:val="22"/>
      </w:rPr>
      <w:tcPr>
        <w:shd w:val="clear" w:color="DAEEF3" w:themeColor="accent5" w:themeTint="34" w:fill="DAEEF3" w:themeFill="accent5" w:themeFillTint="34"/>
      </w:tcPr>
    </w:tblStylePr>
    <w:tblStylePr w:type="band2Horz"/>
    <w:tblStylePr w:type="neCell"/>
    <w:tblStylePr w:type="nwCell"/>
    <w:tblStylePr w:type="seCell"/>
    <w:tblStylePr w:type="swCell"/>
  </w:style>
  <w:style w:type="table" w:customStyle="1" w:styleId="87">
    <w:name w:val="Grid Table 4 - Accent 6"/>
    <w:basedOn w:val="29"/>
    <w:uiPriority w:val="59"/>
    <w:pPr>
      <w:spacing w:after="0" w:line="240" w:lineRule="auto"/>
    </w:pPr>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F79646" w:themeFill="accent6"/>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2Vert"/>
    <w:tblStylePr w:type="band1Horz">
      <w:rPr>
        <w:rFonts w:ascii="Arial" w:hAnsi="Arial"/>
        <w:color w:val="404040"/>
        <w:sz w:val="22"/>
      </w:rPr>
      <w:tcPr>
        <w:shd w:val="clear" w:color="FDE9D9" w:themeColor="accent6" w:themeTint="34" w:fill="FDE9D9" w:themeFill="accent6" w:themeFillTint="34"/>
      </w:tcPr>
    </w:tblStylePr>
    <w:tblStylePr w:type="band2Horz"/>
    <w:tblStylePr w:type="neCell"/>
    <w:tblStylePr w:type="nwCell"/>
    <w:tblStylePr w:type="seCell"/>
    <w:tblStylePr w:type="swCell"/>
  </w:style>
  <w:style w:type="table" w:customStyle="1" w:styleId="88">
    <w:name w:val="Grid Table 5 Dark"/>
    <w:basedOn w:val="29"/>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2Vert"/>
    <w:tblStylePr w:type="band1Horz">
      <w:tcPr>
        <w:shd w:val="clear" w:color="898989" w:themeColor="text1" w:themeTint="75" w:fill="898989" w:themeFill="text1" w:themeFillTint="75"/>
      </w:tcPr>
    </w:tblStylePr>
    <w:tblStylePr w:type="band2Horz"/>
    <w:tblStylePr w:type="neCell"/>
    <w:tblStylePr w:type="nwCell"/>
    <w:tblStylePr w:type="seCell"/>
    <w:tblStylePr w:type="swCell"/>
  </w:style>
  <w:style w:type="table" w:customStyle="1" w:styleId="89">
    <w:name w:val="Grid Table 5 Dark- Accent 1"/>
    <w:basedOn w:val="29"/>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tcBorders>
          <w:top w:val="single" w:color="FFFFFF" w:themeColor="light1" w:sz="4" w:space="0"/>
        </w:tcBorders>
        <w:shd w:val="clear" w:color="4F81BD" w:themeColor="accent1" w:fill="4F81BD" w:themeFill="accent1"/>
      </w:tcPr>
    </w:tblStylePr>
    <w:tblStylePr w:type="firstCol">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band1Vert">
      <w:tcPr>
        <w:shd w:val="clear" w:color="AEC5E0" w:themeColor="accent1" w:themeTint="75" w:fill="AEC5E0" w:themeFill="accent1" w:themeFillTint="75"/>
      </w:tcPr>
    </w:tblStylePr>
    <w:tblStylePr w:type="band2Vert"/>
    <w:tblStylePr w:type="band1Horz">
      <w:tcPr>
        <w:shd w:val="clear" w:color="AEC5E0" w:themeColor="accent1" w:themeTint="75" w:fill="AEC5E0" w:themeFill="accent1" w:themeFillTint="75"/>
      </w:tcPr>
    </w:tblStylePr>
    <w:tblStylePr w:type="band2Horz"/>
    <w:tblStylePr w:type="neCell"/>
    <w:tblStylePr w:type="nwCell"/>
    <w:tblStylePr w:type="seCell"/>
    <w:tblStylePr w:type="swCell"/>
  </w:style>
  <w:style w:type="table" w:customStyle="1" w:styleId="90">
    <w:name w:val="Grid Table 5 Dark - Accent 2"/>
    <w:basedOn w:val="29"/>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tcBorders>
          <w:top w:val="single" w:color="FFFFFF" w:themeColor="light1" w:sz="4" w:space="0"/>
        </w:tcBorders>
        <w:shd w:val="clear" w:color="C0504D" w:themeColor="accent2" w:fill="C0504D" w:themeFill="accent2"/>
      </w:tcPr>
    </w:tblStylePr>
    <w:tblStylePr w:type="firstCol">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band1Vert">
      <w:tcPr>
        <w:shd w:val="clear" w:color="E2AEAD" w:themeColor="accent2" w:themeTint="75" w:fill="E2AEAD" w:themeFill="accent2" w:themeFillTint="75"/>
      </w:tcPr>
    </w:tblStylePr>
    <w:tblStylePr w:type="band2Vert"/>
    <w:tblStylePr w:type="band1Horz">
      <w:tcPr>
        <w:shd w:val="clear" w:color="E2AEAD" w:themeColor="accent2" w:themeTint="75" w:fill="E2AEAD" w:themeFill="accent2" w:themeFillTint="75"/>
      </w:tcPr>
    </w:tblStylePr>
    <w:tblStylePr w:type="band2Horz"/>
    <w:tblStylePr w:type="neCell"/>
    <w:tblStylePr w:type="nwCell"/>
    <w:tblStylePr w:type="seCell"/>
    <w:tblStylePr w:type="swCell"/>
  </w:style>
  <w:style w:type="table" w:customStyle="1" w:styleId="91">
    <w:name w:val="Grid Table 5 Dark - Accent 3"/>
    <w:basedOn w:val="29"/>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tcBorders>
          <w:top w:val="single" w:color="FFFFFF" w:themeColor="light1" w:sz="4" w:space="0"/>
        </w:tcBorders>
        <w:shd w:val="clear" w:color="9BBB59" w:themeColor="accent3" w:fill="9BBB59" w:themeFill="accent3"/>
      </w:tcPr>
    </w:tblStylePr>
    <w:tblStylePr w:type="firstCol">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band1Vert">
      <w:tcPr>
        <w:shd w:val="clear" w:color="D1DFB2" w:themeColor="accent3" w:themeTint="75" w:fill="D1DFB2" w:themeFill="accent3" w:themeFillTint="75"/>
      </w:tcPr>
    </w:tblStylePr>
    <w:tblStylePr w:type="band2Vert"/>
    <w:tblStylePr w:type="band1Horz">
      <w:tcPr>
        <w:shd w:val="clear" w:color="D1DFB2" w:themeColor="accent3" w:themeTint="75" w:fill="D1DFB2" w:themeFill="accent3" w:themeFillTint="75"/>
      </w:tcPr>
    </w:tblStylePr>
    <w:tblStylePr w:type="band2Horz"/>
    <w:tblStylePr w:type="neCell"/>
    <w:tblStylePr w:type="nwCell"/>
    <w:tblStylePr w:type="seCell"/>
    <w:tblStylePr w:type="swCell"/>
  </w:style>
  <w:style w:type="table" w:customStyle="1" w:styleId="92">
    <w:name w:val="Grid Table 5 Dark- Accent 4"/>
    <w:basedOn w:val="29"/>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tcBorders>
          <w:top w:val="single" w:color="FFFFFF" w:themeColor="light1" w:sz="4" w:space="0"/>
        </w:tcBorders>
        <w:shd w:val="clear" w:color="8064A2" w:themeColor="accent4" w:fill="8064A2" w:themeFill="accent4"/>
      </w:tcPr>
    </w:tblStylePr>
    <w:tblStylePr w:type="firstCol">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band1Vert">
      <w:tcPr>
        <w:shd w:val="clear" w:color="C4B7D4" w:themeColor="accent4" w:themeTint="75" w:fill="C4B7D4" w:themeFill="accent4" w:themeFillTint="75"/>
      </w:tcPr>
    </w:tblStylePr>
    <w:tblStylePr w:type="band2Vert"/>
    <w:tblStylePr w:type="band1Horz">
      <w:tcPr>
        <w:shd w:val="clear" w:color="C4B7D4" w:themeColor="accent4" w:themeTint="75" w:fill="C4B7D4" w:themeFill="accent4" w:themeFillTint="75"/>
      </w:tcPr>
    </w:tblStylePr>
    <w:tblStylePr w:type="band2Horz"/>
    <w:tblStylePr w:type="neCell"/>
    <w:tblStylePr w:type="nwCell"/>
    <w:tblStylePr w:type="seCell"/>
    <w:tblStylePr w:type="swCell"/>
  </w:style>
  <w:style w:type="table" w:customStyle="1" w:styleId="93">
    <w:name w:val="Grid Table 5 Dark - Accent 5"/>
    <w:basedOn w:val="29"/>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tcBorders>
          <w:top w:val="single" w:color="FFFFFF" w:themeColor="light1" w:sz="4" w:space="0"/>
        </w:tcBorders>
        <w:shd w:val="clear" w:color="4BACC6" w:themeColor="accent5" w:fill="4BACC6" w:themeFill="accent5"/>
      </w:tcPr>
    </w:tblStylePr>
    <w:tblStylePr w:type="firstCol">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band1Vert">
      <w:tcPr>
        <w:shd w:val="clear" w:color="ACD8E4" w:themeColor="accent5" w:themeTint="75" w:fill="ACD8E4" w:themeFill="accent5" w:themeFillTint="75"/>
      </w:tcPr>
    </w:tblStylePr>
    <w:tblStylePr w:type="band2Vert"/>
    <w:tblStylePr w:type="band1Horz">
      <w:tcPr>
        <w:shd w:val="clear" w:color="ACD8E4" w:themeColor="accent5" w:themeTint="75" w:fill="ACD8E4" w:themeFill="accent5" w:themeFillTint="75"/>
      </w:tcPr>
    </w:tblStylePr>
    <w:tblStylePr w:type="band2Horz"/>
    <w:tblStylePr w:type="neCell"/>
    <w:tblStylePr w:type="nwCell"/>
    <w:tblStylePr w:type="seCell"/>
    <w:tblStylePr w:type="swCell"/>
  </w:style>
  <w:style w:type="table" w:customStyle="1" w:styleId="94">
    <w:name w:val="Grid Table 5 Dark - Accent 6"/>
    <w:basedOn w:val="29"/>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tcBorders>
          <w:top w:val="single" w:color="FFFFFF" w:themeColor="light1" w:sz="4" w:space="0"/>
        </w:tcBorders>
        <w:shd w:val="clear" w:color="F79646" w:themeColor="accent6" w:fill="F79646" w:themeFill="accent6"/>
      </w:tcPr>
    </w:tblStylePr>
    <w:tblStylePr w:type="firstCol">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band1Vert">
      <w:tcPr>
        <w:shd w:val="clear" w:color="FBCEAA" w:themeColor="accent6" w:themeTint="75" w:fill="FBCEAA" w:themeFill="accent6" w:themeFillTint="75"/>
      </w:tcPr>
    </w:tblStylePr>
    <w:tblStylePr w:type="band2Vert"/>
    <w:tblStylePr w:type="band1Horz">
      <w:tcPr>
        <w:shd w:val="clear" w:color="FBCEAA" w:themeColor="accent6" w:themeTint="75" w:fill="FBCEAA" w:themeFill="accent6" w:themeFillTint="75"/>
      </w:tcPr>
    </w:tblStylePr>
    <w:tblStylePr w:type="band2Horz"/>
    <w:tblStylePr w:type="neCell"/>
    <w:tblStylePr w:type="nwCell"/>
    <w:tblStylePr w:type="seCell"/>
    <w:tblStylePr w:type="swCell"/>
  </w:style>
  <w:style w:type="table" w:customStyle="1" w:styleId="95">
    <w:name w:val="Grid Table 6 Colorful"/>
    <w:basedOn w:val="29"/>
    <w:uiPriority w:val="99"/>
    <w:pPr>
      <w:spacing w:after="0" w:line="240" w:lineRule="auto"/>
    </w:pPr>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2Vert"/>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tblStylePr w:type="neCell"/>
    <w:tblStylePr w:type="nwCell"/>
    <w:tblStylePr w:type="seCell"/>
    <w:tblStylePr w:type="swCell"/>
  </w:style>
  <w:style w:type="table" w:customStyle="1" w:styleId="96">
    <w:name w:val="Grid Table 6 Colorful - Accent 1"/>
    <w:basedOn w:val="29"/>
    <w:uiPriority w:val="99"/>
    <w:pPr>
      <w:spacing w:after="0" w:line="240" w:lineRule="auto"/>
    </w:pPr>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DBE5F1" w:themeFill="accent1" w:themeFillTint="34"/>
      </w:tcPr>
    </w:tblStylePr>
    <w:tblStylePr w:type="band2Vert"/>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tblStylePr w:type="neCell"/>
    <w:tblStylePr w:type="nwCell"/>
    <w:tblStylePr w:type="seCell"/>
    <w:tblStylePr w:type="swCell"/>
  </w:style>
  <w:style w:type="table" w:customStyle="1" w:styleId="97">
    <w:name w:val="Grid Table 6 Colorful - Accent 2"/>
    <w:basedOn w:val="29"/>
    <w:uiPriority w:val="99"/>
    <w:pPr>
      <w:spacing w:after="0" w:line="240" w:lineRule="auto"/>
    </w:pPr>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F2DCDC" w:themeFill="accent2" w:themeFillTint="32"/>
      </w:tcPr>
    </w:tblStylePr>
    <w:tblStylePr w:type="band2Vert"/>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tblStylePr w:type="neCell"/>
    <w:tblStylePr w:type="nwCell"/>
    <w:tblStylePr w:type="seCell"/>
    <w:tblStylePr w:type="swCell"/>
  </w:style>
  <w:style w:type="table" w:customStyle="1" w:styleId="98">
    <w:name w:val="Grid Table 6 Colorful - Accent 3"/>
    <w:basedOn w:val="29"/>
    <w:uiPriority w:val="99"/>
    <w:pPr>
      <w:spacing w:after="0" w:line="240" w:lineRule="auto"/>
    </w:pPr>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themeTint="FF"/>
        <w14:textFill>
          <w14:solidFill>
            <w14:schemeClr w14:val="accent3">
              <w14:lumMod w14:val="100000"/>
              <w14:lumOff w14:val="0"/>
            </w14:schemeClr>
          </w14:solidFill>
        </w14:textFill>
      </w:rPr>
      <w:tcPr>
        <w:tcBorders>
          <w:bottom w:val="single" w:color="9BBB59" w:themeColor="accent3" w:themeTint="FE" w:sz="12" w:space="0"/>
        </w:tcBorders>
      </w:tcPr>
    </w:tblStylePr>
    <w:tblStylePr w:type="lastRow">
      <w:rPr>
        <w:b/>
        <w:color w:val="9BBB59" w:themeColor="accent3" w:themeTint="FF"/>
        <w14:textFill>
          <w14:solidFill>
            <w14:schemeClr w14:val="accent3">
              <w14:lumMod w14:val="100000"/>
              <w14:lumOff w14:val="0"/>
            </w14:schemeClr>
          </w14:solidFill>
        </w14:textFill>
      </w:rPr>
    </w:tblStylePr>
    <w:tblStylePr w:type="firstCol">
      <w:rPr>
        <w:b/>
        <w:color w:val="9BBB59" w:themeColor="accent3" w:themeTint="FF"/>
        <w14:textFill>
          <w14:solidFill>
            <w14:schemeClr w14:val="accent3">
              <w14:lumMod w14:val="100000"/>
              <w14:lumOff w14:val="0"/>
            </w14:schemeClr>
          </w14:solidFill>
        </w14:textFill>
      </w:rPr>
    </w:tblStylePr>
    <w:tblStylePr w:type="lastCol">
      <w:rPr>
        <w:b/>
        <w:color w:val="9BBB59" w:themeColor="accent3" w:themeTint="FF"/>
        <w14:textFill>
          <w14:solidFill>
            <w14:schemeClr w14:val="accent3">
              <w14:lumMod w14:val="100000"/>
              <w14:lumOff w14:val="0"/>
            </w14:schemeClr>
          </w14:solidFill>
        </w14:textFill>
      </w:rPr>
    </w:tblStylePr>
    <w:tblStylePr w:type="band1Vert">
      <w:tcPr>
        <w:shd w:val="clear" w:color="EAF1DD" w:themeColor="accent3" w:themeTint="34" w:fill="EAF1DD" w:themeFill="accent3" w:themeFillTint="34"/>
      </w:tcPr>
    </w:tblStylePr>
    <w:tblStylePr w:type="band2Vert"/>
    <w:tblStylePr w:type="band1Horz">
      <w:rPr>
        <w:rFonts w:ascii="Arial" w:hAnsi="Arial"/>
        <w:color w:val="9BBB59" w:themeColor="accent3" w:themeTint="FF"/>
        <w:sz w:val="22"/>
        <w14:textFill>
          <w14:solidFill>
            <w14:schemeClr w14:val="accent3">
              <w14:lumMod w14:val="100000"/>
              <w14:lumOff w14:val="0"/>
            </w14:schemeClr>
          </w14:solidFill>
        </w14:textFill>
      </w:rPr>
      <w:tcPr>
        <w:shd w:val="clear" w:color="EAF1DD" w:themeColor="accent3" w:themeTint="34" w:fill="EAF1DD" w:themeFill="accent3" w:themeFillTint="34"/>
      </w:tcPr>
    </w:tblStylePr>
    <w:tblStylePr w:type="band2Horz">
      <w:rPr>
        <w:rFonts w:ascii="Arial" w:hAnsi="Arial"/>
        <w:color w:val="9BBB59" w:themeColor="accent3" w:themeTint="FF"/>
        <w:sz w:val="22"/>
        <w14:textFill>
          <w14:solidFill>
            <w14:schemeClr w14:val="accent3">
              <w14:lumMod w14:val="100000"/>
              <w14:lumOff w14:val="0"/>
            </w14:schemeClr>
          </w14:solidFill>
        </w14:textFill>
      </w:rPr>
    </w:tblStylePr>
    <w:tblStylePr w:type="neCell"/>
    <w:tblStylePr w:type="nwCell"/>
    <w:tblStylePr w:type="seCell"/>
    <w:tblStylePr w:type="swCell"/>
  </w:style>
  <w:style w:type="table" w:customStyle="1" w:styleId="99">
    <w:name w:val="Grid Table 6 Colorful - Accent 4"/>
    <w:basedOn w:val="29"/>
    <w:uiPriority w:val="99"/>
    <w:pPr>
      <w:spacing w:after="0" w:line="240" w:lineRule="auto"/>
    </w:pPr>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E5DFEC" w:themeFill="accent4" w:themeFillTint="34"/>
      </w:tcPr>
    </w:tblStylePr>
    <w:tblStylePr w:type="band2Vert"/>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tblStylePr w:type="neCell"/>
    <w:tblStylePr w:type="nwCell"/>
    <w:tblStylePr w:type="seCell"/>
    <w:tblStylePr w:type="swCell"/>
  </w:style>
  <w:style w:type="table" w:customStyle="1" w:styleId="100">
    <w:name w:val="Grid Table 6 Colorful - Accent 5"/>
    <w:basedOn w:val="29"/>
    <w:uiPriority w:val="99"/>
    <w:pPr>
      <w:spacing w:after="0" w:line="240" w:lineRule="auto"/>
    </w:pPr>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DAEEF3" w:themeFill="accent5" w:themeFillTint="34"/>
      </w:tcPr>
    </w:tblStylePr>
    <w:tblStylePr w:type="band2Vert"/>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tblStylePr w:type="neCell"/>
    <w:tblStylePr w:type="nwCell"/>
    <w:tblStylePr w:type="seCell"/>
    <w:tblStylePr w:type="swCell"/>
  </w:style>
  <w:style w:type="table" w:customStyle="1" w:styleId="101">
    <w:name w:val="Grid Table 6 Colorful - Accent 6"/>
    <w:basedOn w:val="29"/>
    <w:uiPriority w:val="99"/>
    <w:pPr>
      <w:spacing w:after="0" w:line="240" w:lineRule="auto"/>
    </w:pPr>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FDE9D9" w:themeFill="accent6" w:themeFillTint="34"/>
      </w:tcPr>
    </w:tblStylePr>
    <w:tblStylePr w:type="band2Vert"/>
    <w:tblStylePr w:type="band1Horz">
      <w:rPr>
        <w:rFonts w:ascii="Arial" w:hAnsi="Arial"/>
        <w:color w:val="266778" w:themeColor="accent5" w:themeShade="94"/>
        <w:sz w:val="22"/>
      </w:rPr>
      <w:tcPr>
        <w:shd w:val="clear" w:color="FDE9D9" w:themeColor="accent6" w:themeTint="34" w:fill="FDE9D9" w:themeFill="accent6" w:themeFillTint="34"/>
      </w:tcPr>
    </w:tblStylePr>
    <w:tblStylePr w:type="band2Horz">
      <w:rPr>
        <w:rFonts w:ascii="Arial" w:hAnsi="Arial"/>
        <w:color w:val="266778" w:themeColor="accent5" w:themeShade="94"/>
        <w:sz w:val="22"/>
      </w:rPr>
    </w:tblStylePr>
    <w:tblStylePr w:type="neCell"/>
    <w:tblStylePr w:type="nwCell"/>
    <w:tblStylePr w:type="seCell"/>
    <w:tblStylePr w:type="swCell"/>
  </w:style>
  <w:style w:type="table" w:customStyle="1" w:styleId="102">
    <w:name w:val="Grid Table 7 Colorful"/>
    <w:basedOn w:val="29"/>
    <w:uiPriority w:val="99"/>
    <w:pPr>
      <w:spacing w:after="0" w:line="240" w:lineRule="auto"/>
    </w:pPr>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2Vert"/>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tblStylePr w:type="neCell"/>
    <w:tblStylePr w:type="nwCell"/>
    <w:tblStylePr w:type="seCell"/>
    <w:tblStylePr w:type="swCell"/>
  </w:style>
  <w:style w:type="table" w:customStyle="1" w:styleId="103">
    <w:name w:val="Grid Table 7 Colorful - Accent 1"/>
    <w:basedOn w:val="29"/>
    <w:uiPriority w:val="99"/>
    <w:pPr>
      <w:spacing w:after="0" w:line="240" w:lineRule="auto"/>
    </w:pPr>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FFFFFF" w:themeFill="light1"/>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DBE5F1" w:themeFill="accent1" w:themeFillTint="34"/>
      </w:tcPr>
    </w:tblStylePr>
    <w:tblStylePr w:type="band2Vert"/>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tblStylePr w:type="neCell"/>
    <w:tblStylePr w:type="nwCell"/>
    <w:tblStylePr w:type="seCell"/>
    <w:tblStylePr w:type="swCell"/>
  </w:style>
  <w:style w:type="table" w:customStyle="1" w:styleId="104">
    <w:name w:val="Grid Table 7 Colorful - Accent 2"/>
    <w:basedOn w:val="29"/>
    <w:uiPriority w:val="99"/>
    <w:pPr>
      <w:spacing w:after="0" w:line="240" w:lineRule="auto"/>
    </w:pPr>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F2DCDC" w:themeFill="accent2" w:themeFillTint="32"/>
      </w:tcPr>
    </w:tblStylePr>
    <w:tblStylePr w:type="band2Vert"/>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tblStylePr w:type="neCell"/>
    <w:tblStylePr w:type="nwCell"/>
    <w:tblStylePr w:type="seCell"/>
    <w:tblStylePr w:type="swCell"/>
  </w:style>
  <w:style w:type="table" w:customStyle="1" w:styleId="105">
    <w:name w:val="Grid Table 7 Colorful - Accent 3"/>
    <w:basedOn w:val="29"/>
    <w:uiPriority w:val="99"/>
    <w:pPr>
      <w:spacing w:after="0" w:line="240" w:lineRule="auto"/>
    </w:pPr>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themeTint="FF"/>
        <w:sz w:val="22"/>
        <w14:textFill>
          <w14:solidFill>
            <w14:schemeClr w14:val="accent3">
              <w14:lumMod w14:val="100000"/>
              <w14:lumOff w14:val="0"/>
            </w14:schemeClr>
          </w14:solidFill>
        </w14:textFill>
      </w:rPr>
      <w:tcPr>
        <w:tcBorders>
          <w:top w:val="nil"/>
          <w:left w:val="nil"/>
          <w:bottom w:val="single" w:color="9BBB59" w:themeColor="accent3" w:themeTint="FE" w:sz="4" w:space="0"/>
          <w:right w:val="nil"/>
        </w:tcBorders>
        <w:shd w:val="clear" w:color="FFFFFF" w:themeColor="light1" w:fill="FFFFFF" w:themeFill="light1"/>
      </w:tcPr>
    </w:tblStylePr>
    <w:tblStylePr w:type="lastRow">
      <w:rPr>
        <w:rFonts w:ascii="Arial" w:hAnsi="Arial"/>
        <w:b/>
        <w:color w:val="9BBB59" w:themeColor="accent3" w:themeTint="FF"/>
        <w:sz w:val="22"/>
        <w14:textFill>
          <w14:solidFill>
            <w14:schemeClr w14:val="accent3">
              <w14:lumMod w14:val="100000"/>
              <w14:lumOff w14:val="0"/>
            </w14:schemeClr>
          </w14:solidFill>
        </w14:textFill>
      </w:rPr>
      <w:tcPr>
        <w:tcBorders>
          <w:top w:val="single" w:color="9BBB59"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9BBB59" w:themeColor="accent3" w:themeTint="FF"/>
        <w:sz w:val="22"/>
        <w14:textFill>
          <w14:solidFill>
            <w14:schemeClr w14:val="accent3">
              <w14:lumMod w14:val="100000"/>
              <w14:lumOff w14:val="0"/>
            </w14:schemeClr>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themeTint="FF"/>
        <w:sz w:val="22"/>
        <w14:textFill>
          <w14:solidFill>
            <w14:schemeClr w14:val="accent3">
              <w14:lumMod w14:val="100000"/>
              <w14:lumOff w14:val="0"/>
            </w14:schemeClr>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EAF1DD" w:themeFill="accent3" w:themeFillTint="34"/>
      </w:tcPr>
    </w:tblStylePr>
    <w:tblStylePr w:type="band2Vert"/>
    <w:tblStylePr w:type="band1Horz">
      <w:rPr>
        <w:rFonts w:ascii="Arial" w:hAnsi="Arial"/>
        <w:color w:val="9BBB59" w:themeColor="accent3" w:themeTint="FF"/>
        <w:sz w:val="22"/>
        <w14:textFill>
          <w14:solidFill>
            <w14:schemeClr w14:val="accent3">
              <w14:lumMod w14:val="100000"/>
              <w14:lumOff w14:val="0"/>
            </w14:schemeClr>
          </w14:solidFill>
        </w14:textFill>
      </w:rPr>
      <w:tcPr>
        <w:shd w:val="clear" w:color="EAF1DD" w:themeColor="accent3" w:themeTint="34" w:fill="EAF1DD" w:themeFill="accent3" w:themeFillTint="34"/>
      </w:tcPr>
    </w:tblStylePr>
    <w:tblStylePr w:type="band2Horz">
      <w:rPr>
        <w:rFonts w:ascii="Arial" w:hAnsi="Arial"/>
        <w:color w:val="9BBB59" w:themeColor="accent3" w:themeTint="FF"/>
        <w:sz w:val="22"/>
        <w14:textFill>
          <w14:solidFill>
            <w14:schemeClr w14:val="accent3">
              <w14:lumMod w14:val="100000"/>
              <w14:lumOff w14:val="0"/>
            </w14:schemeClr>
          </w14:solidFill>
        </w14:textFill>
      </w:rPr>
    </w:tblStylePr>
    <w:tblStylePr w:type="neCell"/>
    <w:tblStylePr w:type="nwCell"/>
    <w:tblStylePr w:type="seCell"/>
    <w:tblStylePr w:type="swCell"/>
  </w:style>
  <w:style w:type="table" w:customStyle="1" w:styleId="106">
    <w:name w:val="Grid Table 7 Colorful - Accent 4"/>
    <w:basedOn w:val="29"/>
    <w:uiPriority w:val="99"/>
    <w:pPr>
      <w:spacing w:after="0" w:line="240" w:lineRule="auto"/>
    </w:pPr>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E5DFEC" w:themeFill="accent4" w:themeFillTint="34"/>
      </w:tcPr>
    </w:tblStylePr>
    <w:tblStylePr w:type="band2Vert"/>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tblStylePr w:type="neCell"/>
    <w:tblStylePr w:type="nwCell"/>
    <w:tblStylePr w:type="seCell"/>
    <w:tblStylePr w:type="swCell"/>
  </w:style>
  <w:style w:type="table" w:customStyle="1" w:styleId="107">
    <w:name w:val="Grid Table 7 Colorful - Accent 5"/>
    <w:basedOn w:val="29"/>
    <w:uiPriority w:val="99"/>
    <w:pPr>
      <w:spacing w:after="0" w:line="240" w:lineRule="auto"/>
    </w:pPr>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FFFFFF" w:themeFill="light1"/>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DAEEF3" w:themeFill="accent5" w:themeFillTint="34"/>
      </w:tcPr>
    </w:tblStylePr>
    <w:tblStylePr w:type="band2Vert"/>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tblStylePr w:type="neCell"/>
    <w:tblStylePr w:type="nwCell"/>
    <w:tblStylePr w:type="seCell"/>
    <w:tblStylePr w:type="swCell"/>
  </w:style>
  <w:style w:type="table" w:customStyle="1" w:styleId="108">
    <w:name w:val="Grid Table 7 Colorful - Accent 6"/>
    <w:basedOn w:val="29"/>
    <w:uiPriority w:val="99"/>
    <w:pPr>
      <w:spacing w:after="0" w:line="240" w:lineRule="auto"/>
    </w:pPr>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FFFFFF" w:themeFill="light1"/>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FDE9D9" w:themeFill="accent6" w:themeFillTint="34"/>
      </w:tcPr>
    </w:tblStylePr>
    <w:tblStylePr w:type="band2Vert"/>
    <w:tblStylePr w:type="band1Horz">
      <w:rPr>
        <w:rFonts w:ascii="Arial" w:hAnsi="Arial"/>
        <w:color w:val="B05408" w:themeColor="accent6" w:themeShade="94"/>
        <w:sz w:val="22"/>
      </w:rPr>
      <w:tcPr>
        <w:shd w:val="clear" w:color="FDE9D9" w:themeColor="accent6" w:themeTint="34" w:fill="FDE9D9" w:themeFill="accent6" w:themeFillTint="34"/>
      </w:tcPr>
    </w:tblStylePr>
    <w:tblStylePr w:type="band2Horz">
      <w:rPr>
        <w:rFonts w:ascii="Arial" w:hAnsi="Arial"/>
        <w:color w:val="B05408" w:themeColor="accent6" w:themeShade="94"/>
        <w:sz w:val="22"/>
      </w:rPr>
    </w:tblStylePr>
    <w:tblStylePr w:type="neCell"/>
    <w:tblStylePr w:type="nwCell"/>
    <w:tblStylePr w:type="seCell"/>
    <w:tblStylePr w:type="swCell"/>
  </w:style>
  <w:style w:type="table" w:customStyle="1" w:styleId="109">
    <w:name w:val="List Table 1 Light"/>
    <w:basedOn w:val="29"/>
    <w:uiPriority w:val="99"/>
    <w:pPr>
      <w:spacing w:after="0" w:line="240" w:lineRule="auto"/>
    </w:pPr>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2Vert"/>
    <w:tblStylePr w:type="band1Horz">
      <w:tcPr>
        <w:shd w:val="clear" w:color="BEBEBE" w:themeColor="text1" w:themeTint="40" w:fill="BEBEBE" w:themeFill="text1" w:themeFillTint="40"/>
      </w:tcPr>
    </w:tblStylePr>
    <w:tblStylePr w:type="band2Horz"/>
    <w:tblStylePr w:type="neCell"/>
    <w:tblStylePr w:type="nwCell"/>
    <w:tblStylePr w:type="seCell"/>
    <w:tblStylePr w:type="swCell"/>
  </w:style>
  <w:style w:type="table" w:customStyle="1" w:styleId="110">
    <w:name w:val="List Table 1 Light - Accent 1"/>
    <w:basedOn w:val="29"/>
    <w:uiPriority w:val="99"/>
    <w:pPr>
      <w:spacing w:after="0" w:line="240" w:lineRule="auto"/>
    </w:pPr>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D2DFEE" w:themeFill="accent1" w:themeFillTint="40"/>
      </w:tcPr>
    </w:tblStylePr>
    <w:tblStylePr w:type="band2Vert"/>
    <w:tblStylePr w:type="band1Horz">
      <w:tcPr>
        <w:shd w:val="clear" w:color="D2DFEE" w:themeColor="accent1" w:themeTint="40" w:fill="D2DFEE" w:themeFill="accent1" w:themeFillTint="40"/>
      </w:tcPr>
    </w:tblStylePr>
    <w:tblStylePr w:type="band2Horz"/>
    <w:tblStylePr w:type="neCell"/>
    <w:tblStylePr w:type="nwCell"/>
    <w:tblStylePr w:type="seCell"/>
    <w:tblStylePr w:type="swCell"/>
  </w:style>
  <w:style w:type="table" w:customStyle="1" w:styleId="111">
    <w:name w:val="List Table 1 Light - Accent 2"/>
    <w:basedOn w:val="29"/>
    <w:uiPriority w:val="99"/>
    <w:pPr>
      <w:spacing w:after="0" w:line="240" w:lineRule="auto"/>
    </w:pPr>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EFD3D2" w:themeFill="accent2" w:themeFillTint="40"/>
      </w:tcPr>
    </w:tblStylePr>
    <w:tblStylePr w:type="band2Vert"/>
    <w:tblStylePr w:type="band1Horz">
      <w:tcPr>
        <w:shd w:val="clear" w:color="EFD3D2" w:themeColor="accent2" w:themeTint="40" w:fill="EFD3D2" w:themeFill="accent2" w:themeFillTint="40"/>
      </w:tcPr>
    </w:tblStylePr>
    <w:tblStylePr w:type="band2Horz"/>
    <w:tblStylePr w:type="neCell"/>
    <w:tblStylePr w:type="nwCell"/>
    <w:tblStylePr w:type="seCell"/>
    <w:tblStylePr w:type="swCell"/>
  </w:style>
  <w:style w:type="table" w:customStyle="1" w:styleId="112">
    <w:name w:val="List Table 1 Light - Accent 3"/>
    <w:basedOn w:val="29"/>
    <w:uiPriority w:val="99"/>
    <w:pPr>
      <w:spacing w:after="0" w:line="240" w:lineRule="auto"/>
    </w:pPr>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E5EDD5" w:themeFill="accent3" w:themeFillTint="40"/>
      </w:tcPr>
    </w:tblStylePr>
    <w:tblStylePr w:type="band2Vert"/>
    <w:tblStylePr w:type="band1Horz">
      <w:tcPr>
        <w:shd w:val="clear" w:color="E5EDD5" w:themeColor="accent3" w:themeTint="40" w:fill="E5EDD5" w:themeFill="accent3" w:themeFillTint="40"/>
      </w:tcPr>
    </w:tblStylePr>
    <w:tblStylePr w:type="band2Horz"/>
    <w:tblStylePr w:type="neCell"/>
    <w:tblStylePr w:type="nwCell"/>
    <w:tblStylePr w:type="seCell"/>
    <w:tblStylePr w:type="swCell"/>
  </w:style>
  <w:style w:type="table" w:customStyle="1" w:styleId="113">
    <w:name w:val="List Table 1 Light - Accent 4"/>
    <w:basedOn w:val="29"/>
    <w:uiPriority w:val="99"/>
    <w:pPr>
      <w:spacing w:after="0" w:line="240" w:lineRule="auto"/>
    </w:pPr>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DFD8E7" w:themeFill="accent4" w:themeFillTint="40"/>
      </w:tcPr>
    </w:tblStylePr>
    <w:tblStylePr w:type="band2Vert"/>
    <w:tblStylePr w:type="band1Horz">
      <w:tcPr>
        <w:shd w:val="clear" w:color="DFD8E7" w:themeColor="accent4" w:themeTint="40" w:fill="DFD8E7" w:themeFill="accent4" w:themeFillTint="40"/>
      </w:tcPr>
    </w:tblStylePr>
    <w:tblStylePr w:type="band2Horz"/>
    <w:tblStylePr w:type="neCell"/>
    <w:tblStylePr w:type="nwCell"/>
    <w:tblStylePr w:type="seCell"/>
    <w:tblStylePr w:type="swCell"/>
  </w:style>
  <w:style w:type="table" w:customStyle="1" w:styleId="114">
    <w:name w:val="List Table 1 Light - Accent 5"/>
    <w:basedOn w:val="29"/>
    <w:uiPriority w:val="99"/>
    <w:pPr>
      <w:spacing w:after="0" w:line="240" w:lineRule="auto"/>
    </w:pPr>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D1EAF0" w:themeFill="accent5" w:themeFillTint="40"/>
      </w:tcPr>
    </w:tblStylePr>
    <w:tblStylePr w:type="band2Vert"/>
    <w:tblStylePr w:type="band1Horz">
      <w:tcPr>
        <w:shd w:val="clear" w:color="D1EAF0" w:themeColor="accent5" w:themeTint="40" w:fill="D1EAF0" w:themeFill="accent5" w:themeFillTint="40"/>
      </w:tcPr>
    </w:tblStylePr>
    <w:tblStylePr w:type="band2Horz"/>
    <w:tblStylePr w:type="neCell"/>
    <w:tblStylePr w:type="nwCell"/>
    <w:tblStylePr w:type="seCell"/>
    <w:tblStylePr w:type="swCell"/>
  </w:style>
  <w:style w:type="table" w:customStyle="1" w:styleId="115">
    <w:name w:val="List Table 1 Light - Accent 6"/>
    <w:basedOn w:val="29"/>
    <w:uiPriority w:val="99"/>
    <w:pPr>
      <w:spacing w:after="0" w:line="240" w:lineRule="auto"/>
    </w:pPr>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FCE4D0" w:themeFill="accent6" w:themeFillTint="40"/>
      </w:tcPr>
    </w:tblStylePr>
    <w:tblStylePr w:type="band2Vert"/>
    <w:tblStylePr w:type="band1Horz">
      <w:tcPr>
        <w:shd w:val="clear" w:color="FCE4D0" w:themeColor="accent6" w:themeTint="40" w:fill="FCE4D0" w:themeFill="accent6" w:themeFillTint="40"/>
      </w:tcPr>
    </w:tblStylePr>
    <w:tblStylePr w:type="band2Horz"/>
    <w:tblStylePr w:type="neCell"/>
    <w:tblStylePr w:type="nwCell"/>
    <w:tblStylePr w:type="seCell"/>
    <w:tblStylePr w:type="swCell"/>
  </w:style>
  <w:style w:type="table" w:customStyle="1" w:styleId="116">
    <w:name w:val="List Table 2"/>
    <w:basedOn w:val="29"/>
    <w:uiPriority w:val="99"/>
    <w:pPr>
      <w:spacing w:after="0" w:line="240" w:lineRule="auto"/>
    </w:pPr>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2Vert"/>
    <w:tblStylePr w:type="band1Horz">
      <w:rPr>
        <w:rFonts w:ascii="Arial" w:hAnsi="Arial"/>
        <w:color w:val="404040"/>
        <w:sz w:val="22"/>
      </w:rPr>
      <w:tcPr>
        <w:shd w:val="clear" w:color="BEBEBE" w:themeColor="text1" w:themeTint="40" w:fill="BEBEBE" w:themeFill="text1" w:themeFillTint="40"/>
      </w:tcPr>
    </w:tblStylePr>
    <w:tblStylePr w:type="band2Horz"/>
    <w:tblStylePr w:type="neCell"/>
    <w:tblStylePr w:type="nwCell"/>
    <w:tblStylePr w:type="seCell"/>
    <w:tblStylePr w:type="swCell"/>
  </w:style>
  <w:style w:type="table" w:customStyle="1" w:styleId="117">
    <w:name w:val="List Table 2 - Accent 1"/>
    <w:basedOn w:val="29"/>
    <w:uiPriority w:val="99"/>
    <w:pPr>
      <w:spacing w:after="0" w:line="240" w:lineRule="auto"/>
    </w:pPr>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D2DFEE" w:themeFill="accent1" w:themeFillTint="40"/>
      </w:tcPr>
    </w:tblStylePr>
    <w:tblStylePr w:type="band2Vert"/>
    <w:tblStylePr w:type="band1Horz">
      <w:rPr>
        <w:rFonts w:ascii="Arial" w:hAnsi="Arial"/>
        <w:color w:val="404040"/>
        <w:sz w:val="22"/>
      </w:rPr>
      <w:tcPr>
        <w:shd w:val="clear" w:color="D2DFEE" w:themeColor="accent1" w:themeTint="40" w:fill="D2DFEE" w:themeFill="accent1" w:themeFillTint="40"/>
      </w:tcPr>
    </w:tblStylePr>
    <w:tblStylePr w:type="band2Horz"/>
    <w:tblStylePr w:type="neCell"/>
    <w:tblStylePr w:type="nwCell"/>
    <w:tblStylePr w:type="seCell"/>
    <w:tblStylePr w:type="swCell"/>
  </w:style>
  <w:style w:type="table" w:customStyle="1" w:styleId="118">
    <w:name w:val="List Table 2 - Accent 2"/>
    <w:basedOn w:val="29"/>
    <w:uiPriority w:val="99"/>
    <w:pPr>
      <w:spacing w:after="0" w:line="240" w:lineRule="auto"/>
    </w:pPr>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EFD3D2" w:themeFill="accent2" w:themeFillTint="40"/>
      </w:tcPr>
    </w:tblStylePr>
    <w:tblStylePr w:type="band2Vert"/>
    <w:tblStylePr w:type="band1Horz">
      <w:rPr>
        <w:rFonts w:ascii="Arial" w:hAnsi="Arial"/>
        <w:color w:val="404040"/>
        <w:sz w:val="22"/>
      </w:rPr>
      <w:tcPr>
        <w:shd w:val="clear" w:color="EFD3D2" w:themeColor="accent2" w:themeTint="40" w:fill="EFD3D2" w:themeFill="accent2" w:themeFillTint="40"/>
      </w:tcPr>
    </w:tblStylePr>
    <w:tblStylePr w:type="band2Horz"/>
    <w:tblStylePr w:type="neCell"/>
    <w:tblStylePr w:type="nwCell"/>
    <w:tblStylePr w:type="seCell"/>
    <w:tblStylePr w:type="swCell"/>
  </w:style>
  <w:style w:type="table" w:customStyle="1" w:styleId="119">
    <w:name w:val="List Table 2 - Accent 3"/>
    <w:basedOn w:val="29"/>
    <w:uiPriority w:val="99"/>
    <w:pPr>
      <w:spacing w:after="0" w:line="240" w:lineRule="auto"/>
    </w:pPr>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E5EDD5" w:themeFill="accent3" w:themeFillTint="40"/>
      </w:tcPr>
    </w:tblStylePr>
    <w:tblStylePr w:type="band2Vert"/>
    <w:tblStylePr w:type="band1Horz">
      <w:rPr>
        <w:rFonts w:ascii="Arial" w:hAnsi="Arial"/>
        <w:color w:val="404040"/>
        <w:sz w:val="22"/>
      </w:rPr>
      <w:tcPr>
        <w:shd w:val="clear" w:color="E5EDD5" w:themeColor="accent3" w:themeTint="40" w:fill="E5EDD5" w:themeFill="accent3" w:themeFillTint="40"/>
      </w:tcPr>
    </w:tblStylePr>
    <w:tblStylePr w:type="band2Horz"/>
    <w:tblStylePr w:type="neCell"/>
    <w:tblStylePr w:type="nwCell"/>
    <w:tblStylePr w:type="seCell"/>
    <w:tblStylePr w:type="swCell"/>
  </w:style>
  <w:style w:type="table" w:customStyle="1" w:styleId="120">
    <w:name w:val="List Table 2 - Accent 4"/>
    <w:basedOn w:val="29"/>
    <w:uiPriority w:val="99"/>
    <w:pPr>
      <w:spacing w:after="0" w:line="240" w:lineRule="auto"/>
    </w:pPr>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DFD8E7" w:themeFill="accent4" w:themeFillTint="40"/>
      </w:tcPr>
    </w:tblStylePr>
    <w:tblStylePr w:type="band2Vert"/>
    <w:tblStylePr w:type="band1Horz">
      <w:rPr>
        <w:rFonts w:ascii="Arial" w:hAnsi="Arial"/>
        <w:color w:val="404040"/>
        <w:sz w:val="22"/>
      </w:rPr>
      <w:tcPr>
        <w:shd w:val="clear" w:color="DFD8E7" w:themeColor="accent4" w:themeTint="40" w:fill="DFD8E7" w:themeFill="accent4" w:themeFillTint="40"/>
      </w:tcPr>
    </w:tblStylePr>
    <w:tblStylePr w:type="band2Horz"/>
    <w:tblStylePr w:type="neCell"/>
    <w:tblStylePr w:type="nwCell"/>
    <w:tblStylePr w:type="seCell"/>
    <w:tblStylePr w:type="swCell"/>
  </w:style>
  <w:style w:type="table" w:customStyle="1" w:styleId="121">
    <w:name w:val="List Table 2 - Accent 5"/>
    <w:basedOn w:val="29"/>
    <w:uiPriority w:val="99"/>
    <w:pPr>
      <w:spacing w:after="0" w:line="240" w:lineRule="auto"/>
    </w:pPr>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D1EAF0" w:themeFill="accent5" w:themeFillTint="40"/>
      </w:tcPr>
    </w:tblStylePr>
    <w:tblStylePr w:type="band2Vert"/>
    <w:tblStylePr w:type="band1Horz">
      <w:rPr>
        <w:rFonts w:ascii="Arial" w:hAnsi="Arial"/>
        <w:color w:val="404040"/>
        <w:sz w:val="22"/>
      </w:rPr>
      <w:tcPr>
        <w:shd w:val="clear" w:color="D1EAF0" w:themeColor="accent5" w:themeTint="40" w:fill="D1EAF0" w:themeFill="accent5" w:themeFillTint="40"/>
      </w:tcPr>
    </w:tblStylePr>
    <w:tblStylePr w:type="band2Horz"/>
    <w:tblStylePr w:type="neCell"/>
    <w:tblStylePr w:type="nwCell"/>
    <w:tblStylePr w:type="seCell"/>
    <w:tblStylePr w:type="swCell"/>
  </w:style>
  <w:style w:type="table" w:customStyle="1" w:styleId="122">
    <w:name w:val="List Table 2 - Accent 6"/>
    <w:basedOn w:val="29"/>
    <w:uiPriority w:val="99"/>
    <w:pPr>
      <w:spacing w:after="0" w:line="240" w:lineRule="auto"/>
    </w:pPr>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FCE4D0" w:themeFill="accent6" w:themeFillTint="40"/>
      </w:tcPr>
    </w:tblStylePr>
    <w:tblStylePr w:type="band2Vert"/>
    <w:tblStylePr w:type="band1Horz">
      <w:rPr>
        <w:rFonts w:ascii="Arial" w:hAnsi="Arial"/>
        <w:color w:val="404040"/>
        <w:sz w:val="22"/>
      </w:rPr>
      <w:tcPr>
        <w:shd w:val="clear" w:color="FCE4D0" w:themeColor="accent6" w:themeTint="40" w:fill="FCE4D0" w:themeFill="accent6" w:themeFillTint="40"/>
      </w:tcPr>
    </w:tblStylePr>
    <w:tblStylePr w:type="band2Horz"/>
    <w:tblStylePr w:type="neCell"/>
    <w:tblStylePr w:type="nwCell"/>
    <w:tblStylePr w:type="seCell"/>
    <w:tblStylePr w:type="swCell"/>
  </w:style>
  <w:style w:type="table" w:customStyle="1" w:styleId="123">
    <w:name w:val="List Table 3"/>
    <w:basedOn w:val="29"/>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2Vert"/>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2Horz"/>
    <w:tblStylePr w:type="neCell"/>
    <w:tblStylePr w:type="nwCell"/>
    <w:tblStylePr w:type="seCell"/>
    <w:tblStylePr w:type="swCell"/>
  </w:style>
  <w:style w:type="table" w:customStyle="1" w:styleId="124">
    <w:name w:val="List Table 3 - Accent 1"/>
    <w:basedOn w:val="29"/>
    <w:uiPriority w:val="99"/>
    <w:pPr>
      <w:spacing w:after="0" w:line="240" w:lineRule="auto"/>
    </w:pPr>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2Vert"/>
    <w:tblStylePr w:type="band1Horz">
      <w:rPr>
        <w:rFonts w:ascii="Arial" w:hAnsi="Arial"/>
        <w:color w:val="404040"/>
        <w:sz w:val="22"/>
      </w:rPr>
      <w:tcPr>
        <w:tcBorders>
          <w:top w:val="single" w:color="4F81BD" w:themeColor="accent1" w:sz="4" w:space="0"/>
          <w:bottom w:val="single" w:color="4F81BD" w:themeColor="accent1" w:sz="4" w:space="0"/>
        </w:tcBorders>
      </w:tcPr>
    </w:tblStylePr>
    <w:tblStylePr w:type="band2Horz"/>
    <w:tblStylePr w:type="neCell"/>
    <w:tblStylePr w:type="nwCell"/>
    <w:tblStylePr w:type="seCell"/>
    <w:tblStylePr w:type="swCell"/>
  </w:style>
  <w:style w:type="table" w:customStyle="1" w:styleId="125">
    <w:name w:val="List Table 3 - Accent 2"/>
    <w:basedOn w:val="29"/>
    <w:uiPriority w:val="99"/>
    <w:pPr>
      <w:spacing w:after="0" w:line="240" w:lineRule="auto"/>
    </w:pPr>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D997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2Vert"/>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tblStylePr w:type="band2Horz"/>
    <w:tblStylePr w:type="neCell"/>
    <w:tblStylePr w:type="nwCell"/>
    <w:tblStylePr w:type="seCell"/>
    <w:tblStylePr w:type="swCell"/>
  </w:style>
  <w:style w:type="table" w:customStyle="1" w:styleId="126">
    <w:name w:val="List Table 3 - Accent 3"/>
    <w:basedOn w:val="29"/>
    <w:uiPriority w:val="99"/>
    <w:pPr>
      <w:spacing w:after="0" w:line="240" w:lineRule="auto"/>
    </w:pPr>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C3D69C"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2Vert"/>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tblStylePr w:type="band2Horz"/>
    <w:tblStylePr w:type="neCell"/>
    <w:tblStylePr w:type="nwCell"/>
    <w:tblStylePr w:type="seCell"/>
    <w:tblStylePr w:type="swCell"/>
  </w:style>
  <w:style w:type="table" w:customStyle="1" w:styleId="127">
    <w:name w:val="List Table 3 - Accent 4"/>
    <w:basedOn w:val="29"/>
    <w:uiPriority w:val="99"/>
    <w:pPr>
      <w:spacing w:after="0" w:line="240" w:lineRule="auto"/>
    </w:pPr>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2Vert"/>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tblStylePr w:type="band2Horz"/>
    <w:tblStylePr w:type="neCell"/>
    <w:tblStylePr w:type="nwCell"/>
    <w:tblStylePr w:type="seCell"/>
    <w:tblStylePr w:type="swCell"/>
  </w:style>
  <w:style w:type="table" w:customStyle="1" w:styleId="128">
    <w:name w:val="List Table 3 - Accent 5"/>
    <w:basedOn w:val="29"/>
    <w:uiPriority w:val="99"/>
    <w:pPr>
      <w:spacing w:after="0" w:line="240" w:lineRule="auto"/>
    </w:pPr>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2Vert"/>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tblStylePr w:type="band2Horz"/>
    <w:tblStylePr w:type="neCell"/>
    <w:tblStylePr w:type="nwCell"/>
    <w:tblStylePr w:type="seCell"/>
    <w:tblStylePr w:type="swCell"/>
  </w:style>
  <w:style w:type="table" w:customStyle="1" w:styleId="129">
    <w:name w:val="List Table 3 - Accent 6"/>
    <w:basedOn w:val="29"/>
    <w:uiPriority w:val="99"/>
    <w:pPr>
      <w:spacing w:after="0" w:line="240" w:lineRule="auto"/>
    </w:pPr>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2Vert"/>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tblStylePr w:type="band2Horz"/>
    <w:tblStylePr w:type="neCell"/>
    <w:tblStylePr w:type="nwCell"/>
    <w:tblStylePr w:type="seCell"/>
    <w:tblStylePr w:type="swCell"/>
  </w:style>
  <w:style w:type="table" w:customStyle="1" w:styleId="130">
    <w:name w:val="List Table 4"/>
    <w:basedOn w:val="29"/>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2Vert"/>
    <w:tblStylePr w:type="band1Horz">
      <w:rPr>
        <w:rFonts w:ascii="Arial" w:hAnsi="Arial"/>
        <w:color w:val="404040"/>
        <w:sz w:val="22"/>
      </w:rPr>
      <w:tcPr>
        <w:shd w:val="clear" w:color="BEBEBE" w:themeColor="text1" w:themeTint="40" w:fill="BEBEBE" w:themeFill="text1" w:themeFillTint="40"/>
      </w:tcPr>
    </w:tblStylePr>
    <w:tblStylePr w:type="band2Horz"/>
    <w:tblStylePr w:type="neCell"/>
    <w:tblStylePr w:type="nwCell"/>
    <w:tblStylePr w:type="seCell"/>
    <w:tblStylePr w:type="swCell"/>
  </w:style>
  <w:style w:type="table" w:customStyle="1" w:styleId="131">
    <w:name w:val="List Table 4 - Accent 1"/>
    <w:basedOn w:val="29"/>
    <w:uiPriority w:val="99"/>
    <w:pPr>
      <w:spacing w:after="0" w:line="240" w:lineRule="auto"/>
    </w:pPr>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D2DFEE" w:themeFill="accent1" w:themeFillTint="40"/>
      </w:tcPr>
    </w:tblStylePr>
    <w:tblStylePr w:type="band2Vert"/>
    <w:tblStylePr w:type="band1Horz">
      <w:rPr>
        <w:rFonts w:ascii="Arial" w:hAnsi="Arial"/>
        <w:color w:val="404040"/>
        <w:sz w:val="22"/>
      </w:rPr>
      <w:tcPr>
        <w:shd w:val="clear" w:color="D2DFEE" w:themeColor="accent1" w:themeTint="40" w:fill="D2DFEE" w:themeFill="accent1" w:themeFillTint="40"/>
      </w:tcPr>
    </w:tblStylePr>
    <w:tblStylePr w:type="band2Horz"/>
    <w:tblStylePr w:type="neCell"/>
    <w:tblStylePr w:type="nwCell"/>
    <w:tblStylePr w:type="seCell"/>
    <w:tblStylePr w:type="swCell"/>
  </w:style>
  <w:style w:type="table" w:customStyle="1" w:styleId="132">
    <w:name w:val="List Table 4 - Accent 2"/>
    <w:basedOn w:val="29"/>
    <w:uiPriority w:val="99"/>
    <w:pPr>
      <w:spacing w:after="0" w:line="240" w:lineRule="auto"/>
    </w:pPr>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EFD3D2" w:themeFill="accent2" w:themeFillTint="40"/>
      </w:tcPr>
    </w:tblStylePr>
    <w:tblStylePr w:type="band2Vert"/>
    <w:tblStylePr w:type="band1Horz">
      <w:rPr>
        <w:rFonts w:ascii="Arial" w:hAnsi="Arial"/>
        <w:color w:val="404040"/>
        <w:sz w:val="22"/>
      </w:rPr>
      <w:tcPr>
        <w:shd w:val="clear" w:color="EFD3D2" w:themeColor="accent2" w:themeTint="40" w:fill="EFD3D2" w:themeFill="accent2" w:themeFillTint="40"/>
      </w:tcPr>
    </w:tblStylePr>
    <w:tblStylePr w:type="band2Horz"/>
    <w:tblStylePr w:type="neCell"/>
    <w:tblStylePr w:type="nwCell"/>
    <w:tblStylePr w:type="seCell"/>
    <w:tblStylePr w:type="swCell"/>
  </w:style>
  <w:style w:type="table" w:customStyle="1" w:styleId="133">
    <w:name w:val="List Table 4 - Accent 3"/>
    <w:basedOn w:val="29"/>
    <w:uiPriority w:val="99"/>
    <w:pPr>
      <w:spacing w:after="0" w:line="240" w:lineRule="auto"/>
    </w:pPr>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E5EDD5" w:themeFill="accent3" w:themeFillTint="40"/>
      </w:tcPr>
    </w:tblStylePr>
    <w:tblStylePr w:type="band2Vert"/>
    <w:tblStylePr w:type="band1Horz">
      <w:rPr>
        <w:rFonts w:ascii="Arial" w:hAnsi="Arial"/>
        <w:color w:val="404040"/>
        <w:sz w:val="22"/>
      </w:rPr>
      <w:tcPr>
        <w:shd w:val="clear" w:color="E5EDD5" w:themeColor="accent3" w:themeTint="40" w:fill="E5EDD5" w:themeFill="accent3" w:themeFillTint="40"/>
      </w:tcPr>
    </w:tblStylePr>
    <w:tblStylePr w:type="band2Horz"/>
    <w:tblStylePr w:type="neCell"/>
    <w:tblStylePr w:type="nwCell"/>
    <w:tblStylePr w:type="seCell"/>
    <w:tblStylePr w:type="swCell"/>
  </w:style>
  <w:style w:type="table" w:customStyle="1" w:styleId="134">
    <w:name w:val="List Table 4 - Accent 4"/>
    <w:basedOn w:val="29"/>
    <w:uiPriority w:val="99"/>
    <w:pPr>
      <w:spacing w:after="0" w:line="240" w:lineRule="auto"/>
    </w:pPr>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DFD8E7" w:themeFill="accent4" w:themeFillTint="40"/>
      </w:tcPr>
    </w:tblStylePr>
    <w:tblStylePr w:type="band2Vert"/>
    <w:tblStylePr w:type="band1Horz">
      <w:rPr>
        <w:rFonts w:ascii="Arial" w:hAnsi="Arial"/>
        <w:color w:val="404040"/>
        <w:sz w:val="22"/>
      </w:rPr>
      <w:tcPr>
        <w:shd w:val="clear" w:color="DFD8E7" w:themeColor="accent4" w:themeTint="40" w:fill="DFD8E7" w:themeFill="accent4" w:themeFillTint="40"/>
      </w:tcPr>
    </w:tblStylePr>
    <w:tblStylePr w:type="band2Horz"/>
    <w:tblStylePr w:type="neCell"/>
    <w:tblStylePr w:type="nwCell"/>
    <w:tblStylePr w:type="seCell"/>
    <w:tblStylePr w:type="swCell"/>
  </w:style>
  <w:style w:type="table" w:customStyle="1" w:styleId="135">
    <w:name w:val="List Table 4 - Accent 5"/>
    <w:basedOn w:val="29"/>
    <w:uiPriority w:val="99"/>
    <w:pPr>
      <w:spacing w:after="0" w:line="240" w:lineRule="auto"/>
    </w:pPr>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D1EAF0" w:themeFill="accent5" w:themeFillTint="40"/>
      </w:tcPr>
    </w:tblStylePr>
    <w:tblStylePr w:type="band2Vert"/>
    <w:tblStylePr w:type="band1Horz">
      <w:rPr>
        <w:rFonts w:ascii="Arial" w:hAnsi="Arial"/>
        <w:color w:val="404040"/>
        <w:sz w:val="22"/>
      </w:rPr>
      <w:tcPr>
        <w:shd w:val="clear" w:color="D1EAF0" w:themeColor="accent5" w:themeTint="40" w:fill="D1EAF0" w:themeFill="accent5" w:themeFillTint="40"/>
      </w:tcPr>
    </w:tblStylePr>
    <w:tblStylePr w:type="band2Horz"/>
    <w:tblStylePr w:type="neCell"/>
    <w:tblStylePr w:type="nwCell"/>
    <w:tblStylePr w:type="seCell"/>
    <w:tblStylePr w:type="swCell"/>
  </w:style>
  <w:style w:type="table" w:customStyle="1" w:styleId="136">
    <w:name w:val="List Table 4 - Accent 6"/>
    <w:basedOn w:val="29"/>
    <w:uiPriority w:val="99"/>
    <w:pPr>
      <w:spacing w:after="0" w:line="240" w:lineRule="auto"/>
    </w:pPr>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FCE4D0" w:themeFill="accent6" w:themeFillTint="40"/>
      </w:tcPr>
    </w:tblStylePr>
    <w:tblStylePr w:type="band2Vert"/>
    <w:tblStylePr w:type="band1Horz">
      <w:rPr>
        <w:rFonts w:ascii="Arial" w:hAnsi="Arial"/>
        <w:color w:val="404040"/>
        <w:sz w:val="22"/>
      </w:rPr>
      <w:tcPr>
        <w:shd w:val="clear" w:color="FCE4D0" w:themeColor="accent6" w:themeTint="40" w:fill="FCE4D0" w:themeFill="accent6" w:themeFillTint="40"/>
      </w:tcPr>
    </w:tblStylePr>
    <w:tblStylePr w:type="band2Horz"/>
    <w:tblStylePr w:type="neCell"/>
    <w:tblStylePr w:type="nwCell"/>
    <w:tblStylePr w:type="seCell"/>
    <w:tblStylePr w:type="swCell"/>
  </w:style>
  <w:style w:type="table" w:customStyle="1" w:styleId="137">
    <w:name w:val="List Table 5 Dark"/>
    <w:basedOn w:val="29"/>
    <w:uiPriority w:val="99"/>
    <w:pPr>
      <w:spacing w:after="0" w:line="240" w:lineRule="auto"/>
    </w:pPr>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neCell"/>
    <w:tblStylePr w:type="nwCell"/>
    <w:tblStylePr w:type="seCell"/>
    <w:tblStylePr w:type="swCell"/>
  </w:style>
  <w:style w:type="table" w:customStyle="1" w:styleId="138">
    <w:name w:val="List Table 5 Dark - Accent 1"/>
    <w:basedOn w:val="29"/>
    <w:uiPriority w:val="99"/>
    <w:pPr>
      <w:spacing w:after="0" w:line="240" w:lineRule="auto"/>
    </w:pPr>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4F81BD"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4F81BD"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4F81BD" w:themeFill="accent1"/>
      </w:tcPr>
    </w:tblStylePr>
    <w:tblStylePr w:type="band2Horz">
      <w:tcPr>
        <w:tcBorders>
          <w:top w:val="single" w:color="FFFFFF" w:themeColor="light1" w:sz="4" w:space="0"/>
          <w:bottom w:val="single" w:color="FFFFFF" w:themeColor="light1" w:sz="4" w:space="0"/>
        </w:tcBorders>
        <w:shd w:val="clear" w:color="4F81BD" w:themeColor="accent1" w:fill="4F81BD" w:themeFill="accent1"/>
      </w:tcPr>
    </w:tblStylePr>
    <w:tblStylePr w:type="neCell"/>
    <w:tblStylePr w:type="nwCell"/>
    <w:tblStylePr w:type="seCell"/>
    <w:tblStylePr w:type="swCell"/>
  </w:style>
  <w:style w:type="table" w:customStyle="1" w:styleId="139">
    <w:name w:val="List Table 5 Dark - Accent 2"/>
    <w:basedOn w:val="29"/>
    <w:uiPriority w:val="99"/>
    <w:pPr>
      <w:spacing w:after="0" w:line="240" w:lineRule="auto"/>
    </w:pPr>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D9979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D9979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tblStylePr w:type="band2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tblStylePr w:type="neCell"/>
    <w:tblStylePr w:type="nwCell"/>
    <w:tblStylePr w:type="seCell"/>
    <w:tblStylePr w:type="swCell"/>
  </w:style>
  <w:style w:type="table" w:customStyle="1" w:styleId="140">
    <w:name w:val="List Table 5 Dark - Accent 3"/>
    <w:basedOn w:val="29"/>
    <w:uiPriority w:val="99"/>
    <w:pPr>
      <w:spacing w:after="0" w:line="240" w:lineRule="auto"/>
    </w:pPr>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C3D69C"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C3D69C"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tblStylePr w:type="band2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tblStylePr w:type="neCell"/>
    <w:tblStylePr w:type="nwCell"/>
    <w:tblStylePr w:type="seCell"/>
    <w:tblStylePr w:type="swCell"/>
  </w:style>
  <w:style w:type="table" w:customStyle="1" w:styleId="141">
    <w:name w:val="List Table 5 Dark - Accent 4"/>
    <w:basedOn w:val="29"/>
    <w:uiPriority w:val="99"/>
    <w:pPr>
      <w:spacing w:after="0" w:line="240" w:lineRule="auto"/>
    </w:pPr>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B2A1C6"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B2A1C6"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tblStylePr w:type="band2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tblStylePr w:type="neCell"/>
    <w:tblStylePr w:type="nwCell"/>
    <w:tblStylePr w:type="seCell"/>
    <w:tblStylePr w:type="swCell"/>
  </w:style>
  <w:style w:type="table" w:customStyle="1" w:styleId="142">
    <w:name w:val="List Table 5 Dark - Accent 5"/>
    <w:basedOn w:val="29"/>
    <w:uiPriority w:val="99"/>
    <w:pPr>
      <w:spacing w:after="0" w:line="240" w:lineRule="auto"/>
    </w:pPr>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92CCDC"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92CCDC"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tblStylePr w:type="band2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tblStylePr w:type="neCell"/>
    <w:tblStylePr w:type="nwCell"/>
    <w:tblStylePr w:type="seCell"/>
    <w:tblStylePr w:type="swCell"/>
  </w:style>
  <w:style w:type="table" w:customStyle="1" w:styleId="143">
    <w:name w:val="List Table 5 Dark - Accent 6"/>
    <w:basedOn w:val="29"/>
    <w:uiPriority w:val="99"/>
    <w:pPr>
      <w:spacing w:after="0" w:line="240" w:lineRule="auto"/>
    </w:pPr>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FAC090"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FAC090"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tblStylePr w:type="band2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tblStylePr w:type="neCell"/>
    <w:tblStylePr w:type="nwCell"/>
    <w:tblStylePr w:type="seCell"/>
    <w:tblStylePr w:type="swCell"/>
  </w:style>
  <w:style w:type="table" w:customStyle="1" w:styleId="144">
    <w:name w:val="List Table 6 Colorful"/>
    <w:basedOn w:val="29"/>
    <w:uiPriority w:val="99"/>
    <w:pPr>
      <w:spacing w:after="0" w:line="240" w:lineRule="auto"/>
    </w:pPr>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2Vert"/>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tblStylePr w:type="neCell"/>
    <w:tblStylePr w:type="nwCell"/>
    <w:tblStylePr w:type="seCell"/>
    <w:tblStylePr w:type="swCell"/>
  </w:style>
  <w:style w:type="table" w:customStyle="1" w:styleId="145">
    <w:name w:val="List Table 6 Colorful - Accent 1"/>
    <w:basedOn w:val="29"/>
    <w:uiPriority w:val="99"/>
    <w:pPr>
      <w:spacing w:after="0" w:line="240" w:lineRule="auto"/>
    </w:pPr>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D2DFEE" w:themeFill="accent1" w:themeFillTint="40"/>
      </w:tcPr>
    </w:tblStylePr>
    <w:tblStylePr w:type="band2Vert"/>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tblStylePr w:type="neCell"/>
    <w:tblStylePr w:type="nwCell"/>
    <w:tblStylePr w:type="seCell"/>
    <w:tblStylePr w:type="swCell"/>
  </w:style>
  <w:style w:type="table" w:customStyle="1" w:styleId="146">
    <w:name w:val="List Table 6 Colorful - Accent 2"/>
    <w:basedOn w:val="29"/>
    <w:uiPriority w:val="99"/>
    <w:pPr>
      <w:spacing w:after="0" w:line="240" w:lineRule="auto"/>
    </w:pPr>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EFD3D2" w:themeFill="accent2" w:themeFillTint="40"/>
      </w:tcPr>
    </w:tblStylePr>
    <w:tblStylePr w:type="band2Vert"/>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tblStylePr w:type="neCell"/>
    <w:tblStylePr w:type="nwCell"/>
    <w:tblStylePr w:type="seCell"/>
    <w:tblStylePr w:type="swCell"/>
  </w:style>
  <w:style w:type="table" w:customStyle="1" w:styleId="147">
    <w:name w:val="List Table 6 Colorful - Accent 3"/>
    <w:basedOn w:val="29"/>
    <w:uiPriority w:val="99"/>
    <w:pPr>
      <w:spacing w:after="0" w:line="240" w:lineRule="auto"/>
    </w:pPr>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E5EDD5" w:themeFill="accent3" w:themeFillTint="40"/>
      </w:tcPr>
    </w:tblStylePr>
    <w:tblStylePr w:type="band2Vert"/>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tblStylePr w:type="neCell"/>
    <w:tblStylePr w:type="nwCell"/>
    <w:tblStylePr w:type="seCell"/>
    <w:tblStylePr w:type="swCell"/>
  </w:style>
  <w:style w:type="table" w:customStyle="1" w:styleId="148">
    <w:name w:val="List Table 6 Colorful - Accent 4"/>
    <w:basedOn w:val="29"/>
    <w:uiPriority w:val="99"/>
    <w:pPr>
      <w:spacing w:after="0" w:line="240" w:lineRule="auto"/>
    </w:pPr>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DFD8E7" w:themeFill="accent4" w:themeFillTint="40"/>
      </w:tcPr>
    </w:tblStylePr>
    <w:tblStylePr w:type="band2Vert"/>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tblStylePr w:type="neCell"/>
    <w:tblStylePr w:type="nwCell"/>
    <w:tblStylePr w:type="seCell"/>
    <w:tblStylePr w:type="swCell"/>
  </w:style>
  <w:style w:type="table" w:customStyle="1" w:styleId="149">
    <w:name w:val="List Table 6 Colorful - Accent 5"/>
    <w:basedOn w:val="29"/>
    <w:uiPriority w:val="99"/>
    <w:pPr>
      <w:spacing w:after="0" w:line="240" w:lineRule="auto"/>
    </w:pPr>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D1EAF0" w:themeFill="accent5" w:themeFillTint="40"/>
      </w:tcPr>
    </w:tblStylePr>
    <w:tblStylePr w:type="band2Vert"/>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tblStylePr w:type="neCell"/>
    <w:tblStylePr w:type="nwCell"/>
    <w:tblStylePr w:type="seCell"/>
    <w:tblStylePr w:type="swCell"/>
  </w:style>
  <w:style w:type="table" w:customStyle="1" w:styleId="150">
    <w:name w:val="List Table 6 Colorful - Accent 6"/>
    <w:basedOn w:val="29"/>
    <w:uiPriority w:val="99"/>
    <w:pPr>
      <w:spacing w:after="0" w:line="240" w:lineRule="auto"/>
    </w:pPr>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FCE4D0" w:themeFill="accent6" w:themeFillTint="40"/>
      </w:tcPr>
    </w:tblStylePr>
    <w:tblStylePr w:type="band2Vert"/>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tblStylePr w:type="neCell"/>
    <w:tblStylePr w:type="nwCell"/>
    <w:tblStylePr w:type="seCell"/>
    <w:tblStylePr w:type="swCell"/>
  </w:style>
  <w:style w:type="table" w:customStyle="1" w:styleId="151">
    <w:name w:val="List Table 7 Colorful"/>
    <w:basedOn w:val="29"/>
    <w:uiPriority w:val="99"/>
    <w:pPr>
      <w:spacing w:after="0" w:line="240" w:lineRule="auto"/>
    </w:pPr>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2Vert"/>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tblStylePr w:type="neCell"/>
    <w:tblStylePr w:type="nwCell"/>
    <w:tblStylePr w:type="seCell"/>
    <w:tblStylePr w:type="swCell"/>
  </w:style>
  <w:style w:type="table" w:customStyle="1" w:styleId="152">
    <w:name w:val="List Table 7 Colorful - Accent 1"/>
    <w:basedOn w:val="29"/>
    <w:uiPriority w:val="99"/>
    <w:pPr>
      <w:spacing w:after="0" w:line="240" w:lineRule="auto"/>
    </w:pPr>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FFFFFF" w:themeFill="light1"/>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D2DFEE" w:themeFill="accent1" w:themeFillTint="40"/>
      </w:tcPr>
    </w:tblStylePr>
    <w:tblStylePr w:type="band2Vert"/>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tblStylePr w:type="neCell"/>
    <w:tblStylePr w:type="nwCell"/>
    <w:tblStylePr w:type="seCell"/>
    <w:tblStylePr w:type="swCell"/>
  </w:style>
  <w:style w:type="table" w:customStyle="1" w:styleId="153">
    <w:name w:val="List Table 7 Colorful - Accent 2"/>
    <w:basedOn w:val="29"/>
    <w:uiPriority w:val="99"/>
    <w:pPr>
      <w:spacing w:after="0" w:line="240" w:lineRule="auto"/>
    </w:pPr>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EFD3D2" w:themeFill="accent2" w:themeFillTint="40"/>
      </w:tcPr>
    </w:tblStylePr>
    <w:tblStylePr w:type="band2Vert"/>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tblStylePr w:type="neCell"/>
    <w:tblStylePr w:type="nwCell"/>
    <w:tblStylePr w:type="seCell"/>
    <w:tblStylePr w:type="swCell"/>
  </w:style>
  <w:style w:type="table" w:customStyle="1" w:styleId="154">
    <w:name w:val="List Table 7 Colorful - Accent 3"/>
    <w:basedOn w:val="29"/>
    <w:uiPriority w:val="99"/>
    <w:pPr>
      <w:spacing w:after="0" w:line="240" w:lineRule="auto"/>
    </w:pPr>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FFFFFF" w:themeFill="light1"/>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E5EDD5" w:themeFill="accent3" w:themeFillTint="40"/>
      </w:tcPr>
    </w:tblStylePr>
    <w:tblStylePr w:type="band2Vert"/>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tblStylePr w:type="neCell"/>
    <w:tblStylePr w:type="nwCell"/>
    <w:tblStylePr w:type="seCell"/>
    <w:tblStylePr w:type="swCell"/>
  </w:style>
  <w:style w:type="table" w:customStyle="1" w:styleId="155">
    <w:name w:val="List Table 7 Colorful - Accent 4"/>
    <w:basedOn w:val="29"/>
    <w:uiPriority w:val="99"/>
    <w:pPr>
      <w:spacing w:after="0" w:line="240" w:lineRule="auto"/>
    </w:pPr>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DFD8E7" w:themeFill="accent4" w:themeFillTint="40"/>
      </w:tcPr>
    </w:tblStylePr>
    <w:tblStylePr w:type="band2Vert"/>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tblStylePr w:type="neCell"/>
    <w:tblStylePr w:type="nwCell"/>
    <w:tblStylePr w:type="seCell"/>
    <w:tblStylePr w:type="swCell"/>
  </w:style>
  <w:style w:type="table" w:customStyle="1" w:styleId="156">
    <w:name w:val="List Table 7 Colorful - Accent 5"/>
    <w:basedOn w:val="29"/>
    <w:uiPriority w:val="99"/>
    <w:pPr>
      <w:spacing w:after="0" w:line="240" w:lineRule="auto"/>
    </w:pPr>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FFFFFF" w:themeFill="light1"/>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D1EAF0" w:themeFill="accent5" w:themeFillTint="40"/>
      </w:tcPr>
    </w:tblStylePr>
    <w:tblStylePr w:type="band2Vert"/>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tblStylePr w:type="neCell"/>
    <w:tblStylePr w:type="nwCell"/>
    <w:tblStylePr w:type="seCell"/>
    <w:tblStylePr w:type="swCell"/>
  </w:style>
  <w:style w:type="table" w:customStyle="1" w:styleId="157">
    <w:name w:val="List Table 7 Colorful - Accent 6"/>
    <w:basedOn w:val="29"/>
    <w:uiPriority w:val="99"/>
    <w:pPr>
      <w:spacing w:after="0" w:line="240" w:lineRule="auto"/>
    </w:pPr>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FFFFFF" w:themeFill="light1"/>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FCE4D0" w:themeFill="accent6" w:themeFillTint="40"/>
      </w:tcPr>
    </w:tblStylePr>
    <w:tblStylePr w:type="band2Vert"/>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tblStylePr w:type="neCell"/>
    <w:tblStylePr w:type="nwCell"/>
    <w:tblStylePr w:type="seCell"/>
    <w:tblStylePr w:type="swCell"/>
  </w:style>
  <w:style w:type="table" w:customStyle="1" w:styleId="158">
    <w:name w:val="Lined - Accent"/>
    <w:basedOn w:val="29"/>
    <w:uiPriority w:val="99"/>
    <w:pPr>
      <w:spacing w:after="0" w:line="240" w:lineRule="auto"/>
    </w:pPr>
    <w:rPr>
      <w:color w:val="404040"/>
    </w:r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tblStylePr w:type="neCell"/>
    <w:tblStylePr w:type="nwCell"/>
    <w:tblStylePr w:type="seCell"/>
    <w:tblStylePr w:type="swCell"/>
  </w:style>
  <w:style w:type="table" w:customStyle="1" w:styleId="159">
    <w:name w:val="Lined - Accent 1"/>
    <w:basedOn w:val="29"/>
    <w:uiPriority w:val="99"/>
    <w:pPr>
      <w:spacing w:after="0" w:line="240" w:lineRule="auto"/>
    </w:pPr>
    <w:rPr>
      <w:color w:val="404040"/>
    </w:r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neCell"/>
    <w:tblStylePr w:type="nwCell"/>
    <w:tblStylePr w:type="seCell"/>
    <w:tblStylePr w:type="swCell"/>
  </w:style>
  <w:style w:type="table" w:customStyle="1" w:styleId="160">
    <w:name w:val="Lined - Accent 2"/>
    <w:basedOn w:val="29"/>
    <w:uiPriority w:val="99"/>
    <w:pPr>
      <w:spacing w:after="0" w:line="240" w:lineRule="auto"/>
    </w:pPr>
    <w:rPr>
      <w:color w:val="404040"/>
    </w:r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neCell"/>
    <w:tblStylePr w:type="nwCell"/>
    <w:tblStylePr w:type="seCell"/>
    <w:tblStylePr w:type="swCell"/>
  </w:style>
  <w:style w:type="table" w:customStyle="1" w:styleId="161">
    <w:name w:val="Lined - Accent 3"/>
    <w:basedOn w:val="29"/>
    <w:uiPriority w:val="99"/>
    <w:pPr>
      <w:spacing w:after="0" w:line="240" w:lineRule="auto"/>
    </w:pPr>
    <w:rPr>
      <w:color w:val="404040"/>
    </w:r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tblStylePr w:type="neCell"/>
    <w:tblStylePr w:type="nwCell"/>
    <w:tblStylePr w:type="seCell"/>
    <w:tblStylePr w:type="swCell"/>
  </w:style>
  <w:style w:type="table" w:customStyle="1" w:styleId="162">
    <w:name w:val="Lined - Accent 4"/>
    <w:basedOn w:val="29"/>
    <w:uiPriority w:val="99"/>
    <w:pPr>
      <w:spacing w:after="0" w:line="240" w:lineRule="auto"/>
    </w:pPr>
    <w:rPr>
      <w:color w:val="404040"/>
    </w:r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neCell"/>
    <w:tblStylePr w:type="nwCell"/>
    <w:tblStylePr w:type="seCell"/>
    <w:tblStylePr w:type="swCell"/>
  </w:style>
  <w:style w:type="table" w:customStyle="1" w:styleId="163">
    <w:name w:val="Lined - Accent 5"/>
    <w:basedOn w:val="29"/>
    <w:uiPriority w:val="99"/>
    <w:pPr>
      <w:spacing w:after="0" w:line="240" w:lineRule="auto"/>
    </w:pPr>
    <w:rPr>
      <w:color w:val="404040"/>
    </w:r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neCell"/>
    <w:tblStylePr w:type="nwCell"/>
    <w:tblStylePr w:type="seCell"/>
    <w:tblStylePr w:type="swCell"/>
  </w:style>
  <w:style w:type="table" w:customStyle="1" w:styleId="164">
    <w:name w:val="Lined - Accent 6"/>
    <w:basedOn w:val="29"/>
    <w:uiPriority w:val="99"/>
    <w:pPr>
      <w:spacing w:after="0" w:line="240" w:lineRule="auto"/>
    </w:pPr>
    <w:rPr>
      <w:color w:val="404040"/>
    </w:r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tblStylePr w:type="neCell"/>
    <w:tblStylePr w:type="nwCell"/>
    <w:tblStylePr w:type="seCell"/>
    <w:tblStylePr w:type="swCell"/>
  </w:style>
  <w:style w:type="table" w:customStyle="1" w:styleId="165">
    <w:name w:val="Bordered &amp; Lined - Accent"/>
    <w:basedOn w:val="29"/>
    <w:uiPriority w:val="99"/>
    <w:pPr>
      <w:spacing w:after="0" w:line="240" w:lineRule="auto"/>
    </w:pPr>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tblStylePr w:type="neCell"/>
    <w:tblStylePr w:type="nwCell"/>
    <w:tblStylePr w:type="seCell"/>
    <w:tblStylePr w:type="swCell"/>
  </w:style>
  <w:style w:type="table" w:customStyle="1" w:styleId="166">
    <w:name w:val="Bordered &amp; Lined - Accent 1"/>
    <w:basedOn w:val="29"/>
    <w:uiPriority w:val="99"/>
    <w:pPr>
      <w:spacing w:after="0" w:line="240" w:lineRule="auto"/>
    </w:pPr>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neCell"/>
    <w:tblStylePr w:type="nwCell"/>
    <w:tblStylePr w:type="seCell"/>
    <w:tblStylePr w:type="swCell"/>
  </w:style>
  <w:style w:type="table" w:customStyle="1" w:styleId="167">
    <w:name w:val="Bordered &amp; Lined - Accent 2"/>
    <w:basedOn w:val="29"/>
    <w:uiPriority w:val="99"/>
    <w:pPr>
      <w:spacing w:after="0" w:line="240" w:lineRule="auto"/>
    </w:pPr>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neCell"/>
    <w:tblStylePr w:type="nwCell"/>
    <w:tblStylePr w:type="seCell"/>
    <w:tblStylePr w:type="swCell"/>
  </w:style>
  <w:style w:type="table" w:customStyle="1" w:styleId="168">
    <w:name w:val="Bordered &amp; Lined - Accent 3"/>
    <w:basedOn w:val="29"/>
    <w:uiPriority w:val="99"/>
    <w:pPr>
      <w:spacing w:after="0" w:line="240" w:lineRule="auto"/>
    </w:pPr>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tblStylePr w:type="neCell"/>
    <w:tblStylePr w:type="nwCell"/>
    <w:tblStylePr w:type="seCell"/>
    <w:tblStylePr w:type="swCell"/>
  </w:style>
  <w:style w:type="table" w:customStyle="1" w:styleId="169">
    <w:name w:val="Bordered &amp; Lined - Accent 4"/>
    <w:basedOn w:val="29"/>
    <w:qFormat/>
    <w:uiPriority w:val="99"/>
    <w:pPr>
      <w:spacing w:after="0" w:line="240" w:lineRule="auto"/>
    </w:pPr>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neCell"/>
    <w:tblStylePr w:type="nwCell"/>
    <w:tblStylePr w:type="seCell"/>
    <w:tblStylePr w:type="swCell"/>
  </w:style>
  <w:style w:type="table" w:customStyle="1" w:styleId="170">
    <w:name w:val="Bordered &amp; Lined - Accent 5"/>
    <w:basedOn w:val="29"/>
    <w:qFormat/>
    <w:uiPriority w:val="99"/>
    <w:pPr>
      <w:spacing w:after="0" w:line="240" w:lineRule="auto"/>
    </w:pPr>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neCell"/>
    <w:tblStylePr w:type="nwCell"/>
    <w:tblStylePr w:type="seCell"/>
    <w:tblStylePr w:type="swCell"/>
  </w:style>
  <w:style w:type="table" w:customStyle="1" w:styleId="171">
    <w:name w:val="Bordered &amp; Lined - Accent 6"/>
    <w:basedOn w:val="29"/>
    <w:qFormat/>
    <w:uiPriority w:val="99"/>
    <w:pPr>
      <w:spacing w:after="0" w:line="240" w:lineRule="auto"/>
    </w:pPr>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tblStylePr w:type="neCell"/>
    <w:tblStylePr w:type="nwCell"/>
    <w:tblStylePr w:type="seCell"/>
    <w:tblStylePr w:type="swCell"/>
  </w:style>
  <w:style w:type="table" w:customStyle="1" w:styleId="172">
    <w:name w:val="Bordered"/>
    <w:basedOn w:val="29"/>
    <w:qFormat/>
    <w:uiPriority w:val="99"/>
    <w:pPr>
      <w:spacing w:after="0" w:line="240" w:lineRule="auto"/>
    </w:pPr>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Vert"/>
    <w:tblStylePr w:type="band2Vert"/>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tblStylePr w:type="band2Horz"/>
    <w:tblStylePr w:type="neCell"/>
    <w:tblStylePr w:type="nwCell"/>
    <w:tblStylePr w:type="seCell"/>
    <w:tblStylePr w:type="swCell"/>
  </w:style>
  <w:style w:type="table" w:customStyle="1" w:styleId="173">
    <w:name w:val="Bordered - Accent 1"/>
    <w:basedOn w:val="29"/>
    <w:uiPriority w:val="99"/>
    <w:pPr>
      <w:spacing w:after="0" w:line="240" w:lineRule="auto"/>
    </w:pPr>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Vert"/>
    <w:tblStylePr w:type="band2Vert"/>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tblStylePr w:type="band2Horz"/>
    <w:tblStylePr w:type="neCell"/>
    <w:tblStylePr w:type="nwCell"/>
    <w:tblStylePr w:type="seCell"/>
    <w:tblStylePr w:type="swCell"/>
  </w:style>
  <w:style w:type="table" w:customStyle="1" w:styleId="174">
    <w:name w:val="Bordered - Accent 2"/>
    <w:basedOn w:val="29"/>
    <w:qFormat/>
    <w:uiPriority w:val="99"/>
    <w:pPr>
      <w:spacing w:after="0" w:line="240" w:lineRule="auto"/>
    </w:pPr>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Vert"/>
    <w:tblStylePr w:type="band2Vert"/>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tblStylePr w:type="band2Horz"/>
    <w:tblStylePr w:type="neCell"/>
    <w:tblStylePr w:type="nwCell"/>
    <w:tblStylePr w:type="seCell"/>
    <w:tblStylePr w:type="swCell"/>
  </w:style>
  <w:style w:type="table" w:customStyle="1" w:styleId="175">
    <w:name w:val="Bordered - Accent 3"/>
    <w:basedOn w:val="29"/>
    <w:uiPriority w:val="99"/>
    <w:pPr>
      <w:spacing w:after="0" w:line="240" w:lineRule="auto"/>
    </w:pPr>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Vert"/>
    <w:tblStylePr w:type="band2Vert"/>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2Horz"/>
    <w:tblStylePr w:type="neCell"/>
    <w:tblStylePr w:type="nwCell"/>
    <w:tblStylePr w:type="seCell"/>
    <w:tblStylePr w:type="swCell"/>
  </w:style>
  <w:style w:type="table" w:customStyle="1" w:styleId="176">
    <w:name w:val="Bordered - Accent 4"/>
    <w:basedOn w:val="29"/>
    <w:qFormat/>
    <w:uiPriority w:val="99"/>
    <w:pPr>
      <w:spacing w:after="0" w:line="240" w:lineRule="auto"/>
    </w:pPr>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Vert"/>
    <w:tblStylePr w:type="band2Vert"/>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2Horz"/>
    <w:tblStylePr w:type="neCell"/>
    <w:tblStylePr w:type="nwCell"/>
    <w:tblStylePr w:type="seCell"/>
    <w:tblStylePr w:type="swCell"/>
  </w:style>
  <w:style w:type="table" w:customStyle="1" w:styleId="177">
    <w:name w:val="Bordered - Accent 5"/>
    <w:basedOn w:val="29"/>
    <w:qFormat/>
    <w:uiPriority w:val="99"/>
    <w:pPr>
      <w:spacing w:after="0" w:line="240" w:lineRule="auto"/>
    </w:pPr>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Vert"/>
    <w:tblStylePr w:type="band2Vert"/>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tblStylePr w:type="band2Horz"/>
    <w:tblStylePr w:type="neCell"/>
    <w:tblStylePr w:type="nwCell"/>
    <w:tblStylePr w:type="seCell"/>
    <w:tblStylePr w:type="swCell"/>
  </w:style>
  <w:style w:type="table" w:customStyle="1" w:styleId="178">
    <w:name w:val="Bordered - Accent 6"/>
    <w:basedOn w:val="29"/>
    <w:qFormat/>
    <w:uiPriority w:val="99"/>
    <w:pPr>
      <w:spacing w:after="0" w:line="240" w:lineRule="auto"/>
    </w:pPr>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Vert"/>
    <w:tblStylePr w:type="band2Vert"/>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2Horz"/>
    <w:tblStylePr w:type="neCell"/>
    <w:tblStylePr w:type="nwCell"/>
    <w:tblStylePr w:type="seCell"/>
    <w:tblStylePr w:type="swCell"/>
  </w:style>
  <w:style w:type="character" w:customStyle="1" w:styleId="179">
    <w:name w:val="Footnote Text Char"/>
    <w:link w:val="23"/>
    <w:qFormat/>
    <w:uiPriority w:val="99"/>
    <w:rPr>
      <w:sz w:val="18"/>
    </w:rPr>
  </w:style>
  <w:style w:type="character" w:customStyle="1" w:styleId="180">
    <w:name w:val="Endnote Text Char"/>
    <w:link w:val="16"/>
    <w:qFormat/>
    <w:uiPriority w:val="99"/>
    <w:rPr>
      <w:sz w:val="20"/>
    </w:rPr>
  </w:style>
  <w:style w:type="paragraph" w:customStyle="1" w:styleId="181">
    <w:name w:val="TOC Heading"/>
    <w:unhideWhenUsed/>
    <w:qFormat/>
    <w:uiPriority w:val="39"/>
    <w:rPr>
      <w:rFonts w:hint="default" w:ascii="Times New Roman" w:hAnsi="Times New Roman" w:eastAsia="宋体" w:cs="Times New Roman"/>
    </w:rPr>
  </w:style>
  <w:style w:type="character" w:customStyle="1" w:styleId="182">
    <w:name w:val="批注框文本 Char"/>
    <w:basedOn w:val="31"/>
    <w:link w:val="17"/>
    <w:semiHidden/>
    <w:qFormat/>
    <w:uiPriority w:val="99"/>
    <w:rPr>
      <w:sz w:val="18"/>
      <w:szCs w:val="18"/>
    </w:rPr>
  </w:style>
  <w:style w:type="character" w:customStyle="1" w:styleId="183">
    <w:name w:val="页脚 Char"/>
    <w:basedOn w:val="31"/>
    <w:link w:val="18"/>
    <w:qFormat/>
    <w:uiPriority w:val="99"/>
    <w:rPr>
      <w:sz w:val="18"/>
      <w:szCs w:val="18"/>
    </w:rPr>
  </w:style>
  <w:style w:type="character" w:customStyle="1" w:styleId="184">
    <w:name w:val="页眉 Char"/>
    <w:basedOn w:val="31"/>
    <w:link w:val="19"/>
    <w:qFormat/>
    <w:uiPriority w:val="99"/>
    <w:rPr>
      <w:sz w:val="18"/>
      <w:szCs w:val="18"/>
    </w:rPr>
  </w:style>
  <w:style w:type="character" w:customStyle="1" w:styleId="185">
    <w:name w:val="font11"/>
    <w:basedOn w:val="31"/>
    <w:qFormat/>
    <w:uiPriority w:val="0"/>
    <w:rPr>
      <w:rFonts w:hint="eastAsia" w:ascii="宋体" w:hAnsi="宋体" w:eastAsia="宋体" w:cs="宋体"/>
      <w:color w:val="000000"/>
      <w:sz w:val="24"/>
      <w:szCs w:val="24"/>
      <w:u w:val="none"/>
    </w:rPr>
  </w:style>
  <w:style w:type="character" w:customStyle="1" w:styleId="186">
    <w:name w:val="font21"/>
    <w:basedOn w:val="31"/>
    <w:qFormat/>
    <w:uiPriority w:val="0"/>
    <w:rPr>
      <w:rFonts w:hint="eastAsia" w:ascii="宋体" w:hAnsi="宋体" w:eastAsia="宋体" w:cs="宋体"/>
      <w:color w:val="000000"/>
      <w:sz w:val="24"/>
      <w:szCs w:val="24"/>
      <w:u w:val="none"/>
    </w:rPr>
  </w:style>
  <w:style w:type="character" w:customStyle="1" w:styleId="187">
    <w:name w:val="font01"/>
    <w:basedOn w:val="31"/>
    <w:qFormat/>
    <w:uiPriority w:val="0"/>
    <w:rPr>
      <w:rFonts w:hint="eastAsia" w:ascii="宋体" w:hAnsi="宋体" w:eastAsia="宋体" w:cs="宋体"/>
      <w:color w:val="000000"/>
      <w:sz w:val="22"/>
      <w:szCs w:val="22"/>
      <w:u w:val="none"/>
    </w:rPr>
  </w:style>
  <w:style w:type="paragraph" w:customStyle="1" w:styleId="188">
    <w:name w:val="Default"/>
    <w:qFormat/>
    <w:uiPriority w:val="0"/>
    <w:pPr>
      <w:widowControl w:val="0"/>
    </w:pPr>
    <w:rPr>
      <w:rFonts w:hint="default" w:ascii="黑体" w:hAnsi="Calibri" w:eastAsia="黑体" w:cs="黑体"/>
      <w:color w:val="000000"/>
      <w:sz w:val="24"/>
      <w:szCs w:val="24"/>
      <w:lang w:val="en-US" w:eastAsia="zh-CN" w:bidi="ar-SA"/>
    </w:rPr>
  </w:style>
  <w:style w:type="paragraph" w:styleId="189">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Cambria"/>
        <a:cs typeface="Arial"/>
      </a:majorFont>
      <a:minorFont>
        <a:latin typeface="等线"/>
        <a:ea typeface="等线"/>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15</Pages>
  <Words>3767</Words>
  <Characters>4098</Characters>
  <TotalTime>7</TotalTime>
  <ScaleCrop>false</ScaleCrop>
  <LinksUpToDate>false</LinksUpToDate>
  <CharactersWithSpaces>4113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LENOVO-BGS</cp:lastModifiedBy>
  <dcterms:modified xsi:type="dcterms:W3CDTF">2024-09-27T04:49:30Z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24E1FC6E59CF460DA29F5E34480B09A6_13</vt:lpwstr>
  </property>
</Properties>
</file>