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0B37B">
      <w:pPr>
        <w:jc w:val="center"/>
        <w:rPr>
          <w:rStyle w:val="6"/>
          <w:b/>
          <w:sz w:val="32"/>
          <w:szCs w:val="32"/>
        </w:rPr>
      </w:pPr>
      <w:bookmarkStart w:id="0" w:name="_GoBack"/>
      <w:bookmarkEnd w:id="0"/>
      <w:r>
        <w:rPr>
          <w:rStyle w:val="6"/>
          <w:rFonts w:hint="eastAsia"/>
          <w:b/>
          <w:sz w:val="32"/>
          <w:szCs w:val="32"/>
        </w:rPr>
        <w:t>岳阳县畜禽良种繁殖场</w:t>
      </w:r>
    </w:p>
    <w:p w14:paraId="26151E83">
      <w:pPr>
        <w:jc w:val="center"/>
        <w:rPr>
          <w:rStyle w:val="6"/>
          <w:b/>
          <w:sz w:val="32"/>
          <w:szCs w:val="32"/>
        </w:rPr>
      </w:pPr>
      <w:r>
        <w:rPr>
          <w:rStyle w:val="6"/>
          <w:rFonts w:hint="eastAsia"/>
          <w:b/>
          <w:sz w:val="32"/>
          <w:szCs w:val="32"/>
        </w:rPr>
        <w:t>2023</w:t>
      </w:r>
      <w:r>
        <w:rPr>
          <w:rStyle w:val="6"/>
          <w:b/>
          <w:sz w:val="32"/>
          <w:szCs w:val="32"/>
        </w:rPr>
        <w:t>部门整体财政支出绩效</w:t>
      </w:r>
    </w:p>
    <w:p w14:paraId="5F3464FC">
      <w:pPr>
        <w:jc w:val="center"/>
        <w:rPr>
          <w:rStyle w:val="6"/>
          <w:b/>
          <w:sz w:val="32"/>
          <w:szCs w:val="32"/>
        </w:rPr>
      </w:pPr>
      <w:r>
        <w:rPr>
          <w:rStyle w:val="6"/>
          <w:b/>
          <w:sz w:val="32"/>
          <w:szCs w:val="32"/>
        </w:rPr>
        <w:t>自评报告</w:t>
      </w:r>
    </w:p>
    <w:p w14:paraId="254AFF11">
      <w:pPr>
        <w:spacing w:line="560" w:lineRule="exact"/>
        <w:ind w:firstLine="470" w:firstLineChars="200"/>
        <w:rPr>
          <w:rFonts w:ascii="宋体" w:hAnsi="宋体" w:cs="宋体"/>
          <w:snapToGrid w:val="0"/>
          <w:color w:val="3D3D3D"/>
          <w:sz w:val="30"/>
          <w:szCs w:val="30"/>
          <w:shd w:val="clear" w:color="auto" w:fill="FFFFFF"/>
        </w:rPr>
      </w:pPr>
      <w:r>
        <w:rPr>
          <w:rStyle w:val="6"/>
          <w:rFonts w:ascii="微软雅黑" w:hAnsi="微软雅黑" w:eastAsia="微软雅黑"/>
          <w:kern w:val="0"/>
          <w:sz w:val="24"/>
        </w:rPr>
        <w:t>一</w:t>
      </w:r>
      <w:r>
        <w:rPr>
          <w:rFonts w:ascii="宋体" w:hAnsi="宋体" w:cs="宋体"/>
          <w:snapToGrid w:val="0"/>
          <w:color w:val="3D3D3D"/>
          <w:sz w:val="30"/>
          <w:szCs w:val="30"/>
          <w:shd w:val="clear" w:color="auto" w:fill="FFFFFF"/>
        </w:rPr>
        <w:t>、单位概况</w:t>
      </w:r>
    </w:p>
    <w:p w14:paraId="0056A806">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（一）单位基本情况</w:t>
      </w:r>
    </w:p>
    <w:p w14:paraId="621E15F2">
      <w:pPr>
        <w:spacing w:line="560" w:lineRule="exact"/>
        <w:ind w:firstLine="590" w:firstLineChars="200"/>
        <w:rPr>
          <w:rFonts w:hint="eastAsia" w:ascii="宋体" w:hAnsi="宋体" w:cs="宋体"/>
          <w:snapToGrid w:val="0"/>
          <w:color w:val="3D3D3D"/>
          <w:sz w:val="30"/>
          <w:szCs w:val="30"/>
          <w:shd w:val="clear" w:color="auto" w:fill="FFFFFF"/>
        </w:rPr>
      </w:pPr>
      <w:r>
        <w:rPr>
          <w:rFonts w:hint="eastAsia" w:ascii="宋体" w:hAnsi="宋体" w:cs="宋体"/>
          <w:snapToGrid w:val="0"/>
          <w:color w:val="3D3D3D"/>
          <w:sz w:val="30"/>
          <w:szCs w:val="30"/>
          <w:shd w:val="clear" w:color="auto" w:fill="FFFFFF"/>
        </w:rPr>
        <w:t>岳阳县畜禽良种繁殖场是隶属于岳阳县畜牧水产发展服务中心的二级机构，主要负责畜禽类优质高效遗传控制和改良研究，研究开发畜禽育种技术、建立科学的畜禽良种繁育体系，推广应用冷精配种技术和研究开发胚胎繁殖技术等。</w:t>
      </w:r>
    </w:p>
    <w:p w14:paraId="653F365F">
      <w:pPr>
        <w:spacing w:line="560" w:lineRule="exact"/>
        <w:ind w:firstLine="590" w:firstLineChars="200"/>
        <w:rPr>
          <w:rFonts w:hint="eastAsia"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二、单位整体支出管理及使用情况</w:t>
      </w:r>
    </w:p>
    <w:p w14:paraId="3D50E844">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 xml:space="preserve">我单位对部门整体支出的预算执行高度重视。一是大力提倡勤俭节约，坚持把有限的经费用在畜牧良种繁殖发展项目上；二是严肃财经纪律，严格执行财务制度，坚持先有预算、后有支出，坚持“三公”经费公开制度；三是坚持由局机关对本单位重大收支计划监督制度，严谨审批程序，坚持财务审票，根据开支类别，由经办人在发票上签明事由，超过1000元开支还需局机关分管领导签字后才能开支，这些措施，较好地保证了财务开支和资金使用的合法合规、安全有效。   </w:t>
      </w:r>
    </w:p>
    <w:p w14:paraId="734BFFD6">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三、单位专项组织实施情况</w:t>
      </w:r>
    </w:p>
    <w:p w14:paraId="02934939">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我</w:t>
      </w:r>
      <w:r>
        <w:rPr>
          <w:rFonts w:hint="eastAsia" w:ascii="宋体" w:hAnsi="宋体" w:cs="宋体"/>
          <w:snapToGrid w:val="0"/>
          <w:color w:val="3D3D3D"/>
          <w:sz w:val="30"/>
          <w:szCs w:val="30"/>
          <w:shd w:val="clear" w:color="auto" w:fill="FFFFFF"/>
        </w:rPr>
        <w:t>单位</w:t>
      </w:r>
      <w:r>
        <w:rPr>
          <w:rFonts w:ascii="宋体" w:hAnsi="宋体" w:cs="宋体"/>
          <w:snapToGrid w:val="0"/>
          <w:color w:val="3D3D3D"/>
          <w:sz w:val="30"/>
          <w:szCs w:val="30"/>
          <w:shd w:val="clear" w:color="auto" w:fill="FFFFFF"/>
        </w:rPr>
        <w:t>高度重视项目管理工作，制订了《岳阳县畜牧水产发展服务中心项目管理办法》，严格按国家有关项目管理规定规范项目实施程序，规范项目财务管理，确保“专款专用”。</w:t>
      </w:r>
    </w:p>
    <w:p w14:paraId="2388DA3B">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四、单位整体支出绩效情况</w:t>
      </w:r>
    </w:p>
    <w:p w14:paraId="5369E647">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目标1：全年预算申请到位和下达数量在95%以上，三公经费变动率≤0。</w:t>
      </w:r>
    </w:p>
    <w:p w14:paraId="4B143558">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目标2：社会效益、经济效益、生态效益、可持续影响和社会公众满意度达到预期目标</w:t>
      </w:r>
    </w:p>
    <w:p w14:paraId="503ED1DC">
      <w:pPr>
        <w:spacing w:line="560" w:lineRule="exact"/>
        <w:ind w:firstLine="590" w:firstLineChars="200"/>
        <w:rPr>
          <w:rFonts w:hint="eastAsia"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完成县委、县政府及上级主管部门交办的各项工作任务。</w:t>
      </w:r>
    </w:p>
    <w:p w14:paraId="110F2161">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（一）经济性分析</w:t>
      </w:r>
    </w:p>
    <w:p w14:paraId="7D819160">
      <w:pPr>
        <w:spacing w:line="560" w:lineRule="exact"/>
        <w:ind w:firstLine="590" w:firstLineChars="200"/>
        <w:rPr>
          <w:rFonts w:ascii="宋体" w:hAnsi="宋体" w:cs="宋体"/>
          <w:snapToGrid w:val="0"/>
          <w:color w:val="3D3D3D"/>
          <w:sz w:val="30"/>
          <w:szCs w:val="30"/>
          <w:shd w:val="clear" w:color="auto" w:fill="FFFFFF"/>
        </w:rPr>
      </w:pPr>
      <w:r>
        <w:rPr>
          <w:rFonts w:ascii="宋体" w:hAnsi="宋体" w:cs="宋体"/>
          <w:snapToGrid w:val="0"/>
          <w:color w:val="3D3D3D"/>
          <w:sz w:val="30"/>
          <w:szCs w:val="30"/>
          <w:shd w:val="clear" w:color="auto" w:fill="FFFFFF"/>
        </w:rPr>
        <w:t>202</w:t>
      </w:r>
      <w:r>
        <w:rPr>
          <w:rFonts w:hint="eastAsia" w:ascii="宋体" w:hAnsi="宋体" w:cs="宋体"/>
          <w:snapToGrid w:val="0"/>
          <w:color w:val="3D3D3D"/>
          <w:sz w:val="30"/>
          <w:szCs w:val="30"/>
          <w:shd w:val="clear" w:color="auto" w:fill="FFFFFF"/>
        </w:rPr>
        <w:t>3</w:t>
      </w:r>
      <w:r>
        <w:rPr>
          <w:rFonts w:ascii="宋体" w:hAnsi="宋体" w:cs="宋体"/>
          <w:snapToGrid w:val="0"/>
          <w:color w:val="3D3D3D"/>
          <w:sz w:val="30"/>
          <w:szCs w:val="30"/>
          <w:shd w:val="clear" w:color="auto" w:fill="FFFFFF"/>
        </w:rPr>
        <w:t>年我</w:t>
      </w:r>
      <w:r>
        <w:rPr>
          <w:rFonts w:hint="eastAsia" w:ascii="宋体" w:hAnsi="宋体" w:cs="宋体"/>
          <w:snapToGrid w:val="0"/>
          <w:color w:val="3D3D3D"/>
          <w:sz w:val="30"/>
          <w:szCs w:val="30"/>
          <w:shd w:val="clear" w:color="auto" w:fill="FFFFFF"/>
        </w:rPr>
        <w:t>单位</w:t>
      </w:r>
      <w:r>
        <w:rPr>
          <w:rFonts w:ascii="宋体" w:hAnsi="宋体" w:cs="宋体"/>
          <w:snapToGrid w:val="0"/>
          <w:color w:val="3D3D3D"/>
          <w:sz w:val="30"/>
          <w:szCs w:val="30"/>
          <w:shd w:val="clear" w:color="auto" w:fill="FFFFFF"/>
        </w:rPr>
        <w:t>基本支出共计</w:t>
      </w:r>
      <w:r>
        <w:rPr>
          <w:rFonts w:hint="eastAsia" w:ascii="宋体" w:hAnsi="宋体" w:cs="宋体"/>
          <w:snapToGrid w:val="0"/>
          <w:color w:val="3D3D3D"/>
          <w:sz w:val="30"/>
          <w:szCs w:val="30"/>
          <w:shd w:val="clear" w:color="auto" w:fill="FFFFFF"/>
        </w:rPr>
        <w:t>78.09</w:t>
      </w:r>
      <w:r>
        <w:rPr>
          <w:rFonts w:ascii="宋体" w:hAnsi="宋体" w:cs="宋体"/>
          <w:snapToGrid w:val="0"/>
          <w:color w:val="3D3D3D"/>
          <w:sz w:val="30"/>
          <w:szCs w:val="30"/>
          <w:shd w:val="clear" w:color="auto" w:fill="FFFFFF"/>
        </w:rPr>
        <w:t>万元，主要用于人员支出</w:t>
      </w:r>
      <w:r>
        <w:rPr>
          <w:rFonts w:hint="eastAsia" w:ascii="宋体" w:hAnsi="宋体" w:cs="宋体"/>
          <w:snapToGrid w:val="0"/>
          <w:color w:val="3D3D3D"/>
          <w:sz w:val="30"/>
          <w:szCs w:val="30"/>
          <w:shd w:val="clear" w:color="auto" w:fill="FFFFFF"/>
        </w:rPr>
        <w:t>73.55</w:t>
      </w:r>
      <w:r>
        <w:rPr>
          <w:rFonts w:ascii="宋体" w:hAnsi="宋体" w:cs="宋体"/>
          <w:snapToGrid w:val="0"/>
          <w:color w:val="3D3D3D"/>
          <w:sz w:val="30"/>
          <w:szCs w:val="30"/>
          <w:shd w:val="clear" w:color="auto" w:fill="FFFFFF"/>
        </w:rPr>
        <w:t>万元，公用支出</w:t>
      </w:r>
      <w:r>
        <w:rPr>
          <w:rFonts w:hint="eastAsia" w:ascii="宋体" w:hAnsi="宋体" w:cs="宋体"/>
          <w:snapToGrid w:val="0"/>
          <w:color w:val="3D3D3D"/>
          <w:sz w:val="30"/>
          <w:szCs w:val="30"/>
          <w:shd w:val="clear" w:color="auto" w:fill="FFFFFF"/>
        </w:rPr>
        <w:t>4.54</w:t>
      </w:r>
      <w:r>
        <w:rPr>
          <w:rFonts w:ascii="宋体" w:hAnsi="宋体" w:cs="宋体"/>
          <w:snapToGrid w:val="0"/>
          <w:color w:val="3D3D3D"/>
          <w:sz w:val="30"/>
          <w:szCs w:val="30"/>
          <w:shd w:val="clear" w:color="auto" w:fill="FFFFFF"/>
        </w:rPr>
        <w:t>万元</w:t>
      </w:r>
      <w:r>
        <w:rPr>
          <w:rFonts w:hint="eastAsia" w:ascii="宋体" w:hAnsi="宋体" w:cs="宋体"/>
          <w:snapToGrid w:val="0"/>
          <w:color w:val="3D3D3D"/>
          <w:sz w:val="30"/>
          <w:szCs w:val="30"/>
          <w:shd w:val="clear" w:color="auto" w:fill="FFFFFF"/>
        </w:rPr>
        <w:t>。</w:t>
      </w:r>
    </w:p>
    <w:p w14:paraId="43287AB9">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（二）效率性分析</w:t>
      </w:r>
    </w:p>
    <w:p w14:paraId="10B39775">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我单位2023年部门整体支出绩效情况较好，各部门均按年初设定的目标任务积极完成各项工作。</w:t>
      </w:r>
    </w:p>
    <w:p w14:paraId="6000D20F">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（三）有效性分析</w:t>
      </w:r>
    </w:p>
    <w:p w14:paraId="2EB51F2F">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我单位较好地完成了2023年初设定的工作任务，2023年实际支出总额未超出年初预算，专项经费实际支出也未超出年初预算，在实现任务目标的同时，节约了部门预算经费。</w:t>
      </w:r>
    </w:p>
    <w:p w14:paraId="1A12E126">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（四）可持续性分析</w:t>
      </w:r>
    </w:p>
    <w:p w14:paraId="75CD8581">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我单位厉行节约，坚持把有限的专项经费用在刀刃上，进一步完善财务管理制度，坚持财务开支公开透明，接受全局监督，经得起上级各项审计检查，这些措施，较好地保证了财务开支和资金使用的合法合规、安全有效，较好地保证了卫生事业的可持续性发展。</w:t>
      </w:r>
    </w:p>
    <w:p w14:paraId="0A32C8E0">
      <w:pPr>
        <w:spacing w:line="340" w:lineRule="auto"/>
        <w:rPr>
          <w:rFonts w:ascii="宋体" w:hAnsi="宋体" w:cs="宋体"/>
          <w:snapToGrid w:val="0"/>
          <w:color w:val="3D3D3D"/>
          <w:sz w:val="30"/>
          <w:szCs w:val="30"/>
          <w:shd w:val="clear" w:color="auto" w:fill="FFFFFF"/>
        </w:rPr>
      </w:pPr>
      <w:r>
        <w:rPr>
          <w:rFonts w:hint="eastAsia" w:ascii="宋体" w:hAnsi="宋体" w:cs="宋体"/>
          <w:snapToGrid w:val="0"/>
          <w:color w:val="3D3D3D"/>
          <w:sz w:val="30"/>
          <w:szCs w:val="30"/>
          <w:shd w:val="clear" w:color="auto" w:fill="FFFFFF"/>
        </w:rPr>
        <w:t>七、存在的问题及原因分析</w:t>
      </w:r>
    </w:p>
    <w:p w14:paraId="6E98EC64">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因部门整体支出的资金安排和使用上具有不可预见性，在科学设置预算绩效指标上还需进一步加强。由于行政经费少，年初编制的预算不够精确，编制范围不太全面，预算执行情况还有待进一步加强，再加上预算内资金拨付不能及时到位，致使工作开展受到影响。开支的补充，难以产生真正的项目效益。</w:t>
      </w:r>
    </w:p>
    <w:p w14:paraId="3577BE87">
      <w:pPr>
        <w:pStyle w:val="2"/>
        <w:spacing w:before="225" w:line="357" w:lineRule="auto"/>
        <w:ind w:right="233"/>
        <w:jc w:val="both"/>
        <w:rPr>
          <w:rFonts w:ascii="宋体" w:hAnsi="宋体" w:eastAsia="宋体" w:cs="宋体"/>
          <w:color w:val="3D3D3D"/>
          <w:kern w:val="2"/>
          <w:sz w:val="30"/>
          <w:szCs w:val="30"/>
          <w:shd w:val="clear" w:color="auto" w:fill="FFFFFF"/>
          <w:lang w:eastAsia="zh-CN"/>
        </w:rPr>
      </w:pPr>
      <w:r>
        <w:rPr>
          <w:rFonts w:hint="eastAsia" w:ascii="宋体" w:hAnsi="宋体" w:eastAsia="宋体" w:cs="宋体"/>
          <w:color w:val="3D3D3D"/>
          <w:kern w:val="2"/>
          <w:sz w:val="30"/>
          <w:szCs w:val="30"/>
          <w:shd w:val="clear" w:color="auto" w:fill="FFFFFF"/>
          <w:lang w:eastAsia="zh-CN"/>
        </w:rPr>
        <w:t>八、下一步改进措施</w:t>
      </w:r>
    </w:p>
    <w:p w14:paraId="299EA337">
      <w:pPr>
        <w:pStyle w:val="3"/>
        <w:shd w:val="clear" w:color="auto" w:fill="FFFFFF"/>
        <w:spacing w:beforeAutospacing="0" w:after="120" w:afterAutospacing="0" w:line="408" w:lineRule="atLeast"/>
        <w:ind w:firstLine="420"/>
        <w:jc w:val="both"/>
        <w:rPr>
          <w:rFonts w:ascii="宋体" w:hAnsi="宋体" w:eastAsia="宋体" w:cs="宋体"/>
          <w:color w:val="3D3D3D"/>
          <w:kern w:val="2"/>
          <w:sz w:val="30"/>
          <w:szCs w:val="30"/>
          <w:shd w:val="clear" w:color="auto" w:fill="FFFFFF"/>
        </w:rPr>
      </w:pPr>
      <w:r>
        <w:rPr>
          <w:rFonts w:hint="eastAsia" w:ascii="宋体" w:hAnsi="宋体" w:eastAsia="宋体" w:cs="宋体"/>
          <w:color w:val="3D3D3D"/>
          <w:kern w:val="2"/>
          <w:sz w:val="30"/>
          <w:szCs w:val="30"/>
          <w:shd w:val="clear" w:color="auto" w:fill="FFFFFF"/>
        </w:rPr>
        <w:t>高度重视财务人员队伍建设，加强对财务人员业务工作指导和规范化培训，尤其是加强新《预算法》、《事业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2C6530E5">
      <w:pPr>
        <w:rPr>
          <w:rFonts w:ascii="宋体" w:hAnsi="宋体" w:cs="宋体"/>
          <w:snapToGrid w:val="0"/>
          <w:color w:val="3D3D3D"/>
          <w:sz w:val="30"/>
          <w:szCs w:val="30"/>
          <w:shd w:val="clear" w:color="auto" w:fill="FFFFFF"/>
        </w:rPr>
      </w:pPr>
    </w:p>
    <w:sectPr>
      <w:footerReference r:id="rId3" w:type="default"/>
      <w:pgSz w:w="11906" w:h="16838"/>
      <w:pgMar w:top="1588" w:right="1191" w:bottom="1588" w:left="1191" w:header="851" w:footer="851" w:gutter="0"/>
      <w:pgNumType w:start="8"/>
      <w:cols w:space="425" w:num="1"/>
      <w:docGrid w:type="linesAndChars" w:linePitch="602" w:charSpace="-12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EEC94">
    <w:pPr>
      <w:rPr>
        <w:rStyle w:val="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35B"/>
    <w:rsid w:val="00524ABE"/>
    <w:rsid w:val="00576444"/>
    <w:rsid w:val="0062335B"/>
    <w:rsid w:val="00696F75"/>
    <w:rsid w:val="007A0ADB"/>
    <w:rsid w:val="00BE65AF"/>
    <w:rsid w:val="00C34AC8"/>
    <w:rsid w:val="00E52FD9"/>
    <w:rsid w:val="52AD1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semiHidden/>
    <w:qFormat/>
    <w:uiPriority w:val="0"/>
    <w:pPr>
      <w:kinsoku w:val="0"/>
      <w:autoSpaceDE w:val="0"/>
      <w:autoSpaceDN w:val="0"/>
      <w:adjustRightInd w:val="0"/>
      <w:snapToGrid w:val="0"/>
      <w:jc w:val="left"/>
    </w:pPr>
    <w:rPr>
      <w:rFonts w:ascii="仿宋" w:hAnsi="仿宋" w:eastAsia="仿宋" w:cs="仿宋"/>
      <w:snapToGrid w:val="0"/>
      <w:color w:val="000000"/>
      <w:kern w:val="0"/>
      <w:sz w:val="37"/>
      <w:szCs w:val="37"/>
      <w:lang w:eastAsia="en-US"/>
    </w:rPr>
  </w:style>
  <w:style w:type="paragraph" w:styleId="3">
    <w:name w:val="Normal (Web)"/>
    <w:basedOn w:val="1"/>
    <w:autoRedefine/>
    <w:qFormat/>
    <w:uiPriority w:val="0"/>
    <w:pPr>
      <w:kinsoku w:val="0"/>
      <w:autoSpaceDE w:val="0"/>
      <w:autoSpaceDN w:val="0"/>
      <w:adjustRightInd w:val="0"/>
      <w:snapToGrid w:val="0"/>
      <w:spacing w:beforeAutospacing="1" w:afterAutospacing="1"/>
      <w:jc w:val="left"/>
    </w:pPr>
    <w:rPr>
      <w:rFonts w:ascii="Arial" w:hAnsi="Arial" w:eastAsia="Arial"/>
      <w:snapToGrid w:val="0"/>
      <w:color w:val="000000"/>
      <w:kern w:val="0"/>
      <w:sz w:val="24"/>
      <w:szCs w:val="21"/>
    </w:rPr>
  </w:style>
  <w:style w:type="character" w:customStyle="1" w:styleId="6">
    <w:name w:val="NormalCharacter"/>
    <w:uiPriority w:val="0"/>
  </w:style>
  <w:style w:type="character" w:customStyle="1" w:styleId="7">
    <w:name w:val="正文文本 Char"/>
    <w:basedOn w:val="5"/>
    <w:link w:val="2"/>
    <w:semiHidden/>
    <w:uiPriority w:val="0"/>
    <w:rPr>
      <w:rFonts w:ascii="仿宋" w:hAnsi="仿宋" w:eastAsia="仿宋" w:cs="仿宋"/>
      <w:snapToGrid w:val="0"/>
      <w:color w:val="000000"/>
      <w:kern w:val="0"/>
      <w:sz w:val="37"/>
      <w:szCs w:val="37"/>
      <w:lang w:eastAsia="en-US"/>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1188</Words>
  <Characters>1219</Characters>
  <Lines>8</Lines>
  <Paragraphs>2</Paragraphs>
  <TotalTime>2</TotalTime>
  <ScaleCrop>false</ScaleCrop>
  <LinksUpToDate>false</LinksUpToDate>
  <CharactersWithSpaces>1222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2024-06-24T11:32:00Z</dcterms:created>
  <dc:creator>AutoBVT</dc:creator>
  <cp:lastModifiedBy>LENOVO-BGS</cp:lastModifiedBy>
  <dcterms:modified xsi:type="dcterms:W3CDTF">2024-09-27T04:49:17Z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A3B8D807378D462B910EC8562AC1FA4C_13</vt:lpwstr>
  </property>
</Properties>
</file>