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0"/>
        <w:keepNext w:val="0"/>
        <w:keepLines w:val="0"/>
        <w:pageBreakBefore w:val="0"/>
        <w:widowControl/>
        <w:kinsoku/>
        <w:wordWrap/>
        <w:overflowPunct/>
        <w:topLinePunct/>
        <w:autoSpaceDN/>
        <w:bidi w:val="0"/>
        <w:spacing w:after="0" w:line="576" w:lineRule="exact"/>
        <w:ind w:firstLine="0" w:firstLineChars="0"/>
        <w:jc w:val="center"/>
        <w:textAlignment w:val="auto"/>
        <w:rPr>
          <w:b/>
          <w:bCs/>
          <w:sz w:val="32"/>
          <w:szCs w:val="32"/>
        </w:rPr>
      </w:pPr>
    </w:p>
    <w:p w14:paraId="44EB5EED">
      <w:pPr>
        <w:pStyle w:val="30"/>
        <w:keepNext w:val="0"/>
        <w:keepLines w:val="0"/>
        <w:pageBreakBefore w:val="0"/>
        <w:widowControl/>
        <w:kinsoku/>
        <w:wordWrap/>
        <w:overflowPunct/>
        <w:topLinePunct/>
        <w:autoSpaceDN/>
        <w:bidi w:val="0"/>
        <w:spacing w:after="0" w:line="576" w:lineRule="exact"/>
        <w:ind w:firstLine="0" w:firstLineChars="0"/>
        <w:jc w:val="center"/>
        <w:textAlignment w:val="auto"/>
        <w:rPr>
          <w:b/>
          <w:bCs/>
          <w:sz w:val="32"/>
          <w:szCs w:val="32"/>
        </w:rPr>
      </w:pPr>
    </w:p>
    <w:p w14:paraId="459BC6A4">
      <w:pPr>
        <w:pStyle w:val="30"/>
        <w:keepNext w:val="0"/>
        <w:keepLines w:val="0"/>
        <w:pageBreakBefore w:val="0"/>
        <w:widowControl/>
        <w:kinsoku/>
        <w:wordWrap/>
        <w:overflowPunct/>
        <w:topLinePunct/>
        <w:autoSpaceDN/>
        <w:bidi w:val="0"/>
        <w:spacing w:after="0" w:line="576" w:lineRule="exact"/>
        <w:ind w:firstLine="0" w:firstLineChars="0"/>
        <w:textAlignment w:val="auto"/>
        <w:rPr>
          <w:b/>
          <w:bCs/>
          <w:sz w:val="32"/>
          <w:szCs w:val="32"/>
        </w:rPr>
      </w:pPr>
    </w:p>
    <w:p w14:paraId="3F64CF5B">
      <w:pPr>
        <w:pStyle w:val="30"/>
        <w:keepNext w:val="0"/>
        <w:keepLines w:val="0"/>
        <w:pageBreakBefore w:val="0"/>
        <w:widowControl/>
        <w:kinsoku/>
        <w:wordWrap/>
        <w:overflowPunct/>
        <w:topLinePunct/>
        <w:autoSpaceDE/>
        <w:autoSpaceDN/>
        <w:bidi w:val="0"/>
        <w:adjustRightInd w:val="0"/>
        <w:snapToGrid w:val="0"/>
        <w:spacing w:before="157" w:beforeLines="50" w:after="313" w:afterLines="100" w:line="576" w:lineRule="exact"/>
        <w:ind w:firstLine="0" w:firstLineChars="0"/>
        <w:jc w:val="right"/>
        <w:textAlignment w:val="auto"/>
        <w:rPr>
          <w:rFonts w:hint="eastAsia" w:ascii="方正小标宋简体" w:hAnsi="方正小标宋简体" w:eastAsia="方正小标宋简体" w:cs="方正小标宋简体"/>
          <w:b w:val="0"/>
          <w:bCs w:val="0"/>
          <w:spacing w:val="0"/>
          <w:kern w:val="2"/>
          <w:sz w:val="44"/>
          <w:szCs w:val="44"/>
          <w:lang w:eastAsia="zh-CN"/>
        </w:rPr>
      </w:pPr>
      <w:r>
        <w:rPr>
          <w:rFonts w:hint="eastAsia" w:ascii="仿宋_GB2312" w:hAnsi="仿宋_GB2312" w:eastAsia="仿宋_GB2312" w:cs="仿宋_GB2312"/>
          <w:color w:val="auto"/>
          <w:kern w:val="2"/>
          <w:sz w:val="32"/>
          <w:szCs w:val="32"/>
          <w:u w:val="none" w:color="auto"/>
          <w:lang w:val="en-US" w:eastAsia="zh-CN" w:bidi="ar-SA"/>
        </w:rPr>
        <w:t>岳县环评﹝2025﹞10号</w:t>
      </w:r>
    </w:p>
    <w:p w14:paraId="519A832E">
      <w:pPr>
        <w:keepNext w:val="0"/>
        <w:keepLines w:val="0"/>
        <w:pageBreakBefore w:val="0"/>
        <w:widowControl w:val="0"/>
        <w:kinsoku/>
        <w:wordWrap/>
        <w:overflowPunct/>
        <w:topLinePunct/>
        <w:autoSpaceDE w:val="0"/>
        <w:autoSpaceDN/>
        <w:bidi w:val="0"/>
        <w:adjustRightInd/>
        <w:snapToGrid/>
        <w:spacing w:after="0" w:line="576" w:lineRule="exact"/>
        <w:ind w:firstLine="0" w:firstLineChars="0"/>
        <w:jc w:val="center"/>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方正小标宋简体" w:hAnsi="方正小标宋简体" w:eastAsia="方正小标宋简体" w:cs="方正小标宋简体"/>
          <w:b w:val="0"/>
          <w:bCs w:val="0"/>
          <w:spacing w:val="0"/>
          <w:kern w:val="2"/>
          <w:sz w:val="44"/>
          <w:szCs w:val="44"/>
          <w:lang w:eastAsia="zh-CN"/>
        </w:rPr>
        <w:t>关于</w:t>
      </w:r>
      <w:r>
        <w:rPr>
          <w:rFonts w:hint="eastAsia" w:ascii="方正小标宋简体" w:hAnsi="方正小标宋简体" w:eastAsia="方正小标宋简体" w:cs="方正小标宋简体"/>
          <w:b w:val="0"/>
          <w:bCs w:val="0"/>
          <w:spacing w:val="0"/>
          <w:kern w:val="2"/>
          <w:sz w:val="44"/>
          <w:szCs w:val="44"/>
          <w:lang w:val="en-US" w:eastAsia="zh-CN"/>
        </w:rPr>
        <w:t>年产3万吨畜副产品生物酶脱毛加工生产线项目</w:t>
      </w:r>
      <w:r>
        <w:rPr>
          <w:rFonts w:hint="eastAsia" w:ascii="方正小标宋简体" w:hAnsi="方正小标宋简体" w:eastAsia="方正小标宋简体" w:cs="方正小标宋简体"/>
          <w:b w:val="0"/>
          <w:bCs w:val="0"/>
          <w:spacing w:val="0"/>
          <w:kern w:val="2"/>
          <w:sz w:val="44"/>
          <w:szCs w:val="44"/>
          <w:lang w:eastAsia="zh-CN"/>
        </w:rPr>
        <w:t>环境影响报告表</w:t>
      </w:r>
      <w:r>
        <w:rPr>
          <w:rFonts w:hint="eastAsia" w:ascii="方正小标宋简体" w:hAnsi="方正小标宋简体" w:eastAsia="方正小标宋简体" w:cs="方正小标宋简体"/>
          <w:b w:val="0"/>
          <w:bCs w:val="0"/>
          <w:spacing w:val="-20"/>
          <w:kern w:val="2"/>
          <w:sz w:val="44"/>
          <w:szCs w:val="44"/>
          <w:lang w:eastAsia="zh-CN"/>
        </w:rPr>
        <w:t>的批复</w:t>
      </w:r>
    </w:p>
    <w:p w14:paraId="3CE5FBF4">
      <w:pPr>
        <w:keepNext w:val="0"/>
        <w:keepLines w:val="0"/>
        <w:pageBreakBefore w:val="0"/>
        <w:widowControl w:val="0"/>
        <w:kinsoku/>
        <w:wordWrap/>
        <w:overflowPunct/>
        <w:topLinePunct/>
        <w:autoSpaceDE w:val="0"/>
        <w:autoSpaceDN/>
        <w:bidi w:val="0"/>
        <w:adjustRightInd/>
        <w:snapToGrid/>
        <w:spacing w:before="313" w:beforeLines="100" w:after="0" w:line="530"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湖南华牧原科食品有限公司：</w:t>
      </w:r>
    </w:p>
    <w:p w14:paraId="254AE548">
      <w:pPr>
        <w:keepNext w:val="0"/>
        <w:keepLines w:val="0"/>
        <w:pageBreakBefore w:val="0"/>
        <w:widowControl w:val="0"/>
        <w:kinsoku/>
        <w:wordWrap/>
        <w:overflowPunct/>
        <w:topLinePunct/>
        <w:autoSpaceDE w:val="0"/>
        <w:autoSpaceDN/>
        <w:bidi w:val="0"/>
        <w:adjustRightInd/>
        <w:snapToGrid/>
        <w:spacing w:after="0" w:line="530"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eastAsia="zh-CN"/>
        </w:rPr>
        <w:t>你公司（法人代表：张春雨，统一社会信用代码：91430621MA</w:t>
      </w:r>
      <w:r>
        <w:rPr>
          <w:rFonts w:hint="eastAsia" w:ascii="仿宋_GB2312" w:hAnsi="仿宋_GB2312" w:eastAsia="仿宋_GB2312" w:cs="仿宋_GB2312"/>
          <w:color w:val="auto"/>
          <w:kern w:val="2"/>
          <w:sz w:val="32"/>
          <w:szCs w:val="32"/>
          <w:u w:val="none" w:color="auto"/>
          <w:lang w:val="en-US" w:eastAsia="zh-CN"/>
        </w:rPr>
        <w:t>E1YQFL7Q</w:t>
      </w:r>
      <w:r>
        <w:rPr>
          <w:rFonts w:hint="eastAsia" w:ascii="仿宋_GB2312" w:hAnsi="仿宋_GB2312" w:eastAsia="仿宋_GB2312" w:cs="仿宋_GB2312"/>
          <w:color w:val="auto"/>
          <w:kern w:val="2"/>
          <w:sz w:val="32"/>
          <w:szCs w:val="32"/>
          <w:u w:val="none" w:color="auto"/>
          <w:lang w:eastAsia="zh-CN"/>
        </w:rPr>
        <w:t>）</w:t>
      </w:r>
      <w:r>
        <w:rPr>
          <w:rFonts w:hint="eastAsia" w:ascii="仿宋_GB2312" w:hAnsi="仿宋_GB2312" w:eastAsia="仿宋_GB2312" w:cs="仿宋_GB2312"/>
          <w:color w:val="auto"/>
          <w:kern w:val="2"/>
          <w:sz w:val="32"/>
          <w:szCs w:val="32"/>
          <w:u w:val="none" w:color="auto"/>
          <w:lang w:val="en-US" w:eastAsia="zh-CN"/>
        </w:rPr>
        <w:t>提出建设项目环境影响评价审批报告表（普通类）行政许可申请。根据</w:t>
      </w:r>
      <w:r>
        <w:rPr>
          <w:rFonts w:hint="eastAsia" w:ascii="仿宋_GB2312" w:hAnsi="仿宋_GB2312" w:eastAsia="仿宋_GB2312" w:cs="仿宋_GB2312"/>
          <w:color w:val="auto"/>
          <w:kern w:val="2"/>
          <w:sz w:val="32"/>
          <w:szCs w:val="32"/>
          <w:u w:val="none" w:color="auto"/>
          <w:lang w:eastAsia="zh-CN"/>
        </w:rPr>
        <w:t>你单位报批的《</w:t>
      </w:r>
      <w:r>
        <w:rPr>
          <w:rFonts w:hint="eastAsia" w:ascii="仿宋_GB2312" w:hAnsi="仿宋_GB2312" w:eastAsia="仿宋_GB2312" w:cs="仿宋_GB2312"/>
          <w:color w:val="auto"/>
          <w:kern w:val="2"/>
          <w:sz w:val="32"/>
          <w:szCs w:val="32"/>
          <w:u w:val="none" w:color="auto"/>
          <w:lang w:val="en-US" w:eastAsia="zh-CN"/>
        </w:rPr>
        <w:t>年产3万吨畜副产品生物酶脱毛加工生产线项目</w:t>
      </w:r>
      <w:r>
        <w:rPr>
          <w:rFonts w:hint="eastAsia" w:ascii="仿宋_GB2312" w:hAnsi="仿宋_GB2312" w:eastAsia="仿宋_GB2312" w:cs="仿宋_GB2312"/>
          <w:color w:val="auto"/>
          <w:kern w:val="2"/>
          <w:sz w:val="32"/>
          <w:szCs w:val="32"/>
          <w:u w:val="none" w:color="auto"/>
          <w:lang w:eastAsia="zh-CN"/>
        </w:rPr>
        <w:t>环境影响报告表》（以下简称“报告表”）和</w:t>
      </w:r>
      <w:r>
        <w:rPr>
          <w:rFonts w:hint="eastAsia" w:ascii="仿宋_GB2312" w:hAnsi="仿宋_GB2312" w:eastAsia="仿宋_GB2312" w:cs="仿宋_GB2312"/>
          <w:color w:val="auto"/>
          <w:kern w:val="2"/>
          <w:sz w:val="32"/>
          <w:szCs w:val="32"/>
          <w:u w:val="none" w:color="auto"/>
          <w:lang w:val="en-US" w:eastAsia="zh-CN"/>
        </w:rPr>
        <w:t>岳阳市岳阳县生态环境事务中心《湖南华牧原科食品有限公司年产3万吨畜副产品生物酶脱毛加工生产线项目环境影响报告表技术评估报告》（岳县环事评估〔2025〕7号）及专家意见，</w:t>
      </w:r>
      <w:r>
        <w:rPr>
          <w:rFonts w:hint="eastAsia" w:ascii="仿宋_GB2312" w:hAnsi="仿宋_GB2312" w:eastAsia="仿宋_GB2312" w:cs="仿宋_GB2312"/>
          <w:color w:val="auto"/>
          <w:kern w:val="2"/>
          <w:sz w:val="32"/>
          <w:szCs w:val="32"/>
          <w:u w:val="none" w:color="auto"/>
          <w:lang w:eastAsia="zh-CN"/>
        </w:rPr>
        <w:t>经审查</w:t>
      </w:r>
      <w:r>
        <w:rPr>
          <w:rFonts w:hint="eastAsia" w:ascii="仿宋_GB2312" w:hAnsi="仿宋_GB2312" w:eastAsia="仿宋_GB2312" w:cs="仿宋_GB2312"/>
          <w:color w:val="auto"/>
          <w:kern w:val="2"/>
          <w:sz w:val="32"/>
          <w:szCs w:val="32"/>
          <w:u w:val="none" w:color="auto"/>
          <w:lang w:val="en-US" w:eastAsia="zh-CN"/>
        </w:rPr>
        <w:t>，批复如下:</w:t>
      </w:r>
    </w:p>
    <w:p w14:paraId="78C63FA0">
      <w:pPr>
        <w:pStyle w:val="22"/>
        <w:keepNext w:val="0"/>
        <w:keepLines w:val="0"/>
        <w:pageBreakBefore w:val="0"/>
        <w:widowControl w:val="0"/>
        <w:wordWrap/>
        <w:topLinePunct w:val="0"/>
        <w:bidi w:val="0"/>
        <w:adjustRightInd/>
        <w:spacing w:line="540" w:lineRule="exact"/>
        <w:ind w:firstLine="640" w:firstLineChars="200"/>
        <w:rPr>
          <w:rFonts w:hint="eastAsia"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val="en-US" w:eastAsia="zh-CN"/>
        </w:rPr>
        <w:t>一、你公司</w:t>
      </w:r>
      <w:r>
        <w:rPr>
          <w:rFonts w:hint="eastAsia" w:ascii="仿宋_GB2312" w:hAnsi="仿宋_GB2312" w:eastAsia="仿宋_GB2312" w:cs="仿宋_GB2312"/>
          <w:bCs/>
          <w:kern w:val="2"/>
          <w:sz w:val="32"/>
          <w:szCs w:val="32"/>
          <w:lang w:val="en-US" w:eastAsia="zh-CN" w:bidi="ar-SA"/>
        </w:rPr>
        <w:t>拟投资1.6亿元租赁岳阳高新技术产业园区湖南阳光创新贸易有限公司的已建厂房建设“年产3万吨畜副产品生物酶脱毛加工生产线项目”项目占地面积约13580㎡</w:t>
      </w:r>
      <w:r>
        <w:rPr>
          <w:rFonts w:hint="eastAsia" w:ascii="仿宋_GB2312" w:hAnsi="仿宋_GB2312" w:eastAsia="仿宋_GB2312" w:cs="仿宋_GB2312"/>
          <w:color w:val="auto"/>
          <w:kern w:val="2"/>
          <w:sz w:val="32"/>
          <w:szCs w:val="32"/>
          <w:u w:val="none" w:color="auto"/>
          <w:lang w:val="en-US" w:eastAsia="zh-CN"/>
        </w:rPr>
        <w:t>。</w:t>
      </w:r>
      <w:r>
        <w:rPr>
          <w:rFonts w:hint="eastAsia" w:ascii="仿宋_GB2312" w:hAnsi="仿宋_GB2312" w:eastAsia="仿宋_GB2312" w:cs="仿宋_GB2312"/>
          <w:color w:val="auto"/>
          <w:sz w:val="32"/>
          <w:szCs w:val="32"/>
          <w:u w:val="none" w:color="auto"/>
          <w:lang w:eastAsia="zh-CN"/>
        </w:rPr>
        <w:t>项目以</w:t>
      </w:r>
      <w:r>
        <w:rPr>
          <w:rFonts w:hint="default" w:ascii="仿宋_GB2312" w:hAnsi="仿宋_GB2312" w:eastAsia="仿宋_GB2312" w:cs="仿宋_GB2312"/>
          <w:color w:val="auto"/>
          <w:sz w:val="32"/>
          <w:szCs w:val="32"/>
          <w:u w:val="none" w:color="auto"/>
          <w:lang w:val="en-US" w:eastAsia="zh-CN"/>
        </w:rPr>
        <w:t>牛头、牛蹄</w:t>
      </w:r>
      <w:r>
        <w:rPr>
          <w:rFonts w:hint="eastAsia" w:ascii="仿宋_GB2312" w:hAnsi="仿宋_GB2312" w:eastAsia="仿宋_GB2312" w:cs="仿宋_GB2312"/>
          <w:color w:val="auto"/>
          <w:sz w:val="32"/>
          <w:szCs w:val="32"/>
          <w:u w:val="none" w:color="auto"/>
          <w:lang w:val="en-US" w:eastAsia="zh-CN"/>
        </w:rPr>
        <w:t>、</w:t>
      </w:r>
      <w:r>
        <w:rPr>
          <w:rFonts w:hint="default" w:ascii="仿宋_GB2312" w:hAnsi="仿宋_GB2312" w:eastAsia="仿宋_GB2312" w:cs="仿宋_GB2312"/>
          <w:color w:val="auto"/>
          <w:sz w:val="32"/>
          <w:szCs w:val="32"/>
          <w:u w:val="none" w:color="auto"/>
          <w:lang w:val="en-US" w:eastAsia="zh-CN"/>
        </w:rPr>
        <w:t>牛耳、牛皮</w:t>
      </w:r>
      <w:r>
        <w:rPr>
          <w:rFonts w:hint="eastAsia" w:ascii="仿宋_GB2312" w:hAnsi="仿宋_GB2312" w:eastAsia="仿宋_GB2312" w:cs="仿宋_GB2312"/>
          <w:color w:val="auto"/>
          <w:sz w:val="32"/>
          <w:szCs w:val="32"/>
          <w:u w:val="none" w:color="auto"/>
          <w:lang w:val="en-US" w:eastAsia="zh-CN"/>
        </w:rPr>
        <w:t>、</w:t>
      </w:r>
      <w:r>
        <w:rPr>
          <w:rFonts w:hint="default" w:ascii="仿宋_GB2312" w:hAnsi="仿宋_GB2312" w:eastAsia="仿宋_GB2312" w:cs="仿宋_GB2312"/>
          <w:color w:val="auto"/>
          <w:sz w:val="32"/>
          <w:szCs w:val="32"/>
          <w:u w:val="none" w:color="auto"/>
          <w:lang w:val="en-US" w:eastAsia="zh-CN"/>
        </w:rPr>
        <w:t>猪皮</w:t>
      </w:r>
      <w:r>
        <w:rPr>
          <w:rFonts w:hint="eastAsia" w:ascii="仿宋_GB2312" w:hAnsi="仿宋_GB2312" w:eastAsia="仿宋_GB2312" w:cs="仿宋_GB2312"/>
          <w:color w:val="auto"/>
          <w:sz w:val="32"/>
          <w:szCs w:val="32"/>
          <w:u w:val="none" w:color="auto"/>
          <w:lang w:val="en-US" w:eastAsia="zh-CN"/>
        </w:rPr>
        <w:t>、</w:t>
      </w:r>
      <w:r>
        <w:rPr>
          <w:rFonts w:hint="default" w:ascii="仿宋_GB2312" w:hAnsi="仿宋_GB2312" w:eastAsia="仿宋_GB2312" w:cs="仿宋_GB2312"/>
          <w:color w:val="auto"/>
          <w:sz w:val="32"/>
          <w:szCs w:val="32"/>
          <w:u w:val="none" w:color="auto"/>
          <w:lang w:val="en-US" w:eastAsia="zh-CN"/>
        </w:rPr>
        <w:t>猪蹄</w:t>
      </w:r>
      <w:r>
        <w:rPr>
          <w:rFonts w:hint="eastAsia" w:ascii="仿宋_GB2312" w:hAnsi="仿宋_GB2312" w:eastAsia="仿宋_GB2312" w:cs="仿宋_GB2312"/>
          <w:color w:val="auto"/>
          <w:sz w:val="32"/>
          <w:szCs w:val="32"/>
          <w:u w:val="none" w:color="auto"/>
          <w:lang w:val="en-US" w:eastAsia="zh-CN"/>
        </w:rPr>
        <w:t>、</w:t>
      </w:r>
      <w:r>
        <w:rPr>
          <w:rFonts w:hint="default" w:ascii="仿宋_GB2312" w:hAnsi="仿宋_GB2312" w:eastAsia="仿宋_GB2312" w:cs="仿宋_GB2312"/>
          <w:color w:val="auto"/>
          <w:sz w:val="32"/>
          <w:szCs w:val="32"/>
          <w:u w:val="none" w:color="auto"/>
          <w:lang w:val="en-US" w:eastAsia="zh-CN"/>
        </w:rPr>
        <w:t>猪耳</w:t>
      </w:r>
      <w:r>
        <w:rPr>
          <w:rFonts w:hint="eastAsia" w:ascii="仿宋_GB2312" w:hAnsi="仿宋_GB2312" w:eastAsia="仿宋_GB2312" w:cs="仿宋_GB2312"/>
          <w:color w:val="auto"/>
          <w:sz w:val="32"/>
          <w:szCs w:val="32"/>
          <w:u w:val="none" w:color="auto"/>
          <w:lang w:val="en-US" w:eastAsia="zh-CN"/>
        </w:rPr>
        <w:t>、</w:t>
      </w:r>
      <w:r>
        <w:rPr>
          <w:rFonts w:hint="default" w:ascii="仿宋_GB2312" w:hAnsi="仿宋_GB2312" w:eastAsia="仿宋_GB2312" w:cs="仿宋_GB2312"/>
          <w:color w:val="auto"/>
          <w:sz w:val="32"/>
          <w:szCs w:val="32"/>
          <w:u w:val="none" w:color="auto"/>
          <w:lang w:val="en-US" w:eastAsia="zh-CN"/>
        </w:rPr>
        <w:t>羊蹄</w:t>
      </w:r>
      <w:r>
        <w:rPr>
          <w:rFonts w:hint="eastAsia" w:ascii="仿宋_GB2312" w:hAnsi="仿宋_GB2312" w:eastAsia="仿宋_GB2312" w:cs="仿宋_GB2312"/>
          <w:color w:val="auto"/>
          <w:sz w:val="32"/>
          <w:szCs w:val="32"/>
          <w:u w:val="none" w:color="auto"/>
          <w:lang w:val="en-US" w:eastAsia="zh-CN"/>
        </w:rPr>
        <w:t>等为原料，经</w:t>
      </w:r>
      <w:r>
        <w:rPr>
          <w:rFonts w:hint="default" w:ascii="仿宋_GB2312" w:hAnsi="仿宋_GB2312" w:eastAsia="仿宋_GB2312" w:cs="仿宋_GB2312"/>
          <w:color w:val="auto"/>
          <w:sz w:val="32"/>
          <w:szCs w:val="32"/>
          <w:u w:val="none" w:color="auto"/>
          <w:lang w:val="en-US" w:eastAsia="zh-CN"/>
        </w:rPr>
        <w:t>解冻</w:t>
      </w:r>
      <w:r>
        <w:rPr>
          <w:rFonts w:hint="eastAsia" w:ascii="仿宋_GB2312" w:hAnsi="仿宋_GB2312" w:eastAsia="仿宋_GB2312" w:cs="仿宋_GB2312"/>
          <w:color w:val="auto"/>
          <w:sz w:val="32"/>
          <w:szCs w:val="32"/>
          <w:u w:val="none" w:color="auto"/>
          <w:lang w:val="en-US" w:eastAsia="zh-CN"/>
        </w:rPr>
        <w:t>、清洗、生物酶解、溶毛、pH中和、灭菌、出料分拣、速冻、切割、包装、入库（冷库）等工序，生产肉制品，项目主要对各类肉制品进行脱毛处理，其中生物酶脱毛生产线设备包括清洗、生物酶解、溶毛、pH中和、灭菌工序，灭菌工序使用的消毒剂为过氧化氢。</w:t>
      </w:r>
      <w:r>
        <w:rPr>
          <w:rFonts w:hint="eastAsia" w:ascii="仿宋_GB2312" w:hAnsi="仿宋_GB2312" w:eastAsia="仿宋_GB2312" w:cs="仿宋_GB2312"/>
          <w:color w:val="auto"/>
          <w:kern w:val="2"/>
          <w:sz w:val="32"/>
          <w:szCs w:val="32"/>
          <w:u w:val="none" w:color="auto"/>
          <w:lang w:val="en-US" w:eastAsia="zh-CN"/>
        </w:rPr>
        <w:t>该项目在落实报告表和本批复提出的各项生态环境保护措施，并确保各类污染物稳定达标排放的前提下，项目对环境的不利影响能够得到缓解和控制，我局原则同意该项目建设。</w:t>
      </w:r>
    </w:p>
    <w:p w14:paraId="2C64791B">
      <w:pPr>
        <w:keepNext w:val="0"/>
        <w:keepLines w:val="0"/>
        <w:pageBreakBefore w:val="0"/>
        <w:widowControl w:val="0"/>
        <w:numPr>
          <w:ilvl w:val="0"/>
          <w:numId w:val="0"/>
        </w:numPr>
        <w:kinsoku/>
        <w:wordWrap/>
        <w:overflowPunct/>
        <w:topLinePunct/>
        <w:autoSpaceDE w:val="0"/>
        <w:autoSpaceDN/>
        <w:bidi w:val="0"/>
        <w:adjustRightInd/>
        <w:snapToGrid/>
        <w:spacing w:after="0" w:line="530" w:lineRule="exact"/>
        <w:ind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二、在项目设计、建设和环境管理中，你公司须全面落实“报告表”提出的各项生态环境保护措施，并在项目建设及运营中着重做好以下环保工作：</w:t>
      </w:r>
    </w:p>
    <w:p w14:paraId="70525D56">
      <w:pPr>
        <w:keepNext w:val="0"/>
        <w:keepLines w:val="0"/>
        <w:pageBreakBefore w:val="0"/>
        <w:widowControl w:val="0"/>
        <w:numPr>
          <w:ilvl w:val="0"/>
          <w:numId w:val="2"/>
        </w:numPr>
        <w:kinsoku/>
        <w:wordWrap/>
        <w:overflowPunct/>
        <w:topLinePunct/>
        <w:autoSpaceDE w:val="0"/>
        <w:autoSpaceDN/>
        <w:bidi w:val="0"/>
        <w:adjustRightInd/>
        <w:snapToGrid/>
        <w:spacing w:after="0" w:line="530" w:lineRule="exact"/>
        <w:ind w:left="0" w:leftChars="0" w:firstLine="643" w:firstLineChars="200"/>
        <w:jc w:val="both"/>
        <w:textAlignment w:val="auto"/>
        <w:outlineLvl w:val="9"/>
        <w:rPr>
          <w:rFonts w:hint="default" w:ascii="仿宋_GB2312" w:hAnsi="仿宋_GB2312" w:eastAsia="仿宋_GB2312" w:cs="仿宋_GB2312"/>
          <w:b w:val="0"/>
          <w:bCs w:val="0"/>
          <w:color w:val="auto"/>
          <w:kern w:val="2"/>
          <w:sz w:val="32"/>
          <w:szCs w:val="32"/>
          <w:u w:val="none" w:color="auto"/>
          <w:lang w:val="en-US" w:eastAsia="zh-CN"/>
        </w:rPr>
      </w:pPr>
      <w:r>
        <w:rPr>
          <w:rFonts w:hint="eastAsia" w:ascii="仿宋_GB2312" w:hAnsi="仿宋_GB2312" w:eastAsia="仿宋_GB2312" w:cs="仿宋_GB2312"/>
          <w:b/>
          <w:bCs/>
          <w:color w:val="auto"/>
          <w:kern w:val="2"/>
          <w:sz w:val="32"/>
          <w:szCs w:val="32"/>
          <w:u w:val="none" w:color="auto"/>
          <w:lang w:val="en-US" w:eastAsia="zh-CN"/>
        </w:rPr>
        <w:t>落实大气污染防治措施。</w:t>
      </w:r>
      <w:r>
        <w:rPr>
          <w:rFonts w:hint="default" w:ascii="仿宋_GB2312" w:hAnsi="仿宋_GB2312" w:eastAsia="仿宋_GB2312" w:cs="仿宋_GB2312"/>
          <w:color w:val="auto"/>
          <w:sz w:val="32"/>
          <w:szCs w:val="32"/>
          <w:u w:val="none" w:color="auto"/>
          <w:lang w:val="en-US" w:eastAsia="zh-CN"/>
        </w:rPr>
        <w:t>项目</w:t>
      </w:r>
      <w:r>
        <w:rPr>
          <w:rFonts w:hint="eastAsia" w:ascii="仿宋_GB2312" w:hAnsi="仿宋_GB2312" w:eastAsia="仿宋_GB2312" w:cs="仿宋_GB2312"/>
          <w:color w:val="auto"/>
          <w:sz w:val="32"/>
          <w:szCs w:val="32"/>
          <w:u w:val="none" w:color="auto"/>
          <w:lang w:val="en-US" w:eastAsia="zh-CN"/>
        </w:rPr>
        <w:t>解冻、清洗、溶毛、酶解、pH中和、灭菌</w:t>
      </w:r>
      <w:r>
        <w:rPr>
          <w:rFonts w:hint="default" w:ascii="仿宋_GB2312" w:hAnsi="仿宋_GB2312" w:eastAsia="仿宋_GB2312" w:cs="仿宋_GB2312"/>
          <w:color w:val="auto"/>
          <w:sz w:val="32"/>
          <w:szCs w:val="32"/>
          <w:u w:val="none" w:color="auto"/>
          <w:lang w:val="en-US" w:eastAsia="zh-CN"/>
        </w:rPr>
        <w:t>工序产生的恶臭气味，</w:t>
      </w:r>
      <w:r>
        <w:rPr>
          <w:rFonts w:hint="eastAsia" w:ascii="仿宋_GB2312" w:hAnsi="仿宋_GB2312" w:eastAsia="仿宋_GB2312" w:cs="仿宋_GB2312"/>
          <w:color w:val="auto"/>
          <w:sz w:val="32"/>
          <w:szCs w:val="32"/>
          <w:u w:val="none" w:color="auto"/>
          <w:lang w:val="en-US" w:eastAsia="zh-CN"/>
        </w:rPr>
        <w:t>采取</w:t>
      </w:r>
      <w:r>
        <w:rPr>
          <w:rFonts w:hint="default" w:ascii="仿宋_GB2312" w:hAnsi="仿宋_GB2312" w:eastAsia="仿宋_GB2312" w:cs="仿宋_GB2312"/>
          <w:color w:val="auto"/>
          <w:sz w:val="32"/>
          <w:szCs w:val="32"/>
          <w:u w:val="none" w:color="auto"/>
          <w:lang w:val="en-US" w:eastAsia="zh-CN"/>
        </w:rPr>
        <w:t>建立绿化隔离带</w:t>
      </w:r>
      <w:r>
        <w:rPr>
          <w:rFonts w:hint="eastAsia" w:ascii="仿宋_GB2312" w:hAnsi="仿宋_GB2312" w:eastAsia="仿宋_GB2312" w:cs="仿宋_GB2312"/>
          <w:color w:val="auto"/>
          <w:sz w:val="32"/>
          <w:szCs w:val="32"/>
          <w:u w:val="none" w:color="auto"/>
          <w:lang w:val="en-US" w:eastAsia="zh-CN"/>
        </w:rPr>
        <w:t>、在厂界设置除臭喷淋系统喷洒生物除臭剂等措施，减少恶臭气体对周边环境的影响。</w:t>
      </w:r>
      <w:r>
        <w:rPr>
          <w:rFonts w:hint="default" w:ascii="仿宋_GB2312" w:hAnsi="仿宋_GB2312" w:eastAsia="仿宋_GB2312" w:cs="仿宋_GB2312"/>
          <w:color w:val="auto"/>
          <w:sz w:val="32"/>
          <w:szCs w:val="32"/>
          <w:u w:val="none" w:color="auto"/>
          <w:lang w:val="en-US" w:eastAsia="zh-CN"/>
        </w:rPr>
        <w:t>项目污水处理站运行过程产生</w:t>
      </w:r>
      <w:r>
        <w:rPr>
          <w:rFonts w:hint="eastAsia" w:ascii="仿宋_GB2312" w:hAnsi="仿宋_GB2312" w:eastAsia="仿宋_GB2312" w:cs="仿宋_GB2312"/>
          <w:color w:val="auto"/>
          <w:sz w:val="32"/>
          <w:szCs w:val="32"/>
          <w:u w:val="none" w:color="auto"/>
          <w:lang w:val="en-US" w:eastAsia="zh-CN"/>
        </w:rPr>
        <w:t>的</w:t>
      </w:r>
      <w:r>
        <w:rPr>
          <w:rFonts w:hint="default" w:ascii="仿宋_GB2312" w:hAnsi="仿宋_GB2312" w:eastAsia="仿宋_GB2312" w:cs="仿宋_GB2312"/>
          <w:color w:val="auto"/>
          <w:sz w:val="32"/>
          <w:szCs w:val="32"/>
          <w:u w:val="none" w:color="auto"/>
          <w:lang w:val="en-US" w:eastAsia="zh-CN"/>
        </w:rPr>
        <w:t>恶臭气体</w:t>
      </w:r>
      <w:r>
        <w:rPr>
          <w:rFonts w:hint="eastAsia" w:ascii="仿宋_GB2312" w:hAnsi="仿宋_GB2312" w:eastAsia="仿宋_GB2312" w:cs="仿宋_GB2312"/>
          <w:color w:val="auto"/>
          <w:sz w:val="32"/>
          <w:szCs w:val="32"/>
          <w:u w:val="none" w:color="auto"/>
          <w:lang w:val="en-US" w:eastAsia="zh-CN"/>
        </w:rPr>
        <w:t>，采取以下措施减少其对周边环境的影响：主要产生恶臭源的处理设施密闭，污水处理站设置在室内，在污水处理站周边安装生物除臭喷淋系统。厂界无</w:t>
      </w:r>
      <w:r>
        <w:rPr>
          <w:rFonts w:hint="default" w:ascii="仿宋_GB2312" w:hAnsi="仿宋_GB2312" w:eastAsia="仿宋_GB2312" w:cs="仿宋_GB2312"/>
          <w:color w:val="auto"/>
          <w:sz w:val="32"/>
          <w:szCs w:val="32"/>
          <w:u w:val="none" w:color="auto"/>
          <w:lang w:val="en-US" w:eastAsia="zh-CN"/>
        </w:rPr>
        <w:t>组织</w:t>
      </w:r>
      <w:r>
        <w:rPr>
          <w:rFonts w:hint="eastAsia" w:ascii="仿宋_GB2312" w:hAnsi="仿宋_GB2312" w:eastAsia="仿宋_GB2312" w:cs="仿宋_GB2312"/>
          <w:color w:val="auto"/>
          <w:sz w:val="32"/>
          <w:szCs w:val="32"/>
          <w:u w:val="none" w:color="auto"/>
          <w:lang w:val="en-US" w:eastAsia="zh-CN"/>
        </w:rPr>
        <w:t>排放的恶臭气体</w:t>
      </w:r>
      <w:r>
        <w:rPr>
          <w:rFonts w:hint="default" w:ascii="仿宋_GB2312" w:hAnsi="仿宋_GB2312" w:eastAsia="仿宋_GB2312" w:cs="仿宋_GB2312"/>
          <w:color w:val="auto"/>
          <w:sz w:val="32"/>
          <w:szCs w:val="32"/>
          <w:u w:val="none" w:color="auto"/>
          <w:lang w:val="en-US" w:eastAsia="zh-CN"/>
        </w:rPr>
        <w:t>执行《恶臭污染物排放标准》(GB14554-93)表2恶臭污染物排放标准值的要求</w:t>
      </w:r>
      <w:r>
        <w:rPr>
          <w:rFonts w:hint="eastAsia" w:ascii="仿宋_GB2312" w:hAnsi="仿宋_GB2312" w:eastAsia="仿宋_GB2312" w:cs="仿宋_GB2312"/>
          <w:color w:val="auto"/>
          <w:sz w:val="32"/>
          <w:szCs w:val="32"/>
          <w:u w:val="none" w:color="auto"/>
          <w:lang w:val="en-US" w:eastAsia="zh-CN"/>
        </w:rPr>
        <w:t>。</w:t>
      </w:r>
    </w:p>
    <w:p w14:paraId="5D4D5DD4">
      <w:pPr>
        <w:keepNext w:val="0"/>
        <w:keepLines w:val="0"/>
        <w:pageBreakBefore w:val="0"/>
        <w:widowControl w:val="0"/>
        <w:numPr>
          <w:ilvl w:val="0"/>
          <w:numId w:val="2"/>
        </w:numPr>
        <w:kinsoku/>
        <w:wordWrap/>
        <w:overflowPunct/>
        <w:topLinePunct/>
        <w:autoSpaceDE w:val="0"/>
        <w:autoSpaceDN/>
        <w:bidi w:val="0"/>
        <w:adjustRightInd/>
        <w:snapToGrid/>
        <w:spacing w:after="0" w:line="530" w:lineRule="exact"/>
        <w:ind w:left="0" w:leftChars="0" w:firstLine="643" w:firstLineChars="200"/>
        <w:jc w:val="both"/>
        <w:textAlignment w:val="auto"/>
        <w:outlineLvl w:val="9"/>
        <w:rPr>
          <w:rFonts w:hint="eastAsia" w:ascii="仿宋_GB2312" w:hAnsi="仿宋_GB2312" w:eastAsia="仿宋_GB2312" w:cs="仿宋_GB2312"/>
          <w:b w:val="0"/>
          <w:bCs w:val="0"/>
          <w:color w:val="auto"/>
          <w:kern w:val="2"/>
          <w:sz w:val="32"/>
          <w:szCs w:val="32"/>
          <w:u w:val="none" w:color="auto"/>
          <w:lang w:val="en-US" w:eastAsia="zh-CN"/>
        </w:rPr>
      </w:pPr>
      <w:r>
        <w:rPr>
          <w:rFonts w:hint="eastAsia" w:ascii="仿宋_GB2312" w:hAnsi="仿宋_GB2312" w:eastAsia="仿宋_GB2312" w:cs="仿宋_GB2312"/>
          <w:b/>
          <w:bCs/>
          <w:color w:val="auto"/>
          <w:kern w:val="2"/>
          <w:sz w:val="32"/>
          <w:szCs w:val="32"/>
          <w:u w:val="none" w:color="auto"/>
          <w:lang w:val="en-US" w:eastAsia="zh-CN"/>
        </w:rPr>
        <w:t>落实废水污染防治措施。</w:t>
      </w:r>
      <w:r>
        <w:rPr>
          <w:rFonts w:hint="eastAsia" w:ascii="仿宋_GB2312" w:hAnsi="仿宋_GB2312" w:eastAsia="仿宋_GB2312" w:cs="仿宋_GB2312"/>
          <w:b w:val="0"/>
          <w:bCs w:val="0"/>
          <w:color w:val="auto"/>
          <w:kern w:val="2"/>
          <w:sz w:val="32"/>
          <w:szCs w:val="32"/>
          <w:u w:val="none" w:color="auto"/>
          <w:lang w:val="en-US" w:eastAsia="zh-CN"/>
        </w:rPr>
        <w:t>按照“清污分流、雨污分流”原则，完善厂区给排水系统。</w:t>
      </w:r>
      <w:r>
        <w:rPr>
          <w:rFonts w:hint="eastAsia" w:ascii="仿宋_GB2312" w:hAnsi="仿宋_GB2312" w:eastAsia="仿宋_GB2312" w:cs="仿宋_GB2312"/>
          <w:color w:val="auto"/>
          <w:sz w:val="32"/>
          <w:szCs w:val="32"/>
          <w:u w:val="none" w:color="auto"/>
          <w:lang w:val="en-US" w:eastAsia="zh-CN"/>
        </w:rPr>
        <w:t>生活废水依托厂区现有化粪池预处理达园区污水处理厂接纳标准。生产</w:t>
      </w:r>
      <w:r>
        <w:rPr>
          <w:rFonts w:hint="default" w:ascii="仿宋_GB2312" w:hAnsi="仿宋_GB2312" w:eastAsia="仿宋_GB2312" w:cs="仿宋_GB2312"/>
          <w:color w:val="auto"/>
          <w:sz w:val="32"/>
          <w:szCs w:val="32"/>
          <w:u w:val="none" w:color="auto"/>
          <w:lang w:val="en-US" w:eastAsia="zh-CN"/>
        </w:rPr>
        <w:t>废水包含解冻废水、原料清洗废水、生物酶解废水、溶毛废水、pH中和废水</w:t>
      </w:r>
      <w:r>
        <w:rPr>
          <w:rFonts w:hint="eastAsia" w:ascii="仿宋_GB2312" w:hAnsi="仿宋_GB2312" w:eastAsia="仿宋_GB2312" w:cs="仿宋_GB2312"/>
          <w:color w:val="auto"/>
          <w:sz w:val="32"/>
          <w:szCs w:val="32"/>
          <w:u w:val="none" w:color="auto"/>
          <w:lang w:val="en-US" w:eastAsia="zh-CN"/>
        </w:rPr>
        <w:t>等经厂区自建的污水处理站处理达园区污水处理厂接纳标准，厂区内自建污水处理站的处理规模为700t/d，处理工艺为“</w:t>
      </w:r>
      <w:r>
        <w:rPr>
          <w:rFonts w:hint="default" w:ascii="仿宋_GB2312" w:hAnsi="仿宋_GB2312" w:eastAsia="仿宋_GB2312" w:cs="仿宋_GB2312"/>
          <w:color w:val="auto"/>
          <w:sz w:val="32"/>
          <w:szCs w:val="32"/>
          <w:u w:val="none" w:color="auto"/>
          <w:lang w:val="en-US" w:eastAsia="zh-CN"/>
        </w:rPr>
        <w:t>隔油+格栅+调节集水池+固液分离+渣水分离+A</w:t>
      </w:r>
      <w:r>
        <w:rPr>
          <w:rFonts w:hint="default" w:ascii="仿宋_GB2312" w:hAnsi="仿宋_GB2312" w:eastAsia="仿宋_GB2312" w:cs="仿宋_GB2312"/>
          <w:color w:val="auto"/>
          <w:sz w:val="32"/>
          <w:szCs w:val="32"/>
          <w:u w:val="none" w:color="auto"/>
          <w:vertAlign w:val="subscript"/>
          <w:lang w:val="en-US" w:eastAsia="zh-CN"/>
        </w:rPr>
        <w:t>2</w:t>
      </w:r>
      <w:r>
        <w:rPr>
          <w:rFonts w:hint="default" w:ascii="仿宋_GB2312" w:hAnsi="仿宋_GB2312" w:eastAsia="仿宋_GB2312" w:cs="仿宋_GB2312"/>
          <w:color w:val="auto"/>
          <w:sz w:val="32"/>
          <w:szCs w:val="32"/>
          <w:u w:val="none" w:color="auto"/>
          <w:lang w:val="en-US" w:eastAsia="zh-CN"/>
        </w:rPr>
        <w:t>O+好氧+沉淀</w:t>
      </w:r>
      <w:r>
        <w:rPr>
          <w:rFonts w:hint="eastAsia" w:ascii="仿宋_GB2312" w:hAnsi="仿宋_GB2312" w:eastAsia="仿宋_GB2312" w:cs="仿宋_GB2312"/>
          <w:color w:val="auto"/>
          <w:sz w:val="32"/>
          <w:szCs w:val="32"/>
          <w:u w:val="none" w:color="auto"/>
          <w:lang w:val="en-US" w:eastAsia="zh-CN"/>
        </w:rPr>
        <w:t>”，废水排放口应安装自动测流设施并开展流量自动监测。生活污水和生产废水均排入园区污水处理厂进一步</w:t>
      </w:r>
      <w:r>
        <w:rPr>
          <w:rFonts w:hint="default" w:ascii="仿宋_GB2312" w:hAnsi="仿宋_GB2312" w:eastAsia="仿宋_GB2312" w:cs="仿宋_GB2312"/>
          <w:color w:val="auto"/>
          <w:sz w:val="32"/>
          <w:szCs w:val="32"/>
          <w:u w:val="none" w:color="auto"/>
          <w:lang w:val="en-US" w:eastAsia="zh-CN"/>
        </w:rPr>
        <w:t>处理</w:t>
      </w:r>
      <w:r>
        <w:rPr>
          <w:rFonts w:hint="eastAsia" w:ascii="仿宋_GB2312" w:hAnsi="仿宋_GB2312" w:eastAsia="仿宋_GB2312" w:cs="仿宋_GB2312"/>
          <w:color w:val="auto"/>
          <w:sz w:val="32"/>
          <w:szCs w:val="32"/>
          <w:u w:val="none" w:color="auto"/>
          <w:lang w:val="en-US" w:eastAsia="zh-CN"/>
        </w:rPr>
        <w:t>达标后排放。</w:t>
      </w:r>
    </w:p>
    <w:p w14:paraId="6285BDD1">
      <w:pPr>
        <w:keepNext w:val="0"/>
        <w:keepLines w:val="0"/>
        <w:pageBreakBefore w:val="0"/>
        <w:widowControl w:val="0"/>
        <w:numPr>
          <w:ilvl w:val="0"/>
          <w:numId w:val="2"/>
        </w:numPr>
        <w:kinsoku/>
        <w:wordWrap/>
        <w:overflowPunct/>
        <w:topLinePunct/>
        <w:autoSpaceDE w:val="0"/>
        <w:autoSpaceDN/>
        <w:bidi w:val="0"/>
        <w:adjustRightInd/>
        <w:snapToGrid/>
        <w:spacing w:after="0" w:line="530"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落实噪声污染防治措施。</w:t>
      </w:r>
      <w:r>
        <w:rPr>
          <w:rFonts w:hint="eastAsia" w:ascii="仿宋_GB2312" w:hAnsi="仿宋_GB2312" w:eastAsia="仿宋_GB2312" w:cs="仿宋_GB2312"/>
          <w:color w:val="auto"/>
          <w:kern w:val="2"/>
          <w:sz w:val="32"/>
          <w:szCs w:val="32"/>
          <w:u w:val="none" w:color="auto"/>
          <w:lang w:eastAsia="zh-CN"/>
        </w:rPr>
        <w:t>优先选择低噪声设备和工艺，采取减振、隔声、消声等措施有效控制噪声污染，加强厂区内固定设备、运输工具、货物装卸等噪声源管理，同时避免突发噪声扰民。</w:t>
      </w:r>
      <w:r>
        <w:rPr>
          <w:rFonts w:hint="eastAsia" w:ascii="仿宋_GB2312" w:hAnsi="仿宋_GB2312" w:eastAsia="仿宋_GB2312" w:cs="仿宋_GB2312"/>
          <w:color w:val="auto"/>
          <w:sz w:val="32"/>
          <w:szCs w:val="32"/>
          <w:u w:val="none" w:color="auto"/>
          <w:lang w:val="en-US" w:eastAsia="zh-CN"/>
        </w:rPr>
        <w:t>厂界噪声</w:t>
      </w:r>
      <w:r>
        <w:rPr>
          <w:rFonts w:hint="eastAsia" w:ascii="仿宋_GB2312" w:hAnsi="仿宋_GB2312" w:eastAsia="仿宋_GB2312" w:cs="仿宋_GB2312"/>
          <w:color w:val="auto"/>
          <w:sz w:val="32"/>
          <w:szCs w:val="32"/>
          <w:u w:val="none" w:color="auto"/>
          <w:lang w:eastAsia="zh-CN"/>
        </w:rPr>
        <w:t>执行《工业企业厂界环境噪声排放标准》（GB12348-2008）中的</w:t>
      </w:r>
      <w:r>
        <w:rPr>
          <w:rFonts w:hint="eastAsia" w:ascii="仿宋_GB2312" w:hAnsi="仿宋_GB2312" w:eastAsia="仿宋_GB2312" w:cs="仿宋_GB2312"/>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lang w:eastAsia="zh-CN"/>
        </w:rPr>
        <w:t>类标准要求</w:t>
      </w:r>
      <w:r>
        <w:rPr>
          <w:rFonts w:hint="eastAsia" w:ascii="仿宋_GB2312" w:hAnsi="仿宋_GB2312" w:eastAsia="仿宋_GB2312" w:cs="仿宋_GB2312"/>
          <w:color w:val="auto"/>
          <w:kern w:val="2"/>
          <w:sz w:val="32"/>
          <w:szCs w:val="32"/>
          <w:u w:val="none" w:color="auto"/>
          <w:lang w:eastAsia="zh-CN"/>
        </w:rPr>
        <w:t>。</w:t>
      </w:r>
    </w:p>
    <w:p w14:paraId="65245307">
      <w:pPr>
        <w:keepNext w:val="0"/>
        <w:keepLines w:val="0"/>
        <w:pageBreakBefore w:val="0"/>
        <w:widowControl w:val="0"/>
        <w:numPr>
          <w:ilvl w:val="0"/>
          <w:numId w:val="2"/>
        </w:numPr>
        <w:kinsoku/>
        <w:wordWrap/>
        <w:overflowPunct/>
        <w:topLinePunct/>
        <w:autoSpaceDE w:val="0"/>
        <w:autoSpaceDN/>
        <w:bidi w:val="0"/>
        <w:adjustRightInd/>
        <w:snapToGrid/>
        <w:spacing w:after="0" w:line="530"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落实固体废物管理措施。</w:t>
      </w:r>
      <w:r>
        <w:rPr>
          <w:rFonts w:hint="eastAsia" w:ascii="仿宋_GB2312" w:hAnsi="仿宋_GB2312" w:eastAsia="仿宋_GB2312" w:cs="仿宋_GB2312"/>
          <w:color w:val="auto"/>
          <w:kern w:val="2"/>
          <w:sz w:val="32"/>
          <w:szCs w:val="32"/>
          <w:u w:val="none" w:color="auto"/>
          <w:lang w:eastAsia="zh-CN"/>
        </w:rPr>
        <w:t>按照“减量化、资源化、无害化”原则，对固体废物进行分类收集、处理和处置，并建立健全固体废物管理台账。</w:t>
      </w:r>
      <w:r>
        <w:rPr>
          <w:rFonts w:hint="eastAsia" w:ascii="仿宋_GB2312" w:hAnsi="仿宋_GB2312" w:eastAsia="仿宋_GB2312" w:cs="仿宋_GB2312"/>
          <w:color w:val="auto"/>
          <w:sz w:val="32"/>
          <w:szCs w:val="32"/>
          <w:u w:val="none" w:color="auto"/>
          <w:lang w:val="en-US" w:eastAsia="zh-CN"/>
        </w:rPr>
        <w:t>生活垃圾交由环卫部门处理；</w:t>
      </w:r>
      <w:r>
        <w:rPr>
          <w:rFonts w:hint="default" w:ascii="仿宋_GB2312" w:hAnsi="仿宋_GB2312" w:eastAsia="仿宋_GB2312" w:cs="仿宋_GB2312"/>
          <w:color w:val="auto"/>
          <w:sz w:val="32"/>
          <w:szCs w:val="32"/>
          <w:u w:val="none" w:color="auto"/>
          <w:lang w:val="en-US" w:eastAsia="zh-CN"/>
        </w:rPr>
        <w:t>骨头渣、碎肉渣收集后</w:t>
      </w:r>
      <w:r>
        <w:rPr>
          <w:rFonts w:hint="eastAsia" w:ascii="仿宋_GB2312" w:hAnsi="仿宋_GB2312" w:eastAsia="仿宋_GB2312" w:cs="仿宋_GB2312"/>
          <w:color w:val="auto"/>
          <w:sz w:val="32"/>
          <w:szCs w:val="32"/>
          <w:u w:val="none" w:color="auto"/>
          <w:lang w:val="en-US" w:eastAsia="zh-CN"/>
        </w:rPr>
        <w:t>,密封包装，运至宠物饲料厂进行制宠物饲料；一般</w:t>
      </w:r>
      <w:r>
        <w:rPr>
          <w:rFonts w:hint="default" w:ascii="仿宋_GB2312" w:hAnsi="仿宋_GB2312" w:eastAsia="仿宋_GB2312" w:cs="仿宋_GB2312"/>
          <w:color w:val="auto"/>
          <w:sz w:val="32"/>
          <w:szCs w:val="32"/>
          <w:u w:val="none" w:color="auto"/>
          <w:lang w:val="en-US" w:eastAsia="zh-CN"/>
        </w:rPr>
        <w:t>废包装袋</w:t>
      </w:r>
      <w:r>
        <w:rPr>
          <w:rFonts w:hint="eastAsia" w:ascii="仿宋_GB2312" w:hAnsi="仿宋_GB2312" w:eastAsia="仿宋_GB2312" w:cs="仿宋_GB2312"/>
          <w:color w:val="auto"/>
          <w:sz w:val="32"/>
          <w:szCs w:val="32"/>
          <w:u w:val="none" w:color="auto"/>
          <w:lang w:val="en-US" w:eastAsia="zh-CN"/>
        </w:rPr>
        <w:t>统一收集后外售；毛</w:t>
      </w:r>
      <w:r>
        <w:rPr>
          <w:rFonts w:hint="default" w:ascii="仿宋_GB2312" w:hAnsi="仿宋_GB2312" w:eastAsia="仿宋_GB2312" w:cs="仿宋_GB2312"/>
          <w:color w:val="auto"/>
          <w:sz w:val="32"/>
          <w:szCs w:val="32"/>
          <w:u w:val="none" w:color="auto"/>
          <w:lang w:val="en-US" w:eastAsia="zh-CN"/>
        </w:rPr>
        <w:t>渣</w:t>
      </w:r>
      <w:r>
        <w:rPr>
          <w:rFonts w:hint="eastAsia" w:ascii="仿宋_GB2312" w:hAnsi="仿宋_GB2312" w:eastAsia="仿宋_GB2312" w:cs="仿宋_GB2312"/>
          <w:color w:val="auto"/>
          <w:sz w:val="32"/>
          <w:szCs w:val="32"/>
          <w:u w:val="none" w:color="auto"/>
          <w:lang w:val="en-US" w:eastAsia="zh-CN"/>
        </w:rPr>
        <w:t>定期打捞密封包装后，外售肥料厂进行制肥料；</w:t>
      </w:r>
      <w:r>
        <w:rPr>
          <w:rFonts w:hint="default" w:ascii="仿宋_GB2312" w:hAnsi="仿宋_GB2312" w:eastAsia="仿宋_GB2312" w:cs="仿宋_GB2312"/>
          <w:color w:val="auto"/>
          <w:sz w:val="32"/>
          <w:szCs w:val="32"/>
          <w:u w:val="none" w:color="auto"/>
          <w:lang w:val="en-US" w:eastAsia="zh-CN"/>
        </w:rPr>
        <w:t>污水站污泥委外干化制肥料</w:t>
      </w:r>
      <w:r>
        <w:rPr>
          <w:rFonts w:hint="eastAsia" w:ascii="仿宋_GB2312" w:hAnsi="仿宋_GB2312" w:eastAsia="仿宋_GB2312" w:cs="仿宋_GB2312"/>
          <w:color w:val="auto"/>
          <w:sz w:val="32"/>
          <w:szCs w:val="32"/>
          <w:u w:val="none" w:color="auto"/>
          <w:lang w:val="en-US" w:eastAsia="zh-CN"/>
        </w:rPr>
        <w:t>；废食品级片碱包装、废过氧化氢包装桶、废二氧化氯包装桶等危险废物，暂存于危废间内，定期委托有资质单位处理。</w:t>
      </w:r>
    </w:p>
    <w:p w14:paraId="4E3AB0C5">
      <w:pPr>
        <w:keepNext w:val="0"/>
        <w:keepLines w:val="0"/>
        <w:pageBreakBefore w:val="0"/>
        <w:widowControl w:val="0"/>
        <w:numPr>
          <w:ilvl w:val="0"/>
          <w:numId w:val="2"/>
        </w:numPr>
        <w:kinsoku/>
        <w:wordWrap/>
        <w:overflowPunct/>
        <w:topLinePunct/>
        <w:autoSpaceDE w:val="0"/>
        <w:autoSpaceDN/>
        <w:bidi w:val="0"/>
        <w:adjustRightInd/>
        <w:snapToGrid/>
        <w:spacing w:after="0" w:line="530"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强化风险防范措施。</w:t>
      </w:r>
      <w:r>
        <w:rPr>
          <w:rFonts w:hint="eastAsia" w:ascii="仿宋_GB2312" w:hAnsi="仿宋_GB2312" w:eastAsia="仿宋_GB2312" w:cs="仿宋_GB2312"/>
          <w:color w:val="auto"/>
          <w:kern w:val="2"/>
          <w:sz w:val="32"/>
          <w:szCs w:val="32"/>
          <w:u w:val="none" w:color="auto"/>
          <w:lang w:eastAsia="zh-CN"/>
        </w:rPr>
        <w:t>严格落实事故防范和应急措施并加强管理，加强各类生产设备的检修、保养及人员培训，储备相关应急物资并组织应急演练，确保环境安全。</w:t>
      </w:r>
    </w:p>
    <w:p w14:paraId="3CC9AD71">
      <w:pPr>
        <w:keepNext w:val="0"/>
        <w:keepLines w:val="0"/>
        <w:pageBreakBefore w:val="0"/>
        <w:widowControl w:val="0"/>
        <w:numPr>
          <w:ilvl w:val="0"/>
          <w:numId w:val="0"/>
        </w:numPr>
        <w:kinsoku/>
        <w:wordWrap/>
        <w:overflowPunct/>
        <w:topLinePunct/>
        <w:autoSpaceDE w:val="0"/>
        <w:autoSpaceDN/>
        <w:bidi w:val="0"/>
        <w:adjustRightInd/>
        <w:snapToGrid/>
        <w:spacing w:after="0" w:line="530"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三、</w:t>
      </w:r>
      <w:r>
        <w:rPr>
          <w:rFonts w:hint="eastAsia" w:ascii="仿宋_GB2312" w:hAnsi="仿宋_GB2312" w:eastAsia="仿宋_GB2312" w:cs="仿宋_GB2312"/>
          <w:b w:val="0"/>
          <w:bCs w:val="0"/>
          <w:color w:val="auto"/>
          <w:kern w:val="2"/>
          <w:sz w:val="32"/>
          <w:szCs w:val="32"/>
          <w:u w:val="none" w:color="auto"/>
          <w:lang w:val="en-US" w:eastAsia="zh-CN"/>
        </w:rPr>
        <w:t>本项目实施后，污染物年排放总量核定为：化学需氧量≤3.82吨、氨氮≤0.2吨、总磷≤0.04吨</w:t>
      </w:r>
      <w:r>
        <w:rPr>
          <w:rFonts w:hint="eastAsia" w:ascii="仿宋_GB2312" w:hAnsi="仿宋_GB2312" w:eastAsia="仿宋_GB2312" w:cs="仿宋_GB2312"/>
          <w:color w:val="auto"/>
          <w:kern w:val="2"/>
          <w:sz w:val="32"/>
          <w:szCs w:val="32"/>
          <w:u w:val="none" w:color="auto"/>
          <w:lang w:val="en-US" w:eastAsia="zh-CN"/>
        </w:rPr>
        <w:t>。</w:t>
      </w:r>
    </w:p>
    <w:p w14:paraId="18419F0A">
      <w:pPr>
        <w:keepNext w:val="0"/>
        <w:keepLines w:val="0"/>
        <w:pageBreakBefore w:val="0"/>
        <w:widowControl w:val="0"/>
        <w:numPr>
          <w:ilvl w:val="0"/>
          <w:numId w:val="0"/>
        </w:numPr>
        <w:kinsoku/>
        <w:wordWrap/>
        <w:overflowPunct/>
        <w:topLinePunct/>
        <w:autoSpaceDE w:val="0"/>
        <w:autoSpaceDN/>
        <w:bidi w:val="0"/>
        <w:adjustRightInd/>
        <w:snapToGrid/>
        <w:spacing w:after="0" w:line="53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四、按照《排污许可管理条例》《排污许可管理办法》等相关要求申请排污许可证，</w:t>
      </w:r>
      <w:r>
        <w:rPr>
          <w:rFonts w:hint="eastAsia" w:ascii="仿宋_GB2312" w:hAnsi="仿宋_GB2312" w:eastAsia="仿宋_GB2312" w:cs="仿宋_GB2312"/>
          <w:b w:val="0"/>
          <w:bCs w:val="0"/>
          <w:color w:val="auto"/>
          <w:kern w:val="2"/>
          <w:sz w:val="32"/>
          <w:szCs w:val="32"/>
          <w:u w:val="none" w:color="auto"/>
          <w:lang w:val="en-US" w:eastAsia="zh-CN"/>
        </w:rPr>
        <w:t>规范设置各类排污口和标志，完善包括责任制度在内的各项</w:t>
      </w:r>
      <w:r>
        <w:rPr>
          <w:rFonts w:hint="eastAsia" w:ascii="仿宋_GB2312" w:hAnsi="仿宋_GB2312" w:eastAsia="仿宋_GB2312" w:cs="仿宋_GB2312"/>
          <w:b w:val="0"/>
          <w:bCs w:val="0"/>
          <w:color w:val="auto"/>
          <w:kern w:val="2"/>
          <w:sz w:val="32"/>
          <w:szCs w:val="32"/>
          <w:highlight w:val="none"/>
          <w:u w:val="none" w:color="auto"/>
          <w:lang w:val="en-US" w:eastAsia="zh-CN"/>
        </w:rPr>
        <w:t>环境管理制度，</w:t>
      </w:r>
      <w:r>
        <w:rPr>
          <w:rFonts w:hint="eastAsia" w:ascii="仿宋_GB2312" w:hAnsi="仿宋_GB2312" w:eastAsia="仿宋_GB2312" w:cs="仿宋_GB2312"/>
          <w:b w:val="0"/>
          <w:bCs w:val="0"/>
          <w:color w:val="auto"/>
          <w:kern w:val="2"/>
          <w:sz w:val="32"/>
          <w:szCs w:val="32"/>
          <w:u w:val="none" w:color="auto"/>
          <w:lang w:val="en-US" w:eastAsia="zh-CN"/>
        </w:rPr>
        <w:t>加强</w:t>
      </w:r>
      <w:r>
        <w:rPr>
          <w:rFonts w:hint="eastAsia" w:ascii="仿宋_GB2312" w:hAnsi="仿宋_GB2312" w:eastAsia="仿宋_GB2312" w:cs="仿宋_GB2312"/>
          <w:color w:val="auto"/>
          <w:kern w:val="2"/>
          <w:sz w:val="32"/>
          <w:szCs w:val="32"/>
          <w:u w:val="none" w:color="auto"/>
          <w:lang w:eastAsia="zh-CN"/>
        </w:rPr>
        <w:t>营运期</w:t>
      </w:r>
      <w:r>
        <w:rPr>
          <w:rFonts w:hint="eastAsia" w:ascii="仿宋_GB2312" w:hAnsi="仿宋_GB2312" w:eastAsia="仿宋_GB2312" w:cs="仿宋_GB2312"/>
          <w:b w:val="0"/>
          <w:bCs w:val="0"/>
          <w:color w:val="auto"/>
          <w:kern w:val="2"/>
          <w:sz w:val="32"/>
          <w:szCs w:val="32"/>
          <w:u w:val="none" w:color="auto"/>
          <w:lang w:val="en-US" w:eastAsia="zh-CN"/>
        </w:rPr>
        <w:t>日常环境管理与监测</w:t>
      </w:r>
      <w:r>
        <w:rPr>
          <w:rFonts w:hint="eastAsia" w:ascii="仿宋_GB2312" w:hAnsi="仿宋_GB2312" w:eastAsia="仿宋_GB2312" w:cs="仿宋_GB2312"/>
          <w:b w:val="0"/>
          <w:bCs w:val="0"/>
          <w:color w:val="auto"/>
          <w:kern w:val="2"/>
          <w:sz w:val="32"/>
          <w:szCs w:val="32"/>
          <w:highlight w:val="none"/>
          <w:u w:val="none" w:color="auto"/>
          <w:lang w:val="en-US" w:eastAsia="zh-CN"/>
        </w:rPr>
        <w:t>，</w:t>
      </w:r>
      <w:r>
        <w:rPr>
          <w:rFonts w:hint="eastAsia" w:ascii="仿宋_GB2312" w:hAnsi="仿宋_GB2312" w:eastAsia="仿宋_GB2312" w:cs="仿宋_GB2312"/>
          <w:color w:val="auto"/>
          <w:kern w:val="2"/>
          <w:sz w:val="32"/>
          <w:szCs w:val="32"/>
          <w:u w:val="none" w:color="auto"/>
          <w:lang w:eastAsia="zh-CN"/>
        </w:rPr>
        <w:t>严格依法按证排污，并依法依规公开相关信息。</w:t>
      </w:r>
    </w:p>
    <w:p w14:paraId="40EC0A6D">
      <w:pPr>
        <w:keepNext w:val="0"/>
        <w:keepLines w:val="0"/>
        <w:pageBreakBefore w:val="0"/>
        <w:widowControl w:val="0"/>
        <w:numPr>
          <w:ilvl w:val="0"/>
          <w:numId w:val="0"/>
        </w:numPr>
        <w:kinsoku/>
        <w:wordWrap/>
        <w:overflowPunct/>
        <w:topLinePunct/>
        <w:autoSpaceDE w:val="0"/>
        <w:autoSpaceDN/>
        <w:bidi w:val="0"/>
        <w:adjustRightInd/>
        <w:snapToGrid/>
        <w:spacing w:after="0" w:line="53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五、报告表经批准后，建设项目的性质、规模、地点、采用的生产工艺或者防治污染措施发生重大变动的，建设单位应当重新报批建设项目的环境影响评价文件。</w:t>
      </w:r>
    </w:p>
    <w:p w14:paraId="02F65AF6">
      <w:pPr>
        <w:keepNext w:val="0"/>
        <w:keepLines w:val="0"/>
        <w:pageBreakBefore w:val="0"/>
        <w:widowControl w:val="0"/>
        <w:numPr>
          <w:ilvl w:val="0"/>
          <w:numId w:val="0"/>
        </w:numPr>
        <w:kinsoku/>
        <w:wordWrap/>
        <w:overflowPunct/>
        <w:topLinePunct/>
        <w:autoSpaceDE w:val="0"/>
        <w:autoSpaceDN/>
        <w:bidi w:val="0"/>
        <w:adjustRightInd/>
        <w:snapToGrid/>
        <w:spacing w:after="0" w:line="53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六、项目竣工后，须按要求进行竣工环境保护设施自主验收。</w:t>
      </w:r>
    </w:p>
    <w:p w14:paraId="0B9F8E34">
      <w:pPr>
        <w:keepNext w:val="0"/>
        <w:keepLines w:val="0"/>
        <w:pageBreakBefore w:val="0"/>
        <w:widowControl w:val="0"/>
        <w:kinsoku/>
        <w:wordWrap/>
        <w:overflowPunct/>
        <w:topLinePunct/>
        <w:autoSpaceDE w:val="0"/>
        <w:autoSpaceDN/>
        <w:bidi w:val="0"/>
        <w:adjustRightInd/>
        <w:snapToGrid/>
        <w:spacing w:after="0" w:line="576" w:lineRule="exact"/>
        <w:jc w:val="left"/>
        <w:textAlignment w:val="auto"/>
        <w:outlineLvl w:val="9"/>
        <w:rPr>
          <w:rFonts w:hint="eastAsia" w:ascii="仿宋_GB2312" w:hAnsi="仿宋_GB2312" w:eastAsia="仿宋_GB2312" w:cs="仿宋_GB2312"/>
          <w:color w:val="auto"/>
          <w:kern w:val="2"/>
          <w:sz w:val="32"/>
          <w:szCs w:val="32"/>
          <w:u w:val="none" w:color="auto"/>
          <w:lang w:eastAsia="zh-CN"/>
        </w:rPr>
      </w:pPr>
    </w:p>
    <w:p w14:paraId="5B5E52AD">
      <w:pPr>
        <w:pStyle w:val="22"/>
        <w:rPr>
          <w:rFonts w:hint="eastAsia"/>
          <w:lang w:eastAsia="zh-CN"/>
        </w:rPr>
      </w:pPr>
    </w:p>
    <w:p w14:paraId="6796DD13">
      <w:pPr>
        <w:keepNext w:val="0"/>
        <w:keepLines w:val="0"/>
        <w:pageBreakBefore w:val="0"/>
        <w:widowControl w:val="0"/>
        <w:kinsoku/>
        <w:wordWrap/>
        <w:overflowPunct/>
        <w:topLinePunct/>
        <w:autoSpaceDE w:val="0"/>
        <w:autoSpaceDN/>
        <w:bidi w:val="0"/>
        <w:adjustRightInd/>
        <w:snapToGrid/>
        <w:spacing w:after="0" w:line="576" w:lineRule="exact"/>
        <w:ind w:firstLine="320" w:firstLineChars="100"/>
        <w:jc w:val="left"/>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经办人：王</w:t>
      </w:r>
      <w:r>
        <w:rPr>
          <w:rFonts w:hint="eastAsia" w:ascii="仿宋_GB2312" w:hAnsi="仿宋_GB2312" w:eastAsia="仿宋_GB2312" w:cs="仿宋_GB2312"/>
          <w:color w:val="auto"/>
          <w:kern w:val="2"/>
          <w:sz w:val="32"/>
          <w:szCs w:val="32"/>
          <w:u w:val="none" w:color="auto"/>
          <w:lang w:val="en-US" w:eastAsia="zh-CN"/>
        </w:rPr>
        <w:t xml:space="preserve"> 霄</w:t>
      </w:r>
      <w:r>
        <w:rPr>
          <w:rFonts w:hint="eastAsia" w:ascii="仿宋_GB2312" w:hAnsi="仿宋_GB2312" w:eastAsia="仿宋_GB2312" w:cs="仿宋_GB2312"/>
          <w:color w:val="auto"/>
          <w:kern w:val="2"/>
          <w:sz w:val="32"/>
          <w:szCs w:val="32"/>
          <w:u w:val="none" w:color="auto"/>
          <w:lang w:eastAsia="zh-CN"/>
        </w:rPr>
        <w:t xml:space="preserve">                </w:t>
      </w:r>
      <w:r>
        <w:rPr>
          <w:rFonts w:hint="eastAsia" w:ascii="仿宋_GB2312" w:hAnsi="仿宋_GB2312" w:eastAsia="仿宋_GB2312" w:cs="仿宋_GB2312"/>
          <w:color w:val="auto"/>
          <w:kern w:val="2"/>
          <w:sz w:val="32"/>
          <w:szCs w:val="32"/>
          <w:u w:val="none" w:color="auto"/>
          <w:lang w:val="en-US" w:eastAsia="zh-CN"/>
        </w:rPr>
        <w:t xml:space="preserve">   </w:t>
      </w:r>
      <w:r>
        <w:rPr>
          <w:rFonts w:hint="eastAsia" w:ascii="仿宋_GB2312" w:hAnsi="仿宋_GB2312" w:eastAsia="仿宋_GB2312" w:cs="仿宋_GB2312"/>
          <w:color w:val="auto"/>
          <w:kern w:val="2"/>
          <w:sz w:val="32"/>
          <w:szCs w:val="32"/>
          <w:u w:val="none" w:color="auto"/>
          <w:lang w:eastAsia="zh-CN"/>
        </w:rPr>
        <w:t>202</w:t>
      </w:r>
      <w:r>
        <w:rPr>
          <w:rFonts w:hint="eastAsia" w:ascii="仿宋_GB2312" w:hAnsi="仿宋_GB2312" w:eastAsia="仿宋_GB2312" w:cs="仿宋_GB2312"/>
          <w:color w:val="auto"/>
          <w:kern w:val="2"/>
          <w:sz w:val="32"/>
          <w:szCs w:val="32"/>
          <w:u w:val="none" w:color="auto"/>
          <w:lang w:val="en-US" w:eastAsia="zh-CN"/>
        </w:rPr>
        <w:t>5</w:t>
      </w:r>
      <w:r>
        <w:rPr>
          <w:rFonts w:hint="eastAsia" w:ascii="仿宋_GB2312" w:hAnsi="仿宋_GB2312" w:eastAsia="仿宋_GB2312" w:cs="仿宋_GB2312"/>
          <w:color w:val="auto"/>
          <w:kern w:val="2"/>
          <w:sz w:val="32"/>
          <w:szCs w:val="32"/>
          <w:u w:val="none" w:color="auto"/>
          <w:lang w:eastAsia="zh-CN"/>
        </w:rPr>
        <w:t>年</w:t>
      </w:r>
      <w:r>
        <w:rPr>
          <w:rFonts w:hint="eastAsia" w:ascii="仿宋_GB2312" w:hAnsi="仿宋_GB2312" w:eastAsia="仿宋_GB2312" w:cs="仿宋_GB2312"/>
          <w:color w:val="auto"/>
          <w:kern w:val="2"/>
          <w:sz w:val="32"/>
          <w:szCs w:val="32"/>
          <w:u w:val="none" w:color="auto"/>
          <w:lang w:val="en-US" w:eastAsia="zh-CN"/>
        </w:rPr>
        <w:t>5</w:t>
      </w:r>
      <w:r>
        <w:rPr>
          <w:rFonts w:hint="eastAsia" w:ascii="仿宋_GB2312" w:hAnsi="仿宋_GB2312" w:eastAsia="仿宋_GB2312" w:cs="仿宋_GB2312"/>
          <w:color w:val="auto"/>
          <w:kern w:val="2"/>
          <w:sz w:val="32"/>
          <w:szCs w:val="32"/>
          <w:u w:val="none" w:color="auto"/>
          <w:lang w:eastAsia="zh-CN"/>
        </w:rPr>
        <w:t>月</w:t>
      </w:r>
      <w:r>
        <w:rPr>
          <w:rFonts w:hint="eastAsia" w:ascii="仿宋_GB2312" w:hAnsi="仿宋_GB2312" w:eastAsia="仿宋_GB2312" w:cs="仿宋_GB2312"/>
          <w:color w:val="auto"/>
          <w:kern w:val="2"/>
          <w:sz w:val="32"/>
          <w:szCs w:val="32"/>
          <w:u w:val="none" w:color="auto"/>
          <w:lang w:val="en-US" w:eastAsia="zh-CN"/>
        </w:rPr>
        <w:t>30</w:t>
      </w:r>
      <w:r>
        <w:rPr>
          <w:rFonts w:hint="eastAsia" w:ascii="仿宋_GB2312" w:hAnsi="仿宋_GB2312" w:eastAsia="仿宋_GB2312" w:cs="仿宋_GB2312"/>
          <w:color w:val="auto"/>
          <w:kern w:val="2"/>
          <w:sz w:val="32"/>
          <w:szCs w:val="32"/>
          <w:u w:val="none" w:color="auto"/>
          <w:lang w:eastAsia="zh-CN"/>
        </w:rPr>
        <w:t>日</w:t>
      </w:r>
    </w:p>
    <w:p w14:paraId="3FAFDA15">
      <w:pPr>
        <w:pStyle w:val="22"/>
        <w:rPr>
          <w:rFonts w:hint="eastAsia" w:ascii="仿宋_GB2312" w:hAnsi="仿宋_GB2312" w:eastAsia="仿宋_GB2312" w:cs="仿宋_GB2312"/>
          <w:color w:val="auto"/>
          <w:kern w:val="2"/>
          <w:sz w:val="32"/>
          <w:szCs w:val="32"/>
          <w:u w:val="none" w:color="auto"/>
          <w:lang w:eastAsia="zh-CN"/>
        </w:rPr>
      </w:pPr>
    </w:p>
    <w:tbl>
      <w:tblPr>
        <w:tblStyle w:val="18"/>
        <w:tblpPr w:leftFromText="180" w:rightFromText="180" w:vertAnchor="text" w:horzAnchor="page" w:tblpX="1794" w:tblpY="8804"/>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A430C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tcPr>
          <w:p w14:paraId="7BCEA6D3">
            <w:pPr>
              <w:keepNext w:val="0"/>
              <w:keepLines w:val="0"/>
              <w:pageBreakBefore w:val="0"/>
              <w:widowControl w:val="0"/>
              <w:kinsoku/>
              <w:wordWrap/>
              <w:overflowPunct/>
              <w:topLinePunct/>
              <w:autoSpaceDE w:val="0"/>
              <w:autoSpaceDN/>
              <w:bidi w:val="0"/>
              <w:adjustRightInd/>
              <w:snapToGrid/>
              <w:spacing w:after="0" w:line="576"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bookmarkStart w:id="0" w:name="_GoBack"/>
            <w:bookmarkEnd w:id="0"/>
            <w:r>
              <w:rPr>
                <w:rFonts w:hint="eastAsia" w:ascii="仿宋_GB2312" w:hAnsi="仿宋_GB2312" w:eastAsia="仿宋_GB2312" w:cs="仿宋_GB2312"/>
                <w:b/>
                <w:bCs/>
                <w:color w:val="auto"/>
                <w:kern w:val="2"/>
                <w:sz w:val="32"/>
                <w:szCs w:val="32"/>
                <w:u w:val="none" w:color="auto"/>
                <w:lang w:eastAsia="zh-CN"/>
              </w:rPr>
              <w:t>抄送：</w:t>
            </w:r>
            <w:r>
              <w:rPr>
                <w:rFonts w:hint="eastAsia" w:ascii="仿宋_GB2312" w:hAnsi="仿宋_GB2312" w:eastAsia="仿宋_GB2312" w:cs="仿宋_GB2312"/>
                <w:bCs/>
                <w:color w:val="auto"/>
                <w:kern w:val="2"/>
                <w:sz w:val="32"/>
                <w:szCs w:val="32"/>
                <w:u w:val="none" w:color="auto"/>
                <w:lang w:val="en-US" w:eastAsia="zh-CN" w:bidi="ar-SA"/>
              </w:rPr>
              <w:t>岳阳高新技术产业园区管理委员会</w:t>
            </w:r>
            <w:r>
              <w:rPr>
                <w:rFonts w:hint="eastAsia" w:ascii="仿宋_GB2312" w:hAnsi="仿宋_GB2312" w:eastAsia="仿宋_GB2312" w:cs="仿宋_GB2312"/>
                <w:color w:val="auto"/>
                <w:kern w:val="2"/>
                <w:sz w:val="32"/>
                <w:szCs w:val="32"/>
                <w:u w:val="none" w:color="auto"/>
                <w:lang w:eastAsia="zh-CN"/>
              </w:rPr>
              <w:t>，湖南京帝环保科技研究院有限公司</w:t>
            </w:r>
          </w:p>
        </w:tc>
      </w:tr>
    </w:tbl>
    <w:p w14:paraId="459A8A5C">
      <w:pPr>
        <w:pStyle w:val="22"/>
        <w:rPr>
          <w:rFonts w:hint="eastAsia" w:ascii="仿宋_GB2312" w:hAnsi="仿宋_GB2312" w:eastAsia="仿宋_GB2312" w:cs="仿宋_GB2312"/>
          <w:color w:val="auto"/>
          <w:kern w:val="2"/>
          <w:sz w:val="32"/>
          <w:szCs w:val="32"/>
          <w:u w:val="none" w:color="auto"/>
          <w:lang w:eastAsia="zh-CN"/>
        </w:rPr>
      </w:pPr>
    </w:p>
    <w:sectPr>
      <w:headerReference r:id="rId4" w:type="default"/>
      <w:footerReference r:id="rId5" w:type="default"/>
      <w:pgSz w:w="11906" w:h="16838"/>
      <w:pgMar w:top="1440" w:right="1800" w:bottom="1440" w:left="1800"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317AC47-79F4-405C-B228-72B285FA0DDC}"/>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3B265B04-8673-43A1-B1D3-DD3EA1C2817C}"/>
  </w:font>
  <w:font w:name="仿宋_GB2312">
    <w:altName w:val="仿宋"/>
    <w:panose1 w:val="00000000000000000000"/>
    <w:charset w:val="86"/>
    <w:family w:val="modern"/>
    <w:pitch w:val="default"/>
    <w:sig w:usb0="00000000" w:usb1="00000000" w:usb2="00000000" w:usb3="00000000" w:csb0="00040000" w:csb1="00000000"/>
    <w:embedRegular r:id="rId3" w:fontKey="{8ADD7826-76EA-41E7-AB5E-AA710667A204}"/>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7"/>
      <w:lvlText w:val="%3."/>
      <w:lvlJc w:val="right"/>
      <w:pPr>
        <w:tabs>
          <w:tab w:val="left" w:pos="1260"/>
        </w:tabs>
        <w:ind w:left="1260" w:hanging="420"/>
      </w:pPr>
    </w:lvl>
    <w:lvl w:ilvl="3" w:tentative="0">
      <w:start w:val="1"/>
      <w:numFmt w:val="decimal"/>
      <w:pStyle w:val="2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962937A"/>
    <w:multiLevelType w:val="singleLevel"/>
    <w:tmpl w:val="0962937A"/>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AC6DF5"/>
    <w:rsid w:val="01BD7A4F"/>
    <w:rsid w:val="01BE3166"/>
    <w:rsid w:val="01D77DD3"/>
    <w:rsid w:val="0213068F"/>
    <w:rsid w:val="023E272A"/>
    <w:rsid w:val="025A79EB"/>
    <w:rsid w:val="025F4662"/>
    <w:rsid w:val="026F1557"/>
    <w:rsid w:val="02842376"/>
    <w:rsid w:val="02CB619B"/>
    <w:rsid w:val="02DF57A3"/>
    <w:rsid w:val="02F049A8"/>
    <w:rsid w:val="031D766C"/>
    <w:rsid w:val="03511C9F"/>
    <w:rsid w:val="035F24F7"/>
    <w:rsid w:val="03CB65F1"/>
    <w:rsid w:val="03CC6E75"/>
    <w:rsid w:val="03EE0393"/>
    <w:rsid w:val="0413326D"/>
    <w:rsid w:val="043E1FEF"/>
    <w:rsid w:val="044612E1"/>
    <w:rsid w:val="050A007D"/>
    <w:rsid w:val="057E0254"/>
    <w:rsid w:val="057E74F5"/>
    <w:rsid w:val="05A26AC7"/>
    <w:rsid w:val="05A351AD"/>
    <w:rsid w:val="05C515E8"/>
    <w:rsid w:val="064443F8"/>
    <w:rsid w:val="064C0FFA"/>
    <w:rsid w:val="06A65CED"/>
    <w:rsid w:val="06E320FF"/>
    <w:rsid w:val="06FC4B75"/>
    <w:rsid w:val="070C5A89"/>
    <w:rsid w:val="074A1D85"/>
    <w:rsid w:val="07506C6F"/>
    <w:rsid w:val="077C3DB2"/>
    <w:rsid w:val="079C288F"/>
    <w:rsid w:val="07D45A45"/>
    <w:rsid w:val="07DD536D"/>
    <w:rsid w:val="07F9103A"/>
    <w:rsid w:val="08034185"/>
    <w:rsid w:val="0869348D"/>
    <w:rsid w:val="087723D8"/>
    <w:rsid w:val="089112ED"/>
    <w:rsid w:val="0899026A"/>
    <w:rsid w:val="08BB636A"/>
    <w:rsid w:val="08DD43F8"/>
    <w:rsid w:val="08E03040"/>
    <w:rsid w:val="08FD5135"/>
    <w:rsid w:val="091A12E3"/>
    <w:rsid w:val="096802A0"/>
    <w:rsid w:val="097C485E"/>
    <w:rsid w:val="0985037D"/>
    <w:rsid w:val="098A45D8"/>
    <w:rsid w:val="09A247D0"/>
    <w:rsid w:val="09A31262"/>
    <w:rsid w:val="09A35A12"/>
    <w:rsid w:val="0A0600E2"/>
    <w:rsid w:val="0A2D14EA"/>
    <w:rsid w:val="0A5C568E"/>
    <w:rsid w:val="0A6721C8"/>
    <w:rsid w:val="0A6A05DC"/>
    <w:rsid w:val="0AB96B2B"/>
    <w:rsid w:val="0AC70E39"/>
    <w:rsid w:val="0AD100C7"/>
    <w:rsid w:val="0B381467"/>
    <w:rsid w:val="0B61622C"/>
    <w:rsid w:val="0B76450E"/>
    <w:rsid w:val="0BDB07C3"/>
    <w:rsid w:val="0BDC6D23"/>
    <w:rsid w:val="0C00696A"/>
    <w:rsid w:val="0C4F3999"/>
    <w:rsid w:val="0C963102"/>
    <w:rsid w:val="0CED3C33"/>
    <w:rsid w:val="0D030CCE"/>
    <w:rsid w:val="0D040924"/>
    <w:rsid w:val="0D501777"/>
    <w:rsid w:val="0D621D65"/>
    <w:rsid w:val="0D74395F"/>
    <w:rsid w:val="0D9D0AAB"/>
    <w:rsid w:val="0DA11135"/>
    <w:rsid w:val="0DBB4191"/>
    <w:rsid w:val="0DC2593A"/>
    <w:rsid w:val="0E7111A1"/>
    <w:rsid w:val="0E803C6F"/>
    <w:rsid w:val="0EDF4D64"/>
    <w:rsid w:val="0F0B5B0E"/>
    <w:rsid w:val="0F4E1CE6"/>
    <w:rsid w:val="0F5764BE"/>
    <w:rsid w:val="0F645140"/>
    <w:rsid w:val="0FD618E0"/>
    <w:rsid w:val="0FF7347F"/>
    <w:rsid w:val="0FFF2C84"/>
    <w:rsid w:val="104969BB"/>
    <w:rsid w:val="1051635E"/>
    <w:rsid w:val="10541406"/>
    <w:rsid w:val="105B6114"/>
    <w:rsid w:val="106612B1"/>
    <w:rsid w:val="10857989"/>
    <w:rsid w:val="10CA1840"/>
    <w:rsid w:val="10DB57FB"/>
    <w:rsid w:val="115D1518"/>
    <w:rsid w:val="11627BB4"/>
    <w:rsid w:val="116E526D"/>
    <w:rsid w:val="11FC5AF2"/>
    <w:rsid w:val="124D4C3E"/>
    <w:rsid w:val="126104A5"/>
    <w:rsid w:val="136F66CF"/>
    <w:rsid w:val="139454AD"/>
    <w:rsid w:val="13A9082F"/>
    <w:rsid w:val="140A109B"/>
    <w:rsid w:val="140C087D"/>
    <w:rsid w:val="147F6DE6"/>
    <w:rsid w:val="148D505F"/>
    <w:rsid w:val="14BC76F2"/>
    <w:rsid w:val="14CA4CFE"/>
    <w:rsid w:val="157D50D3"/>
    <w:rsid w:val="15820C4A"/>
    <w:rsid w:val="15862342"/>
    <w:rsid w:val="15C404EB"/>
    <w:rsid w:val="15C97C77"/>
    <w:rsid w:val="162D761F"/>
    <w:rsid w:val="16497483"/>
    <w:rsid w:val="16B849F9"/>
    <w:rsid w:val="16CD47FE"/>
    <w:rsid w:val="16EB25B6"/>
    <w:rsid w:val="171B41FF"/>
    <w:rsid w:val="173463CD"/>
    <w:rsid w:val="17524F70"/>
    <w:rsid w:val="17614824"/>
    <w:rsid w:val="176E0569"/>
    <w:rsid w:val="18182FAD"/>
    <w:rsid w:val="1822771A"/>
    <w:rsid w:val="188A0E26"/>
    <w:rsid w:val="18C24ABD"/>
    <w:rsid w:val="18C55E0A"/>
    <w:rsid w:val="18F558C8"/>
    <w:rsid w:val="18FE27B3"/>
    <w:rsid w:val="1925210B"/>
    <w:rsid w:val="194C0B9B"/>
    <w:rsid w:val="19792055"/>
    <w:rsid w:val="19BA441C"/>
    <w:rsid w:val="19F33BB6"/>
    <w:rsid w:val="1A113951"/>
    <w:rsid w:val="1A46462D"/>
    <w:rsid w:val="1A4C760D"/>
    <w:rsid w:val="1A6E25BB"/>
    <w:rsid w:val="1A9D14C5"/>
    <w:rsid w:val="1B462E07"/>
    <w:rsid w:val="1B656D35"/>
    <w:rsid w:val="1B9F76DE"/>
    <w:rsid w:val="1BA70798"/>
    <w:rsid w:val="1C295FB5"/>
    <w:rsid w:val="1C4306F9"/>
    <w:rsid w:val="1C4A6D5F"/>
    <w:rsid w:val="1C8956D6"/>
    <w:rsid w:val="1C9B72E6"/>
    <w:rsid w:val="1CA64B79"/>
    <w:rsid w:val="1CDF74BF"/>
    <w:rsid w:val="1D1F4CC2"/>
    <w:rsid w:val="1D235D75"/>
    <w:rsid w:val="1D24052A"/>
    <w:rsid w:val="1D2422D8"/>
    <w:rsid w:val="1D4C1EFC"/>
    <w:rsid w:val="1D60599D"/>
    <w:rsid w:val="1D684B88"/>
    <w:rsid w:val="1DAA7455"/>
    <w:rsid w:val="1DB16262"/>
    <w:rsid w:val="1DC55976"/>
    <w:rsid w:val="1DF62001"/>
    <w:rsid w:val="1E1037B0"/>
    <w:rsid w:val="1E4852D2"/>
    <w:rsid w:val="1E5D127C"/>
    <w:rsid w:val="1EAD3EF6"/>
    <w:rsid w:val="1EE461C3"/>
    <w:rsid w:val="1EE63371"/>
    <w:rsid w:val="1F6339D0"/>
    <w:rsid w:val="1FDD6B7C"/>
    <w:rsid w:val="206F42A1"/>
    <w:rsid w:val="208009CB"/>
    <w:rsid w:val="21167FF4"/>
    <w:rsid w:val="213A47C0"/>
    <w:rsid w:val="21466CC1"/>
    <w:rsid w:val="216E6218"/>
    <w:rsid w:val="217A696B"/>
    <w:rsid w:val="218C7786"/>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1A796C"/>
    <w:rsid w:val="232A43C0"/>
    <w:rsid w:val="233D3D5B"/>
    <w:rsid w:val="23FA3D93"/>
    <w:rsid w:val="2504136D"/>
    <w:rsid w:val="256166A7"/>
    <w:rsid w:val="256C0CC0"/>
    <w:rsid w:val="25982BAC"/>
    <w:rsid w:val="25C26D29"/>
    <w:rsid w:val="262B521C"/>
    <w:rsid w:val="266C291D"/>
    <w:rsid w:val="26B7248D"/>
    <w:rsid w:val="26EA4592"/>
    <w:rsid w:val="26EF057C"/>
    <w:rsid w:val="27157D3C"/>
    <w:rsid w:val="274C0DA9"/>
    <w:rsid w:val="27684CB5"/>
    <w:rsid w:val="27786E27"/>
    <w:rsid w:val="279D1605"/>
    <w:rsid w:val="27C941A8"/>
    <w:rsid w:val="27F655C1"/>
    <w:rsid w:val="27FB6855"/>
    <w:rsid w:val="27FE64BA"/>
    <w:rsid w:val="28164F13"/>
    <w:rsid w:val="282910EA"/>
    <w:rsid w:val="28303C1A"/>
    <w:rsid w:val="28580831"/>
    <w:rsid w:val="28641ABE"/>
    <w:rsid w:val="289A3473"/>
    <w:rsid w:val="291475E8"/>
    <w:rsid w:val="296631C1"/>
    <w:rsid w:val="296D0128"/>
    <w:rsid w:val="29B474E1"/>
    <w:rsid w:val="29B9024C"/>
    <w:rsid w:val="2A187669"/>
    <w:rsid w:val="2A280EB2"/>
    <w:rsid w:val="2A875A05"/>
    <w:rsid w:val="2A98515E"/>
    <w:rsid w:val="2B4C75CA"/>
    <w:rsid w:val="2B710C95"/>
    <w:rsid w:val="2B902987"/>
    <w:rsid w:val="2B9351F9"/>
    <w:rsid w:val="2BAE4AC7"/>
    <w:rsid w:val="2C301C58"/>
    <w:rsid w:val="2C4E7372"/>
    <w:rsid w:val="2CD755B9"/>
    <w:rsid w:val="2CDC2BCF"/>
    <w:rsid w:val="2CF21AC4"/>
    <w:rsid w:val="2D200D0E"/>
    <w:rsid w:val="2DB023AA"/>
    <w:rsid w:val="2DB14564"/>
    <w:rsid w:val="2DEA745F"/>
    <w:rsid w:val="2E2A302D"/>
    <w:rsid w:val="2E3F61C3"/>
    <w:rsid w:val="2EC27BA3"/>
    <w:rsid w:val="2EED2E72"/>
    <w:rsid w:val="2F096E91"/>
    <w:rsid w:val="2F5C7FF7"/>
    <w:rsid w:val="2F633134"/>
    <w:rsid w:val="2F75482D"/>
    <w:rsid w:val="2FCE6157"/>
    <w:rsid w:val="2FD63906"/>
    <w:rsid w:val="3034062C"/>
    <w:rsid w:val="30370B96"/>
    <w:rsid w:val="306F2997"/>
    <w:rsid w:val="30E20088"/>
    <w:rsid w:val="30FE6114"/>
    <w:rsid w:val="311D7312"/>
    <w:rsid w:val="3196159F"/>
    <w:rsid w:val="3220020C"/>
    <w:rsid w:val="324D7348"/>
    <w:rsid w:val="32A54152"/>
    <w:rsid w:val="32AB72CC"/>
    <w:rsid w:val="32DA1DBA"/>
    <w:rsid w:val="33136C1F"/>
    <w:rsid w:val="33147A5D"/>
    <w:rsid w:val="331B3C61"/>
    <w:rsid w:val="33A94237"/>
    <w:rsid w:val="33D509D3"/>
    <w:rsid w:val="34067C98"/>
    <w:rsid w:val="34151734"/>
    <w:rsid w:val="342F7A89"/>
    <w:rsid w:val="34310CEE"/>
    <w:rsid w:val="34421632"/>
    <w:rsid w:val="34682E77"/>
    <w:rsid w:val="34B311A6"/>
    <w:rsid w:val="34EC597A"/>
    <w:rsid w:val="350C3735"/>
    <w:rsid w:val="35327830"/>
    <w:rsid w:val="35436ABE"/>
    <w:rsid w:val="35584DBD"/>
    <w:rsid w:val="35B44695"/>
    <w:rsid w:val="36050F29"/>
    <w:rsid w:val="361C52BB"/>
    <w:rsid w:val="361D7638"/>
    <w:rsid w:val="363C1B66"/>
    <w:rsid w:val="36A164EA"/>
    <w:rsid w:val="36AE703A"/>
    <w:rsid w:val="3715740A"/>
    <w:rsid w:val="377A733E"/>
    <w:rsid w:val="377E47D8"/>
    <w:rsid w:val="3780008B"/>
    <w:rsid w:val="37A657E2"/>
    <w:rsid w:val="37A662B4"/>
    <w:rsid w:val="37C73FBC"/>
    <w:rsid w:val="37CF5133"/>
    <w:rsid w:val="37D50947"/>
    <w:rsid w:val="382C4A15"/>
    <w:rsid w:val="38A85F49"/>
    <w:rsid w:val="38EC18D6"/>
    <w:rsid w:val="391E1E7A"/>
    <w:rsid w:val="39540160"/>
    <w:rsid w:val="39B47A40"/>
    <w:rsid w:val="39F218E4"/>
    <w:rsid w:val="39FA0B89"/>
    <w:rsid w:val="3A2E433E"/>
    <w:rsid w:val="3A66569A"/>
    <w:rsid w:val="3A920D71"/>
    <w:rsid w:val="3AA27206"/>
    <w:rsid w:val="3AB72586"/>
    <w:rsid w:val="3BCA0854"/>
    <w:rsid w:val="3BD333EF"/>
    <w:rsid w:val="3BF84CC8"/>
    <w:rsid w:val="3C095928"/>
    <w:rsid w:val="3C25627C"/>
    <w:rsid w:val="3C2A6DE5"/>
    <w:rsid w:val="3C32609B"/>
    <w:rsid w:val="3C4056A6"/>
    <w:rsid w:val="3C8A3B4D"/>
    <w:rsid w:val="3C922B13"/>
    <w:rsid w:val="3C9B2663"/>
    <w:rsid w:val="3CA60B04"/>
    <w:rsid w:val="3CBC6CA3"/>
    <w:rsid w:val="3CCD2793"/>
    <w:rsid w:val="3CFA2A4A"/>
    <w:rsid w:val="3D124D7F"/>
    <w:rsid w:val="3D62079E"/>
    <w:rsid w:val="3D8726E3"/>
    <w:rsid w:val="3D9E77DB"/>
    <w:rsid w:val="3DB07127"/>
    <w:rsid w:val="3DFF7EA5"/>
    <w:rsid w:val="3E3A651A"/>
    <w:rsid w:val="3E3E08AE"/>
    <w:rsid w:val="3E487D2A"/>
    <w:rsid w:val="3E6F7B87"/>
    <w:rsid w:val="3E783D5A"/>
    <w:rsid w:val="3E9D4B5C"/>
    <w:rsid w:val="3EAE3C1F"/>
    <w:rsid w:val="3EE12D6D"/>
    <w:rsid w:val="3EF913BF"/>
    <w:rsid w:val="3F0F473E"/>
    <w:rsid w:val="3F2F7F48"/>
    <w:rsid w:val="3F6472E0"/>
    <w:rsid w:val="3F6B44E7"/>
    <w:rsid w:val="3FA23805"/>
    <w:rsid w:val="3FB6105E"/>
    <w:rsid w:val="404A7B97"/>
    <w:rsid w:val="40515C61"/>
    <w:rsid w:val="40673BF4"/>
    <w:rsid w:val="409D3379"/>
    <w:rsid w:val="40EA7BCC"/>
    <w:rsid w:val="40F55BB6"/>
    <w:rsid w:val="40F736DC"/>
    <w:rsid w:val="40F82764"/>
    <w:rsid w:val="41092C89"/>
    <w:rsid w:val="41156A5C"/>
    <w:rsid w:val="4171348E"/>
    <w:rsid w:val="41BE6C54"/>
    <w:rsid w:val="41E45F48"/>
    <w:rsid w:val="41F35D8B"/>
    <w:rsid w:val="41F91AF3"/>
    <w:rsid w:val="4205007B"/>
    <w:rsid w:val="42500DFE"/>
    <w:rsid w:val="42682AE5"/>
    <w:rsid w:val="426C4BF7"/>
    <w:rsid w:val="42BA2048"/>
    <w:rsid w:val="42D05A12"/>
    <w:rsid w:val="42E64203"/>
    <w:rsid w:val="43336194"/>
    <w:rsid w:val="4357474C"/>
    <w:rsid w:val="43705CC8"/>
    <w:rsid w:val="439F5B10"/>
    <w:rsid w:val="43DF35A3"/>
    <w:rsid w:val="43EE04C7"/>
    <w:rsid w:val="44140FAD"/>
    <w:rsid w:val="442440CF"/>
    <w:rsid w:val="443B71EF"/>
    <w:rsid w:val="445175A7"/>
    <w:rsid w:val="449649E5"/>
    <w:rsid w:val="44AB6361"/>
    <w:rsid w:val="44D2693A"/>
    <w:rsid w:val="45451E45"/>
    <w:rsid w:val="45695003"/>
    <w:rsid w:val="459D62AC"/>
    <w:rsid w:val="45F44CA7"/>
    <w:rsid w:val="45F52D8D"/>
    <w:rsid w:val="465B6E12"/>
    <w:rsid w:val="467A2DE5"/>
    <w:rsid w:val="46AC6D17"/>
    <w:rsid w:val="46DF0E9A"/>
    <w:rsid w:val="46DF6675"/>
    <w:rsid w:val="46F26E20"/>
    <w:rsid w:val="46FF32EA"/>
    <w:rsid w:val="472052AE"/>
    <w:rsid w:val="475734B5"/>
    <w:rsid w:val="47574ED5"/>
    <w:rsid w:val="475F23DC"/>
    <w:rsid w:val="47615D53"/>
    <w:rsid w:val="478A23A7"/>
    <w:rsid w:val="47D3043F"/>
    <w:rsid w:val="481E1E96"/>
    <w:rsid w:val="483E7E42"/>
    <w:rsid w:val="48825CA5"/>
    <w:rsid w:val="491134C0"/>
    <w:rsid w:val="49204116"/>
    <w:rsid w:val="4924528A"/>
    <w:rsid w:val="493475C8"/>
    <w:rsid w:val="4961203A"/>
    <w:rsid w:val="49755955"/>
    <w:rsid w:val="4A0C644A"/>
    <w:rsid w:val="4A2D43AB"/>
    <w:rsid w:val="4AE747C1"/>
    <w:rsid w:val="4AF818BF"/>
    <w:rsid w:val="4B4B6AFE"/>
    <w:rsid w:val="4B611D5C"/>
    <w:rsid w:val="4B906C07"/>
    <w:rsid w:val="4BCE14DD"/>
    <w:rsid w:val="4BEC5B04"/>
    <w:rsid w:val="4C2309AA"/>
    <w:rsid w:val="4C271545"/>
    <w:rsid w:val="4C4C343B"/>
    <w:rsid w:val="4C6813E7"/>
    <w:rsid w:val="4C6A1041"/>
    <w:rsid w:val="4C7B10AA"/>
    <w:rsid w:val="4C7B4735"/>
    <w:rsid w:val="4CD40EDA"/>
    <w:rsid w:val="4CD6689C"/>
    <w:rsid w:val="4CDE39A2"/>
    <w:rsid w:val="4CF213BF"/>
    <w:rsid w:val="4D0311BE"/>
    <w:rsid w:val="4D3360D0"/>
    <w:rsid w:val="4D430511"/>
    <w:rsid w:val="4D571B68"/>
    <w:rsid w:val="4D795F1D"/>
    <w:rsid w:val="4DD17574"/>
    <w:rsid w:val="4DE03F72"/>
    <w:rsid w:val="4E6006D4"/>
    <w:rsid w:val="4E771E1B"/>
    <w:rsid w:val="4E813215"/>
    <w:rsid w:val="4EA50069"/>
    <w:rsid w:val="4F304531"/>
    <w:rsid w:val="4F433012"/>
    <w:rsid w:val="4F617011"/>
    <w:rsid w:val="4F675A90"/>
    <w:rsid w:val="4F77574C"/>
    <w:rsid w:val="503E21BB"/>
    <w:rsid w:val="506A26C5"/>
    <w:rsid w:val="506A2A9F"/>
    <w:rsid w:val="50B72EA8"/>
    <w:rsid w:val="50E15925"/>
    <w:rsid w:val="512A18AC"/>
    <w:rsid w:val="513C0D41"/>
    <w:rsid w:val="51C66F43"/>
    <w:rsid w:val="51CD6957"/>
    <w:rsid w:val="52174C68"/>
    <w:rsid w:val="526B5CD8"/>
    <w:rsid w:val="52902274"/>
    <w:rsid w:val="52AF332A"/>
    <w:rsid w:val="52C218D9"/>
    <w:rsid w:val="52EC1163"/>
    <w:rsid w:val="52F757BE"/>
    <w:rsid w:val="53303F2B"/>
    <w:rsid w:val="53B37937"/>
    <w:rsid w:val="54322F51"/>
    <w:rsid w:val="548B2661"/>
    <w:rsid w:val="54C74C42"/>
    <w:rsid w:val="54DB18B7"/>
    <w:rsid w:val="54F2180D"/>
    <w:rsid w:val="550D6174"/>
    <w:rsid w:val="551045DB"/>
    <w:rsid w:val="552661B5"/>
    <w:rsid w:val="552D2BC3"/>
    <w:rsid w:val="556A6D47"/>
    <w:rsid w:val="5596306C"/>
    <w:rsid w:val="55B313A7"/>
    <w:rsid w:val="55FA2AB8"/>
    <w:rsid w:val="56114DE8"/>
    <w:rsid w:val="561A06CC"/>
    <w:rsid w:val="56AD263F"/>
    <w:rsid w:val="56BD0B46"/>
    <w:rsid w:val="56C06025"/>
    <w:rsid w:val="56CB143B"/>
    <w:rsid w:val="57131579"/>
    <w:rsid w:val="57574A7D"/>
    <w:rsid w:val="57735E1A"/>
    <w:rsid w:val="57846136"/>
    <w:rsid w:val="579D6934"/>
    <w:rsid w:val="57AD7A56"/>
    <w:rsid w:val="57C14700"/>
    <w:rsid w:val="57C63C03"/>
    <w:rsid w:val="57C7431A"/>
    <w:rsid w:val="57CF4718"/>
    <w:rsid w:val="57E91CCB"/>
    <w:rsid w:val="58942BC6"/>
    <w:rsid w:val="58C66426"/>
    <w:rsid w:val="58CB127E"/>
    <w:rsid w:val="58D26971"/>
    <w:rsid w:val="58E31E69"/>
    <w:rsid w:val="58FE6FEB"/>
    <w:rsid w:val="59017499"/>
    <w:rsid w:val="59BE0066"/>
    <w:rsid w:val="59D1568E"/>
    <w:rsid w:val="59FD7B5D"/>
    <w:rsid w:val="5A822260"/>
    <w:rsid w:val="5A843DDB"/>
    <w:rsid w:val="5ABC3575"/>
    <w:rsid w:val="5ABF6AC1"/>
    <w:rsid w:val="5B0959EC"/>
    <w:rsid w:val="5B184523"/>
    <w:rsid w:val="5B6854AA"/>
    <w:rsid w:val="5B783826"/>
    <w:rsid w:val="5B920265"/>
    <w:rsid w:val="5BB42E74"/>
    <w:rsid w:val="5BC86634"/>
    <w:rsid w:val="5C2A6B48"/>
    <w:rsid w:val="5C474349"/>
    <w:rsid w:val="5CAB38A1"/>
    <w:rsid w:val="5CD8488B"/>
    <w:rsid w:val="5DB80F79"/>
    <w:rsid w:val="5EF24640"/>
    <w:rsid w:val="5F177A55"/>
    <w:rsid w:val="5F261904"/>
    <w:rsid w:val="5FA34F4D"/>
    <w:rsid w:val="5FC1162D"/>
    <w:rsid w:val="60E31383"/>
    <w:rsid w:val="61190980"/>
    <w:rsid w:val="61795FBE"/>
    <w:rsid w:val="619443A4"/>
    <w:rsid w:val="61B74A96"/>
    <w:rsid w:val="61DA6504"/>
    <w:rsid w:val="62045801"/>
    <w:rsid w:val="623A31B8"/>
    <w:rsid w:val="62540537"/>
    <w:rsid w:val="62DA4EE0"/>
    <w:rsid w:val="62F9296A"/>
    <w:rsid w:val="636724EC"/>
    <w:rsid w:val="63835861"/>
    <w:rsid w:val="639E2124"/>
    <w:rsid w:val="63E3341E"/>
    <w:rsid w:val="64455F3B"/>
    <w:rsid w:val="64B14D8B"/>
    <w:rsid w:val="64CB4AEA"/>
    <w:rsid w:val="64D96C0F"/>
    <w:rsid w:val="65112AD4"/>
    <w:rsid w:val="6524775C"/>
    <w:rsid w:val="655C477C"/>
    <w:rsid w:val="6562264B"/>
    <w:rsid w:val="65670279"/>
    <w:rsid w:val="661F067B"/>
    <w:rsid w:val="66482160"/>
    <w:rsid w:val="66486845"/>
    <w:rsid w:val="66611A7D"/>
    <w:rsid w:val="66B912B0"/>
    <w:rsid w:val="66CE5F5E"/>
    <w:rsid w:val="66F425DE"/>
    <w:rsid w:val="6759214B"/>
    <w:rsid w:val="67795BE8"/>
    <w:rsid w:val="67BC1058"/>
    <w:rsid w:val="681F6013"/>
    <w:rsid w:val="68212C69"/>
    <w:rsid w:val="68AF4354"/>
    <w:rsid w:val="68B74DF5"/>
    <w:rsid w:val="68CF0917"/>
    <w:rsid w:val="68E1064A"/>
    <w:rsid w:val="69143BC8"/>
    <w:rsid w:val="69275F8F"/>
    <w:rsid w:val="69D012B2"/>
    <w:rsid w:val="69F108B1"/>
    <w:rsid w:val="6A647246"/>
    <w:rsid w:val="6A726EEE"/>
    <w:rsid w:val="6A73045B"/>
    <w:rsid w:val="6A8A28EE"/>
    <w:rsid w:val="6A9E17D6"/>
    <w:rsid w:val="6B0B530E"/>
    <w:rsid w:val="6B277C9A"/>
    <w:rsid w:val="6B2A452A"/>
    <w:rsid w:val="6B37171D"/>
    <w:rsid w:val="6B3F0222"/>
    <w:rsid w:val="6B485F70"/>
    <w:rsid w:val="6B9C2FB2"/>
    <w:rsid w:val="6BCC687C"/>
    <w:rsid w:val="6C20148A"/>
    <w:rsid w:val="6C410383"/>
    <w:rsid w:val="6C4F5478"/>
    <w:rsid w:val="6C5F0404"/>
    <w:rsid w:val="6C63615E"/>
    <w:rsid w:val="6C781BC4"/>
    <w:rsid w:val="6C8E0AE9"/>
    <w:rsid w:val="6CB93DB8"/>
    <w:rsid w:val="6CDC5203"/>
    <w:rsid w:val="6CE13944"/>
    <w:rsid w:val="6D0A227B"/>
    <w:rsid w:val="6D2D20B0"/>
    <w:rsid w:val="6DCA0612"/>
    <w:rsid w:val="6DFD1A54"/>
    <w:rsid w:val="6E176337"/>
    <w:rsid w:val="6E235D5F"/>
    <w:rsid w:val="6E2420BF"/>
    <w:rsid w:val="6E59029D"/>
    <w:rsid w:val="6E6111A1"/>
    <w:rsid w:val="6E704B85"/>
    <w:rsid w:val="6E93207D"/>
    <w:rsid w:val="6F0C55B6"/>
    <w:rsid w:val="6F285225"/>
    <w:rsid w:val="6F2F6BE9"/>
    <w:rsid w:val="6F5C26EC"/>
    <w:rsid w:val="6F8B7FB3"/>
    <w:rsid w:val="7048104D"/>
    <w:rsid w:val="70F34949"/>
    <w:rsid w:val="710D7763"/>
    <w:rsid w:val="71172C34"/>
    <w:rsid w:val="715C7408"/>
    <w:rsid w:val="71AA7506"/>
    <w:rsid w:val="71FB4625"/>
    <w:rsid w:val="72083B4D"/>
    <w:rsid w:val="72C65703"/>
    <w:rsid w:val="734931FB"/>
    <w:rsid w:val="737A29C8"/>
    <w:rsid w:val="73A36AB1"/>
    <w:rsid w:val="73A63C37"/>
    <w:rsid w:val="73B223CF"/>
    <w:rsid w:val="73BB1873"/>
    <w:rsid w:val="73BC0E66"/>
    <w:rsid w:val="73F676A0"/>
    <w:rsid w:val="743027C5"/>
    <w:rsid w:val="746266C3"/>
    <w:rsid w:val="747A72CF"/>
    <w:rsid w:val="748C3B60"/>
    <w:rsid w:val="748E5B2A"/>
    <w:rsid w:val="74B6359C"/>
    <w:rsid w:val="74DB2A67"/>
    <w:rsid w:val="74E41BEE"/>
    <w:rsid w:val="74EC45FF"/>
    <w:rsid w:val="750D549E"/>
    <w:rsid w:val="75216649"/>
    <w:rsid w:val="75DF6321"/>
    <w:rsid w:val="75F8738A"/>
    <w:rsid w:val="76571277"/>
    <w:rsid w:val="76725133"/>
    <w:rsid w:val="76F45E0A"/>
    <w:rsid w:val="77115F1A"/>
    <w:rsid w:val="7781145A"/>
    <w:rsid w:val="77B01CE7"/>
    <w:rsid w:val="77B92B54"/>
    <w:rsid w:val="77E233DF"/>
    <w:rsid w:val="77FC4B2C"/>
    <w:rsid w:val="78107B3D"/>
    <w:rsid w:val="784D6F97"/>
    <w:rsid w:val="789E3D6F"/>
    <w:rsid w:val="78C0202A"/>
    <w:rsid w:val="78C4725D"/>
    <w:rsid w:val="78E201F2"/>
    <w:rsid w:val="79297BE8"/>
    <w:rsid w:val="796230E1"/>
    <w:rsid w:val="797E0817"/>
    <w:rsid w:val="79FB1858"/>
    <w:rsid w:val="79FB716F"/>
    <w:rsid w:val="7A2921ED"/>
    <w:rsid w:val="7A6F538E"/>
    <w:rsid w:val="7A8012E2"/>
    <w:rsid w:val="7AB364C5"/>
    <w:rsid w:val="7AE80322"/>
    <w:rsid w:val="7B0402DA"/>
    <w:rsid w:val="7B1B0A5C"/>
    <w:rsid w:val="7BBA0721"/>
    <w:rsid w:val="7BD55DED"/>
    <w:rsid w:val="7BD9150F"/>
    <w:rsid w:val="7BDD1298"/>
    <w:rsid w:val="7C0148BF"/>
    <w:rsid w:val="7C077F70"/>
    <w:rsid w:val="7C3E6C6A"/>
    <w:rsid w:val="7CCF0A8E"/>
    <w:rsid w:val="7D7805FA"/>
    <w:rsid w:val="7D790DF2"/>
    <w:rsid w:val="7D977508"/>
    <w:rsid w:val="7DA617D2"/>
    <w:rsid w:val="7DEC6A9C"/>
    <w:rsid w:val="7E085630"/>
    <w:rsid w:val="7E1370A0"/>
    <w:rsid w:val="7E14077C"/>
    <w:rsid w:val="7E1C7710"/>
    <w:rsid w:val="7E7B0DF9"/>
    <w:rsid w:val="7EC80CAB"/>
    <w:rsid w:val="7ECF2FC7"/>
    <w:rsid w:val="7F1B620C"/>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6">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7">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before="60" w:after="160" w:line="259" w:lineRule="auto"/>
      <w:ind w:right="113"/>
    </w:pPr>
    <w:rPr>
      <w:sz w:val="18"/>
      <w:szCs w:val="20"/>
    </w:rPr>
  </w:style>
  <w:style w:type="paragraph" w:customStyle="1" w:styleId="3">
    <w:name w:val="xl27"/>
    <w:basedOn w:val="4"/>
    <w:next w:val="5"/>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4">
    <w:name w:val="table of authorities"/>
    <w:basedOn w:val="1"/>
    <w:next w:val="1"/>
    <w:autoRedefine/>
    <w:qFormat/>
    <w:uiPriority w:val="0"/>
    <w:pPr>
      <w:ind w:left="420" w:leftChars="200"/>
    </w:pPr>
  </w:style>
  <w:style w:type="paragraph" w:styleId="5">
    <w:name w:val="Body Text Indent 2"/>
    <w:basedOn w:val="1"/>
    <w:next w:val="1"/>
    <w:autoRedefine/>
    <w:qFormat/>
    <w:uiPriority w:val="0"/>
    <w:pPr>
      <w:spacing w:after="120" w:line="480" w:lineRule="auto"/>
      <w:ind w:left="420" w:leftChars="200"/>
    </w:pPr>
  </w:style>
  <w:style w:type="paragraph" w:styleId="8">
    <w:name w:val="Normal Indent"/>
    <w:basedOn w:val="1"/>
    <w:next w:val="1"/>
    <w:link w:val="32"/>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9">
    <w:name w:val="Document Map"/>
    <w:basedOn w:val="1"/>
    <w:link w:val="34"/>
    <w:autoRedefine/>
    <w:semiHidden/>
    <w:unhideWhenUsed/>
    <w:qFormat/>
    <w:uiPriority w:val="99"/>
    <w:rPr>
      <w:rFonts w:ascii="宋体" w:eastAsia="宋体"/>
      <w:sz w:val="18"/>
      <w:szCs w:val="18"/>
    </w:rPr>
  </w:style>
  <w:style w:type="paragraph" w:styleId="10">
    <w:name w:val="annotation text"/>
    <w:basedOn w:val="1"/>
    <w:autoRedefine/>
    <w:semiHidden/>
    <w:unhideWhenUsed/>
    <w:qFormat/>
    <w:uiPriority w:val="99"/>
  </w:style>
  <w:style w:type="paragraph" w:styleId="11">
    <w:name w:val="Body Text Indent"/>
    <w:basedOn w:val="1"/>
    <w:next w:val="12"/>
    <w:autoRedefine/>
    <w:qFormat/>
    <w:uiPriority w:val="0"/>
    <w:pPr>
      <w:spacing w:after="120"/>
      <w:ind w:left="420" w:leftChars="200"/>
    </w:pPr>
    <w:rPr>
      <w:sz w:val="24"/>
      <w:szCs w:val="20"/>
    </w:rPr>
  </w:style>
  <w:style w:type="paragraph" w:styleId="12">
    <w:name w:val="Body Text First Indent 2"/>
    <w:basedOn w:val="11"/>
    <w:next w:val="1"/>
    <w:autoRedefine/>
    <w:qFormat/>
    <w:uiPriority w:val="0"/>
    <w:pPr>
      <w:tabs>
        <w:tab w:val="left" w:pos="540"/>
      </w:tabs>
      <w:ind w:firstLine="420" w:firstLineChars="200"/>
    </w:pPr>
    <w:rPr>
      <w:sz w:val="21"/>
    </w:rPr>
  </w:style>
  <w:style w:type="paragraph" w:styleId="13">
    <w:name w:val="Balloon Text"/>
    <w:basedOn w:val="1"/>
    <w:link w:val="39"/>
    <w:autoRedefine/>
    <w:semiHidden/>
    <w:unhideWhenUsed/>
    <w:qFormat/>
    <w:uiPriority w:val="99"/>
    <w:pPr>
      <w:spacing w:after="0"/>
    </w:pPr>
    <w:rPr>
      <w:sz w:val="18"/>
      <w:szCs w:val="18"/>
    </w:rPr>
  </w:style>
  <w:style w:type="paragraph" w:styleId="14">
    <w:name w:val="footer"/>
    <w:basedOn w:val="1"/>
    <w:link w:val="31"/>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3"/>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2"/>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四级条标题"/>
    <w:basedOn w:val="25"/>
    <w:next w:val="29"/>
    <w:autoRedefine/>
    <w:qFormat/>
    <w:uiPriority w:val="0"/>
    <w:pPr>
      <w:tabs>
        <w:tab w:val="left" w:pos="1260"/>
      </w:tabs>
      <w:outlineLvl w:val="5"/>
    </w:pPr>
    <w:rPr>
      <w:szCs w:val="20"/>
    </w:rPr>
  </w:style>
  <w:style w:type="paragraph" w:customStyle="1" w:styleId="25">
    <w:name w:val="三级条标题"/>
    <w:basedOn w:val="26"/>
    <w:next w:val="29"/>
    <w:autoRedefine/>
    <w:qFormat/>
    <w:uiPriority w:val="0"/>
    <w:pPr>
      <w:numPr>
        <w:ilvl w:val="0"/>
        <w:numId w:val="0"/>
      </w:numPr>
      <w:tabs>
        <w:tab w:val="left" w:pos="1260"/>
      </w:tabs>
      <w:outlineLvl w:val="4"/>
    </w:pPr>
  </w:style>
  <w:style w:type="paragraph" w:customStyle="1" w:styleId="26">
    <w:name w:val="二级条标题"/>
    <w:basedOn w:val="27"/>
    <w:next w:val="29"/>
    <w:autoRedefine/>
    <w:qFormat/>
    <w:uiPriority w:val="0"/>
    <w:pPr>
      <w:numPr>
        <w:ilvl w:val="3"/>
      </w:numPr>
      <w:tabs>
        <w:tab w:val="left" w:pos="1260"/>
      </w:tabs>
      <w:outlineLvl w:val="3"/>
    </w:pPr>
  </w:style>
  <w:style w:type="paragraph" w:customStyle="1" w:styleId="27">
    <w:name w:val="一级条标题"/>
    <w:basedOn w:val="28"/>
    <w:next w:val="29"/>
    <w:autoRedefine/>
    <w:qFormat/>
    <w:uiPriority w:val="0"/>
    <w:pPr>
      <w:numPr>
        <w:ilvl w:val="2"/>
        <w:numId w:val="1"/>
      </w:numPr>
      <w:spacing w:beforeLines="0" w:afterLines="0"/>
      <w:outlineLvl w:val="2"/>
    </w:pPr>
  </w:style>
  <w:style w:type="paragraph" w:customStyle="1" w:styleId="28">
    <w:name w:val="章标题"/>
    <w:next w:val="29"/>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9">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1">
    <w:name w:val="页脚 Char"/>
    <w:basedOn w:val="20"/>
    <w:link w:val="14"/>
    <w:autoRedefine/>
    <w:qFormat/>
    <w:uiPriority w:val="99"/>
    <w:rPr>
      <w:rFonts w:ascii="Times New Roman" w:hAnsi="Times New Roman" w:eastAsia="宋体" w:cs="Times New Roman"/>
      <w:kern w:val="2"/>
      <w:sz w:val="18"/>
      <w:szCs w:val="18"/>
    </w:rPr>
  </w:style>
  <w:style w:type="character" w:customStyle="1" w:styleId="32">
    <w:name w:val="正文缩进 Char"/>
    <w:link w:val="8"/>
    <w:autoRedefine/>
    <w:qFormat/>
    <w:uiPriority w:val="0"/>
    <w:rPr>
      <w:rFonts w:ascii="Times New Roman" w:hAnsi="Times New Roman" w:eastAsia="宋体"/>
      <w:kern w:val="2"/>
      <w:sz w:val="21"/>
    </w:rPr>
  </w:style>
  <w:style w:type="character" w:customStyle="1" w:styleId="33">
    <w:name w:val="页眉 Char"/>
    <w:basedOn w:val="20"/>
    <w:link w:val="15"/>
    <w:autoRedefine/>
    <w:semiHidden/>
    <w:qFormat/>
    <w:uiPriority w:val="99"/>
    <w:rPr>
      <w:rFonts w:ascii="Tahoma" w:hAnsi="Tahoma"/>
      <w:sz w:val="18"/>
      <w:szCs w:val="18"/>
    </w:rPr>
  </w:style>
  <w:style w:type="character" w:customStyle="1" w:styleId="34">
    <w:name w:val="文档结构图 Char"/>
    <w:basedOn w:val="20"/>
    <w:link w:val="9"/>
    <w:autoRedefine/>
    <w:semiHidden/>
    <w:qFormat/>
    <w:uiPriority w:val="99"/>
    <w:rPr>
      <w:rFonts w:ascii="宋体" w:hAnsi="Tahoma" w:eastAsia="宋体"/>
      <w:sz w:val="18"/>
      <w:szCs w:val="18"/>
    </w:rPr>
  </w:style>
  <w:style w:type="paragraph" w:customStyle="1" w:styleId="35">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6">
    <w:name w:val="List Paragraph"/>
    <w:basedOn w:val="1"/>
    <w:autoRedefine/>
    <w:qFormat/>
    <w:uiPriority w:val="34"/>
    <w:pPr>
      <w:ind w:firstLine="420" w:firstLineChars="200"/>
    </w:pPr>
  </w:style>
  <w:style w:type="paragraph" w:customStyle="1" w:styleId="37">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8">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9">
    <w:name w:val="批注框文本 Char"/>
    <w:basedOn w:val="20"/>
    <w:link w:val="13"/>
    <w:autoRedefine/>
    <w:semiHidden/>
    <w:qFormat/>
    <w:uiPriority w:val="99"/>
    <w:rPr>
      <w:rFonts w:ascii="Tahoma" w:hAnsi="Tahoma" w:eastAsia="微软雅黑" w:cstheme="minorBidi"/>
      <w:sz w:val="18"/>
      <w:szCs w:val="18"/>
    </w:rPr>
  </w:style>
  <w:style w:type="paragraph" w:customStyle="1" w:styleId="40">
    <w:name w:val="正文1"/>
    <w:next w:val="1"/>
    <w:link w:val="4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1">
    <w:name w:val="正文1 Char"/>
    <w:link w:val="40"/>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1789</Words>
  <Characters>1866</Characters>
  <Lines>11</Lines>
  <Paragraphs>3</Paragraphs>
  <TotalTime>0</TotalTime>
  <ScaleCrop>false</ScaleCrop>
  <LinksUpToDate>false</LinksUpToDate>
  <CharactersWithSpaces>1886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2025-03-26T02:11:00Z</cp:lastPrinted>
  <dcterms:modified xsi:type="dcterms:W3CDTF">2025-05-30T02:47:49Z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0F17AE2FF9B34B3D910E05E256DB2B34_13</vt:lpwstr>
  </property>
</Properties>
</file>