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lang w:eastAsia="zh-CN"/>
        </w:rPr>
      </w:pPr>
      <w:r>
        <w:rPr>
          <w:rFonts w:hint="eastAsia" w:ascii="Times New Roman" w:hAnsi="方正公文小标宋" w:eastAsia="方正公文小标宋"/>
          <w:snapToGrid/>
          <w:kern w:val="0"/>
          <w:sz w:val="84"/>
          <w:szCs w:val="84"/>
        </w:rPr>
        <w:t>湖南省岳阳市岳阳县荣家湾</w:t>
      </w:r>
      <w:r>
        <w:rPr>
          <w:rFonts w:hint="eastAsia" w:ascii="Times New Roman" w:hAnsi="方正公文小标宋" w:eastAsia="方正公文小标宋"/>
          <w:snapToGrid/>
          <w:kern w:val="0"/>
          <w:sz w:val="84"/>
          <w:szCs w:val="84"/>
          <w:lang w:eastAsia="zh-CN"/>
        </w:rPr>
        <w:t>街道</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44"/>
          <w:szCs w:val="44"/>
          <w:lang w:val="en-US" w:eastAsia="en-US" w:bidi="ar-SA"/>
        </w:rPr>
        <w:id w:val="147466358"/>
        <w15:color w:val="DBDBDB"/>
        <w:docPartObj>
          <w:docPartGallery w:val="Table of Contents"/>
          <w:docPartUnique/>
        </w:docPartObj>
      </w:sdtPr>
      <w:sdtEndPr>
        <w:rPr>
          <w:rFonts w:ascii="宋体" w:hAnsi="宋体" w:eastAsia="宋体" w:cs="Arial"/>
          <w:b/>
          <w:bCs/>
          <w:snapToGrid w:val="0"/>
          <w:color w:val="000000"/>
          <w:kern w:val="0"/>
          <w:sz w:val="44"/>
          <w:szCs w:val="44"/>
          <w:lang w:val="en-US" w:eastAsia="en-US" w:bidi="ar-SA"/>
        </w:rPr>
      </w:sdtEndPr>
      <w:sdtContent>
        <w:p>
          <w:pPr>
            <w:keepNext w:val="0"/>
            <w:keepLines w:val="0"/>
            <w:pageBreakBefore w:val="0"/>
            <w:widowControl/>
            <w:wordWrap/>
            <w:overflowPunct/>
            <w:topLinePunct w:val="0"/>
            <w:bidi w:val="0"/>
            <w:spacing w:before="0" w:beforeLines="0" w:after="0" w:afterLines="0" w:line="800" w:lineRule="exact"/>
            <w:ind w:left="0" w:leftChars="0" w:right="0" w:rightChars="0" w:firstLine="0" w:firstLineChars="0"/>
            <w:jc w:val="center"/>
            <w:rPr>
              <w:b/>
              <w:bCs/>
              <w:sz w:val="44"/>
              <w:szCs w:val="44"/>
            </w:rPr>
          </w:pPr>
          <w:r>
            <w:rPr>
              <w:rFonts w:ascii="Times New Roman" w:hAnsi="Times New Roman" w:eastAsia="方正公文小标宋" w:cs="Times New Roman"/>
              <w:b/>
              <w:bCs/>
              <w:snapToGrid w:val="0"/>
              <w:color w:val="000000"/>
              <w:kern w:val="44"/>
              <w:sz w:val="44"/>
              <w:szCs w:val="44"/>
              <w:lang w:val="en-US" w:eastAsia="zh-CN" w:bidi="ar-SA"/>
            </w:rPr>
            <w:t>目</w:t>
          </w:r>
          <w:r>
            <w:rPr>
              <w:rFonts w:hint="eastAsia" w:ascii="Times New Roman" w:hAnsi="Times New Roman" w:eastAsia="方正公文小标宋" w:cs="Times New Roman"/>
              <w:b/>
              <w:bCs/>
              <w:snapToGrid w:val="0"/>
              <w:color w:val="000000"/>
              <w:kern w:val="44"/>
              <w:sz w:val="44"/>
              <w:szCs w:val="44"/>
              <w:lang w:val="en-US" w:eastAsia="zh-CN" w:bidi="ar-SA"/>
            </w:rPr>
            <w:t xml:space="preserve">  </w:t>
          </w:r>
          <w:r>
            <w:rPr>
              <w:rFonts w:ascii="Times New Roman" w:hAnsi="Times New Roman" w:eastAsia="方正公文小标宋" w:cs="Times New Roman"/>
              <w:b/>
              <w:bCs/>
              <w:snapToGrid w:val="0"/>
              <w:color w:val="000000"/>
              <w:kern w:val="44"/>
              <w:sz w:val="44"/>
              <w:szCs w:val="44"/>
              <w:lang w:val="en-US" w:eastAsia="zh-CN" w:bidi="ar-SA"/>
            </w:rPr>
            <w:t>录</w:t>
          </w:r>
        </w:p>
        <w:p>
          <w:pPr>
            <w:pStyle w:val="7"/>
            <w:keepNext w:val="0"/>
            <w:keepLines w:val="0"/>
            <w:pageBreakBefore w:val="0"/>
            <w:widowControl/>
            <w:tabs>
              <w:tab w:val="right" w:leader="dot" w:pos="14001"/>
            </w:tabs>
            <w:wordWrap/>
            <w:overflowPunct/>
            <w:topLinePunct w:val="0"/>
            <w:bidi w:val="0"/>
            <w:spacing w:line="800" w:lineRule="exact"/>
          </w:pPr>
          <w:r>
            <w:fldChar w:fldCharType="begin"/>
          </w:r>
          <w:r>
            <w:instrText xml:space="preserve">TOC \o "1-3" \h \u </w:instrText>
          </w:r>
          <w:r>
            <w:fldChar w:fldCharType="separate"/>
          </w:r>
          <w:r>
            <w:fldChar w:fldCharType="begin"/>
          </w:r>
          <w:r>
            <w:instrText xml:space="preserve"> HYPERLINK \l _Toc20735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_Toc20735 \h </w:instrText>
          </w:r>
          <w:r>
            <w:fldChar w:fldCharType="separate"/>
          </w:r>
          <w:r>
            <w:t>1</w:t>
          </w:r>
          <w:r>
            <w:fldChar w:fldCharType="end"/>
          </w:r>
          <w:r>
            <w:fldChar w:fldCharType="end"/>
          </w:r>
        </w:p>
        <w:p>
          <w:pPr>
            <w:pStyle w:val="7"/>
            <w:keepNext w:val="0"/>
            <w:keepLines w:val="0"/>
            <w:pageBreakBefore w:val="0"/>
            <w:widowControl/>
            <w:tabs>
              <w:tab w:val="right" w:leader="dot" w:pos="14001"/>
            </w:tabs>
            <w:wordWrap/>
            <w:overflowPunct/>
            <w:topLinePunct w:val="0"/>
            <w:bidi w:val="0"/>
            <w:spacing w:line="800" w:lineRule="exact"/>
          </w:pPr>
          <w:r>
            <w:fldChar w:fldCharType="begin"/>
          </w:r>
          <w:r>
            <w:instrText xml:space="preserve"> HYPERLINK \l _Toc10142 </w:instrText>
          </w:r>
          <w: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_Toc10142 \h </w:instrText>
          </w:r>
          <w:r>
            <w:fldChar w:fldCharType="separate"/>
          </w:r>
          <w:r>
            <w:t>14</w:t>
          </w:r>
          <w:r>
            <w:fldChar w:fldCharType="end"/>
          </w:r>
          <w:r>
            <w:fldChar w:fldCharType="end"/>
          </w:r>
        </w:p>
        <w:p>
          <w:pPr>
            <w:pStyle w:val="7"/>
            <w:keepNext w:val="0"/>
            <w:keepLines w:val="0"/>
            <w:pageBreakBefore w:val="0"/>
            <w:widowControl/>
            <w:tabs>
              <w:tab w:val="right" w:leader="dot" w:pos="14001"/>
            </w:tabs>
            <w:wordWrap/>
            <w:overflowPunct/>
            <w:topLinePunct w:val="0"/>
            <w:bidi w:val="0"/>
            <w:spacing w:line="800" w:lineRule="exact"/>
          </w:pPr>
          <w:r>
            <w:fldChar w:fldCharType="begin"/>
          </w:r>
          <w:r>
            <w:instrText xml:space="preserve"> HYPERLINK \l _Toc10393 </w:instrText>
          </w:r>
          <w: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_Toc10393 \h </w:instrText>
          </w:r>
          <w:r>
            <w:fldChar w:fldCharType="separate"/>
          </w:r>
          <w:r>
            <w:t>52</w:t>
          </w:r>
          <w:r>
            <w:fldChar w:fldCharType="end"/>
          </w:r>
          <w:r>
            <w:fldChar w:fldCharType="end"/>
          </w:r>
        </w:p>
        <w:p>
          <w:pPr>
            <w:keepNext w:val="0"/>
            <w:keepLines w:val="0"/>
            <w:pageBreakBefore w:val="0"/>
            <w:widowControl/>
            <w:wordWrap/>
            <w:overflowPunct/>
            <w:topLinePunct w:val="0"/>
            <w:bidi w:val="0"/>
            <w:spacing w:line="800" w:lineRule="exact"/>
          </w:pPr>
          <w: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2073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落实全面从严治党主体责任，贯彻中央八项规定及其实施细则精神，履行“一岗双责”，开展党风廉政建设、党规党纪国法学习和警示教育，扎实推进治理群众身边的腐败问题和不正之风，做好巡视巡察整改。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开展监督执纪执法，强化对遵守党章党规党纪、贯彻执行党的路线方针政策决议情况的监督检查，做好“互联网+监督” 工作，受理办理信访举报和问题线索。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按照全面深化改革要求，推动改革工作，实现改革目标。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抓好村（社区）党组织及其他隶属街道党工委的党组织建设，指导落实党的组织生活制度，开展“三会一课”、主题党日等活动。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坚持党管人才，开展村级后备力量、乡土人才、致富能人等培育工作。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落实党员代表大会制度和党代表任期制，开展党代表联络服务工作，推动党代表履职。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发挥老干部、老战士、老专家、老教师、老模范优势作用，开展新时代关心下一代各项工作。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开展基层党建提升行动，培育提升荣家湾街道“新兴向荣”、向红社区“幸福向红”、巴陵社区“红色凝聚力、服务零距离”、卫农社区“开心卫民”党建品牌，提升基层治理能力。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落实意识形态工作责任制，开展网络综合治理和舆情处置工作，负责意识形态阵地建设和管理，筑牢意识形态安全底线。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落实统战工作责任制,做好民主党派成员、无党派人士、党外知识分子、少数民族人士、宗教界人士、非公有制经济人士、新的社会阶层人士等群体统一战线工作。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负责志愿服务队伍建设，提高志愿者和志愿服务组织的能力水平，动员群众就近就便参与志愿服务。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广泛开展多种形式的群众性、社会性和经常性科普活动，提升全民科学文化素质。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落实政治协商制度，支持保障政协委员进行民主监督和参政议政，开展政协委员联络服务和调研视察等相关工作。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加强基层团组织建设,做好团员发展、教育培训、管理等工作。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承担岳阳高新技术产业园区管理委员会剥离的社会管理和公共服务职能，以高新技术产业园示范带动，利用地域优势推动形成医药、包装、电子、物流等上下游产业集群。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负责制订街道经济发展规划和年度计划，落实一、二、三产业的指导、管理、产业升级等工作。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负责重点项目申报、手续办理、实施、监督、资金拨付等工作。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开展规模以上企业、高新技术企业、专精特新企业、科技型中小企业等培育扶持与政策宣传工作，鼓励和引导企业争资融资、创新发展。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培育和发展基层商会组织，引导商会发挥经济交流、权益维护等作用，促进民营经济发展。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盘活国有资产，开展财源培植工作，负责制定本级债务化债方案，严控新增债务，化解金融风险。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组织开展经济普查、人口普查、农业普查等重大国情国力普查调查工作。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推进大毛家湖以工代赈绿色循环养殖项目及尾水处理厂附属项目的工作。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加强荣家湾街道敬老院规范化管理，指导敬老院对特困人员的日常照顾，做好物质生活保障、精神慰藉和心理疏导等工作。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坚持和发展新时代“枫桥经验”，依法成立街道人民调解委员会，统筹派出所、司法所、人民法庭等力量，开展人民调解工作；摸清摸透各类矛盾纠纷，坚持主动靠前，化早化小。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推进农村人居环境整治，开展农村“厕所革命”、垃圾分类减量等工作。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组织开展和美湘村示范创建工作，指导欣荣村、岳武村等创建省市级和美湘村建设，监管和美湘村建设项目。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宣传和落实各类惠农政策，做好惠农补贴数据收集、初审、公示、上报等工作。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负责指导、监督农村土地承包经营及承包经营合同管理，开展土地承包、经营权流转及纠纷调解工作。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发展金盆柚、油茶、药材、特色水果、畔湖生态养殖等特色农业。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培育和践行社会主义核心价值观，加强爱国主义教育，推进新时代文明实践所（站）建设和管理，加强农村精神文明建设。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修订完善村规民约，推进移风易俗，倡导文明健康生活方式，弘扬时代新风。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开展湘妹子能量家园项目管理工作，利用大数据科技和积分制手段，引导村民参与环境整治、家风文明、村民自治等工作。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健全网格化管理，负责人民建议征集上报工作。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承办城乡居民养老保险参保登记、暂停、终止、死亡信息申报、人员信息修正、信息核查、重复缴纳退费及社会养老保险待遇认证等业务。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负责城乡居民医疗保险政策宣传、参保登记、暂停、终止、信息修正、待遇认证、缴费续保、社会公示、信息核查、重复缴纳退费等工作。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落实“林长制”工作职责，统筹森林资源保护发展，开展巡林护林，做好农村集体经济组织及集体土地上林权、林地流转工作，做好林业技术和优良品种推广服务。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负责东洞庭湖自然保护区野生动植物保护宣传教育工作。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负责基础设施、公共设施和其他政府投资项目的建设与管理。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建立农村住房质量安全提醒制度，组织开展相关政策法规宣传，做好农村住房安全日常巡查工作。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开展道路交通安全宣传教育，发现、报告道路交通安全隐患，劝导道路交通安全违法行为，做好节假日、重大活动交通疏导。</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推广全民健身，指导社区及其他组织利用文化体育设施开展全民健身促进工作。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整合文旅资源，推动基础设施建设，打造特色旅游产品，做好吴敏树故居、鹿角古窑、岳飞点将台等民俗旅游点的工作。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加强文化遗产保护传承，弘扬中华优秀传统文化，深度挖掘岳州扇制作技艺、岳州剪纸、洞庭诗词、洞庭渔歌等本土特色文化，开展传承人的培养工作。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加强防灾减灾能力建设，制定和完善应急预案，及时组织群众疏散撤离，积极恢复灾后生产，负责突发事件信息的报告与通报。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建立街道防汛抗旱机制，做好预案编制、物资储备、应急抢险队伍编组等防汛备汛抗旱工作，组织防洪区内的单位和群众参与防汛抗洪工作。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宣传现场救护基本知识，动员居民参与现场救护以及相关基本知识与技能培训。</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做好烟花爆竹限燃限放的政策宣传、日常巡查、劝导及上报工作。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强化民兵组织建设，开展民兵政治教育，组织民兵开展军事训练。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贯彻落实党中央关于保密工作的方针政策和决策部署，全面落实上级关于保密工作的要求，实行保密工作责任制，完善保密防护措施，开展保密宣传教育，加强保密监督检查。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落实值班值守制度，负责突发紧急事件应急处置，及时接收、上报相关信息。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推进街道档案室的规范化建设、档案资料的收集、整理、归档、统计、调阅工作，监督和指导村（社区）的档案工作和组织相关的宣传活动。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建立健全街道财务管理制度，编制和执行财政预决算，加强财政预算资金、专项资金、往来资金、教育基金的使用管理，规范非税收入管理。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负责街道便民服务大厅、村（社区）便民服务站的建设管理工作。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014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工委书记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4.街道具体负责组织实施，做好日常管理工作，落实衔接资金投入，强化资金监督管理；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5.街道具体负责组织实施，提出资金分配建议方案，提供规划、技术指导、产销对接等服务，加强项目实施组织、日常调度、资金监管和绩效管理，积极推动落实东西部协作、定点帮扶和社会帮扶力量；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3.指导协调街道、部门行业（综合）党委开展本领域（行业）内相关企业单位、社会组织和就业群体党建工作。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2.督促被巡察街道落实巡察整改工作，推动巡察成果综合运用。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2.为县委巡察组提供必要的工作场所和办公设备，成立街道巡察工作联络组，负责联络对接工作；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1.县民政局对街道民政社工工作进行监管；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2.第三方机构对街道民政社工管理、培训、督导；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3.民政社工总站对街道民政社工指导、支持、协调、考评等。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2.负责街道实施的“千吨万人”规模水厂的管理管护，协助定期检测水质；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1.初步筛选符合医疗救助的人员，并将人员名单下发至街道，要求街道配合核实人员信息，并收集银行卡号；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3.县信访局指导街道的信访工作，督促检查重要信访事项的处理和落实，协调解决重要信访问题。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1.配合护路办、铁路派出所、铁路部门开展沿线群众、中小学生爱路护路宣传教育；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1.县司法局统筹规划全县安置帮教工作，指导街道开展相关工作，与监狱等沟通，做好刑满释放人员信息对接，组织业务培训。​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3.农户自建用地面积30平方米以下的种植养殖设施，在符合选址要求且不需办理有关审批手续的前提下，不纳入上图入库范围，由街道组织调查摸底，实行台账管理；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4.街道对项目建设涉及违法违规占用林地的要及时制止并上报。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开展东洞庭湖渔民上岸权益服务保障工作。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县东洞庭湖事务中心（牵头）
县教育体育局
县民政局
县财政局
县人力资源和社会保障局
县农业农村局
县卫生健康局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1.县东洞庭湖事务中心、县教育体育局负责家庭经济困难学生生活补助资金发放。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2.县民政局负责提供最低生活保障与特困救助。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3.县人力资源和社会保障局负责提供就业指导与培训、公益性岗位兜底安置、创业担保贷款与贴息、创建就业示范基地和自主创业示范基地补。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4.县农业农村局负责提供产业帮扶与创业指导。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5.县财政局负责对退捕渔民转产就业和生活保障工作提供相应的资金保障。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7.县卫生健康局负责对患有晚期血吸虫病的退捕渔民给予救助。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8.县医疗保障局负责退捕渔民城乡居民医保合法待遇工作。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1.负责摸清退捕渔民底数，切实掌握退捕渔民相关信息，按实际情况定期更新退捕渔民特困救助、医保补助、住房保障、子女就学、创业贷款等名单，实现数据动态跟踪管理；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2.负责对接困难渔民帮扶责任人和困难渔民，落实好结对帮扶机制，开展退捕渔民“大走访”及慰问工作，协助相关部门落实帮扶政策；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3.负责完善涉渔网络舆情应对工作，妥善处理涉渔信访矛盾，做到及时回应、稳妥处置，杜绝群体性事件和越级上访事件发生。</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负责东洞庭湖的水资源保护相关工作。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县公安局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1.负责保护区湿地、森林资源保护的监督和管理，依法查处违反湿地保护、野生动植物保护、森林资源保护等法律法规的行为；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2.负责保护区范围内农业生产活动面源污染防治和保护区水域的渔业、渔政管理工作，对渔业资源及其生态环境进行监督管理，依法查处农业面源污染和破坏渔业资源等违法行为；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3.负责保护区内的水资源和河道的管理和监督工作，依法查处非法采沙、妨碍行洪、违规设置生活及混合排污口、开发利用洲滩等违法行为；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4.负责保护区的环境污染防治等监督管理工作，依法查处违法排放水污染物、倾倒工业固体废物等违法行为；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5.负责保护区内血吸虫的防治工作，依法查处违反血吸虫病防治规范的行为；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6.负责保护区的水上运输行业管理、航道维护和水上交通安全监督，依法查处违法建设码头、违法装卸、危害航道通行安全、向水体倾倒船舶垃圾或者排放船舶残油、废油等违法行为；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7.负责保护区的土地利用规划、管理及矿产管理，依法查处违法使用土地、矿产资源和违反规划许可等违法行为。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县公安局负责维护保护区内的治安秩序，依法查处破坏保护区内生态环境、阻碍和妨害国家机关工作人员依法执行职务等违法犯罪行为。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县东洞庭湖事务中心负责东洞庭湖的水资源保护事务性工作。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分级分段组织领导本行政区域内东洞庭湖的水资源保护、水域岸线管理、水污染防治、水环境治理和水生态修复等工作，协调解决保护区生态环境保护中的重大问题。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开展东洞庭湖渔业资源保护工作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
县东洞庭湖事务中心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1.县农业农村局负责开展增殖放流等活动，养护渔业资源，加强对东洞庭湖水域渔业生产的监管，打击非法捕捞行为。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2.岳阳市生态环境局岳阳县分局加强对湖区工业污染源、生活污染源等的监管，监测湖区环境质量状况，发布环境信息具体负责东洞庭湖区域的环境监管执法，对排污企业进行日常检查，处理环境投诉和纠纷。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3.县东洞庭湖事务中心负责会同有关部门做好东洞庭湖渔业资源保护规划编制和协助职能部门承担东洞庭湖县域范围内江豚等重要水生生物保护救护、项目申报及实施等相关事务性工作。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1.负责封洲禁牧等政策普及；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2.开展案例讲解，排查摸底，线索收集等工作。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开展新墙河流域和东洞庭湖自然保护区岸线一公里畜禽规模养殖污染防治等环境整治工作。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1.负责沿河沿湖污染防治宣传教育；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3.指导督促街道对排查和日常巡查中发现房屋存在安全隐患的，及时向房屋使用安全责任人提出书面处置意见。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1.开展城镇棚户区(老旧小区)改造计划申报和审核；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2.指导建设主体开展城镇老旧小区改造项目实施；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3.依法依规依程序拨付城镇老旧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小区改造项目资金；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1.负责城镇老旧小区改造项目的居民意见征集和项目申报；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2.负责城镇老旧小区改造项目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3.负责项目施工过程中的矛盾纠纷化解、信访处理等工作。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6.负责对渡口和渡运安全实施监督检查，督促落实渡运安全管理制度，督促、指导街道开展渡口安全管理和渡口设施及渡船的维护管理。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2.做好旅街道现有旅游资源的详细资料并提出建议；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1.县应急管理局负责统筹街道消防安全监管，组织隐患排查、预案管理和宣传教育，协调火灾应急处置。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3.县消防救援大队负责专业防火检查、灭火救援、执法整改和消防培训，指导街道消防力量建设。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2.做好志书编修，撰写报送街道承编志稿和相关图片、统计表格等资料；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3.续修街道志；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2.摸清街道校外培训机构的基本情况；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039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工作方式：在江河、湖泊、水库等水域发现的死亡畜禽，由所在地县级人民政府组织收集、处理并溯源，县农业农村局具体承办；在城市公共场所和乡村发现的死亡畜禽，由所在街道组织收集、处理并溯源。</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街道生活污水收集处理设施运行的指导监督；生活污水处理设施所在地街道履行属地管理职能,负责污水收集管网建设和运行管理，负责新建房屋污水接入污水管网的管理，在开展“改厨改厕”等工作时，一并将生活污水接入污水管网，并积极协调支持做好街道污水处理费征收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工作方式：县住房和城乡建设局对街道初判存在安全隐患的房屋进行现场勘查，房屋确实存在安全隐患的，指导街道督促房屋安全责任人委托房屋安全鉴定机构进行房屋安全鉴定。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w:t>
            </w:r>
            <w:r>
              <w:rPr>
                <w:rFonts w:hint="eastAsia" w:ascii="Times New Roman" w:hAnsi="方正公文仿宋" w:eastAsia="方正公文仿宋"/>
                <w:kern w:val="0"/>
                <w:szCs w:val="21"/>
                <w:lang w:eastAsia="zh-CN" w:bidi="ar"/>
              </w:rPr>
              <w:t>街道</w:t>
            </w:r>
            <w:r>
              <w:rPr>
                <w:rFonts w:hint="eastAsia" w:ascii="Times New Roman" w:hAnsi="方正公文仿宋" w:eastAsia="方正公文仿宋"/>
                <w:kern w:val="0"/>
                <w:szCs w:val="21"/>
                <w:lang w:bidi="ar"/>
              </w:rPr>
              <w:t>、村</w:t>
            </w:r>
            <w:r>
              <w:rPr>
                <w:rFonts w:hint="eastAsia" w:ascii="Times New Roman" w:hAnsi="方正公文仿宋" w:eastAsia="方正公文仿宋"/>
                <w:kern w:val="0"/>
                <w:szCs w:val="21"/>
                <w:lang w:eastAsia="zh-CN" w:bidi="ar"/>
              </w:rPr>
              <w:t>（社区）</w:t>
            </w:r>
            <w:r>
              <w:rPr>
                <w:rFonts w:hint="eastAsia" w:ascii="Times New Roman" w:hAnsi="方正公文仿宋" w:eastAsia="方正公文仿宋"/>
                <w:kern w:val="0"/>
                <w:szCs w:val="21"/>
                <w:lang w:bidi="ar"/>
              </w:rPr>
              <w:t>妇联干部配合做好筛查对象的信息登记工作，县妇联合理安排筛查时间和人员，确保筛查工作有序进行。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w:t>
            </w:r>
            <w:bookmarkStart w:id="12" w:name="_GoBack"/>
            <w:bookmarkEnd w:id="12"/>
            <w:r>
              <w:rPr>
                <w:rFonts w:hint="eastAsia" w:ascii="Times New Roman" w:hAnsi="方正公文仿宋" w:eastAsia="方正公文仿宋"/>
                <w:kern w:val="0"/>
                <w:szCs w:val="21"/>
                <w:lang w:bidi="ar"/>
              </w:rPr>
              <w:t>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工作方式：县教育体育局履行对街道中小学校食堂管理的主管责任；县市场监督管理局加强学校及周边集中用餐食品安全监督管理；县卫生健康局组织开展校园及周边食品安全风险和营养健康监测。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iMTRjM2Q0MGYwOTVmYTM2N2JlNGY0NmEyZThhY2U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6AE78BC"/>
    <w:rsid w:val="49C90D04"/>
    <w:rsid w:val="6257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44416</Words>
  <Characters>45509</Characters>
  <Lines>1</Lines>
  <Paragraphs>1</Paragraphs>
  <TotalTime>10</TotalTime>
  <ScaleCrop>false</ScaleCrop>
  <LinksUpToDate>false</LinksUpToDate>
  <CharactersWithSpaces>45619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榕</cp:lastModifiedBy>
  <dcterms:modified xsi:type="dcterms:W3CDTF">2025-07-08T07:20:16Z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5B541468C1CD41578FE0F08C2F9F33EA_12</vt:lpwstr>
  </property>
</Properties>
</file>