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9976">
      <w:pPr>
        <w:pStyle w:val="13"/>
        <w:jc w:val="center"/>
        <w:rPr>
          <w:rFonts w:hint="eastAsia" w:ascii="微软雅黑" w:hAnsi="微软雅黑" w:eastAsia="微软雅黑" w:cs="微软雅黑"/>
          <w:sz w:val="56"/>
          <w:szCs w:val="56"/>
        </w:rPr>
      </w:pPr>
    </w:p>
    <w:p w14:paraId="6AA61587">
      <w:pPr>
        <w:pStyle w:val="13"/>
        <w:jc w:val="center"/>
        <w:rPr>
          <w:rFonts w:hint="eastAsia" w:ascii="微软雅黑" w:hAnsi="微软雅黑" w:eastAsia="微软雅黑" w:cs="微软雅黑"/>
          <w:sz w:val="56"/>
          <w:szCs w:val="56"/>
        </w:rPr>
      </w:pPr>
    </w:p>
    <w:p w14:paraId="063A3D1E">
      <w:pPr>
        <w:pStyle w:val="13"/>
        <w:jc w:val="center"/>
        <w:rPr>
          <w:rFonts w:hint="eastAsia" w:ascii="微软雅黑" w:hAnsi="微软雅黑" w:eastAsia="微软雅黑" w:cs="微软雅黑"/>
          <w:sz w:val="84"/>
          <w:szCs w:val="84"/>
        </w:rPr>
      </w:pPr>
    </w:p>
    <w:p w14:paraId="2B43E4A7">
      <w:pPr>
        <w:pStyle w:val="13"/>
        <w:jc w:val="center"/>
        <w:rPr>
          <w:rFonts w:hint="eastAsia" w:ascii="微软雅黑" w:hAnsi="微软雅黑" w:eastAsia="微软雅黑" w:cs="微软雅黑"/>
          <w:sz w:val="84"/>
          <w:szCs w:val="84"/>
        </w:rPr>
      </w:pPr>
    </w:p>
    <w:p w14:paraId="70F1861E">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2024</w:t>
      </w:r>
      <w:r>
        <w:rPr>
          <w:rFonts w:ascii="微软雅黑" w:hAnsi="微软雅黑" w:eastAsia="微软雅黑" w:cs="微软雅黑"/>
          <w:b/>
          <w:sz w:val="84"/>
        </w:rPr>
        <w:t>年度</w:t>
      </w:r>
    </w:p>
    <w:p w14:paraId="1F82586A">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岳阳县动物疫病预防控制中心</w:t>
      </w:r>
      <w:r>
        <w:rPr>
          <w:rFonts w:ascii="微软雅黑" w:hAnsi="微软雅黑" w:eastAsia="微软雅黑" w:cs="微软雅黑"/>
          <w:b/>
          <w:sz w:val="84"/>
        </w:rPr>
        <w:t>部门（单位）部门决算</w:t>
      </w:r>
    </w:p>
    <w:p w14:paraId="75AE3C46">
      <w:pPr>
        <w:pStyle w:val="13"/>
        <w:jc w:val="center"/>
        <w:rPr>
          <w:rFonts w:hint="eastAsia" w:ascii="微软雅黑" w:hAnsi="微软雅黑" w:eastAsia="微软雅黑" w:cs="微软雅黑"/>
          <w:sz w:val="84"/>
          <w:szCs w:val="84"/>
        </w:rPr>
      </w:pPr>
    </w:p>
    <w:p w14:paraId="68E4FE28">
      <w:pPr>
        <w:pStyle w:val="13"/>
        <w:jc w:val="center"/>
        <w:rPr>
          <w:rFonts w:hint="eastAsia" w:ascii="微软雅黑" w:hAnsi="微软雅黑" w:eastAsia="微软雅黑" w:cs="微软雅黑"/>
          <w:sz w:val="84"/>
          <w:szCs w:val="84"/>
        </w:rPr>
      </w:pPr>
    </w:p>
    <w:p w14:paraId="4F27891B">
      <w:pPr>
        <w:pStyle w:val="13"/>
        <w:jc w:val="center"/>
        <w:rPr>
          <w:rFonts w:hint="eastAsia" w:ascii="微软雅黑" w:hAnsi="微软雅黑" w:eastAsia="微软雅黑" w:cs="微软雅黑"/>
          <w:sz w:val="84"/>
          <w:szCs w:val="84"/>
        </w:rPr>
      </w:pPr>
    </w:p>
    <w:p w14:paraId="2434F2FB">
      <w:pPr>
        <w:pStyle w:val="13"/>
        <w:jc w:val="center"/>
        <w:rPr>
          <w:rFonts w:hint="eastAsia" w:ascii="微软雅黑" w:hAnsi="微软雅黑" w:eastAsia="微软雅黑" w:cs="微软雅黑"/>
          <w:sz w:val="84"/>
          <w:szCs w:val="84"/>
        </w:rPr>
      </w:pPr>
    </w:p>
    <w:p w14:paraId="4CE7E7DC">
      <w:pPr>
        <w:bidi w:val="0"/>
        <w:rPr>
          <w:rFonts w:hint="eastAsia" w:ascii="微软雅黑" w:hAnsi="微软雅黑" w:eastAsia="微软雅黑" w:cs="微软雅黑"/>
        </w:rPr>
      </w:pPr>
    </w:p>
    <w:p w14:paraId="23A8E8C6">
      <w:pPr>
        <w:pStyle w:val="13"/>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1AB9E1F8">
      <w:pPr>
        <w:pStyle w:val="13"/>
        <w:spacing w:line="500" w:lineRule="exact"/>
        <w:jc w:val="center"/>
        <w:rPr>
          <w:rFonts w:hint="eastAsia" w:ascii="微软雅黑" w:hAnsi="微软雅黑" w:eastAsia="微软雅黑" w:cs="微软雅黑"/>
          <w:b/>
          <w:sz w:val="36"/>
          <w:szCs w:val="28"/>
        </w:rPr>
      </w:pPr>
    </w:p>
    <w:p w14:paraId="157216F0">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岳阳县动物疫病预防控制中心</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240AF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46A6DDD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78ED566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34CC4E5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25EC0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0471765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A7FE9A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0946C6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75E430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11A9B7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437AF57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E3B4F8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69988452">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1DA723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337BFC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F47155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3FB4FFB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19CF113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7C6FEC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6877610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09B7EC0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05ECA7F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3E34862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00371D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0F2A30E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894561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9CBBFA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2024</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1103F9D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69E08CAC">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326A9DE3">
      <w:pPr>
        <w:pStyle w:val="13"/>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11BF87EE">
      <w:pPr>
        <w:jc w:val="center"/>
        <w:rPr>
          <w:rFonts w:hint="eastAsia" w:ascii="微软雅黑" w:hAnsi="微软雅黑" w:eastAsia="微软雅黑" w:cs="微软雅黑"/>
          <w:sz w:val="72"/>
          <w:szCs w:val="72"/>
        </w:rPr>
      </w:pPr>
    </w:p>
    <w:p w14:paraId="3B2202FE">
      <w:pPr>
        <w:jc w:val="center"/>
        <w:rPr>
          <w:rFonts w:hint="eastAsia" w:ascii="微软雅黑" w:hAnsi="微软雅黑" w:eastAsia="微软雅黑" w:cs="微软雅黑"/>
          <w:sz w:val="72"/>
          <w:szCs w:val="72"/>
        </w:rPr>
      </w:pPr>
    </w:p>
    <w:p w14:paraId="557614D6">
      <w:pPr>
        <w:jc w:val="center"/>
        <w:rPr>
          <w:rFonts w:hint="eastAsia" w:ascii="微软雅黑" w:hAnsi="微软雅黑" w:eastAsia="微软雅黑" w:cs="微软雅黑"/>
          <w:sz w:val="72"/>
          <w:szCs w:val="72"/>
        </w:rPr>
      </w:pPr>
    </w:p>
    <w:p w14:paraId="42296566">
      <w:pPr>
        <w:jc w:val="center"/>
        <w:rPr>
          <w:rFonts w:hint="eastAsia" w:ascii="微软雅黑" w:hAnsi="微软雅黑" w:eastAsia="微软雅黑" w:cs="微软雅黑"/>
          <w:sz w:val="72"/>
          <w:szCs w:val="72"/>
        </w:rPr>
      </w:pPr>
    </w:p>
    <w:p w14:paraId="50222A74">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5FE8B51E">
      <w:pPr>
        <w:pStyle w:val="13"/>
        <w:jc w:val="center"/>
        <w:rPr>
          <w:rFonts w:hint="eastAsia" w:ascii="微软雅黑" w:hAnsi="微软雅黑" w:eastAsia="微软雅黑" w:cs="微软雅黑"/>
          <w:b/>
          <w:bCs/>
          <w:sz w:val="84"/>
          <w:szCs w:val="84"/>
        </w:rPr>
      </w:pPr>
    </w:p>
    <w:p w14:paraId="66291003">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岳阳县动物疫病预防控制中心</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单位</w:t>
      </w:r>
      <w:r>
        <w:rPr>
          <w:rFonts w:hint="eastAsia" w:ascii="微软雅黑" w:hAnsi="微软雅黑" w:eastAsia="微软雅黑" w:cs="微软雅黑"/>
          <w:b/>
          <w:bCs/>
          <w:sz w:val="84"/>
          <w:szCs w:val="84"/>
          <w:lang w:eastAsia="zh-CN"/>
        </w:rPr>
        <w:t>）</w:t>
      </w:r>
      <w:r>
        <w:rPr>
          <w:rFonts w:hint="eastAsia" w:ascii="微软雅黑" w:hAnsi="微软雅黑" w:eastAsia="微软雅黑" w:cs="微软雅黑"/>
          <w:b/>
          <w:bCs/>
          <w:sz w:val="84"/>
          <w:szCs w:val="84"/>
        </w:rPr>
        <w:t>概况</w:t>
      </w:r>
    </w:p>
    <w:p w14:paraId="173AE3A4">
      <w:pPr>
        <w:jc w:val="center"/>
        <w:rPr>
          <w:rFonts w:hint="eastAsia" w:ascii="微软雅黑" w:hAnsi="微软雅黑" w:eastAsia="微软雅黑" w:cs="微软雅黑"/>
          <w:sz w:val="72"/>
          <w:szCs w:val="72"/>
        </w:rPr>
      </w:pPr>
    </w:p>
    <w:p w14:paraId="24FAF5A5">
      <w:pPr>
        <w:jc w:val="center"/>
        <w:rPr>
          <w:rFonts w:hint="eastAsia" w:ascii="微软雅黑" w:hAnsi="微软雅黑" w:eastAsia="微软雅黑" w:cs="微软雅黑"/>
          <w:sz w:val="72"/>
          <w:szCs w:val="72"/>
        </w:rPr>
      </w:pPr>
    </w:p>
    <w:p w14:paraId="0FD6A7F7">
      <w:pPr>
        <w:jc w:val="center"/>
        <w:rPr>
          <w:rFonts w:hint="eastAsia" w:ascii="微软雅黑" w:hAnsi="微软雅黑" w:eastAsia="微软雅黑" w:cs="微软雅黑"/>
          <w:sz w:val="72"/>
          <w:szCs w:val="72"/>
        </w:rPr>
      </w:pPr>
    </w:p>
    <w:p w14:paraId="79AD0A7F">
      <w:pPr>
        <w:jc w:val="center"/>
        <w:rPr>
          <w:rFonts w:hint="eastAsia" w:ascii="微软雅黑" w:hAnsi="微软雅黑" w:eastAsia="微软雅黑" w:cs="微软雅黑"/>
          <w:sz w:val="72"/>
          <w:szCs w:val="72"/>
        </w:rPr>
      </w:pPr>
    </w:p>
    <w:p w14:paraId="3F84CF8C">
      <w:pPr>
        <w:jc w:val="center"/>
        <w:rPr>
          <w:rFonts w:hint="eastAsia" w:ascii="微软雅黑" w:hAnsi="微软雅黑" w:eastAsia="微软雅黑" w:cs="微软雅黑"/>
          <w:sz w:val="72"/>
          <w:szCs w:val="72"/>
        </w:rPr>
      </w:pPr>
    </w:p>
    <w:p w14:paraId="22E8C870">
      <w:pPr>
        <w:pStyle w:val="14"/>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4734E2C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负责全县动物疫病预防、控制、扑灭措施的制定，承担全县头发重大动物疫情应急处置的技术工作，负责全县组织重大疫病免疫接种并加施免疫标识，实施可追溯管理；组织动物疫病防控物资、免疫标识的供应；承担全县动物防疫技术推广应用和指导，承担全县动物防疫人员的技术培训工作等。</w:t>
      </w:r>
    </w:p>
    <w:p w14:paraId="1675BDDD">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62827BE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微软雅黑" w:hAnsi="微软雅黑" w:eastAsia="微软雅黑" w:cs="微软雅黑"/>
          <w:bCs/>
          <w:kern w:val="0"/>
          <w:sz w:val="32"/>
          <w:szCs w:val="32"/>
        </w:rPr>
      </w:pPr>
      <w:r>
        <w:rPr>
          <w:rFonts w:hint="eastAsia" w:ascii="微软雅黑" w:hAnsi="微软雅黑" w:eastAsia="微软雅黑" w:cs="微软雅黑"/>
          <w:bCs/>
          <w:kern w:val="0"/>
          <w:sz w:val="32"/>
          <w:szCs w:val="32"/>
        </w:rPr>
        <w:t>（一）内设机构设置。</w:t>
      </w:r>
      <w:r>
        <w:rPr>
          <w:rFonts w:ascii="微软雅黑" w:hAnsi="微软雅黑" w:eastAsia="微软雅黑" w:cs="微软雅黑"/>
          <w:sz w:val="32"/>
        </w:rPr>
        <w:t>岳阳县动物疫病预防控制中心单位内设机构包括：</w:t>
      </w:r>
      <w:r>
        <w:rPr>
          <w:rFonts w:hint="eastAsia" w:ascii="微软雅黑" w:hAnsi="微软雅黑" w:eastAsia="微软雅黑" w:cs="微软雅黑"/>
          <w:sz w:val="32"/>
        </w:rPr>
        <w:t>办公室、实验室、疫苗室、财务室。</w:t>
      </w:r>
    </w:p>
    <w:p w14:paraId="1E5D5B7C">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Cs/>
          <w:kern w:val="0"/>
          <w:sz w:val="32"/>
          <w:szCs w:val="32"/>
        </w:rPr>
        <w:t>（二）决算单位构成。</w:t>
      </w:r>
      <w:r>
        <w:rPr>
          <w:rFonts w:ascii="微软雅黑" w:hAnsi="微软雅黑" w:eastAsia="微软雅黑" w:cs="微软雅黑"/>
          <w:sz w:val="32"/>
        </w:rPr>
        <w:t>岳阳县动物疫病预防控制中心单位</w:t>
      </w:r>
      <w:r>
        <w:rPr>
          <w:rFonts w:hint="eastAsia" w:ascii="微软雅黑" w:hAnsi="微软雅黑" w:eastAsia="微软雅黑" w:cs="微软雅黑"/>
          <w:bCs/>
          <w:kern w:val="0"/>
          <w:sz w:val="32"/>
          <w:szCs w:val="32"/>
          <w:lang w:eastAsia="zh-CN"/>
        </w:rPr>
        <w:t>2024</w:t>
      </w:r>
      <w:r>
        <w:rPr>
          <w:rFonts w:hint="eastAsia" w:ascii="微软雅黑" w:hAnsi="微软雅黑" w:eastAsia="微软雅黑" w:cs="微软雅黑"/>
          <w:bCs/>
          <w:kern w:val="0"/>
          <w:sz w:val="32"/>
          <w:szCs w:val="32"/>
        </w:rPr>
        <w:t>年部门决算汇总公开单位构成包括：岳阳县动物疫病预防控制中心属于岳阳县畜牧水产发展服务中心的二级机构，无部门决算单位构成。</w:t>
      </w:r>
    </w:p>
    <w:p w14:paraId="7A7504E3">
      <w:pPr>
        <w:jc w:val="center"/>
        <w:rPr>
          <w:rFonts w:hint="eastAsia" w:ascii="微软雅黑" w:hAnsi="微软雅黑" w:eastAsia="微软雅黑" w:cs="微软雅黑"/>
          <w:sz w:val="72"/>
          <w:szCs w:val="72"/>
        </w:rPr>
      </w:pPr>
    </w:p>
    <w:p w14:paraId="3D2C1952">
      <w:pPr>
        <w:jc w:val="center"/>
        <w:rPr>
          <w:rFonts w:hint="eastAsia" w:ascii="微软雅黑" w:hAnsi="微软雅黑" w:eastAsia="微软雅黑" w:cs="微软雅黑"/>
          <w:sz w:val="72"/>
          <w:szCs w:val="72"/>
        </w:rPr>
      </w:pPr>
    </w:p>
    <w:p w14:paraId="77560790">
      <w:pPr>
        <w:jc w:val="center"/>
        <w:rPr>
          <w:rFonts w:hint="eastAsia" w:ascii="微软雅黑" w:hAnsi="微软雅黑" w:eastAsia="微软雅黑" w:cs="微软雅黑"/>
          <w:sz w:val="72"/>
          <w:szCs w:val="72"/>
        </w:rPr>
      </w:pPr>
    </w:p>
    <w:p w14:paraId="05A3E38E">
      <w:pPr>
        <w:pStyle w:val="13"/>
        <w:jc w:val="center"/>
        <w:rPr>
          <w:rFonts w:hint="eastAsia" w:ascii="微软雅黑" w:hAnsi="微软雅黑" w:eastAsia="微软雅黑" w:cs="微软雅黑"/>
          <w:sz w:val="84"/>
          <w:szCs w:val="84"/>
        </w:rPr>
      </w:pPr>
    </w:p>
    <w:p w14:paraId="29224D5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358D151">
      <w:pPr>
        <w:pStyle w:val="13"/>
        <w:jc w:val="center"/>
        <w:rPr>
          <w:rFonts w:hint="eastAsia" w:ascii="微软雅黑" w:hAnsi="微软雅黑" w:eastAsia="微软雅黑" w:cs="微软雅黑"/>
          <w:b/>
          <w:bCs/>
          <w:sz w:val="72"/>
          <w:szCs w:val="72"/>
        </w:rPr>
      </w:pPr>
    </w:p>
    <w:p w14:paraId="36C01BF0">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4571980B">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3FB8F864">
      <w:pPr>
        <w:pStyle w:val="13"/>
        <w:jc w:val="center"/>
        <w:rPr>
          <w:rFonts w:hint="eastAsia" w:ascii="微软雅黑" w:hAnsi="微软雅黑" w:eastAsia="微软雅黑" w:cs="微软雅黑"/>
          <w:sz w:val="72"/>
          <w:szCs w:val="72"/>
        </w:rPr>
      </w:pPr>
    </w:p>
    <w:p w14:paraId="0B052895">
      <w:pPr>
        <w:pStyle w:val="13"/>
        <w:jc w:val="center"/>
        <w:rPr>
          <w:rFonts w:hint="eastAsia" w:ascii="微软雅黑" w:hAnsi="微软雅黑" w:eastAsia="微软雅黑" w:cs="微软雅黑"/>
          <w:sz w:val="72"/>
          <w:szCs w:val="72"/>
        </w:rPr>
      </w:pPr>
    </w:p>
    <w:p w14:paraId="1A38A4B0">
      <w:pPr>
        <w:pStyle w:val="13"/>
        <w:jc w:val="center"/>
        <w:rPr>
          <w:rFonts w:hint="eastAsia" w:ascii="微软雅黑" w:hAnsi="微软雅黑" w:eastAsia="微软雅黑" w:cs="微软雅黑"/>
          <w:sz w:val="72"/>
          <w:szCs w:val="72"/>
        </w:rPr>
      </w:pPr>
    </w:p>
    <w:p w14:paraId="09AF1447">
      <w:pPr>
        <w:pStyle w:val="13"/>
        <w:jc w:val="center"/>
        <w:rPr>
          <w:rFonts w:hint="eastAsia" w:ascii="微软雅黑" w:hAnsi="微软雅黑" w:eastAsia="微软雅黑" w:cs="微软雅黑"/>
          <w:sz w:val="72"/>
          <w:szCs w:val="72"/>
        </w:rPr>
      </w:pPr>
    </w:p>
    <w:p w14:paraId="1AC08E3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7928C40F">
      <w:pPr>
        <w:pStyle w:val="13"/>
        <w:jc w:val="center"/>
        <w:rPr>
          <w:rFonts w:hint="eastAsia" w:ascii="微软雅黑" w:hAnsi="微软雅黑" w:eastAsia="微软雅黑" w:cs="微软雅黑"/>
          <w:b/>
          <w:bCs/>
          <w:sz w:val="70"/>
          <w:szCs w:val="70"/>
        </w:rPr>
      </w:pPr>
    </w:p>
    <w:p w14:paraId="2DD92FE3">
      <w:pPr>
        <w:pStyle w:val="13"/>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2024</w:t>
      </w:r>
      <w:r>
        <w:rPr>
          <w:rFonts w:hint="eastAsia" w:ascii="微软雅黑" w:hAnsi="微软雅黑" w:eastAsia="微软雅黑" w:cs="微软雅黑"/>
          <w:b/>
          <w:bCs/>
          <w:sz w:val="70"/>
          <w:szCs w:val="70"/>
        </w:rPr>
        <w:t>年度部门决算情况说明</w:t>
      </w:r>
    </w:p>
    <w:p w14:paraId="422B5A88">
      <w:pPr>
        <w:pStyle w:val="13"/>
        <w:jc w:val="center"/>
        <w:rPr>
          <w:rFonts w:hint="eastAsia" w:ascii="微软雅黑" w:hAnsi="微软雅黑" w:eastAsia="微软雅黑" w:cs="微软雅黑"/>
          <w:sz w:val="70"/>
          <w:szCs w:val="70"/>
        </w:rPr>
      </w:pPr>
    </w:p>
    <w:p w14:paraId="7701B91A">
      <w:pPr>
        <w:pStyle w:val="13"/>
        <w:jc w:val="center"/>
        <w:rPr>
          <w:rFonts w:hint="eastAsia" w:ascii="微软雅黑" w:hAnsi="微软雅黑" w:eastAsia="微软雅黑" w:cs="微软雅黑"/>
          <w:sz w:val="70"/>
          <w:szCs w:val="70"/>
        </w:rPr>
      </w:pPr>
    </w:p>
    <w:p w14:paraId="47981D21">
      <w:pPr>
        <w:pStyle w:val="13"/>
        <w:jc w:val="center"/>
        <w:rPr>
          <w:rFonts w:hint="eastAsia" w:ascii="微软雅黑" w:hAnsi="微软雅黑" w:eastAsia="微软雅黑" w:cs="微软雅黑"/>
          <w:sz w:val="70"/>
          <w:szCs w:val="70"/>
        </w:rPr>
      </w:pPr>
    </w:p>
    <w:p w14:paraId="17FCB2AF">
      <w:pPr>
        <w:pStyle w:val="13"/>
        <w:jc w:val="center"/>
        <w:rPr>
          <w:rFonts w:hint="eastAsia" w:ascii="微软雅黑" w:hAnsi="微软雅黑" w:eastAsia="微软雅黑" w:cs="微软雅黑"/>
          <w:sz w:val="70"/>
          <w:szCs w:val="70"/>
        </w:rPr>
      </w:pPr>
    </w:p>
    <w:p w14:paraId="2CA93B76">
      <w:pPr>
        <w:pStyle w:val="13"/>
        <w:jc w:val="center"/>
        <w:rPr>
          <w:rFonts w:hint="eastAsia" w:ascii="微软雅黑" w:hAnsi="微软雅黑" w:eastAsia="微软雅黑" w:cs="微软雅黑"/>
          <w:sz w:val="70"/>
          <w:szCs w:val="70"/>
        </w:rPr>
      </w:pPr>
    </w:p>
    <w:p w14:paraId="0AB426D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2A01CBA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年度收、支总计</w:t>
      </w:r>
      <w:r>
        <w:rPr>
          <w:rFonts w:hint="eastAsia" w:ascii="微软雅黑" w:hAnsi="微软雅黑" w:eastAsia="微软雅黑" w:cs="微软雅黑"/>
          <w:sz w:val="32"/>
          <w:szCs w:val="32"/>
          <w:lang w:val="en-US" w:eastAsia="zh-CN"/>
        </w:rPr>
        <w:t>302.48</w:t>
      </w:r>
      <w:r>
        <w:rPr>
          <w:rFonts w:ascii="微软雅黑" w:hAnsi="微软雅黑" w:eastAsia="微软雅黑" w:cs="微软雅黑"/>
          <w:sz w:val="32"/>
        </w:rPr>
        <w:t>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减少</w:t>
      </w:r>
      <w:r>
        <w:rPr>
          <w:rFonts w:hint="eastAsia" w:ascii="微软雅黑" w:hAnsi="微软雅黑" w:eastAsia="微软雅黑" w:cs="微软雅黑"/>
          <w:sz w:val="32"/>
          <w:szCs w:val="32"/>
          <w:lang w:val="en-US" w:eastAsia="zh-CN"/>
        </w:rPr>
        <w:t>67.7</w:t>
      </w:r>
      <w:r>
        <w:rPr>
          <w:rFonts w:ascii="微软雅黑" w:hAnsi="微软雅黑" w:eastAsia="微软雅黑" w:cs="微软雅黑"/>
          <w:sz w:val="32"/>
        </w:rPr>
        <w:t>万元，减少</w:t>
      </w:r>
      <w:r>
        <w:rPr>
          <w:rFonts w:hint="eastAsia" w:ascii="微软雅黑" w:hAnsi="微软雅黑" w:eastAsia="微软雅黑" w:cs="微软雅黑"/>
          <w:sz w:val="32"/>
          <w:lang w:val="en-US" w:eastAsia="zh-CN"/>
        </w:rPr>
        <w:t>18.29</w:t>
      </w:r>
      <w:r>
        <w:rPr>
          <w:rFonts w:ascii="微软雅黑" w:hAnsi="微软雅黑" w:eastAsia="微软雅黑" w:cs="微软雅黑"/>
          <w:sz w:val="32"/>
        </w:rPr>
        <w:t>%，主要是因为</w:t>
      </w:r>
      <w:r>
        <w:rPr>
          <w:rFonts w:hint="eastAsia" w:ascii="微软雅黑" w:hAnsi="微软雅黑" w:eastAsia="微软雅黑" w:cs="微软雅黑"/>
          <w:sz w:val="32"/>
          <w:lang w:val="en-US" w:eastAsia="zh-CN"/>
        </w:rPr>
        <w:t>本年度压缩开支所致。</w:t>
      </w:r>
    </w:p>
    <w:p w14:paraId="2E3574C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0EA3762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302.48</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67.51</w:t>
      </w:r>
      <w:r>
        <w:rPr>
          <w:rFonts w:hint="eastAsia" w:ascii="微软雅黑" w:hAnsi="微软雅黑" w:eastAsia="微软雅黑" w:cs="微软雅黑"/>
          <w:sz w:val="32"/>
          <w:szCs w:val="32"/>
          <w:lang w:eastAsia="zh-CN"/>
        </w:rPr>
        <w:t>万元，占22.32%；上级补助收入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234.96万元，占</w:t>
      </w:r>
      <w:r>
        <w:rPr>
          <w:rFonts w:hint="eastAsia" w:ascii="微软雅黑" w:hAnsi="微软雅黑" w:eastAsia="微软雅黑" w:cs="微软雅黑"/>
          <w:sz w:val="32"/>
          <w:szCs w:val="32"/>
          <w:lang w:val="en-US" w:eastAsia="zh-CN"/>
        </w:rPr>
        <w:t>77.68</w:t>
      </w:r>
      <w:r>
        <w:rPr>
          <w:rFonts w:hint="eastAsia" w:ascii="微软雅黑" w:hAnsi="微软雅黑" w:eastAsia="微软雅黑" w:cs="微软雅黑"/>
          <w:sz w:val="32"/>
          <w:szCs w:val="32"/>
          <w:lang w:eastAsia="zh-CN"/>
        </w:rPr>
        <w:t>%。</w:t>
      </w:r>
    </w:p>
    <w:p w14:paraId="41B031C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4FF0A95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年度支出合计302.48万元，其中：基本支出202.06万元，占66.80%；项目支出100.42万元，占33.20%；上缴上级支出0万元，占0%；经营支出0万元，占0%；对附属单位补助支出0万元，占0%。</w:t>
      </w:r>
    </w:p>
    <w:p w14:paraId="440FCE0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07470B1C">
      <w:pPr>
        <w:pStyle w:val="13"/>
        <w:keepNext w:val="0"/>
        <w:keepLines w:val="0"/>
        <w:pageBreakBefore w:val="0"/>
        <w:widowControl w:val="0"/>
        <w:kinsoku/>
        <w:wordWrap/>
        <w:overflowPunct/>
        <w:topLinePunct w:val="0"/>
        <w:bidi w:val="0"/>
        <w:snapToGrid/>
        <w:spacing w:line="600" w:lineRule="exac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年度财政拨款收、支总计67.51万元，与上年相比，增长15.24万元,增长29.16%，主要是因为</w:t>
      </w:r>
      <w:r>
        <w:rPr>
          <w:rFonts w:hint="eastAsia" w:ascii="微软雅黑" w:hAnsi="微软雅黑" w:eastAsia="微软雅黑" w:cs="微软雅黑"/>
          <w:sz w:val="32"/>
        </w:rPr>
        <w:t>本年度绩效工资比上年度有所增加</w:t>
      </w:r>
      <w:r>
        <w:rPr>
          <w:rFonts w:hint="eastAsia" w:ascii="微软雅黑" w:hAnsi="微软雅黑" w:eastAsia="微软雅黑" w:cs="微软雅黑"/>
          <w:sz w:val="32"/>
          <w:lang w:eastAsia="zh-CN"/>
        </w:rPr>
        <w:t>。</w:t>
      </w:r>
    </w:p>
    <w:p w14:paraId="2DCAE40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02F9A9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0AEDEDE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年度财政拨款支出67.51万元，占本年支出合计的22.32</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增长15.24万元，增长29.16%，主要是因为</w:t>
      </w:r>
      <w:r>
        <w:rPr>
          <w:rFonts w:hint="eastAsia" w:ascii="微软雅黑" w:hAnsi="微软雅黑" w:eastAsia="微软雅黑" w:cs="微软雅黑"/>
          <w:sz w:val="32"/>
        </w:rPr>
        <w:t>本年度绩效工资比上年度有所增加。</w:t>
      </w:r>
    </w:p>
    <w:p w14:paraId="64556F6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375E4E4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年度财政拨款支出67.51万元，主要用于以下方面：</w:t>
      </w:r>
      <w:r>
        <w:rPr>
          <w:rFonts w:hint="eastAsia" w:ascii="微软雅黑" w:hAnsi="微软雅黑" w:eastAsia="微软雅黑" w:cs="微软雅黑"/>
          <w:sz w:val="32"/>
        </w:rPr>
        <w:t>农林水支出</w:t>
      </w:r>
      <w:r>
        <w:rPr>
          <w:rFonts w:hint="eastAsia" w:ascii="微软雅黑" w:hAnsi="微软雅黑" w:eastAsia="微软雅黑" w:cs="微软雅黑"/>
          <w:sz w:val="32"/>
          <w:lang w:val="en-US" w:eastAsia="zh-CN"/>
        </w:rPr>
        <w:t>67.51</w:t>
      </w:r>
      <w:r>
        <w:rPr>
          <w:rFonts w:hint="eastAsia" w:ascii="微软雅黑" w:hAnsi="微软雅黑" w:eastAsia="微软雅黑" w:cs="微软雅黑"/>
          <w:sz w:val="32"/>
        </w:rPr>
        <w:t>万元，占100%。</w:t>
      </w:r>
    </w:p>
    <w:p w14:paraId="40FE352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6632AC9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年度财政拨款支出年初预算数为78.89万元，支出决算数为67.51</w:t>
      </w:r>
      <w:r>
        <w:rPr>
          <w:rFonts w:hint="eastAsia" w:ascii="微软雅黑" w:hAnsi="微软雅黑" w:eastAsia="微软雅黑" w:cs="微软雅黑"/>
          <w:sz w:val="32"/>
          <w:szCs w:val="32"/>
          <w:lang w:eastAsia="zh-CN"/>
        </w:rPr>
        <w:t>万元，完成年初预算的</w:t>
      </w:r>
      <w:r>
        <w:rPr>
          <w:rFonts w:ascii="微软雅黑" w:hAnsi="微软雅黑" w:eastAsia="微软雅黑" w:cs="微软雅黑"/>
          <w:sz w:val="32"/>
        </w:rPr>
        <w:t>85.57</w:t>
      </w:r>
      <w:r>
        <w:rPr>
          <w:rFonts w:hint="eastAsia" w:ascii="微软雅黑" w:hAnsi="微软雅黑" w:eastAsia="微软雅黑" w:cs="微软雅黑"/>
          <w:sz w:val="32"/>
          <w:szCs w:val="32"/>
          <w:lang w:eastAsia="zh-CN"/>
        </w:rPr>
        <w:t>%，其中：</w:t>
      </w:r>
    </w:p>
    <w:p w14:paraId="0CAE251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农林水支出（类）农业农村（款）其它农业农村支出（项）。</w:t>
      </w:r>
    </w:p>
    <w:p w14:paraId="4E055BAD">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78.89</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67.51</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85.57</w:t>
      </w:r>
      <w:r>
        <w:rPr>
          <w:rFonts w:hint="eastAsia" w:ascii="微软雅黑" w:hAnsi="微软雅黑" w:eastAsia="微软雅黑" w:cs="微软雅黑"/>
          <w:sz w:val="32"/>
          <w:szCs w:val="32"/>
          <w:lang w:eastAsia="zh-CN"/>
        </w:rPr>
        <w:t>%，决算数小于年初预算数的主要原因是：</w:t>
      </w:r>
      <w:r>
        <w:rPr>
          <w:rFonts w:hint="eastAsia" w:ascii="微软雅黑" w:hAnsi="微软雅黑" w:eastAsia="微软雅黑" w:cs="微软雅黑"/>
          <w:color w:val="000000" w:themeColor="text1"/>
          <w:sz w:val="32"/>
          <w:szCs w:val="32"/>
          <w:highlight w:val="none"/>
          <w:lang w:val="en-US" w:eastAsia="zh-CN"/>
          <w14:textFill>
            <w14:solidFill>
              <w14:schemeClr w14:val="tx1"/>
            </w14:solidFill>
          </w14:textFill>
        </w:rPr>
        <w:t>本单位2024年存在人员调动退休。</w:t>
      </w:r>
      <w:bookmarkStart w:id="0" w:name="_GoBack"/>
      <w:bookmarkEnd w:id="0"/>
    </w:p>
    <w:p w14:paraId="5C5C91D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5B3793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年度财政拨款基本支出66.25万元，其中：</w:t>
      </w:r>
    </w:p>
    <w:p w14:paraId="24C1584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49.32万元，占基本支出的74.45%,主要包括基本工资、津贴补贴、奖金、伙食补助费。</w:t>
      </w:r>
    </w:p>
    <w:p w14:paraId="2B8E5F8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16.93万元，占基本支出的</w:t>
      </w:r>
      <w:r>
        <w:rPr>
          <w:rFonts w:hint="eastAsia" w:ascii="微软雅黑" w:hAnsi="微软雅黑" w:eastAsia="微软雅黑" w:cs="微软雅黑"/>
          <w:sz w:val="32"/>
          <w:szCs w:val="32"/>
          <w:lang w:val="en-US" w:eastAsia="zh-CN"/>
        </w:rPr>
        <w:t>25.55</w:t>
      </w:r>
      <w:r>
        <w:rPr>
          <w:rFonts w:hint="eastAsia" w:ascii="微软雅黑" w:hAnsi="微软雅黑" w:eastAsia="微软雅黑" w:cs="微软雅黑"/>
          <w:sz w:val="32"/>
          <w:szCs w:val="32"/>
          <w:lang w:eastAsia="zh-CN"/>
        </w:rPr>
        <w:t>%，主要包括办公费、印刷费、咨询费、手续费。</w:t>
      </w:r>
    </w:p>
    <w:p w14:paraId="186AF02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66931FE8">
      <w:pPr>
        <w:pStyle w:val="13"/>
        <w:ind w:firstLine="800" w:firstLineChars="25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本单位无政府性基金收支。</w:t>
      </w:r>
    </w:p>
    <w:p w14:paraId="798CB96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7E34B575">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本单位无国有资本经营预算财政拨款支出。</w:t>
      </w:r>
    </w:p>
    <w:p w14:paraId="03EF82A3">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22AAB52">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137658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ascii="微软雅黑" w:hAnsi="微软雅黑" w:eastAsia="微软雅黑" w:cs="微软雅黑"/>
          <w:sz w:val="32"/>
        </w:rPr>
        <w:t>2.99</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0.99</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33.11</w:t>
      </w:r>
      <w:r>
        <w:rPr>
          <w:rFonts w:hint="eastAsia" w:ascii="微软雅黑" w:hAnsi="微软雅黑" w:eastAsia="微软雅黑" w:cs="微软雅黑"/>
          <w:sz w:val="32"/>
          <w:szCs w:val="32"/>
        </w:rPr>
        <w:t>%，其中：</w:t>
      </w:r>
    </w:p>
    <w:p w14:paraId="1CFA01D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%，决算数</w:t>
      </w:r>
      <w:r>
        <w:rPr>
          <w:rFonts w:hint="eastAsia" w:ascii="微软雅黑" w:hAnsi="微软雅黑" w:eastAsia="微软雅黑" w:cs="微软雅黑"/>
          <w:color w:val="000000" w:themeColor="text1"/>
          <w:sz w:val="32"/>
          <w:szCs w:val="32"/>
          <w14:textFill>
            <w14:solidFill>
              <w14:schemeClr w14:val="tx1"/>
            </w14:solidFill>
          </w14:textFill>
        </w:rPr>
        <w:t>大于（小于）</w:t>
      </w:r>
      <w:r>
        <w:rPr>
          <w:rFonts w:hint="eastAsia" w:ascii="微软雅黑" w:hAnsi="微软雅黑" w:eastAsia="微软雅黑" w:cs="微软雅黑"/>
          <w:sz w:val="32"/>
          <w:szCs w:val="32"/>
        </w:rPr>
        <w:t>预算数的主要原因是……，与上年相比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r>
        <w:rPr>
          <w:rFonts w:hint="eastAsia" w:ascii="微软雅黑" w:hAnsi="微软雅黑" w:eastAsia="微软雅黑" w:cs="微软雅黑"/>
          <w:color w:val="000000" w:themeColor="text1"/>
          <w:kern w:val="0"/>
          <w:sz w:val="32"/>
          <w:szCs w:val="32"/>
          <w:u w:val="none"/>
          <w:lang w:eastAsia="zh-CN"/>
          <w14:textFill>
            <w14:solidFill>
              <w14:schemeClr w14:val="tx1"/>
            </w14:solidFill>
          </w14:textFill>
        </w:rPr>
        <w:t>增长</w:t>
      </w:r>
      <w:r>
        <w:rPr>
          <w:rFonts w:hint="eastAsia" w:ascii="微软雅黑" w:hAnsi="微软雅黑" w:eastAsia="微软雅黑" w:cs="微软雅黑"/>
          <w:color w:val="000000" w:themeColor="text1"/>
          <w:kern w:val="0"/>
          <w:sz w:val="32"/>
          <w:szCs w:val="32"/>
          <w:u w:val="none"/>
          <w:lang w:val="en-US" w:eastAsia="zh-CN"/>
          <w14:textFill>
            <w14:solidFill>
              <w14:schemeClr w14:val="tx1"/>
            </w14:solidFill>
          </w14:textFill>
        </w:rPr>
        <w:t>/减少</w:t>
      </w:r>
      <w:r>
        <w:rPr>
          <w:rFonts w:hint="eastAsia" w:ascii="微软雅黑" w:hAnsi="微软雅黑" w:eastAsia="微软雅黑" w:cs="微软雅黑"/>
          <w:sz w:val="32"/>
          <w:szCs w:val="32"/>
        </w:rPr>
        <w:t>的主要原因是……。</w:t>
      </w:r>
    </w:p>
    <w:p w14:paraId="0C42673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w:t>
      </w:r>
      <w:r>
        <w:rPr>
          <w:rFonts w:ascii="微软雅黑" w:hAnsi="微软雅黑" w:eastAsia="微软雅黑" w:cs="微软雅黑"/>
          <w:sz w:val="32"/>
        </w:rPr>
        <w:t>2.99</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0.99</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33.11</w:t>
      </w:r>
      <w:r>
        <w:rPr>
          <w:rFonts w:hint="eastAsia" w:ascii="微软雅黑" w:hAnsi="微软雅黑" w:eastAsia="微软雅黑" w:cs="微软雅黑"/>
          <w:sz w:val="32"/>
          <w:szCs w:val="32"/>
        </w:rPr>
        <w:t>%，决算数</w:t>
      </w:r>
      <w:r>
        <w:rPr>
          <w:rFonts w:hint="eastAsia" w:ascii="微软雅黑" w:hAnsi="微软雅黑" w:eastAsia="微软雅黑" w:cs="微软雅黑"/>
          <w:color w:val="000000" w:themeColor="text1"/>
          <w:sz w:val="32"/>
          <w:szCs w:val="32"/>
          <w14:textFill>
            <w14:solidFill>
              <w14:schemeClr w14:val="tx1"/>
            </w14:solidFill>
          </w14:textFill>
        </w:rPr>
        <w:t>小于</w:t>
      </w:r>
      <w:r>
        <w:rPr>
          <w:rFonts w:hint="eastAsia" w:ascii="微软雅黑" w:hAnsi="微软雅黑" w:eastAsia="微软雅黑" w:cs="微软雅黑"/>
          <w:sz w:val="32"/>
          <w:szCs w:val="32"/>
        </w:rPr>
        <w:t>预算数的主要原因是</w:t>
      </w:r>
      <w:r>
        <w:rPr>
          <w:rFonts w:hint="eastAsia" w:ascii="微软雅黑" w:hAnsi="微软雅黑" w:eastAsia="微软雅黑" w:cs="微软雅黑"/>
          <w:sz w:val="32"/>
          <w:szCs w:val="32"/>
          <w:lang w:val="en-US" w:eastAsia="zh-CN"/>
        </w:rPr>
        <w:t>本年度压缩开支</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增长0.99</w:t>
      </w:r>
      <w:r>
        <w:rPr>
          <w:rFonts w:hint="eastAsia" w:ascii="微软雅黑" w:hAnsi="微软雅黑" w:eastAsia="微软雅黑" w:cs="微软雅黑"/>
          <w:sz w:val="32"/>
          <w:szCs w:val="32"/>
        </w:rPr>
        <w:t>万元，</w:t>
      </w:r>
      <w:r>
        <w:rPr>
          <w:rFonts w:hint="eastAsia" w:ascii="微软雅黑" w:hAnsi="微软雅黑" w:eastAsia="微软雅黑" w:cs="微软雅黑"/>
          <w:color w:val="auto"/>
          <w:sz w:val="32"/>
          <w:szCs w:val="32"/>
          <w:highlight w:val="none"/>
          <w:lang w:val="en-US" w:eastAsia="zh-CN"/>
        </w:rPr>
        <w:t>增长0.00</w:t>
      </w:r>
      <w:r>
        <w:rPr>
          <w:rFonts w:hint="eastAsia" w:ascii="微软雅黑" w:hAnsi="微软雅黑" w:eastAsia="微软雅黑" w:cs="微软雅黑"/>
          <w:sz w:val="32"/>
          <w:szCs w:val="32"/>
        </w:rPr>
        <w:t>%,</w:t>
      </w:r>
      <w:r>
        <w:rPr>
          <w:rFonts w:hint="eastAsia" w:ascii="微软雅黑" w:hAnsi="微软雅黑" w:eastAsia="微软雅黑" w:cs="微软雅黑"/>
          <w:color w:val="000000" w:themeColor="text1"/>
          <w:kern w:val="0"/>
          <w:sz w:val="32"/>
          <w:szCs w:val="32"/>
          <w:u w:val="none"/>
          <w:lang w:eastAsia="zh-CN"/>
          <w14:textFill>
            <w14:solidFill>
              <w14:schemeClr w14:val="tx1"/>
            </w14:solidFill>
          </w14:textFill>
        </w:rPr>
        <w:t>增长</w:t>
      </w:r>
      <w:r>
        <w:rPr>
          <w:rFonts w:hint="eastAsia" w:ascii="微软雅黑" w:hAnsi="微软雅黑" w:eastAsia="微软雅黑" w:cs="微软雅黑"/>
          <w:sz w:val="32"/>
          <w:szCs w:val="32"/>
        </w:rPr>
        <w:t>的主要原因是</w:t>
      </w:r>
      <w:r>
        <w:rPr>
          <w:rFonts w:hint="eastAsia" w:ascii="微软雅黑" w:hAnsi="微软雅黑" w:eastAsia="微软雅黑" w:cs="微软雅黑"/>
          <w:sz w:val="32"/>
          <w:szCs w:val="32"/>
          <w:lang w:val="en-US" w:eastAsia="zh-CN"/>
        </w:rPr>
        <w:t>本年度乡镇来客较多</w:t>
      </w:r>
      <w:r>
        <w:rPr>
          <w:rFonts w:hint="eastAsia" w:ascii="微软雅黑" w:hAnsi="微软雅黑" w:eastAsia="微软雅黑" w:cs="微软雅黑"/>
          <w:sz w:val="32"/>
          <w:szCs w:val="32"/>
        </w:rPr>
        <w:t>。</w:t>
      </w:r>
    </w:p>
    <w:p w14:paraId="0AA266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%，决算数</w:t>
      </w:r>
      <w:r>
        <w:rPr>
          <w:rFonts w:hint="eastAsia" w:ascii="微软雅黑" w:hAnsi="微软雅黑" w:eastAsia="微软雅黑" w:cs="微软雅黑"/>
          <w:color w:val="0000FF"/>
          <w:sz w:val="32"/>
          <w:szCs w:val="32"/>
        </w:rPr>
        <w:t>大于（小于）</w:t>
      </w:r>
      <w:r>
        <w:rPr>
          <w:rFonts w:hint="eastAsia" w:ascii="微软雅黑" w:hAnsi="微软雅黑" w:eastAsia="微软雅黑" w:cs="微软雅黑"/>
          <w:sz w:val="32"/>
          <w:szCs w:val="32"/>
        </w:rPr>
        <w:t>预算数的主要原因是……，与上年相比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r>
        <w:rPr>
          <w:rFonts w:hint="eastAsia" w:ascii="微软雅黑" w:hAnsi="微软雅黑" w:eastAsia="微软雅黑" w:cs="微软雅黑"/>
          <w:color w:val="3216DC"/>
          <w:kern w:val="0"/>
          <w:sz w:val="32"/>
          <w:szCs w:val="32"/>
          <w:u w:val="none"/>
          <w:lang w:eastAsia="zh-CN"/>
        </w:rPr>
        <w:t>增长</w:t>
      </w:r>
      <w:r>
        <w:rPr>
          <w:rFonts w:hint="eastAsia" w:ascii="微软雅黑" w:hAnsi="微软雅黑" w:eastAsia="微软雅黑" w:cs="微软雅黑"/>
          <w:color w:val="3216DC"/>
          <w:kern w:val="0"/>
          <w:sz w:val="32"/>
          <w:szCs w:val="32"/>
          <w:u w:val="none"/>
          <w:lang w:val="en-US" w:eastAsia="zh-CN"/>
        </w:rPr>
        <w:t>/减少</w:t>
      </w:r>
      <w:r>
        <w:rPr>
          <w:rFonts w:hint="eastAsia" w:ascii="微软雅黑" w:hAnsi="微软雅黑" w:eastAsia="微软雅黑" w:cs="微软雅黑"/>
          <w:sz w:val="32"/>
          <w:szCs w:val="32"/>
        </w:rPr>
        <w:t>的主要原因是……。</w:t>
      </w:r>
    </w:p>
    <w:p w14:paraId="40A616B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%，决算数</w:t>
      </w:r>
      <w:r>
        <w:rPr>
          <w:rFonts w:hint="eastAsia" w:ascii="微软雅黑" w:hAnsi="微软雅黑" w:eastAsia="微软雅黑" w:cs="微软雅黑"/>
          <w:color w:val="0000FF"/>
          <w:sz w:val="32"/>
          <w:szCs w:val="32"/>
        </w:rPr>
        <w:t>大于（小于）</w:t>
      </w:r>
      <w:r>
        <w:rPr>
          <w:rFonts w:hint="eastAsia" w:ascii="微软雅黑" w:hAnsi="微软雅黑" w:eastAsia="微软雅黑" w:cs="微软雅黑"/>
          <w:sz w:val="32"/>
          <w:szCs w:val="32"/>
        </w:rPr>
        <w:t>预算数的主要原因是……，与上年相比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r>
        <w:rPr>
          <w:rFonts w:hint="eastAsia" w:ascii="微软雅黑" w:hAnsi="微软雅黑" w:eastAsia="微软雅黑" w:cs="微软雅黑"/>
          <w:color w:val="3216DC"/>
          <w:kern w:val="0"/>
          <w:sz w:val="32"/>
          <w:szCs w:val="32"/>
          <w:u w:val="single"/>
          <w:lang w:eastAsia="zh-CN"/>
        </w:rPr>
        <w:t>增长</w:t>
      </w:r>
      <w:r>
        <w:rPr>
          <w:rFonts w:hint="eastAsia" w:ascii="微软雅黑" w:hAnsi="微软雅黑" w:eastAsia="微软雅黑" w:cs="微软雅黑"/>
          <w:color w:val="3216DC"/>
          <w:kern w:val="0"/>
          <w:sz w:val="32"/>
          <w:szCs w:val="32"/>
          <w:u w:val="single"/>
          <w:lang w:val="en-US" w:eastAsia="zh-CN"/>
        </w:rPr>
        <w:t>/减少</w:t>
      </w:r>
      <w:r>
        <w:rPr>
          <w:rFonts w:hint="eastAsia" w:ascii="微软雅黑" w:hAnsi="微软雅黑" w:eastAsia="微软雅黑" w:cs="微软雅黑"/>
          <w:sz w:val="32"/>
          <w:szCs w:val="32"/>
        </w:rPr>
        <w:t>的主要原因是……。</w:t>
      </w:r>
    </w:p>
    <w:p w14:paraId="7130F27B">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286EFD33">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0.99</w:t>
      </w:r>
      <w:r>
        <w:rPr>
          <w:rFonts w:hint="eastAsia" w:ascii="微软雅黑" w:hAnsi="微软雅黑" w:eastAsia="微软雅黑" w:cs="微软雅黑"/>
          <w:sz w:val="32"/>
          <w:szCs w:val="32"/>
        </w:rPr>
        <w:t>万元，占</w:t>
      </w:r>
      <w:r>
        <w:rPr>
          <w:rFonts w:ascii="微软雅黑" w:hAnsi="微软雅黑" w:eastAsia="微软雅黑" w:cs="微软雅黑"/>
          <w:sz w:val="32"/>
        </w:rPr>
        <w:t>100.00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%。其中：</w:t>
      </w:r>
    </w:p>
    <w:p w14:paraId="0308F9EF">
      <w:pPr>
        <w:pStyle w:val="13"/>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sz w:val="32"/>
          <w:szCs w:val="32"/>
          <w:lang w:val="en-US"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p>
    <w:p w14:paraId="56D6A242">
      <w:pPr>
        <w:pStyle w:val="13"/>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0.99</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60</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198</w:t>
      </w:r>
      <w:r>
        <w:rPr>
          <w:rFonts w:hint="eastAsia" w:ascii="微软雅黑" w:hAnsi="微软雅黑" w:eastAsia="微软雅黑" w:cs="微软雅黑"/>
          <w:sz w:val="32"/>
          <w:szCs w:val="32"/>
        </w:rPr>
        <w:t>人次，主要是乡镇来客发生的接待支出。</w:t>
      </w:r>
    </w:p>
    <w:p w14:paraId="28E32ECC">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i/>
          <w:iCs w:val="0"/>
          <w:color w:val="FF0000"/>
          <w:sz w:val="32"/>
          <w:szCs w:val="32"/>
          <w:lang w:eastAsia="zh-CN"/>
        </w:rPr>
      </w:pPr>
      <w:r>
        <w:rPr>
          <w:rFonts w:hint="eastAsia" w:ascii="微软雅黑" w:hAnsi="微软雅黑" w:eastAsia="微软雅黑" w:cs="微软雅黑"/>
          <w:sz w:val="32"/>
          <w:szCs w:val="32"/>
        </w:rPr>
        <w:t>3、公务用车购置费及运行维护费支出决算为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万元，其中：公务用车购置费</w:t>
      </w:r>
      <w:r>
        <w:rPr>
          <w:rFonts w:ascii="微软雅黑" w:hAnsi="微软雅黑" w:eastAsia="微软雅黑" w:cs="微软雅黑"/>
          <w:sz w:val="32"/>
        </w:rPr>
        <w:t>0</w:t>
      </w:r>
      <w:r>
        <w:rPr>
          <w:rFonts w:hint="eastAsia" w:ascii="微软雅黑" w:hAnsi="微软雅黑" w:eastAsia="微软雅黑" w:cs="微软雅黑"/>
          <w:sz w:val="32"/>
          <w:szCs w:val="32"/>
        </w:rPr>
        <w:t>万元，</w:t>
      </w:r>
      <w:r>
        <w:rPr>
          <w:rFonts w:ascii="微软雅黑" w:hAnsi="微软雅黑" w:eastAsia="微软雅黑" w:cs="微软雅黑"/>
          <w:sz w:val="32"/>
        </w:rPr>
        <w:t>岳阳县动物疫病预防控制中心（单位本级或某二级机构）更新公务用车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ascii="微软雅黑" w:hAnsi="微软雅黑" w:eastAsia="微软雅黑" w:cs="微软雅黑"/>
          <w:sz w:val="32"/>
        </w:rPr>
        <w:t>0</w:t>
      </w:r>
      <w:r>
        <w:rPr>
          <w:rFonts w:hint="eastAsia" w:ascii="微软雅黑" w:hAnsi="微软雅黑" w:eastAsia="微软雅黑" w:cs="微软雅黑"/>
          <w:sz w:val="32"/>
          <w:szCs w:val="32"/>
        </w:rPr>
        <w:t>万元，截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1B4472F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08BF2A4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16.93万元</w:t>
      </w:r>
      <w:r>
        <w:rPr>
          <w:rFonts w:hint="eastAsia" w:ascii="微软雅黑" w:hAnsi="微软雅黑" w:eastAsia="微软雅黑" w:cs="微软雅黑"/>
          <w:sz w:val="32"/>
          <w:szCs w:val="32"/>
        </w:rPr>
        <w:t>，比年初预算数（或者上年决算数）</w:t>
      </w:r>
      <w:r>
        <w:rPr>
          <w:rFonts w:ascii="微软雅黑" w:hAnsi="微软雅黑" w:eastAsia="微软雅黑" w:cs="微软雅黑"/>
          <w:sz w:val="32"/>
        </w:rPr>
        <w:t>增长15.76 万元，增长1347.01</w:t>
      </w:r>
      <w:r>
        <w:rPr>
          <w:rFonts w:hint="eastAsia" w:ascii="微软雅黑" w:hAnsi="微软雅黑" w:eastAsia="微软雅黑" w:cs="微软雅黑"/>
          <w:sz w:val="32"/>
          <w:szCs w:val="32"/>
        </w:rPr>
        <w:t xml:space="preserve"> %。主要原因是：</w:t>
      </w:r>
      <w:r>
        <w:rPr>
          <w:rFonts w:hint="eastAsia" w:ascii="微软雅黑" w:hAnsi="微软雅黑" w:eastAsia="微软雅黑" w:cs="微软雅黑"/>
          <w:sz w:val="32"/>
          <w:szCs w:val="32"/>
          <w:lang w:val="en-US" w:eastAsia="zh-CN"/>
        </w:rPr>
        <w:t>业务量与人员增加。</w:t>
      </w:r>
    </w:p>
    <w:p w14:paraId="5835FDE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3027FEC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0</w:t>
      </w:r>
      <w:r>
        <w:rPr>
          <w:rFonts w:hint="eastAsia" w:ascii="微软雅黑" w:hAnsi="微软雅黑" w:eastAsia="微软雅黑" w:cs="微软雅黑"/>
          <w:sz w:val="32"/>
          <w:szCs w:val="32"/>
        </w:rPr>
        <w:t>万元，人数</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人；开支培训费</w:t>
      </w:r>
      <w:r>
        <w:rPr>
          <w:rFonts w:ascii="微软雅黑" w:hAnsi="微软雅黑" w:eastAsia="微软雅黑" w:cs="微软雅黑"/>
          <w:sz w:val="32"/>
        </w:rPr>
        <w:t>0.11万元，用于开展</w:t>
      </w:r>
      <w:r>
        <w:rPr>
          <w:rFonts w:hint="eastAsia" w:ascii="微软雅黑" w:hAnsi="微软雅黑" w:eastAsia="微软雅黑" w:cs="微软雅黑"/>
          <w:sz w:val="32"/>
          <w:lang w:val="en-US" w:eastAsia="zh-CN"/>
        </w:rPr>
        <w:t>血防</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16</w:t>
      </w:r>
      <w:r>
        <w:rPr>
          <w:rFonts w:ascii="微软雅黑" w:hAnsi="微软雅黑" w:eastAsia="微软雅黑" w:cs="微软雅黑"/>
          <w:sz w:val="32"/>
        </w:rPr>
        <w:t>人，内容为</w:t>
      </w:r>
      <w:r>
        <w:rPr>
          <w:rFonts w:hint="eastAsia" w:ascii="微软雅黑" w:hAnsi="微软雅黑" w:eastAsia="微软雅黑" w:cs="微软雅黑"/>
          <w:sz w:val="32"/>
          <w:lang w:val="en-US" w:eastAsia="zh-CN"/>
        </w:rPr>
        <w:t>进一步提高血防专干实操技能，推进家畜血吸虫病消除工作</w:t>
      </w:r>
      <w:r>
        <w:rPr>
          <w:rFonts w:ascii="微软雅黑" w:hAnsi="微软雅黑" w:eastAsia="微软雅黑" w:cs="微软雅黑"/>
          <w:sz w:val="32"/>
        </w:rPr>
        <w:t>；举办等节庆、晚会、论坛、赛事活动，开支</w:t>
      </w:r>
      <w:r>
        <w:rPr>
          <w:rFonts w:hint="eastAsia" w:ascii="微软雅黑" w:hAnsi="微软雅黑" w:eastAsia="微软雅黑" w:cs="微软雅黑"/>
          <w:sz w:val="32"/>
          <w:lang w:val="en-US" w:eastAsia="zh-CN"/>
        </w:rPr>
        <w:t>0</w:t>
      </w:r>
      <w:r>
        <w:rPr>
          <w:rFonts w:ascii="微软雅黑" w:hAnsi="微软雅黑" w:eastAsia="微软雅黑" w:cs="微软雅黑"/>
          <w:sz w:val="32"/>
        </w:rPr>
        <w:t>万元。</w:t>
      </w:r>
    </w:p>
    <w:p w14:paraId="72C3B2C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5EA0C72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w:t>
      </w:r>
    </w:p>
    <w:p w14:paraId="2E5EAD4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794EFFC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辆；单位价值50万元以上通用设备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w:t>
      </w:r>
    </w:p>
    <w:p w14:paraId="1097948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2024</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6E0A67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580249D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根据预算绩效管理要求，我部门组织对</w:t>
      </w:r>
      <w:r>
        <w:rPr>
          <w:rFonts w:ascii="微软雅黑" w:hAnsi="微软雅黑" w:eastAsia="微软雅黑" w:cs="微软雅黑"/>
          <w:color w:val="000000"/>
          <w:sz w:val="32"/>
        </w:rPr>
        <w:t>2024年度一般公共预算项目支出全面开展绩效自评，其中，一级项目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万元，占一般公共预算项目支出总额的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%。组织对2024年度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 xml:space="preserve"> 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%。组织对2024年度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p>
    <w:p w14:paraId="64512B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组织对0个项目开展了部门评价，涉及一般公共预算支出0万元，政府性基金预算支出0万元，国有资本经营预算支出0万元。从评价情况来看，……（请对预算绩效评价情况进行简单说明）。</w:t>
      </w:r>
    </w:p>
    <w:p w14:paraId="33F6F00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组织对0个单位开展整体支出绩效评价，涉及一般公共预算支出</w:t>
      </w:r>
      <w:r>
        <w:rPr>
          <w:rFonts w:hint="eastAsia" w:ascii="微软雅黑" w:hAnsi="微软雅黑" w:eastAsia="微软雅黑" w:cs="微软雅黑"/>
          <w:color w:val="000000"/>
          <w:kern w:val="0"/>
          <w:sz w:val="32"/>
          <w:szCs w:val="32"/>
          <w:highlight w:val="none"/>
          <w:lang w:val="en-US" w:eastAsia="zh-CN" w:bidi="ar-SA"/>
        </w:rPr>
        <w:t>302.48</w:t>
      </w:r>
      <w:r>
        <w:rPr>
          <w:rFonts w:hint="eastAsia" w:ascii="微软雅黑" w:hAnsi="微软雅黑" w:eastAsia="微软雅黑" w:cs="微软雅黑"/>
          <w:color w:val="000000"/>
          <w:kern w:val="0"/>
          <w:sz w:val="32"/>
          <w:szCs w:val="32"/>
          <w:lang w:val="en-US" w:eastAsia="zh-CN" w:bidi="ar-SA"/>
        </w:rPr>
        <w:t>万元，政府性基金预算支出0万元。从评价情况来看，……（请对整体支出绩效评价情况进行简单说明）。</w:t>
      </w:r>
    </w:p>
    <w:p w14:paraId="7484C86E">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（2）部门决算中项目绩效自评结果（如有）。</w:t>
      </w:r>
    </w:p>
    <w:p w14:paraId="49EB132C">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XXX 项目绩效自评综述：根据年初设定的绩效目标，项目绩效自评得分为XX 分。项目全年预算数为0万元，执行数为0万元，完成预算的0%。项目绩效目标完成情况：一是……；二是……。发现的主要问题及原因：一是……；二是……。下一步改进措施：一是……；二是……。</w:t>
      </w:r>
    </w:p>
    <w:p w14:paraId="12EC1B99">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XXX 项目绩效自评综述：……。</w:t>
      </w:r>
    </w:p>
    <w:p w14:paraId="1F9416B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30D83D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14:paraId="4075D7C4">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r>
    </w:p>
    <w:p w14:paraId="30DD0CD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ADAA99">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B810295">
      <w:pPr>
        <w:jc w:val="center"/>
        <w:rPr>
          <w:rFonts w:hint="eastAsia" w:ascii="微软雅黑" w:hAnsi="微软雅黑" w:eastAsia="微软雅黑" w:cs="微软雅黑"/>
          <w:b/>
          <w:bCs/>
          <w:color w:val="000000"/>
          <w:kern w:val="0"/>
          <w:sz w:val="70"/>
          <w:szCs w:val="70"/>
        </w:rPr>
      </w:pPr>
    </w:p>
    <w:p w14:paraId="0D6C4062">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401081C5">
      <w:pPr>
        <w:widowControl/>
        <w:jc w:val="left"/>
        <w:rPr>
          <w:rFonts w:hint="eastAsia" w:ascii="微软雅黑" w:hAnsi="微软雅黑" w:eastAsia="微软雅黑" w:cs="微软雅黑"/>
          <w:color w:val="000000"/>
          <w:kern w:val="0"/>
          <w:sz w:val="32"/>
          <w:szCs w:val="32"/>
        </w:rPr>
      </w:pPr>
    </w:p>
    <w:p w14:paraId="269CB18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10CAF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72E534F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三、……</w:t>
      </w:r>
    </w:p>
    <w:p w14:paraId="61712956">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w:t>
      </w:r>
    </w:p>
    <w:p w14:paraId="7D5722C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p>
    <w:p w14:paraId="4FA8EFEC">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A429A30">
      <w:pPr>
        <w:pStyle w:val="13"/>
        <w:jc w:val="center"/>
        <w:rPr>
          <w:rFonts w:hint="eastAsia" w:ascii="微软雅黑" w:hAnsi="微软雅黑" w:eastAsia="微软雅黑" w:cs="微软雅黑"/>
          <w:sz w:val="72"/>
          <w:szCs w:val="72"/>
        </w:rPr>
      </w:pPr>
    </w:p>
    <w:p w14:paraId="74F01676">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0B72341">
      <w:pPr>
        <w:jc w:val="center"/>
        <w:rPr>
          <w:rFonts w:hint="eastAsia" w:ascii="微软雅黑" w:hAnsi="微软雅黑" w:eastAsia="微软雅黑" w:cs="微软雅黑"/>
          <w:b/>
          <w:bCs/>
          <w:color w:val="000000"/>
          <w:kern w:val="0"/>
          <w:sz w:val="70"/>
          <w:szCs w:val="70"/>
        </w:rPr>
      </w:pPr>
    </w:p>
    <w:p w14:paraId="0457B14F">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7A04FEAB">
      <w:pPr>
        <w:ind w:firstLine="640" w:firstLineChars="200"/>
        <w:jc w:val="left"/>
        <w:rPr>
          <w:rFonts w:hint="eastAsia" w:ascii="微软雅黑" w:hAnsi="微软雅黑" w:eastAsia="微软雅黑" w:cs="微软雅黑"/>
          <w:b/>
          <w:bCs/>
          <w:color w:val="000000"/>
          <w:kern w:val="0"/>
          <w:sz w:val="32"/>
          <w:szCs w:val="32"/>
          <w:lang w:val="en-US" w:eastAsia="zh-CN"/>
        </w:rPr>
      </w:pPr>
    </w:p>
    <w:p w14:paraId="258971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2024年部门决算公开表格</w:t>
      </w:r>
    </w:p>
    <w:p w14:paraId="1DF577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2024</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yMjBjOTA4MDc1MzU1NGZmYTViNGI3ODJiM2Q3ZjU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482261"/>
    <w:rsid w:val="074309F6"/>
    <w:rsid w:val="07966D78"/>
    <w:rsid w:val="07E04F3D"/>
    <w:rsid w:val="096227F5"/>
    <w:rsid w:val="0AC57974"/>
    <w:rsid w:val="0F9016DB"/>
    <w:rsid w:val="0FE268D2"/>
    <w:rsid w:val="10A73DA4"/>
    <w:rsid w:val="11A63AC3"/>
    <w:rsid w:val="13135140"/>
    <w:rsid w:val="134641EF"/>
    <w:rsid w:val="136B7D14"/>
    <w:rsid w:val="15986B0A"/>
    <w:rsid w:val="15A64981"/>
    <w:rsid w:val="17D85E72"/>
    <w:rsid w:val="191A1185"/>
    <w:rsid w:val="1A4B623A"/>
    <w:rsid w:val="21680401"/>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2865D5A"/>
    <w:rsid w:val="63930AB7"/>
    <w:rsid w:val="643C1282"/>
    <w:rsid w:val="645753D4"/>
    <w:rsid w:val="65B05FE0"/>
    <w:rsid w:val="660109D5"/>
    <w:rsid w:val="6720463D"/>
    <w:rsid w:val="6BD30F4C"/>
    <w:rsid w:val="6C2A3536"/>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paragraph" w:customStyle="1" w:styleId="13">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5115</Words>
  <Characters>5601</Characters>
  <Lines>63</Lines>
  <Paragraphs>18</Paragraphs>
  <TotalTime>15</TotalTime>
  <ScaleCrop>false</ScaleCrop>
  <LinksUpToDate>false</LinksUpToDate>
  <CharactersWithSpaces>5648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나비</cp:lastModifiedBy>
  <cp:lastPrinted>2023-08-15T09:28:00Z</cp:lastPrinted>
  <dcterms:modified xsi:type="dcterms:W3CDTF">2025-09-18T08:37:50Z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661ABA64067A42B98A18CBAF8FC9F9FC_13</vt:lpwstr>
  </property>
  <property fmtid="{D5CDD505-2E9C-101B-9397-08002B2CF9AE}" pid="4" name="KSOTemplateDocerSaveRecord">
    <vt:lpwstr>eyJoZGlkIjoiODNmZDczMmQ0M2U1NThmMTIzNDY5OTcwZDhhOGJlYjEiLCJ1c2VySWQiOiIzNTEwNTI0NjIifQ==</vt:lpwstr>
  </property>
</Properties>
</file>