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5CD8E">
      <w:pPr>
        <w:spacing w:line="560" w:lineRule="exact"/>
        <w:jc w:val="center"/>
        <w:rPr>
          <w:rFonts w:hint="eastAsia" w:ascii="方正小标宋简体" w:eastAsia="方正小标宋简体" w:cs="黑体"/>
          <w:bCs/>
          <w:sz w:val="24"/>
          <w:szCs w:val="28"/>
        </w:rPr>
      </w:pPr>
      <w:r>
        <w:rPr>
          <w:rFonts w:hint="eastAsia" w:ascii="方正小标宋简体" w:eastAsia="方正小标宋简体"/>
          <w:bCs/>
          <w:sz w:val="44"/>
          <w:szCs w:val="46"/>
        </w:rPr>
        <w:t>中国人民政治协商会议湖南省岳阳县委员会2024年度整体支出绩效自评报告</w:t>
      </w:r>
    </w:p>
    <w:p w14:paraId="42A20163">
      <w:pPr>
        <w:spacing w:line="560" w:lineRule="exact"/>
        <w:rPr>
          <w:rFonts w:hint="eastAsia" w:ascii="黑体" w:eastAsia="黑体" w:cs="黑体"/>
          <w:bCs/>
          <w:sz w:val="28"/>
          <w:szCs w:val="28"/>
        </w:rPr>
      </w:pPr>
    </w:p>
    <w:p w14:paraId="7F871A8D">
      <w:pPr>
        <w:pStyle w:val="8"/>
        <w:numPr>
          <w:ilvl w:val="0"/>
          <w:numId w:val="1"/>
        </w:numPr>
        <w:spacing w:line="560" w:lineRule="exact"/>
        <w:ind w:firstLineChars="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部门（单位）基本情况</w:t>
      </w:r>
    </w:p>
    <w:p w14:paraId="73B8393C">
      <w:pPr>
        <w:spacing w:line="56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1、机构设置</w:t>
      </w:r>
    </w:p>
    <w:p w14:paraId="58AD1041">
      <w:pPr>
        <w:pStyle w:val="7"/>
        <w:spacing w:line="560" w:lineRule="exact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中国人民政治协商会议湖南省岳阳县委员会设下列内设机构:办公室、提案委、经济科技和外事委、文教卫体和文史委、社会法制和民族宗教委、委员学习联络委、农业农村和人口资源环境委。</w:t>
      </w:r>
    </w:p>
    <w:p w14:paraId="63FFABFC">
      <w:pPr>
        <w:pStyle w:val="7"/>
        <w:spacing w:line="560" w:lineRule="exact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2、主要职责</w:t>
      </w:r>
    </w:p>
    <w:p w14:paraId="7B24A18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国人民政治协商会议湖南省岳阳县委员会的主要职责是:根据《中国人民政治协商会议章程》规定，县政协机关的主要职责如下：负责县政协全体会议、常务委员会议、主席会议等会议的会务工作，负责上述会议所形成的决议、决定、建议案的组织实施;协调各专门委员会的工作，充分发挥政协委员的作用，履行好政治协商、民主监督、参政议政的基本职责;负责政协委员进行视察、考察、参观、调查、座谈、学习、研讨等日常活动的组织服务及对外宣传工作；围绕全县大政方针，组织专题调研，课题研究，为县委、政府决策建言献策，当好参谋;做好统一战线和人民政协的理论研究工作;联系各民主党派、工商联、人民团体和无党派人士;做好县政协机关自身建设工作。</w:t>
      </w:r>
    </w:p>
    <w:p w14:paraId="47CF9532">
      <w:pPr>
        <w:spacing w:line="560" w:lineRule="exact"/>
        <w:ind w:firstLine="560" w:firstLineChars="2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二、一般公共预算支出情况</w:t>
      </w:r>
    </w:p>
    <w:p w14:paraId="2326C034">
      <w:p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（一）基本支出情况</w:t>
      </w:r>
    </w:p>
    <w:p w14:paraId="00A935C7">
      <w:pPr>
        <w:pStyle w:val="7"/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2024年度基本支出455.04万元，其中：人员经费393.62万元，主要包括基本工资、津贴补贴、奖金、伙食补助费、职业年金缴费、职工基本医疗保险缴费、公务员医疗补助缴费、其他社会保障缴费、住房公积金；公用经费61.42万元，主要包括手续费、电费、邮电费、差旅费、维修费、会议费、培训费、公务接待费、工会经费、其他交通费用、其他商品和服务支出。</w:t>
      </w:r>
    </w:p>
    <w:p w14:paraId="28E6AAAC">
      <w:pPr>
        <w:numPr>
          <w:ilvl w:val="0"/>
          <w:numId w:val="2"/>
        </w:num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项目支出情况</w:t>
      </w:r>
    </w:p>
    <w:p w14:paraId="4BD0B17A">
      <w:p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2024年财政安排我单位政协常委会议、政协委员和政协常委活动项目资金194.99万元，我单位实际发生项目支出194.99万元。</w:t>
      </w:r>
    </w:p>
    <w:p w14:paraId="2E7DEDDB"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仿宋_GB2312"/>
          <w:bCs/>
          <w:sz w:val="28"/>
          <w:szCs w:val="28"/>
        </w:rPr>
        <w:t>项目资金实际使用情况分析</w:t>
      </w:r>
    </w:p>
    <w:p w14:paraId="67966D88">
      <w:p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班子靠前作战、积极履职、精心组织，各专项工作有序推进。</w:t>
      </w:r>
    </w:p>
    <w:p w14:paraId="4CE07447">
      <w:pPr>
        <w:numPr>
          <w:ilvl w:val="0"/>
          <w:numId w:val="0"/>
        </w:num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  <w:lang w:val="en-US" w:eastAsia="zh-CN"/>
        </w:rPr>
        <w:t>2、</w:t>
      </w:r>
      <w:r>
        <w:rPr>
          <w:rFonts w:hint="eastAsia" w:ascii="仿宋_GB2312" w:eastAsia="仿宋_GB2312" w:cs="仿宋_GB2312"/>
          <w:bCs/>
          <w:sz w:val="28"/>
          <w:szCs w:val="28"/>
        </w:rPr>
        <w:t>项目资金管理情况分析</w:t>
      </w:r>
    </w:p>
    <w:p w14:paraId="7CEC112E">
      <w:pPr>
        <w:spacing w:line="560" w:lineRule="exact"/>
        <w:ind w:firstLine="560" w:firstLineChars="2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本单位项目资金严格按照资金用途开支，实行项目核算管理，确保资金充分发挥效益，项目资金的使用保障了工委履职、专委会工作履职、提案办理等工作的顺利开展，取得了良好的社会效益。</w:t>
      </w:r>
    </w:p>
    <w:p w14:paraId="7C9DADF4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三、政府性基金预算支出情况</w:t>
      </w:r>
    </w:p>
    <w:p w14:paraId="67738F96">
      <w:pPr>
        <w:spacing w:line="560" w:lineRule="exact"/>
        <w:ind w:firstLine="280" w:firstLineChars="100"/>
        <w:rPr>
          <w:rFonts w:hint="eastAsia"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无。</w:t>
      </w:r>
    </w:p>
    <w:p w14:paraId="45E9BEC3">
      <w:pPr>
        <w:numPr>
          <w:ilvl w:val="0"/>
          <w:numId w:val="3"/>
        </w:num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国有资本经营预算支出情况</w:t>
      </w:r>
    </w:p>
    <w:p w14:paraId="598C7918">
      <w:pPr>
        <w:numPr>
          <w:numId w:val="0"/>
        </w:numPr>
        <w:spacing w:line="560" w:lineRule="exact"/>
        <w:ind w:firstLine="280" w:firstLineChars="100"/>
        <w:rPr>
          <w:rFonts w:ascii="仿宋_GB2312" w:eastAsia="仿宋_GB2312" w:cs="仿宋_GB2312"/>
          <w:bCs/>
          <w:sz w:val="28"/>
          <w:szCs w:val="28"/>
        </w:rPr>
      </w:pPr>
      <w:r>
        <w:rPr>
          <w:rFonts w:hint="eastAsia" w:ascii="仿宋_GB2312" w:eastAsia="仿宋_GB2312" w:cs="仿宋_GB2312"/>
          <w:bCs/>
          <w:sz w:val="28"/>
          <w:szCs w:val="28"/>
        </w:rPr>
        <w:t>无。</w:t>
      </w:r>
    </w:p>
    <w:p w14:paraId="59FA7595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 xml:space="preserve">五、社会保险基金预算支出情况 </w:t>
      </w:r>
    </w:p>
    <w:p w14:paraId="0E40498A">
      <w:pPr>
        <w:spacing w:line="560" w:lineRule="exact"/>
        <w:ind w:firstLine="280" w:firstLineChars="100"/>
        <w:rPr>
          <w:rFonts w:ascii="仿宋_GB2312" w:eastAsia="仿宋_GB2312" w:cs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仿宋_GB2312"/>
          <w:bCs/>
          <w:sz w:val="28"/>
          <w:szCs w:val="28"/>
        </w:rPr>
        <w:t>无。</w:t>
      </w:r>
    </w:p>
    <w:p w14:paraId="41405048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六、部门（单位）整体支出绩效情况</w:t>
      </w:r>
    </w:p>
    <w:p w14:paraId="4837F0A0">
      <w:pPr>
        <w:pStyle w:val="7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</w:rPr>
        <w:t>2024年度支出总计650.03万元，其中基本支出455.04万元，主要用于人员工资、福利、社会保障缴费及办公室公用支出等，项目支出194.99万元，主要用于工委履职经费、 兼职副主席调研经费、提案办理经费、  政协常委会会议、政协日常维护、政协委员和政协常委活动等开支。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我们对整个资金支出情况和工作成果进行了认真分析，部门整体支出达到了预期工作成果，实现了预期工作目标，通过部门整体评价，特别是专项项目的实施，把政协履职与全县大局工作有机结合，全面助推经济社会高质量发展。</w:t>
      </w:r>
    </w:p>
    <w:p w14:paraId="54D90BEA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七、存在的主要问题及原因分析</w:t>
      </w:r>
    </w:p>
    <w:p w14:paraId="0E5EED99">
      <w:pPr>
        <w:spacing w:line="56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（一）绩效思想有局限性，认识不够全面，从而影响目标的设立。</w:t>
      </w:r>
    </w:p>
    <w:p w14:paraId="1C69F631">
      <w:pPr>
        <w:spacing w:line="560" w:lineRule="exac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（二）预算考虑不够全面、系统。影响绩效目标确立标准。</w:t>
      </w:r>
    </w:p>
    <w:p w14:paraId="066A6520">
      <w:pPr>
        <w:spacing w:line="560" w:lineRule="exact"/>
        <w:ind w:left="280" w:hanging="280" w:hanging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（三）资产管理和国有资产处置行为有待进一步加强安全性、规范性。八、</w:t>
      </w:r>
      <w:r>
        <w:rPr>
          <w:rFonts w:hint="eastAsia" w:ascii="黑体" w:eastAsia="黑体" w:cs="黑体"/>
          <w:bCs/>
          <w:sz w:val="28"/>
          <w:szCs w:val="28"/>
        </w:rPr>
        <w:t>下一步改进措施</w:t>
      </w:r>
    </w:p>
    <w:p w14:paraId="25C65000"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（一）牢固树立绩效理念。围绕“科学规范、公开公正、效益优先”的原则，将绩效理念贯穿预算编制、执行、结果全过程。</w:t>
      </w:r>
    </w:p>
    <w:p w14:paraId="738EE475"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（二）完善指标体系。加强调研、分析、结合单位的职能职责和工作要求，全面梳理各项重点任务，除完善基本的考核指标体系外，还增加部分个性化的考核指标体。</w:t>
      </w:r>
    </w:p>
    <w:p w14:paraId="650022E4"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（三）加强跟踪监督。要定期对预期绩效目标的实现程度，资金投入的经济性、效率性和效果性进行跟踪监督，及时实行指导。</w:t>
      </w:r>
    </w:p>
    <w:p w14:paraId="3A2DEE48"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（四）突出结果运用。根据绩效评价结果分析诊断支出的管理问题，及时补充完善预算资金分配使用等环节的管理控制措施。同时将评价结果作为编报下一年部分预算的重要依据。</w:t>
      </w:r>
    </w:p>
    <w:p w14:paraId="7EE5C323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九、部门整体支出绩效自评结果拟应用和公开情况</w:t>
      </w:r>
    </w:p>
    <w:p w14:paraId="6BE2A697">
      <w:pPr>
        <w:spacing w:line="56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我单位部分整体支出绩效自评报告已在政府门户网站公开。</w:t>
      </w:r>
    </w:p>
    <w:p w14:paraId="6B80F5AE">
      <w:pPr>
        <w:spacing w:line="560" w:lineRule="exact"/>
        <w:ind w:firstLine="280" w:firstLineChars="100"/>
        <w:rPr>
          <w:rFonts w:hint="eastAsia" w:ascii="黑体" w:eastAsia="黑体" w:cs="黑体"/>
          <w:bCs/>
          <w:sz w:val="28"/>
          <w:szCs w:val="28"/>
        </w:rPr>
      </w:pPr>
      <w:r>
        <w:rPr>
          <w:rFonts w:hint="eastAsia" w:ascii="黑体" w:eastAsia="黑体" w:cs="黑体"/>
          <w:bCs/>
          <w:sz w:val="28"/>
          <w:szCs w:val="28"/>
        </w:rPr>
        <w:t>十、其他需要说明的情况</w:t>
      </w:r>
    </w:p>
    <w:p w14:paraId="09E36AB3">
      <w:pPr>
        <w:spacing w:line="560" w:lineRule="exac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无</w:t>
      </w:r>
    </w:p>
    <w:p w14:paraId="16C5F768">
      <w:pPr>
        <w:spacing w:line="56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  2025年5月16日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BA6C5C-F2D7-45C5-A2D5-1CA4709AD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84EE88-3D4D-4624-9D2B-EF6292F48A6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D207E26-AA14-4B0F-BAD1-2C0E17620A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BC3430-3C02-44BD-AA02-FE6A9DBA567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C1ACCD02-104F-4097-B393-619015DEED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8C158"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757F8F4E"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01DC7">
    <w:pPr>
      <w:pStyle w:val="2"/>
      <w:framePr w:wrap="around" w:vAnchor="text" w:hAnchor="margin" w:xAlign="outside" w:y="1"/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75B80A93">
    <w:pPr>
      <w:pStyle w:val="2"/>
      <w:framePr w:wrap="around" w:vAnchor="text" w:hAnchor="margin" w:xAlign="outside" w:y="1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D71EE"/>
    <w:multiLevelType w:val="multilevel"/>
    <w:tmpl w:val="15DD71EE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A56D57F"/>
    <w:multiLevelType w:val="singleLevel"/>
    <w:tmpl w:val="1A56D57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04E8C8"/>
    <w:multiLevelType w:val="singleLevel"/>
    <w:tmpl w:val="7204E8C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3EB"/>
    <w:rsid w:val="002F33EB"/>
    <w:rsid w:val="0073133A"/>
    <w:rsid w:val="007C0E5C"/>
    <w:rsid w:val="009B03E9"/>
    <w:rsid w:val="12193408"/>
    <w:rsid w:val="5301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1527</Words>
  <Characters>1582</Characters>
  <Lines>11</Lines>
  <Paragraphs>3</Paragraphs>
  <TotalTime>14</TotalTime>
  <ScaleCrop>false</ScaleCrop>
  <LinksUpToDate>false</LinksUpToDate>
  <CharactersWithSpaces>1640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2025-05-16T02:14:00Z</dcterms:created>
  <dc:creator>Administrator</dc:creator>
  <cp:lastModifiedBy>周向鹏</cp:lastModifiedBy>
  <dcterms:modified xsi:type="dcterms:W3CDTF">2025-10-15T06:56:48Z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DC4A54D9368745679441C2CE69B3A00F_12</vt:lpwstr>
  </property>
</Properties>
</file>