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19A4">
      <w:pPr>
        <w:pStyle w:val="2"/>
        <w:jc w:val="left"/>
        <w:rPr>
          <w:rFonts w:ascii="方正公文小标宋" w:eastAsia="方正公文小标宋"/>
          <w:b w:val="0"/>
          <w:sz w:val="84"/>
          <w:szCs w:val="84"/>
          <w:lang w:eastAsia="zh-CN"/>
        </w:rPr>
      </w:pPr>
    </w:p>
    <w:p w14:paraId="44C6694F">
      <w:pPr>
        <w:pStyle w:val="2"/>
        <w:jc w:val="left"/>
        <w:rPr>
          <w:rFonts w:ascii="方正公文小标宋" w:eastAsia="方正公文小标宋"/>
          <w:b w:val="0"/>
          <w:sz w:val="84"/>
          <w:szCs w:val="84"/>
          <w:lang w:eastAsia="zh-CN"/>
        </w:rPr>
      </w:pPr>
    </w:p>
    <w:p w14:paraId="0C0843C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湖南省岳阳市岳阳县月田镇履行</w:t>
      </w:r>
    </w:p>
    <w:p w14:paraId="5F8ADA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57F5C712">
      <w:pPr>
        <w:rPr>
          <w:rFonts w:ascii="方正公文小标宋" w:eastAsia="方正公文小标宋"/>
          <w:sz w:val="84"/>
          <w:szCs w:val="84"/>
          <w:lang w:eastAsia="zh-CN"/>
        </w:rPr>
      </w:pPr>
    </w:p>
    <w:p w14:paraId="3DEBE596">
      <w:pPr>
        <w:rPr>
          <w:rFonts w:ascii="方正公文小标宋" w:eastAsia="方正公文小标宋"/>
          <w:sz w:val="84"/>
          <w:szCs w:val="84"/>
          <w:lang w:eastAsia="zh-CN"/>
        </w:rPr>
      </w:pPr>
    </w:p>
    <w:p w14:paraId="0228B0E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52701"/>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06D02B85">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C84D45F">
          <w:pPr>
            <w:pStyle w:val="7"/>
            <w:tabs>
              <w:tab w:val="right" w:leader="dot" w:pos="14001"/>
            </w:tabs>
          </w:pP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_Toc1560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_Toc1560 \h </w:instrText>
          </w:r>
          <w:r>
            <w:fldChar w:fldCharType="separate"/>
          </w:r>
          <w:r>
            <w:t>1</w:t>
          </w:r>
          <w:r>
            <w:fldChar w:fldCharType="end"/>
          </w:r>
          <w:r>
            <w:rPr>
              <w:lang w:eastAsia="zh-CN"/>
            </w:rPr>
            <w:fldChar w:fldCharType="end"/>
          </w:r>
        </w:p>
        <w:p w14:paraId="21361658">
          <w:pPr>
            <w:pStyle w:val="7"/>
            <w:tabs>
              <w:tab w:val="right" w:leader="dot" w:pos="14001"/>
            </w:tabs>
          </w:pPr>
          <w:r>
            <w:rPr>
              <w:lang w:eastAsia="zh-CN"/>
            </w:rPr>
            <w:fldChar w:fldCharType="begin"/>
          </w:r>
          <w:r>
            <w:rPr>
              <w:lang w:eastAsia="zh-CN"/>
            </w:rPr>
            <w:instrText xml:space="preserve"> HYPERLINK \l _Toc14155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_Toc14155 \h </w:instrText>
          </w:r>
          <w:r>
            <w:fldChar w:fldCharType="separate"/>
          </w:r>
          <w:r>
            <w:t>13</w:t>
          </w:r>
          <w:r>
            <w:fldChar w:fldCharType="end"/>
          </w:r>
          <w:r>
            <w:rPr>
              <w:lang w:eastAsia="zh-CN"/>
            </w:rPr>
            <w:fldChar w:fldCharType="end"/>
          </w:r>
        </w:p>
        <w:p w14:paraId="0E6DEDAC">
          <w:pPr>
            <w:pStyle w:val="7"/>
            <w:tabs>
              <w:tab w:val="right" w:leader="dot" w:pos="14001"/>
            </w:tabs>
          </w:pPr>
          <w:r>
            <w:rPr>
              <w:lang w:eastAsia="zh-CN"/>
            </w:rPr>
            <w:fldChar w:fldCharType="begin"/>
          </w:r>
          <w:r>
            <w:rPr>
              <w:lang w:eastAsia="zh-CN"/>
            </w:rPr>
            <w:instrText xml:space="preserve"> HYPERLINK \l _Toc16928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_Toc16928 \h </w:instrText>
          </w:r>
          <w:r>
            <w:fldChar w:fldCharType="separate"/>
          </w:r>
          <w:r>
            <w:t>49</w:t>
          </w:r>
          <w:r>
            <w:fldChar w:fldCharType="end"/>
          </w:r>
          <w:r>
            <w:rPr>
              <w:lang w:eastAsia="zh-CN"/>
            </w:rPr>
            <w:fldChar w:fldCharType="end"/>
          </w:r>
        </w:p>
        <w:p w14:paraId="71549A76">
          <w:pPr>
            <w:pStyle w:val="2"/>
            <w:rPr>
              <w:rFonts w:ascii="Arial" w:hAnsi="Arial" w:eastAsia="Arial" w:cs="Arial"/>
              <w:b/>
              <w:snapToGrid w:val="0"/>
              <w:color w:val="000000"/>
              <w:kern w:val="0"/>
              <w:sz w:val="32"/>
              <w:szCs w:val="21"/>
              <w:lang w:val="en-US" w:eastAsia="zh-CN" w:bidi="ar-SA"/>
            </w:rPr>
          </w:pPr>
          <w:r>
            <w:rPr>
              <w:lang w:eastAsia="zh-CN"/>
            </w:rPr>
            <w:fldChar w:fldCharType="end"/>
          </w:r>
        </w:p>
      </w:sdtContent>
    </w:sdt>
    <w:p w14:paraId="770A3BE4">
      <w:pPr>
        <w:rPr>
          <w:lang w:eastAsia="zh-CN"/>
        </w:rPr>
      </w:pPr>
    </w:p>
    <w:p w14:paraId="64C5DF7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C7A8F9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560"/>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0E02CE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FD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97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390EC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36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EE52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5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69CE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8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38416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51F75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C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1098D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C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开展监督执纪执法，加强对遵守党章党规党纪、贯彻执行党的路线方针政策决议情况的监督检查，做好“互联网+监督”工作，受理和处理信访举报及问题线索。</w:t>
            </w:r>
          </w:p>
        </w:tc>
      </w:tr>
      <w:tr w14:paraId="45997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4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4DC1D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0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7A2E7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E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2BAD3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376E4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D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14FDC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5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加强村级管理，规范村级事务运行，落实村级运转经费、村干部及离任村干部待遇保障等工作。</w:t>
            </w:r>
          </w:p>
        </w:tc>
      </w:tr>
      <w:tr w14:paraId="167EF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1927F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落实党员代表大会制度和党代表任期制，开展党代表联络服务工作，保障党代表有效履职。</w:t>
            </w:r>
          </w:p>
        </w:tc>
      </w:tr>
      <w:tr w14:paraId="1FD24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46687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475E7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5F347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负责志愿服务队伍建设，提高志愿者和志愿服务组织的能力水平，动员群众就近就便参加志愿服务。</w:t>
            </w:r>
          </w:p>
        </w:tc>
      </w:tr>
      <w:tr w14:paraId="113C85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68442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0FE80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6FF49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9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1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1F3C59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B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9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08476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E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推进基层妇联组织体系和制度建设，维护妇女和儿童的合法权益，宣传指导家庭教育等工作。</w:t>
            </w:r>
          </w:p>
        </w:tc>
      </w:tr>
      <w:tr w14:paraId="4B2248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78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1630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0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792D1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4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6875B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5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31823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4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培育和发展基层商会组织，引导商会发挥经济交流、权益维护等作用，促进民营经济健康发展。</w:t>
            </w:r>
          </w:p>
        </w:tc>
      </w:tr>
      <w:tr w14:paraId="6B5AD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C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5A24E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7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4B8CE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3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01F624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AA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28A8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0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53E33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D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01CD0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A0F83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F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3C6A7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3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2E16DE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0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F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37A4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9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加强月田镇敬老院规范化管理，指导敬老院对特困人员的日常照顾，做好物质生活保障、精神慰藉和心理疏导等工作。</w:t>
            </w:r>
          </w:p>
        </w:tc>
      </w:tr>
      <w:tr w14:paraId="0512B2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7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779F5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8CD26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69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FB1C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1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B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2E16D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7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0215E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0F8D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58D99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34091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C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4CF11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E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65D37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加强法治宣传教育，全面推进社会主义法治文化、法治政府和法治乡村建设。</w:t>
            </w:r>
          </w:p>
        </w:tc>
      </w:tr>
      <w:tr w14:paraId="70B54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3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加强青少年儿童防溺水、防性侵、防霸凌宣传教育引导，落实重点水域日常巡查、隐患排查责任。</w:t>
            </w:r>
          </w:p>
        </w:tc>
      </w:tr>
      <w:tr w14:paraId="33B76E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A0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43625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7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57777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9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792EB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11A5C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E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F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4421D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落实粮食安全责任制，保障粮食生产安全，做好粮食的稳产保供工作。</w:t>
            </w:r>
          </w:p>
        </w:tc>
      </w:tr>
      <w:tr w14:paraId="6BD03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8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652C2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B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调整农业产业结构，加强良种选育与技术培训，做精做优乡村种养业。</w:t>
            </w:r>
          </w:p>
        </w:tc>
      </w:tr>
      <w:tr w14:paraId="22D23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D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F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43F82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C8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13C6A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F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5C71C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2527B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D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加强惠农服务平台建设和管理，优化农产品供给保障，提升惠农服务水平。</w:t>
            </w:r>
          </w:p>
        </w:tc>
      </w:tr>
      <w:tr w14:paraId="3AAF2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开展“悦来月田”农产品品牌创建工作，推动明师傅腐乳、竹娃笋制品等本地特色产业发展。</w:t>
            </w:r>
          </w:p>
        </w:tc>
      </w:tr>
      <w:tr w14:paraId="2C9DCB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D6C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65F3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14303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E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9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62E455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A2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68EF2B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7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2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推动网格化管理，做好人民建议征集上报工作。</w:t>
            </w:r>
          </w:p>
        </w:tc>
      </w:tr>
      <w:tr w14:paraId="639A2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26FE2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规范宗祠建设及其活动，依法办理审批手续，健全完善管理制度，发挥宗祠积极作用。</w:t>
            </w:r>
          </w:p>
        </w:tc>
      </w:tr>
      <w:tr w14:paraId="2F9ED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4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C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平江县板江乡、通城县马港镇、五里镇等地的联系，在防火、防溺水、禁放、人居环境整治、地质灾害等工作上形成联防联控联治机制，推进边贸经济、边界纠纷、边域文化等商议，化解因地界划分、资源利用、林权确认、项目建设、水源开发及保护等矛盾所引发的纠纷，防范民族宗教矛盾，共建友好睦邻。</w:t>
            </w:r>
          </w:p>
        </w:tc>
      </w:tr>
      <w:tr w14:paraId="58E2F7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7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E665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0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050117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FB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5F368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5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41A67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负责城乡居民养老保险参保登记、暂停、终止、死亡信息申报、人员信息修正与核查、重复缴纳退费及社会养老保险待遇认证等工作。</w:t>
            </w:r>
          </w:p>
        </w:tc>
      </w:tr>
      <w:tr w14:paraId="104FF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3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F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6D53E2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0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04E9A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1D42B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落实“林长制”工作要求，统筹森林资源保护发展，开展巡林护林，做好农村集体经济组织及集体土地上林权、林地流转工作，提供林业技术推广和良种服务。</w:t>
            </w:r>
          </w:p>
        </w:tc>
      </w:tr>
      <w:tr w14:paraId="580780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1C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63913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E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1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7CA37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B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组织开展环境保护宣传教育活动，加强污染源的日常排查监管，督促企业落实环保责任，依法制止并上报违法排污行为。</w:t>
            </w:r>
          </w:p>
        </w:tc>
      </w:tr>
      <w:tr w14:paraId="343793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8F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0A58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A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20110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17D4F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2D7AA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建立农村住房质量安全提醒制度，组织政策法规宣传，开展住房安全日常巡查</w:t>
            </w:r>
          </w:p>
        </w:tc>
      </w:tr>
      <w:tr w14:paraId="2CFE2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2F4F3B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0F7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3285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8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8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049D2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2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717A4B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E59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6393B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6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41039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6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46FFD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8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加强文化遗产保护传承，弘扬中华优秀传统文化，推进月田村孙家大屋、大界村万家大屋、花苗村花苗古桥等省级文物保护与文化遗产传承。</w:t>
            </w:r>
          </w:p>
        </w:tc>
      </w:tr>
      <w:tr w14:paraId="3BDD91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C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7071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7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6859A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6E8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34990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01870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B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E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3A283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39E99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5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4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5EAD4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E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4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0421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建立乡镇防汛抗旱机制，做好预案编制、物资储备、应急抢险队伍编组等防汛备汛抗旱工作，组织防洪区内的单位和群众参与防汛抗洪工作。</w:t>
            </w:r>
          </w:p>
        </w:tc>
      </w:tr>
      <w:tr w14:paraId="3D715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3DD77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D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6FD7A5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5E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3242D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D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9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434A2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629C1D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3B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5DF24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A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0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6E7488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1BB52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AF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50F98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5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10F48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9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2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280869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259286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F2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625AF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301F27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D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4E6AB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0A334B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636E0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6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D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0B666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0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52E3C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E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建立健全镇财务管理制度，编制财政预决算，加强财政预算资金、专项资金、往来资金、教育基金的使用管理，规范非税收入管理。</w:t>
            </w:r>
          </w:p>
        </w:tc>
      </w:tr>
      <w:tr w14:paraId="7F53C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1EA6F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8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8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0B0290F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415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0D9227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9A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13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2CC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8D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28A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558DE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40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C86A8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3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1EA10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9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2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w:t>
            </w:r>
            <w:bookmarkStart w:id="12" w:name="_GoBack"/>
            <w:bookmarkEnd w:id="12"/>
            <w:r>
              <w:rPr>
                <w:rFonts w:hint="eastAsia" w:ascii="Times New Roman" w:hAnsi="方正公文仿宋" w:eastAsia="方正公文仿宋"/>
                <w:kern w:val="0"/>
                <w:szCs w:val="21"/>
                <w:lang w:bidi="ar"/>
              </w:rPr>
              <w:t>、体检、考察等工作。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3C3BAA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5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70AF5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4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1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B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06828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5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4.镇党委政府具体负责组织实施，做好日常管理工作，要落实衔接资金投入，强化资金监督管理；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5.镇党委政府要具体负责组织实施，提出资金分配建议方案，提供规划、技术指导、产销对接等服务，加强项目实施组织、日常调度、资金监管和绩效管理，积极推动落实东西部协作、定点帮扶和社会帮扶力量；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35DC9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4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0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2.指导督促“两企三新”党组织落实落实党的组织生活制度，开展“三会一课”、主题党日等活动；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3.指导督促“两企三新”党组织规范使用上级下拨的党员活动经费。</w:t>
            </w:r>
          </w:p>
        </w:tc>
      </w:tr>
      <w:tr w14:paraId="36710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F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4FFF55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D27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D0427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0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5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11339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3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8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36591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A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2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5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122687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69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AA92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F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4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E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6A56F2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6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F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E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2.摸排、核查义务教育适龄儿童及辍学学生情况，协同学校开展复学劝返工作</w:t>
            </w:r>
          </w:p>
        </w:tc>
      </w:tr>
      <w:tr w14:paraId="2F5A0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C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8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46279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5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3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AA9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B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59CCB1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7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4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4CDED5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6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C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6CC56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E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7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3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7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03DE3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C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4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6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6DB1C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6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B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23CF23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92A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3B0616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6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B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1F2C7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2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4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00C79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8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2.配合公安机关落实管控措施，定期开展上门走访与疏导教育。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714FD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A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3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0A971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F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B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31D0B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01B522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9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8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4F2A4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4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2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006D52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8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6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6C53A3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0B2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74E805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2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1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1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3.农户自建用地面积30平方米以下的种植养殖设施，在符合选址要求且不需办理有关审批手续的前提下，不纳入上图入库范围，由镇人民政府组织调查摸底，实行台账管理；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4.镇人民政府对项目建设涉及违法违规占用林地的要及时制止并上报。</w:t>
            </w:r>
          </w:p>
        </w:tc>
      </w:tr>
      <w:tr w14:paraId="36FF5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E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61CF7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E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A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B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233BE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3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31D52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077FD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D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9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16A3C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3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08E45B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3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E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310DE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1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F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7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6DA40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D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2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16D60F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9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8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B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1196B5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79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6694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9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F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E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2.建立健全工作机制，强化日常管理考核，推动社区工作者履职尽责；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A58A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1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8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8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188022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6289E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3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2CE665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C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9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3742CE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53B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3A7AF7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2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B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9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1AD67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F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B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5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1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3BE875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0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8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E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46E8D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A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1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4.摸排上报违法用工、拖欠农民工工资等劳动违法行为，并跟进开展前期调解。</w:t>
            </w:r>
          </w:p>
        </w:tc>
      </w:tr>
      <w:tr w14:paraId="343F7F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C9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1D8ED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4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709C6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77957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E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205F37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7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D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440D0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F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3E4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1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354F5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7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4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22A2B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F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5EA3D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E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3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4D2B33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4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7D1ED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E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6875AB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D6B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7AD9C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CE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负责行政区域内铁山水库饮用水水资源保护工作。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县铁山水资源保护中心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1.县政府办办公室负责建立铁山水库饮用水水源生态环境保护综合行政执法机制，确定综合行政执法机构，由其统一行使本行政区域内饮用水水源保护职责。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铁山水资源保护中心牵头承担铁山饮用水源的保护和水资源的日常管理的事务性工作，对库区乡镇水资源保护工作进行指导；承担相关市直部门和其他县（市、区）的对接协调事务工作；开展库区污染防治，对污水处理厂及垃圾转运站等治污设施统一管理和维护等事务工作；落实库区民生保障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9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1.负责日常巡查、污染源排查等日常监管工作；及时制止污染水体的违法行为；负责水源保护宣传教育工作；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2.及时发现并反映违法情况；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3.积极开展植树造林，增强森林植被水源涵养功能，促进生态平衡；引导和鼓励居民使用无磷洗涤用品，施用有机肥料。</w:t>
            </w:r>
          </w:p>
        </w:tc>
      </w:tr>
      <w:tr w14:paraId="128546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7F54E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D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5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1.镇人民政府按照外来有害物种防治方案，及时向生产经营者、村(居)民通报外来物种信息;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6CEBD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75C373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A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35275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C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2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D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24D61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6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6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E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3.协助调处环境初信初访和矛盾纠纷。</w:t>
            </w:r>
          </w:p>
        </w:tc>
      </w:tr>
      <w:tr w14:paraId="6523D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D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6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2BD3FD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8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7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9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28AF50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294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694E07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B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7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7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63E0D0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F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C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8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54A80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F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9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C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0FF2A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4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9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4F995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0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9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0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23724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F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C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27F3B9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656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1B3D3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3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68611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D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E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6AAAB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D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6F410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C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2BD37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6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B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43ACC6B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7F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8246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0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03B8CB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2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1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8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03C2E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2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4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293B93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B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8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5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0DAAC6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3ED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35D1F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B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3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6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7A817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9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2A845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F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3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0BAD4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0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4935F5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4D1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F2B6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0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B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0AC15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C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4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66BFD3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9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8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0C151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9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9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F623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A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1310D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B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F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6E1C7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712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577BE9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E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627DA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9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8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6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1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5A87C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1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F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D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0E138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391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6D5A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E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2.做好志书编修，撰写报送月田镇承编志稿和相关图片、统计表格等资料；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3.续修月田镇志；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33C48C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F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E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720D7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1B775C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9FB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65DAF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9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F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8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22F6C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2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4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4970C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5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D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2B0D7F0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6928"/>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E8DFC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CF6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1A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A9D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5A269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775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7B4A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D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3C0BB0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DB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8C0E6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6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0DE92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C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3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568E3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2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16738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B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C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06D00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C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08608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7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18D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3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C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9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705BBA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B76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2FCAC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0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57CE9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A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5F7EF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E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73A70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3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C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D9D26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994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650506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9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4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6EDD0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5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4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33EA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D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5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24B45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5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D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3C949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0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5285E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4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59707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D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7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2F21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D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9796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8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9004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F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D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D0D21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6EB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2FDF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1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0BF72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6F193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F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5453F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10BBD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F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4B193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B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6ACA6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E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1440D4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C2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56A4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0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1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1693C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BF2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6E585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648EA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3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F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C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43868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D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4C3148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FE9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ECB16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F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B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017CBA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BE3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BD190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A093A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DCE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02AD5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7063C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E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4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09CC6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6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B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4F9FB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7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5B61E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2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D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493A7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4AA89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B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08346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A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C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172C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5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4F6E89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2CB4BB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C9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06C5E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2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55F2A4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7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13D2C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B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467E1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1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5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7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0853F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76B5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E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0ACC0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C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7FCF17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街道）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5344A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F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6D8E1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0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7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A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13572A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361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7E75F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E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A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547E4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F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11FC7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2D0312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9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A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78B5B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0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448AC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F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2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16FA1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A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1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4E9EB4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2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50036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0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6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B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4F64A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659A6E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300CA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D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D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18170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2C2E3C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700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8F82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2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11451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7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43BD7A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4A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479D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36BBA5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5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2BAEF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F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0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0230EE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D7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2D23C6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3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8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43A79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1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E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063DF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3EBAF8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76582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1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3751C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5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67F50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BC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9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62F55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9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071190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B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6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5955AD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6B5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713B1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0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59077D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2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38DCEB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7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049C2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D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9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7B720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8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01C05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0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D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10ECB5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9CF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7B0C9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6ED7F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9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4A52B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7EEF5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0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5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F8B8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3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7C25CFA8">
      <w:pPr>
        <w:pStyle w:val="3"/>
        <w:spacing w:before="0" w:after="0" w:line="240" w:lineRule="auto"/>
        <w:jc w:val="center"/>
        <w:rPr>
          <w:rFonts w:ascii="Times New Roman" w:hAnsi="Times New Roman" w:eastAsia="方正小标宋_GBK" w:cs="Times New Roman"/>
          <w:color w:val="auto"/>
          <w:spacing w:val="7"/>
          <w:lang w:eastAsia="zh-CN"/>
        </w:rPr>
      </w:pPr>
    </w:p>
    <w:p w14:paraId="4582A0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292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FB4DB5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FB4DB5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CA2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C242460"/>
    <w:rsid w:val="65F4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42299</Words>
  <Characters>43320</Characters>
  <Lines>1</Lines>
  <Paragraphs>1</Paragraphs>
  <TotalTime>4</TotalTime>
  <ScaleCrop>false</ScaleCrop>
  <LinksUpToDate>false</LinksUpToDate>
  <CharactersWithSpaces>43419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2025-07-09T02:44:40Z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45672736AB9043BDAB8EED535D3AC2FD_13</vt:lpwstr>
  </property>
</Properties>
</file>