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D69BB">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eastAsia="zh-CN"/>
        </w:rPr>
        <w:t>岳阳县农业农村局</w:t>
      </w:r>
      <w:r>
        <w:rPr>
          <w:rFonts w:hint="eastAsia" w:ascii="微软雅黑" w:hAnsi="微软雅黑" w:eastAsia="微软雅黑" w:cs="微软雅黑"/>
          <w:b/>
          <w:bCs/>
          <w:kern w:val="0"/>
          <w:sz w:val="72"/>
          <w:szCs w:val="72"/>
          <w:lang w:val="en-US" w:eastAsia="zh-CN"/>
        </w:rPr>
        <w:t>单位</w:t>
      </w:r>
      <w:r>
        <w:rPr>
          <w:rFonts w:hint="eastAsia" w:ascii="微软雅黑" w:hAnsi="微软雅黑" w:eastAsia="微软雅黑" w:cs="微软雅黑"/>
          <w:b/>
          <w:bCs/>
          <w:kern w:val="0"/>
          <w:sz w:val="72"/>
          <w:szCs w:val="72"/>
          <w:lang w:eastAsia="zh-CN"/>
        </w:rPr>
        <w:t>2026</w:t>
      </w:r>
      <w:r>
        <w:rPr>
          <w:rFonts w:ascii="微软雅黑" w:hAnsi="微软雅黑" w:eastAsia="微软雅黑" w:cs="微软雅黑"/>
          <w:b/>
          <w:sz w:val="72"/>
        </w:rPr>
        <w:t>年</w:t>
      </w:r>
      <w:r>
        <w:rPr>
          <w:rFonts w:hint="eastAsia" w:ascii="微软雅黑" w:hAnsi="微软雅黑" w:eastAsia="微软雅黑" w:cs="微软雅黑"/>
          <w:b/>
          <w:bCs/>
          <w:kern w:val="0"/>
          <w:sz w:val="72"/>
          <w:szCs w:val="72"/>
        </w:rPr>
        <w:t>度</w:t>
      </w:r>
    </w:p>
    <w:p w14:paraId="2979F95B">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val="en-US" w:eastAsia="zh-CN"/>
        </w:rPr>
        <w:t>单位预算</w:t>
      </w:r>
    </w:p>
    <w:p w14:paraId="18CCF037">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微软雅黑" w:hAnsi="微软雅黑" w:eastAsia="微软雅黑" w:cs="微软雅黑"/>
          <w:b/>
          <w:bCs/>
          <w:kern w:val="0"/>
          <w:sz w:val="44"/>
          <w:szCs w:val="44"/>
        </w:rPr>
      </w:pPr>
    </w:p>
    <w:p w14:paraId="1380C9D2">
      <w:pPr>
        <w:keepNext w:val="0"/>
        <w:keepLines w:val="0"/>
        <w:pageBreakBefore w:val="0"/>
        <w:widowControl/>
        <w:kinsoku/>
        <w:wordWrap/>
        <w:overflowPunct/>
        <w:topLinePunct w:val="0"/>
        <w:bidi w:val="0"/>
        <w:adjustRightInd/>
        <w:snapToGrid/>
        <w:jc w:val="center"/>
        <w:textAlignment w:val="auto"/>
        <w:rPr>
          <w:rFonts w:hint="eastAsia" w:ascii="微软雅黑" w:hAnsi="微软雅黑" w:eastAsia="微软雅黑" w:cs="微软雅黑"/>
          <w:b/>
          <w:bCs/>
          <w:kern w:val="0"/>
          <w:sz w:val="44"/>
          <w:szCs w:val="44"/>
        </w:rPr>
      </w:pPr>
      <w:r>
        <w:rPr>
          <w:rFonts w:hint="eastAsia" w:ascii="微软雅黑" w:hAnsi="微软雅黑" w:eastAsia="微软雅黑" w:cs="微软雅黑"/>
          <w:b/>
          <w:bCs/>
          <w:kern w:val="0"/>
          <w:sz w:val="44"/>
          <w:szCs w:val="44"/>
        </w:rPr>
        <w:t>目录</w:t>
      </w:r>
    </w:p>
    <w:p w14:paraId="146199C3">
      <w:pPr>
        <w:keepNext w:val="0"/>
        <w:keepLines w:val="0"/>
        <w:pageBreakBefore w:val="0"/>
        <w:widowControl/>
        <w:kinsoku/>
        <w:wordWrap/>
        <w:overflowPunct/>
        <w:topLinePunct w:val="0"/>
        <w:bidi w:val="0"/>
        <w:adjustRightInd/>
        <w:snapToGrid/>
        <w:ind w:firstLine="640" w:firstLineChars="200"/>
        <w:textAlignment w:val="auto"/>
        <w:rPr>
          <w:rFonts w:hint="eastAsia" w:ascii="微软雅黑" w:hAnsi="微软雅黑" w:eastAsia="微软雅黑" w:cs="微软雅黑"/>
          <w:b/>
          <w:bCs/>
          <w:kern w:val="0"/>
          <w:sz w:val="32"/>
          <w:szCs w:val="32"/>
        </w:rPr>
      </w:pPr>
    </w:p>
    <w:p w14:paraId="2CF5609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rPr>
        <w:t>第一部分</w:t>
      </w:r>
      <w:r>
        <w:rPr>
          <w:rFonts w:hint="eastAsia" w:ascii="微软雅黑" w:hAnsi="微软雅黑" w:eastAsia="微软雅黑" w:cs="微软雅黑"/>
          <w:b/>
          <w:bCs/>
          <w:color w:val="auto"/>
          <w:kern w:val="0"/>
          <w:sz w:val="32"/>
          <w:szCs w:val="32"/>
          <w:lang w:val="en-US" w:eastAsia="zh-CN"/>
        </w:rPr>
        <w:t xml:space="preserve">  </w:t>
      </w:r>
      <w:r>
        <w:rPr>
          <w:rFonts w:hint="eastAsia" w:ascii="微软雅黑" w:hAnsi="微软雅黑" w:eastAsia="微软雅黑" w:cs="微软雅黑"/>
          <w:b/>
          <w:bCs/>
          <w:color w:val="auto"/>
          <w:kern w:val="0"/>
          <w:sz w:val="32"/>
          <w:szCs w:val="32"/>
          <w:lang w:eastAsia="zh-CN"/>
        </w:rPr>
        <w:t>2026</w:t>
      </w:r>
      <w:r>
        <w:rPr>
          <w:rFonts w:ascii="微软雅黑" w:hAnsi="微软雅黑" w:eastAsia="微软雅黑" w:cs="微软雅黑"/>
          <w:b/>
          <w:color w:val="auto"/>
          <w:sz w:val="32"/>
        </w:rPr>
        <w:t>年</w:t>
      </w:r>
      <w:r>
        <w:rPr>
          <w:rFonts w:hint="eastAsia" w:ascii="微软雅黑" w:hAnsi="微软雅黑" w:eastAsia="微软雅黑" w:cs="微软雅黑"/>
          <w:b/>
          <w:bCs/>
          <w:color w:val="auto"/>
          <w:kern w:val="0"/>
          <w:sz w:val="32"/>
          <w:szCs w:val="32"/>
          <w:lang w:val="en-US" w:eastAsia="zh-CN"/>
        </w:rPr>
        <w:t>单位</w:t>
      </w:r>
      <w:r>
        <w:rPr>
          <w:rFonts w:hint="eastAsia" w:ascii="微软雅黑" w:hAnsi="微软雅黑" w:eastAsia="微软雅黑" w:cs="微软雅黑"/>
          <w:b/>
          <w:bCs/>
          <w:color w:val="auto"/>
          <w:kern w:val="0"/>
          <w:sz w:val="32"/>
          <w:szCs w:val="32"/>
          <w:lang w:eastAsia="zh-CN"/>
        </w:rPr>
        <w:t>预算</w:t>
      </w:r>
      <w:r>
        <w:rPr>
          <w:rFonts w:hint="eastAsia" w:ascii="微软雅黑" w:hAnsi="微软雅黑" w:eastAsia="微软雅黑" w:cs="微软雅黑"/>
          <w:b/>
          <w:bCs/>
          <w:color w:val="auto"/>
          <w:kern w:val="0"/>
          <w:sz w:val="32"/>
          <w:szCs w:val="32"/>
        </w:rPr>
        <w:t>说明</w:t>
      </w:r>
    </w:p>
    <w:p w14:paraId="2ED9396F">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单位</w:t>
      </w:r>
      <w:r>
        <w:rPr>
          <w:rFonts w:hint="eastAsia" w:ascii="微软雅黑" w:hAnsi="微软雅黑" w:eastAsia="微软雅黑" w:cs="微软雅黑"/>
          <w:b/>
          <w:bCs/>
          <w:kern w:val="0"/>
          <w:sz w:val="32"/>
          <w:szCs w:val="32"/>
          <w:lang w:eastAsia="zh-CN"/>
        </w:rPr>
        <w:t>预算</w:t>
      </w:r>
      <w:r>
        <w:rPr>
          <w:rFonts w:hint="eastAsia" w:ascii="微软雅黑" w:hAnsi="微软雅黑" w:eastAsia="微软雅黑" w:cs="微软雅黑"/>
          <w:b/>
          <w:bCs/>
          <w:kern w:val="0"/>
          <w:sz w:val="32"/>
          <w:szCs w:val="32"/>
        </w:rPr>
        <w:t>公开表格</w:t>
      </w:r>
    </w:p>
    <w:p w14:paraId="2B21504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1、收支总表</w:t>
      </w:r>
    </w:p>
    <w:p w14:paraId="48E7116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2、收入总表</w:t>
      </w:r>
    </w:p>
    <w:p w14:paraId="2B1971F5">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3、支出总表</w:t>
      </w:r>
    </w:p>
    <w:p w14:paraId="2E843803">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4、支出预算分类汇总表（按政府预算经济分类）</w:t>
      </w:r>
    </w:p>
    <w:p w14:paraId="1D8B4AB9">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5、支出预算分类汇总表（按部门预算经济分类）</w:t>
      </w:r>
    </w:p>
    <w:p w14:paraId="60C33DCF">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6、财政拨款收支总表</w:t>
      </w:r>
    </w:p>
    <w:p w14:paraId="18BBBE3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7、一般公共预算支出表</w:t>
      </w:r>
    </w:p>
    <w:p w14:paraId="7B238E31">
      <w:pPr>
        <w:widowControl/>
        <w:spacing w:line="600" w:lineRule="exact"/>
        <w:ind w:firstLine="640" w:firstLineChars="200"/>
        <w:jc w:val="left"/>
        <w:rPr>
          <w:rFonts w:hint="eastAsia" w:ascii="微软雅黑" w:hAnsi="微软雅黑" w:eastAsia="微软雅黑" w:cs="微软雅黑"/>
        </w:rPr>
      </w:pP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、一般公共预算基本支出表</w:t>
      </w:r>
    </w:p>
    <w:p w14:paraId="16CCA02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、一般公共预算基本支出表-人员经费（工资福利支出）（按政府预算经济分类）</w:t>
      </w:r>
    </w:p>
    <w:p w14:paraId="375508D2">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10</w:t>
      </w:r>
      <w:r>
        <w:rPr>
          <w:rFonts w:hint="eastAsia" w:ascii="微软雅黑" w:hAnsi="微软雅黑" w:eastAsia="微软雅黑" w:cs="微软雅黑"/>
          <w:sz w:val="32"/>
          <w:szCs w:val="32"/>
        </w:rPr>
        <w:t>、一般公共预算基本支出表-人员经费（工资福利支出）（按部门预算经济分类）</w:t>
      </w:r>
    </w:p>
    <w:p w14:paraId="42006A60">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、一般公共预算基本支出表-人员经费（对个人和家庭的补助）（按政府预算经济分类）</w:t>
      </w:r>
    </w:p>
    <w:p w14:paraId="1FD7D5F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rPr>
        <w:t>、一般公共预算基本支出表-人员经费（对个人和家庭的补助）（按部门预算经济分类）</w:t>
      </w:r>
    </w:p>
    <w:p w14:paraId="7FEC28B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经费（商品和服务支出）（按政府预算经济分类）</w:t>
      </w:r>
    </w:p>
    <w:p w14:paraId="6629E6A0">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4</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经费（商品和服务支出）（按部门预算经济分类）</w:t>
      </w:r>
    </w:p>
    <w:p w14:paraId="4187B460">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5</w:t>
      </w:r>
      <w:r>
        <w:rPr>
          <w:rFonts w:hint="eastAsia" w:ascii="微软雅黑" w:hAnsi="微软雅黑" w:eastAsia="微软雅黑" w:cs="微软雅黑"/>
          <w:sz w:val="32"/>
          <w:szCs w:val="32"/>
        </w:rPr>
        <w:t>、一般公共预算“三公”经费支出表</w:t>
      </w:r>
    </w:p>
    <w:p w14:paraId="1D51ABD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zCs w:val="32"/>
        </w:rPr>
        <w:t>、政府性基金预算支出表</w:t>
      </w:r>
    </w:p>
    <w:p w14:paraId="1D217A5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7</w:t>
      </w:r>
      <w:r>
        <w:rPr>
          <w:rFonts w:hint="eastAsia" w:ascii="微软雅黑" w:hAnsi="微软雅黑" w:eastAsia="微软雅黑" w:cs="微软雅黑"/>
          <w:sz w:val="32"/>
          <w:szCs w:val="32"/>
        </w:rPr>
        <w:t>、政府性基金预算支出分类汇总表（按政府预算经济分类）</w:t>
      </w:r>
    </w:p>
    <w:p w14:paraId="05066EA3">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、政府性基金预算支出分类汇总表（按部门预算经济分类）</w:t>
      </w:r>
    </w:p>
    <w:p w14:paraId="1376591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、国有资本经营预算支出表</w:t>
      </w:r>
    </w:p>
    <w:p w14:paraId="762CAC7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20</w:t>
      </w:r>
      <w:r>
        <w:rPr>
          <w:rFonts w:hint="eastAsia" w:ascii="微软雅黑" w:hAnsi="微软雅黑" w:eastAsia="微软雅黑" w:cs="微软雅黑"/>
          <w:sz w:val="32"/>
          <w:szCs w:val="32"/>
        </w:rPr>
        <w:t>、财政专户管理资金预算支出表</w:t>
      </w:r>
    </w:p>
    <w:p w14:paraId="59C04EE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、专项资金预算汇总表</w:t>
      </w:r>
    </w:p>
    <w:p w14:paraId="1C6DF51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项目支出</w:t>
      </w:r>
      <w:r>
        <w:rPr>
          <w:rFonts w:hint="eastAsia" w:ascii="微软雅黑" w:hAnsi="微软雅黑" w:eastAsia="微软雅黑" w:cs="微软雅黑"/>
          <w:sz w:val="32"/>
          <w:szCs w:val="32"/>
        </w:rPr>
        <w:t>绩效目标表</w:t>
      </w:r>
    </w:p>
    <w:p w14:paraId="6F09C02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、部门整体支出绩效目标表</w:t>
      </w:r>
    </w:p>
    <w:p w14:paraId="7C7DD563">
      <w:pPr>
        <w:widowControl/>
        <w:spacing w:line="600" w:lineRule="exact"/>
        <w:ind w:firstLine="640" w:firstLineChars="200"/>
        <w:rPr>
          <w:rFonts w:hint="eastAsia" w:ascii="微软雅黑" w:hAnsi="微软雅黑" w:eastAsia="微软雅黑" w:cs="微软雅黑"/>
          <w:color w:val="FF0000"/>
          <w:kern w:val="0"/>
          <w:sz w:val="32"/>
          <w:szCs w:val="32"/>
        </w:rPr>
      </w:pPr>
      <w:r>
        <w:rPr>
          <w:rFonts w:hint="eastAsia" w:ascii="微软雅黑" w:hAnsi="微软雅黑" w:eastAsia="微软雅黑" w:cs="微软雅黑"/>
          <w:b/>
          <w:bCs w:val="0"/>
          <w:color w:val="FF0000"/>
          <w:kern w:val="0"/>
          <w:sz w:val="32"/>
          <w:szCs w:val="32"/>
        </w:rPr>
        <w:t>注：以上</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lang w:eastAsia="zh-CN"/>
        </w:rPr>
        <w:t>预算</w:t>
      </w:r>
      <w:r>
        <w:rPr>
          <w:rFonts w:hint="eastAsia" w:ascii="微软雅黑" w:hAnsi="微软雅黑" w:eastAsia="微软雅黑" w:cs="微软雅黑"/>
          <w:b/>
          <w:bCs w:val="0"/>
          <w:color w:val="FF0000"/>
          <w:kern w:val="0"/>
          <w:sz w:val="32"/>
          <w:szCs w:val="32"/>
          <w:lang w:val="en-US" w:eastAsia="zh-CN"/>
        </w:rPr>
        <w:t>公开</w:t>
      </w:r>
      <w:r>
        <w:rPr>
          <w:rFonts w:hint="eastAsia" w:ascii="微软雅黑" w:hAnsi="微软雅黑" w:eastAsia="微软雅黑" w:cs="微软雅黑"/>
          <w:b/>
          <w:bCs w:val="0"/>
          <w:color w:val="FF0000"/>
          <w:kern w:val="0"/>
          <w:sz w:val="32"/>
          <w:szCs w:val="32"/>
        </w:rPr>
        <w:t>报表中，空表表示本</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rPr>
        <w:t>无相关收支情况。</w:t>
      </w:r>
    </w:p>
    <w:p w14:paraId="40EF51D8">
      <w:pPr>
        <w:keepNext w:val="0"/>
        <w:keepLines w:val="0"/>
        <w:pageBreakBefore w:val="0"/>
        <w:widowControl/>
        <w:kinsoku/>
        <w:wordWrap/>
        <w:overflowPunct/>
        <w:topLinePunct w:val="0"/>
        <w:bidi w:val="0"/>
        <w:adjustRightInd/>
        <w:snapToGrid/>
        <w:spacing w:line="600" w:lineRule="exact"/>
        <w:ind w:firstLine="420" w:firstLineChars="200"/>
        <w:jc w:val="center"/>
        <w:textAlignment w:val="auto"/>
        <w:rPr>
          <w:rFonts w:hint="eastAsia" w:ascii="微软雅黑" w:hAnsi="微软雅黑" w:eastAsia="微软雅黑" w:cs="微软雅黑"/>
          <w:b/>
          <w:bCs/>
          <w:kern w:val="0"/>
          <w:sz w:val="32"/>
          <w:szCs w:val="32"/>
        </w:rPr>
      </w:pPr>
      <w:r>
        <w:br w:type="page"/>
      </w:r>
      <w:r>
        <w:rPr>
          <w:rFonts w:hint="eastAsia" w:ascii="微软雅黑" w:hAnsi="微软雅黑" w:eastAsia="微软雅黑" w:cs="微软雅黑"/>
          <w:b/>
          <w:bCs/>
          <w:kern w:val="0"/>
          <w:sz w:val="32"/>
          <w:szCs w:val="32"/>
        </w:rPr>
        <w:t>第一部分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2026</w:t>
      </w:r>
      <w:r>
        <w:rPr>
          <w:rFonts w:ascii="微软雅黑" w:hAnsi="微软雅黑" w:eastAsia="微软雅黑" w:cs="微软雅黑"/>
          <w:b/>
          <w:sz w:val="32"/>
        </w:rPr>
        <w:t>年单位预算</w:t>
      </w:r>
      <w:r>
        <w:rPr>
          <w:rFonts w:hint="eastAsia" w:ascii="微软雅黑" w:hAnsi="微软雅黑" w:eastAsia="微软雅黑" w:cs="微软雅黑"/>
          <w:b/>
          <w:bCs/>
          <w:kern w:val="0"/>
          <w:sz w:val="32"/>
          <w:szCs w:val="32"/>
        </w:rPr>
        <w:t>说明</w:t>
      </w:r>
    </w:p>
    <w:p w14:paraId="02C602B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p>
    <w:p w14:paraId="3147000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基本概况</w:t>
      </w:r>
    </w:p>
    <w:p w14:paraId="04ECB13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（一）职能职责</w:t>
      </w:r>
    </w:p>
    <w:p w14:paraId="6C177CAA">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县农业农村局贯彻落实党中央、省委、市委关于农业和农村工作的方针政策和决策部署，全面落实县委关于农业和农村工作的部署要求，在履行职责过程中坚持和加强党对农业和农村工作的集中统一领导。主要职责是：</w:t>
      </w:r>
    </w:p>
    <w:p w14:paraId="5C167493">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1.统筹协调和组织实施全县“三农”工作发展的中长期规划、重大政策。组织或参与起草农业农村有关规范性文件和政策措施，指导和推进农业综合行政执法。落实涉农的价格、收储、金融保险、进出口等政策。</w:t>
      </w:r>
    </w:p>
    <w:p w14:paraId="64831E1E">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2.统筹推动发展农村社会事业、农村公共服务、农村文化、农村基础设施和乡村治理。牵头组织改善农村人居环境。指导农村精神文明和优秀农耕文化建设。指导农业行业安全生产和应急管理工作。</w:t>
      </w:r>
    </w:p>
    <w:p w14:paraId="15274243">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3.贯彻落实国家、省、市关于深化农村经济体制改革和巩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与发展。</w:t>
      </w:r>
    </w:p>
    <w:p w14:paraId="1E25C442">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4.指导乡村特色产业、农产品加工业、休闲农业和乡镇企业发展工作。提出促进大宗农产品流通的建议，培育、保护农业品牌。发布农业农村经济信息，监测分析农业农村经济运行。承担农业统计和农业农村信息化有关工作。</w:t>
      </w:r>
    </w:p>
    <w:p w14:paraId="29E6C922">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5.负责种植业、农业机械化等农业各产业的监督管理。指导粮食等农产品生产。组织构建现代农业产业体系、生产体系、经营体系，指导农业标准化生产。负责渔政渔港监督管理。</w:t>
      </w:r>
    </w:p>
    <w:p w14:paraId="15BED6D3">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6.负责农产品质量安全监督管理。组织开展农产品质量安全监测、追溯、风险评估，发布农产品质量安全有关信息。贯彻执行农产品质量安全国家标准，参与制定农产品质量安全地方标准并会同有关部门组织实施。指导农业检验检测体系建设。</w:t>
      </w:r>
    </w:p>
    <w:p w14:paraId="55441C57">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7.组织农业资源区划工作。指导农用地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牵头管理外来物种。</w:t>
      </w:r>
    </w:p>
    <w:p w14:paraId="31001E95">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8.负责有关农业生产资料和农业投入品的监督管理。组织农业生产资料市场体系建设。</w:t>
      </w:r>
    </w:p>
    <w:p w14:paraId="6CA1FFF6">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9.负责农业防灾减灾、农作物重大病虫害防治工作。指导动植物防疫检疫体系建设，组织、监督县内植物防疫检疫工作，发布疫情并组织扑灭。</w:t>
      </w:r>
    </w:p>
    <w:p w14:paraId="1DE5654C">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10.负责农业投资管理。编制农业投资项目建设规划，提出农业投资规模和方向、扶持农业农村发展财政项目的建设，按规定权限审批农业投资项目，负责农业投资项目资金安排和监督管理。</w:t>
      </w:r>
    </w:p>
    <w:p w14:paraId="046BE1DD">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11.推动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14:paraId="39C4992D">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12.指导农业农村人才工作。拟订农业农村人才队伍建设规划并组织实施，指导农业教育和农业职业技能开发，指导新型职业农民培育、农业科技人才培养和农村实用人才培训工作。</w:t>
      </w:r>
    </w:p>
    <w:p w14:paraId="46352E89">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13.组织参与农业对外合作工作。承办相关农业涉外事务，组织开展农业贸易促进和有关对外交流合作。具体执行有关农业援外项目。</w:t>
      </w:r>
    </w:p>
    <w:p w14:paraId="014719C9">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14.承担县委农村工作领导小组具体工作。组织开展“三农”问题的调查研究，协调督促有关方面落实县委农村工作领导小组决定事项、工作部署和要求等。</w:t>
      </w:r>
    </w:p>
    <w:p w14:paraId="1FB4E998">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15.承担县政策性水稻种植综合保险领导小组办公室的日常工作。</w:t>
      </w:r>
    </w:p>
    <w:p w14:paraId="7A72412F">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16.完成县委、县政府和县委农村工作领导小组交办的其他任务。</w:t>
      </w:r>
    </w:p>
    <w:p w14:paraId="0C3BB308">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17.职能转变。</w:t>
      </w:r>
    </w:p>
    <w:p w14:paraId="694FFADE">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（1）统筹实施乡村振兴战略，深化农业供给侧结构性改革，提升农业发展质量，扎实推进美丽乡村建设，推动农业全面升级、农村全面进步、农民全面发展，加快实现农业农村现代化。</w:t>
      </w:r>
    </w:p>
    <w:p w14:paraId="3C5802FF">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（2）加强农产品质量安全和相关农业生产资料、农业投入品的监督管理，坚持最严谨的标准、最严格的监管、最严厉的处罚、最严肃的问责，严防、严管、严控质量安全风险，让人民群众吃得放心、安心。</w:t>
      </w:r>
    </w:p>
    <w:p w14:paraId="1777BD24">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3）深入推进简政放权，加强对行业内交叉重复以及性质相同、用途相近的农业投资项目的统筹整合，在符合法律规定的前提下最大限度缩小项目审批范围，进一步下放审批权限，加强事中事后监管，切实提升支农政策效果和资金使用效益。</w:t>
      </w:r>
    </w:p>
    <w:p w14:paraId="679FD303">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18.有关职责分工。</w:t>
      </w:r>
    </w:p>
    <w:p w14:paraId="796EF81F">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与县市场监督管理局有关职责分工。县农业农村局负责食用农产品从种植养殖环节到进入批发、零售市场或生产加工企业前的质量安全监督管理。负责动植物疫病防控、畜禽屠宰环节、生鲜乳收购环节质量安全的监督管理。食用农产品进入批发、零售市场或生产加工企业后，由县市场监督管理局监督管理。两部门要建立食品安全产地准出、市场准入和追溯机制，加强协调配合和工作衔接，形成监督合力。</w:t>
      </w:r>
    </w:p>
    <w:p w14:paraId="659E4B3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 w:hAnsi="仿宋" w:eastAsia="仿宋" w:cs="仿宋_GB2312"/>
          <w:kern w:val="0"/>
          <w:sz w:val="32"/>
          <w:szCs w:val="32"/>
          <w:lang w:eastAsia="zh-CN"/>
        </w:rPr>
      </w:pPr>
      <w:r>
        <w:rPr>
          <w:rFonts w:hint="eastAsia" w:ascii="仿宋" w:hAnsi="仿宋" w:eastAsia="仿宋" w:cs="仿宋_GB2312"/>
          <w:kern w:val="0"/>
          <w:sz w:val="32"/>
          <w:szCs w:val="32"/>
        </w:rPr>
        <w:t>（2）与县财政局有关职责分工。县农业农村局会同县财政局对农村集体“资产、资源、资金”的监督管理。县农业农村局负责配合县财政局做好惠农补贴的落实和农村集体经济组织的财务审计，负责协助农业保险勘灾勘查</w:t>
      </w:r>
      <w:r>
        <w:rPr>
          <w:rFonts w:hint="eastAsia" w:ascii="仿宋" w:hAnsi="仿宋" w:eastAsia="仿宋" w:cs="仿宋_GB2312"/>
          <w:kern w:val="0"/>
          <w:sz w:val="32"/>
          <w:szCs w:val="32"/>
          <w:lang w:eastAsia="zh-CN"/>
        </w:rPr>
        <w:t>。</w:t>
      </w:r>
    </w:p>
    <w:p w14:paraId="4CCC6C4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（二）机构设置</w:t>
      </w:r>
    </w:p>
    <w:p w14:paraId="5EB341C8">
      <w:pPr>
        <w:spacing w:line="560" w:lineRule="exact"/>
        <w:ind w:firstLine="640" w:firstLineChars="200"/>
        <w:rPr>
          <w:rFonts w:ascii="仿宋" w:hAnsi="仿宋" w:eastAsia="仿宋" w:cs="仿宋_GB2312"/>
          <w:kern w:val="0"/>
          <w:sz w:val="32"/>
          <w:szCs w:val="32"/>
        </w:rPr>
      </w:pPr>
      <w:r>
        <w:rPr>
          <w:rFonts w:hint="eastAsia" w:ascii="仿宋" w:hAnsi="仿宋" w:eastAsia="仿宋" w:cs="仿宋"/>
          <w:kern w:val="0"/>
          <w:sz w:val="32"/>
          <w:szCs w:val="32"/>
        </w:rPr>
        <w:t>岳阳县农业农村局是县政府工作部门，为正科级。县农业农村局加挂县乡村振兴局牌子。县委农村工作领导小组办公室设在县农业农村局，根据县委农村工作领导小组的安排部署，承担县委农村工作领导小组日常工作。</w:t>
      </w:r>
      <w:r>
        <w:rPr>
          <w:rFonts w:hint="eastAsia" w:ascii="仿宋" w:hAnsi="仿宋" w:eastAsia="仿宋" w:cs="仿宋_GB2312"/>
          <w:kern w:val="0"/>
          <w:sz w:val="32"/>
          <w:szCs w:val="32"/>
        </w:rPr>
        <w:t>截止上年12月底机关共有22</w:t>
      </w:r>
      <w:r>
        <w:rPr>
          <w:rFonts w:hint="eastAsia" w:ascii="仿宋" w:hAnsi="仿宋" w:eastAsia="仿宋" w:cs="仿宋_GB2312"/>
          <w:kern w:val="0"/>
          <w:sz w:val="32"/>
          <w:szCs w:val="32"/>
          <w:lang w:val="en-US" w:eastAsia="zh-CN"/>
        </w:rPr>
        <w:t>2</w:t>
      </w:r>
      <w:r>
        <w:rPr>
          <w:rFonts w:hint="eastAsia" w:ascii="仿宋" w:hAnsi="仿宋" w:eastAsia="仿宋" w:cs="仿宋_GB2312"/>
          <w:kern w:val="0"/>
          <w:sz w:val="32"/>
          <w:szCs w:val="32"/>
        </w:rPr>
        <w:t>人，其中：在职</w:t>
      </w:r>
      <w:r>
        <w:rPr>
          <w:rFonts w:hint="eastAsia" w:ascii="仿宋" w:hAnsi="仿宋" w:eastAsia="仿宋" w:cs="仿宋_GB2312"/>
          <w:kern w:val="0"/>
          <w:sz w:val="32"/>
          <w:szCs w:val="32"/>
          <w:lang w:val="en-US" w:eastAsia="zh-CN"/>
        </w:rPr>
        <w:t>114</w:t>
      </w:r>
      <w:r>
        <w:rPr>
          <w:rFonts w:hint="eastAsia" w:ascii="仿宋" w:hAnsi="仿宋" w:eastAsia="仿宋" w:cs="仿宋_GB2312"/>
          <w:kern w:val="0"/>
          <w:sz w:val="32"/>
          <w:szCs w:val="32"/>
        </w:rPr>
        <w:t>人，退休人员</w:t>
      </w:r>
      <w:r>
        <w:rPr>
          <w:rFonts w:hint="eastAsia" w:ascii="仿宋" w:hAnsi="仿宋" w:eastAsia="仿宋" w:cs="仿宋_GB2312"/>
          <w:kern w:val="0"/>
          <w:sz w:val="32"/>
          <w:szCs w:val="32"/>
          <w:lang w:val="en-US" w:eastAsia="zh-CN"/>
        </w:rPr>
        <w:t>98</w:t>
      </w:r>
      <w:r>
        <w:rPr>
          <w:rFonts w:hint="eastAsia" w:ascii="仿宋" w:hAnsi="仿宋" w:eastAsia="仿宋" w:cs="仿宋_GB2312"/>
          <w:kern w:val="0"/>
          <w:sz w:val="32"/>
          <w:szCs w:val="32"/>
        </w:rPr>
        <w:t>人，三性用工7人，临聘人员3人。</w:t>
      </w:r>
    </w:p>
    <w:p w14:paraId="1DEF7A83">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县农业农村局机关设11个内设机构：办公室、法规股、乡村产业发展股、科教人事股、种植业管理股（农药管理股）、发展规划股、计划财务股、农村社会事业促进股（乡村振兴工作办公室）、农业资源保护与利用股、农产品质量安全监管股（县绿色食品办公室）、农田建设管理股。</w:t>
      </w:r>
    </w:p>
    <w:p w14:paraId="073BB9CD">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下设县农业行政执法大队、县土壤肥料工作站、县农业技术推广站、县植保植检站、县农田建设服务中心、县乡村振兴信息中心等6个非独立核算二级机构。</w:t>
      </w:r>
    </w:p>
    <w:p w14:paraId="1772AC7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二</w:t>
      </w:r>
      <w:r>
        <w:rPr>
          <w:rFonts w:hint="eastAsia" w:ascii="微软雅黑" w:hAnsi="微软雅黑" w:eastAsia="微软雅黑" w:cs="微软雅黑"/>
          <w:b/>
          <w:bCs/>
          <w:kern w:val="0"/>
          <w:sz w:val="32"/>
          <w:szCs w:val="32"/>
          <w:lang w:eastAsia="zh-CN"/>
        </w:rPr>
        <w:t>、</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收支总体情况</w:t>
      </w:r>
    </w:p>
    <w:p w14:paraId="7BD5776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rPr>
        <w:t>（一）收入预算</w:t>
      </w:r>
    </w:p>
    <w:p w14:paraId="2174AC60">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包括一般公共预算、政府性基金、国有资本经营预算等财政拨款收入，以及经营收入、事业收入等单位资金。202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年本单位收入预算</w:t>
      </w:r>
      <w:r>
        <w:rPr>
          <w:rFonts w:hint="eastAsia" w:ascii="仿宋" w:hAnsi="仿宋" w:eastAsia="仿宋" w:cs="仿宋_GB2312"/>
          <w:kern w:val="0"/>
          <w:sz w:val="32"/>
          <w:szCs w:val="32"/>
          <w:lang w:val="en-US" w:eastAsia="zh-CN"/>
        </w:rPr>
        <w:t>42852.45</w:t>
      </w:r>
      <w:r>
        <w:rPr>
          <w:rFonts w:hint="eastAsia" w:ascii="仿宋" w:hAnsi="仿宋" w:eastAsia="仿宋" w:cs="仿宋_GB2312"/>
          <w:kern w:val="0"/>
          <w:sz w:val="32"/>
          <w:szCs w:val="32"/>
        </w:rPr>
        <w:t>万元，其中，一般公共预算拨款</w:t>
      </w:r>
      <w:r>
        <w:rPr>
          <w:rFonts w:hint="eastAsia" w:ascii="仿宋" w:hAnsi="仿宋" w:eastAsia="仿宋" w:cs="仿宋_GB2312"/>
          <w:kern w:val="0"/>
          <w:sz w:val="32"/>
          <w:szCs w:val="32"/>
          <w:lang w:val="en-US" w:eastAsia="zh-CN"/>
        </w:rPr>
        <w:t>1709.55</w:t>
      </w:r>
      <w:r>
        <w:rPr>
          <w:rFonts w:hint="eastAsia" w:ascii="仿宋" w:hAnsi="仿宋" w:eastAsia="仿宋" w:cs="仿宋_GB2312"/>
          <w:kern w:val="0"/>
          <w:sz w:val="32"/>
          <w:szCs w:val="32"/>
        </w:rPr>
        <w:t>万元，政府性基金预算拨款0万元，国有资本经营预算拨款0万元，财政专户管理资金0万元，上级补助收入</w:t>
      </w:r>
      <w:r>
        <w:rPr>
          <w:rFonts w:hint="eastAsia" w:ascii="仿宋" w:hAnsi="仿宋" w:eastAsia="仿宋" w:cs="仿宋_GB2312"/>
          <w:kern w:val="0"/>
          <w:sz w:val="32"/>
          <w:szCs w:val="32"/>
          <w:lang w:val="en-US" w:eastAsia="zh-CN"/>
        </w:rPr>
        <w:t>40828.23</w:t>
      </w:r>
      <w:r>
        <w:rPr>
          <w:rFonts w:hint="eastAsia" w:ascii="仿宋" w:hAnsi="仿宋" w:eastAsia="仿宋" w:cs="仿宋_GB2312"/>
          <w:kern w:val="0"/>
          <w:sz w:val="32"/>
          <w:szCs w:val="32"/>
        </w:rPr>
        <w:t>万元，事业单位经营收入0万元，上年结转</w:t>
      </w:r>
      <w:r>
        <w:rPr>
          <w:rFonts w:hint="eastAsia" w:ascii="仿宋" w:hAnsi="仿宋" w:eastAsia="仿宋" w:cs="仿宋_GB2312"/>
          <w:kern w:val="0"/>
          <w:sz w:val="32"/>
          <w:szCs w:val="32"/>
          <w:lang w:val="en-US" w:eastAsia="zh-CN"/>
        </w:rPr>
        <w:t>314.67</w:t>
      </w:r>
      <w:r>
        <w:rPr>
          <w:rFonts w:hint="eastAsia" w:ascii="仿宋" w:hAnsi="仿宋" w:eastAsia="仿宋" w:cs="仿宋_GB2312"/>
          <w:kern w:val="0"/>
          <w:sz w:val="32"/>
          <w:szCs w:val="32"/>
        </w:rPr>
        <w:t>万元。</w:t>
      </w:r>
    </w:p>
    <w:p w14:paraId="774C0676">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本单位202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没有政府性基金预算拨款和纳入专户管理的非税拨款收入，也没有使用政府性基金预算拨款、国有资本经营预算收入和纳入专户管理的非税收入拨款安排的支出，所以公开的附件16-18（政府性基金预算）、19（国有资本经营预算）、20表（财政专户管理资金预算）均为空。</w:t>
      </w:r>
    </w:p>
    <w:p w14:paraId="1A382996">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收入较去年增加</w:t>
      </w:r>
      <w:r>
        <w:rPr>
          <w:rFonts w:hint="eastAsia" w:ascii="仿宋" w:hAnsi="仿宋" w:eastAsia="仿宋" w:cs="仿宋_GB2312"/>
          <w:kern w:val="0"/>
          <w:sz w:val="32"/>
          <w:szCs w:val="32"/>
          <w:lang w:val="en-US" w:eastAsia="zh-CN"/>
        </w:rPr>
        <w:t>15971.15</w:t>
      </w:r>
      <w:r>
        <w:rPr>
          <w:rFonts w:hint="eastAsia" w:ascii="仿宋" w:hAnsi="仿宋" w:eastAsia="仿宋" w:cs="仿宋_GB2312"/>
          <w:kern w:val="0"/>
          <w:sz w:val="32"/>
          <w:szCs w:val="32"/>
        </w:rPr>
        <w:t>万元，主要是因为项目增大了预算投入。</w:t>
      </w:r>
    </w:p>
    <w:p w14:paraId="3F53B1DB">
      <w:pPr>
        <w:widowControl/>
        <w:spacing w:line="600" w:lineRule="exact"/>
        <w:ind w:firstLine="628" w:firstLineChars="196"/>
        <w:jc w:val="left"/>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（二）支出预算</w:t>
      </w:r>
    </w:p>
    <w:p w14:paraId="4E368F85">
      <w:pPr>
        <w:spacing w:line="560" w:lineRule="exact"/>
        <w:ind w:firstLine="640" w:firstLineChars="200"/>
        <w:rPr>
          <w:rFonts w:hint="eastAsia" w:ascii="仿宋" w:hAnsi="仿宋" w:eastAsia="仿宋" w:cs="仿宋_GB2312"/>
          <w:kern w:val="0"/>
          <w:sz w:val="32"/>
          <w:szCs w:val="32"/>
          <w:lang w:eastAsia="zh-CN"/>
        </w:rPr>
      </w:pP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年本单位</w:t>
      </w:r>
      <w:r>
        <w:rPr>
          <w:rFonts w:ascii="仿宋" w:hAnsi="仿宋" w:eastAsia="仿宋" w:cs="仿宋_GB2312"/>
          <w:kern w:val="0"/>
          <w:sz w:val="32"/>
          <w:szCs w:val="32"/>
        </w:rPr>
        <w:t>支出预</w:t>
      </w:r>
      <w:r>
        <w:rPr>
          <w:rFonts w:hint="eastAsia" w:ascii="仿宋" w:hAnsi="仿宋" w:eastAsia="仿宋" w:cs="仿宋_GB2312"/>
          <w:kern w:val="0"/>
          <w:sz w:val="32"/>
          <w:szCs w:val="32"/>
          <w:lang w:eastAsia="zh-CN"/>
        </w:rPr>
        <w:t>算</w:t>
      </w:r>
      <w:r>
        <w:rPr>
          <w:rFonts w:hint="eastAsia" w:ascii="仿宋" w:hAnsi="仿宋" w:eastAsia="仿宋" w:cs="仿宋_GB2312"/>
          <w:kern w:val="0"/>
          <w:sz w:val="32"/>
          <w:szCs w:val="32"/>
          <w:lang w:val="en-US" w:eastAsia="zh-CN"/>
        </w:rPr>
        <w:t>42852.45</w:t>
      </w:r>
      <w:r>
        <w:rPr>
          <w:rFonts w:ascii="仿宋" w:hAnsi="仿宋" w:eastAsia="仿宋" w:cs="仿宋_GB2312"/>
          <w:kern w:val="0"/>
          <w:sz w:val="32"/>
          <w:szCs w:val="32"/>
        </w:rPr>
        <w:t>万元，其中，</w:t>
      </w:r>
      <w:r>
        <w:rPr>
          <w:rFonts w:hint="eastAsia" w:ascii="仿宋" w:hAnsi="仿宋" w:eastAsia="仿宋" w:cs="仿宋_GB2312"/>
          <w:kern w:val="0"/>
          <w:sz w:val="32"/>
          <w:szCs w:val="32"/>
        </w:rPr>
        <w:t>社会保障和就业科目支出</w:t>
      </w:r>
      <w:r>
        <w:rPr>
          <w:rFonts w:hint="eastAsia" w:ascii="仿宋" w:hAnsi="仿宋" w:eastAsia="仿宋" w:cs="仿宋_GB2312"/>
          <w:kern w:val="0"/>
          <w:sz w:val="32"/>
          <w:szCs w:val="32"/>
          <w:lang w:val="en-US" w:eastAsia="zh-CN"/>
        </w:rPr>
        <w:t>143.82</w:t>
      </w:r>
      <w:r>
        <w:rPr>
          <w:rFonts w:ascii="仿宋" w:hAnsi="仿宋" w:eastAsia="仿宋" w:cs="仿宋_GB2312"/>
          <w:kern w:val="0"/>
          <w:sz w:val="32"/>
          <w:szCs w:val="32"/>
        </w:rPr>
        <w:t>万元，</w:t>
      </w:r>
      <w:r>
        <w:rPr>
          <w:rFonts w:hint="eastAsia" w:ascii="仿宋" w:hAnsi="仿宋" w:eastAsia="仿宋" w:cs="仿宋_GB2312"/>
          <w:kern w:val="0"/>
          <w:sz w:val="32"/>
          <w:szCs w:val="32"/>
        </w:rPr>
        <w:t>卫生健康支出科目支出</w:t>
      </w:r>
      <w:r>
        <w:rPr>
          <w:rFonts w:hint="eastAsia" w:ascii="仿宋" w:hAnsi="仿宋" w:eastAsia="仿宋" w:cs="仿宋_GB2312"/>
          <w:kern w:val="0"/>
          <w:sz w:val="32"/>
          <w:szCs w:val="32"/>
          <w:lang w:val="en-US" w:eastAsia="zh-CN"/>
        </w:rPr>
        <w:t>80.37</w:t>
      </w:r>
      <w:r>
        <w:rPr>
          <w:rFonts w:hint="eastAsia" w:ascii="仿宋" w:hAnsi="仿宋" w:eastAsia="仿宋" w:cs="仿宋_GB2312"/>
          <w:kern w:val="0"/>
          <w:sz w:val="32"/>
          <w:szCs w:val="32"/>
        </w:rPr>
        <w:t>万元，农林水支出科目支出</w:t>
      </w:r>
      <w:r>
        <w:rPr>
          <w:rFonts w:hint="eastAsia" w:ascii="仿宋" w:hAnsi="仿宋" w:eastAsia="仿宋" w:cs="仿宋_GB2312"/>
          <w:kern w:val="0"/>
          <w:sz w:val="32"/>
          <w:szCs w:val="32"/>
          <w:lang w:val="en-US" w:eastAsia="zh-CN"/>
        </w:rPr>
        <w:t>42526.74万元</w:t>
      </w:r>
      <w:r>
        <w:rPr>
          <w:rFonts w:hint="eastAsia" w:ascii="仿宋" w:hAnsi="仿宋" w:eastAsia="仿宋" w:cs="仿宋_GB2312"/>
          <w:kern w:val="0"/>
          <w:sz w:val="32"/>
          <w:szCs w:val="32"/>
        </w:rPr>
        <w:t>，住房保障支出</w:t>
      </w:r>
      <w:r>
        <w:rPr>
          <w:rFonts w:hint="eastAsia" w:ascii="仿宋" w:hAnsi="仿宋" w:eastAsia="仿宋" w:cs="仿宋_GB2312"/>
          <w:kern w:val="0"/>
          <w:sz w:val="32"/>
          <w:szCs w:val="32"/>
          <w:lang w:val="en-US" w:eastAsia="zh-CN"/>
        </w:rPr>
        <w:t>101.52</w:t>
      </w:r>
      <w:r>
        <w:rPr>
          <w:rFonts w:hint="eastAsia" w:ascii="仿宋" w:hAnsi="仿宋" w:eastAsia="仿宋" w:cs="仿宋_GB2312"/>
          <w:kern w:val="0"/>
          <w:sz w:val="32"/>
          <w:szCs w:val="32"/>
        </w:rPr>
        <w:t>万元</w:t>
      </w:r>
      <w:r>
        <w:rPr>
          <w:rFonts w:hint="eastAsia" w:ascii="仿宋" w:hAnsi="仿宋" w:eastAsia="仿宋" w:cs="仿宋_GB2312"/>
          <w:kern w:val="0"/>
          <w:sz w:val="32"/>
          <w:szCs w:val="32"/>
          <w:lang w:eastAsia="zh-CN"/>
        </w:rPr>
        <w:t>，</w:t>
      </w:r>
    </w:p>
    <w:p w14:paraId="10F95FBB">
      <w:pPr>
        <w:spacing w:line="560" w:lineRule="exact"/>
        <w:ind w:firstLine="640" w:firstLineChars="200"/>
        <w:rPr>
          <w:rFonts w:hint="eastAsia" w:ascii="微软雅黑" w:hAnsi="微软雅黑" w:eastAsia="微软雅黑" w:cs="微软雅黑"/>
          <w:kern w:val="0"/>
          <w:sz w:val="32"/>
          <w:szCs w:val="32"/>
        </w:rPr>
      </w:pPr>
      <w:r>
        <w:rPr>
          <w:rFonts w:hint="eastAsia" w:ascii="仿宋" w:hAnsi="仿宋" w:eastAsia="仿宋" w:cs="仿宋_GB2312"/>
          <w:kern w:val="0"/>
          <w:sz w:val="32"/>
          <w:szCs w:val="32"/>
        </w:rPr>
        <w:t>支出较去年增加</w:t>
      </w:r>
      <w:r>
        <w:rPr>
          <w:rFonts w:hint="eastAsia" w:ascii="仿宋" w:hAnsi="仿宋" w:eastAsia="仿宋" w:cs="仿宋_GB2312"/>
          <w:kern w:val="0"/>
          <w:sz w:val="32"/>
          <w:szCs w:val="32"/>
          <w:lang w:val="en-US" w:eastAsia="zh-CN"/>
        </w:rPr>
        <w:t>15971.15</w:t>
      </w:r>
      <w:r>
        <w:rPr>
          <w:rFonts w:hint="eastAsia" w:ascii="仿宋" w:hAnsi="仿宋" w:eastAsia="仿宋" w:cs="仿宋_GB2312"/>
          <w:kern w:val="0"/>
          <w:sz w:val="32"/>
          <w:szCs w:val="32"/>
        </w:rPr>
        <w:t>万元，其中基本支出增加</w:t>
      </w:r>
      <w:r>
        <w:rPr>
          <w:rFonts w:hint="eastAsia" w:ascii="仿宋" w:hAnsi="仿宋" w:eastAsia="仿宋" w:cs="仿宋_GB2312"/>
          <w:kern w:val="0"/>
          <w:sz w:val="32"/>
          <w:szCs w:val="32"/>
          <w:lang w:val="en-US" w:eastAsia="zh-CN"/>
        </w:rPr>
        <w:t>202.76</w:t>
      </w:r>
      <w:r>
        <w:rPr>
          <w:rFonts w:hint="eastAsia" w:ascii="仿宋" w:hAnsi="仿宋" w:eastAsia="仿宋" w:cs="仿宋_GB2312"/>
          <w:kern w:val="0"/>
          <w:sz w:val="32"/>
          <w:szCs w:val="32"/>
        </w:rPr>
        <w:t>万元，项目支出增加</w:t>
      </w:r>
      <w:r>
        <w:rPr>
          <w:rFonts w:hint="eastAsia" w:ascii="仿宋" w:hAnsi="仿宋" w:eastAsia="仿宋" w:cs="仿宋_GB2312"/>
          <w:kern w:val="0"/>
          <w:sz w:val="32"/>
          <w:szCs w:val="32"/>
          <w:lang w:val="en-US" w:eastAsia="zh-CN"/>
        </w:rPr>
        <w:t>15768.39</w:t>
      </w:r>
      <w:r>
        <w:rPr>
          <w:rFonts w:hint="eastAsia" w:ascii="仿宋" w:hAnsi="仿宋" w:eastAsia="仿宋" w:cs="仿宋_GB2312"/>
          <w:kern w:val="0"/>
          <w:sz w:val="32"/>
          <w:szCs w:val="32"/>
        </w:rPr>
        <w:t>万元。其中基本支出较上年增加主要是因为我单位增加了人员预算支出，项目支出增加主要是因为项目增大了投入预算相应增加了对应支出的预算。</w:t>
      </w:r>
    </w:p>
    <w:p w14:paraId="16245240">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三、</w:t>
      </w:r>
      <w:r>
        <w:rPr>
          <w:rFonts w:hint="eastAsia" w:ascii="微软雅黑" w:hAnsi="微软雅黑" w:eastAsia="微软雅黑" w:cs="微软雅黑"/>
          <w:b/>
          <w:bCs/>
          <w:kern w:val="0"/>
          <w:sz w:val="32"/>
          <w:szCs w:val="32"/>
        </w:rPr>
        <w:t>一般公共预算拨款支出预算</w:t>
      </w:r>
    </w:p>
    <w:p w14:paraId="48BE7B78">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年一般公共预算拨款支出预算</w:t>
      </w:r>
      <w:r>
        <w:rPr>
          <w:rFonts w:hint="eastAsia" w:ascii="仿宋" w:hAnsi="仿宋" w:eastAsia="仿宋" w:cs="仿宋_GB2312"/>
          <w:kern w:val="0"/>
          <w:sz w:val="32"/>
          <w:szCs w:val="32"/>
          <w:lang w:val="en-US" w:eastAsia="zh-CN"/>
        </w:rPr>
        <w:t>42852.45</w:t>
      </w:r>
      <w:r>
        <w:rPr>
          <w:rFonts w:hint="eastAsia" w:ascii="仿宋" w:hAnsi="仿宋" w:eastAsia="仿宋" w:cs="仿宋_GB2312"/>
          <w:kern w:val="0"/>
          <w:sz w:val="32"/>
          <w:szCs w:val="32"/>
        </w:rPr>
        <w:t>万元，其中</w:t>
      </w:r>
      <w:r>
        <w:rPr>
          <w:rFonts w:ascii="仿宋" w:hAnsi="仿宋" w:eastAsia="仿宋" w:cs="仿宋_GB2312"/>
          <w:kern w:val="0"/>
          <w:sz w:val="32"/>
          <w:szCs w:val="32"/>
        </w:rPr>
        <w:t>，</w:t>
      </w:r>
      <w:r>
        <w:rPr>
          <w:rFonts w:hint="eastAsia" w:ascii="仿宋" w:hAnsi="仿宋" w:eastAsia="仿宋" w:cs="仿宋_GB2312"/>
          <w:kern w:val="0"/>
          <w:sz w:val="32"/>
          <w:szCs w:val="32"/>
        </w:rPr>
        <w:t>社会保障和就业支出</w:t>
      </w:r>
      <w:r>
        <w:rPr>
          <w:rFonts w:ascii="仿宋" w:hAnsi="仿宋" w:eastAsia="仿宋" w:cs="仿宋_GB2312"/>
          <w:kern w:val="0"/>
          <w:sz w:val="32"/>
          <w:szCs w:val="32"/>
        </w:rPr>
        <w:t>1</w:t>
      </w:r>
      <w:r>
        <w:rPr>
          <w:rFonts w:hint="eastAsia" w:ascii="仿宋" w:hAnsi="仿宋" w:eastAsia="仿宋" w:cs="仿宋_GB2312"/>
          <w:kern w:val="0"/>
          <w:sz w:val="32"/>
          <w:szCs w:val="32"/>
          <w:lang w:val="en-US" w:eastAsia="zh-CN"/>
        </w:rPr>
        <w:t>43.82</w:t>
      </w:r>
      <w:r>
        <w:rPr>
          <w:rFonts w:ascii="仿宋" w:hAnsi="仿宋" w:eastAsia="仿宋" w:cs="仿宋_GB2312"/>
          <w:kern w:val="0"/>
          <w:sz w:val="32"/>
          <w:szCs w:val="32"/>
        </w:rPr>
        <w:t>万元，占</w:t>
      </w:r>
      <w:r>
        <w:rPr>
          <w:rFonts w:hint="eastAsia" w:ascii="仿宋" w:hAnsi="仿宋" w:eastAsia="仿宋" w:cs="仿宋_GB2312"/>
          <w:kern w:val="0"/>
          <w:sz w:val="32"/>
          <w:szCs w:val="32"/>
        </w:rPr>
        <w:t>0.</w:t>
      </w:r>
      <w:r>
        <w:rPr>
          <w:rFonts w:hint="eastAsia" w:ascii="仿宋" w:hAnsi="仿宋" w:eastAsia="仿宋" w:cs="仿宋_GB2312"/>
          <w:kern w:val="0"/>
          <w:sz w:val="32"/>
          <w:szCs w:val="32"/>
          <w:lang w:val="en-US" w:eastAsia="zh-CN"/>
        </w:rPr>
        <w:t>33</w:t>
      </w:r>
      <w:r>
        <w:rPr>
          <w:rFonts w:hint="eastAsia" w:ascii="仿宋" w:hAnsi="仿宋" w:eastAsia="仿宋" w:cs="仿宋_GB2312"/>
          <w:kern w:val="0"/>
          <w:sz w:val="32"/>
          <w:szCs w:val="32"/>
        </w:rPr>
        <w:t>%</w:t>
      </w:r>
      <w:r>
        <w:rPr>
          <w:rFonts w:ascii="仿宋" w:hAnsi="仿宋" w:eastAsia="仿宋" w:cs="仿宋_GB2312"/>
          <w:kern w:val="0"/>
          <w:sz w:val="32"/>
          <w:szCs w:val="32"/>
        </w:rPr>
        <w:t>；</w:t>
      </w:r>
      <w:r>
        <w:rPr>
          <w:rFonts w:hint="eastAsia" w:ascii="仿宋" w:hAnsi="仿宋" w:eastAsia="仿宋" w:cs="仿宋_GB2312"/>
          <w:kern w:val="0"/>
          <w:sz w:val="32"/>
          <w:szCs w:val="32"/>
        </w:rPr>
        <w:t>卫生健康支出</w:t>
      </w:r>
      <w:r>
        <w:rPr>
          <w:rFonts w:hint="eastAsia" w:ascii="仿宋" w:hAnsi="仿宋" w:eastAsia="仿宋" w:cs="仿宋_GB2312"/>
          <w:kern w:val="0"/>
          <w:sz w:val="32"/>
          <w:szCs w:val="32"/>
          <w:lang w:val="en-US" w:eastAsia="zh-CN"/>
        </w:rPr>
        <w:t>80.37</w:t>
      </w:r>
      <w:r>
        <w:rPr>
          <w:rFonts w:hint="eastAsia" w:ascii="仿宋" w:hAnsi="仿宋" w:eastAsia="仿宋" w:cs="仿宋_GB2312"/>
          <w:kern w:val="0"/>
          <w:sz w:val="32"/>
          <w:szCs w:val="32"/>
        </w:rPr>
        <w:t>万元，占0.</w:t>
      </w:r>
      <w:r>
        <w:rPr>
          <w:rFonts w:hint="eastAsia" w:ascii="仿宋" w:hAnsi="仿宋" w:eastAsia="仿宋" w:cs="仿宋_GB2312"/>
          <w:kern w:val="0"/>
          <w:sz w:val="32"/>
          <w:szCs w:val="32"/>
          <w:lang w:val="en-US" w:eastAsia="zh-CN"/>
        </w:rPr>
        <w:t>18</w:t>
      </w:r>
      <w:r>
        <w:rPr>
          <w:rFonts w:hint="eastAsia" w:ascii="仿宋" w:hAnsi="仿宋" w:eastAsia="仿宋" w:cs="仿宋_GB2312"/>
          <w:kern w:val="0"/>
          <w:sz w:val="32"/>
          <w:szCs w:val="32"/>
        </w:rPr>
        <w:t>%；农林水支出</w:t>
      </w:r>
      <w:r>
        <w:rPr>
          <w:rFonts w:hint="eastAsia" w:ascii="仿宋" w:hAnsi="仿宋" w:eastAsia="仿宋" w:cs="仿宋_GB2312"/>
          <w:kern w:val="0"/>
          <w:sz w:val="32"/>
          <w:szCs w:val="32"/>
          <w:lang w:val="en-US" w:eastAsia="zh-CN"/>
        </w:rPr>
        <w:t>42526.74</w:t>
      </w:r>
      <w:r>
        <w:rPr>
          <w:rFonts w:hint="eastAsia" w:ascii="仿宋" w:hAnsi="仿宋" w:eastAsia="仿宋" w:cs="仿宋_GB2312"/>
          <w:kern w:val="0"/>
          <w:sz w:val="32"/>
          <w:szCs w:val="32"/>
        </w:rPr>
        <w:t>万元，占</w:t>
      </w:r>
      <w:r>
        <w:rPr>
          <w:rFonts w:hint="eastAsia" w:ascii="仿宋" w:hAnsi="仿宋" w:eastAsia="仿宋" w:cs="仿宋_GB2312"/>
          <w:kern w:val="0"/>
          <w:sz w:val="32"/>
          <w:szCs w:val="32"/>
          <w:lang w:val="en-US" w:eastAsia="zh-CN"/>
        </w:rPr>
        <w:t>99.23</w:t>
      </w:r>
      <w:r>
        <w:rPr>
          <w:rFonts w:hint="eastAsia" w:ascii="仿宋" w:hAnsi="仿宋" w:eastAsia="仿宋" w:cs="仿宋_GB2312"/>
          <w:kern w:val="0"/>
          <w:sz w:val="32"/>
          <w:szCs w:val="32"/>
        </w:rPr>
        <w:t>%；住房保障支出</w:t>
      </w:r>
      <w:r>
        <w:rPr>
          <w:rFonts w:hint="eastAsia" w:ascii="仿宋" w:hAnsi="仿宋" w:eastAsia="仿宋" w:cs="仿宋_GB2312"/>
          <w:kern w:val="0"/>
          <w:sz w:val="32"/>
          <w:szCs w:val="32"/>
          <w:lang w:val="en-US" w:eastAsia="zh-CN"/>
        </w:rPr>
        <w:t>101.52</w:t>
      </w:r>
      <w:r>
        <w:rPr>
          <w:rFonts w:hint="eastAsia" w:ascii="仿宋" w:hAnsi="仿宋" w:eastAsia="仿宋" w:cs="仿宋_GB2312"/>
          <w:kern w:val="0"/>
          <w:sz w:val="32"/>
          <w:szCs w:val="32"/>
        </w:rPr>
        <w:t>万元，占0.</w:t>
      </w:r>
      <w:r>
        <w:rPr>
          <w:rFonts w:hint="eastAsia" w:ascii="仿宋" w:hAnsi="仿宋" w:eastAsia="仿宋" w:cs="仿宋_GB2312"/>
          <w:kern w:val="0"/>
          <w:sz w:val="32"/>
          <w:szCs w:val="32"/>
          <w:lang w:val="en-US" w:eastAsia="zh-CN"/>
        </w:rPr>
        <w:t>24</w:t>
      </w:r>
      <w:r>
        <w:rPr>
          <w:rFonts w:hint="eastAsia" w:ascii="仿宋" w:hAnsi="仿宋" w:eastAsia="仿宋" w:cs="仿宋_GB2312"/>
          <w:kern w:val="0"/>
          <w:sz w:val="32"/>
          <w:szCs w:val="32"/>
        </w:rPr>
        <w:t>%</w:t>
      </w: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rPr>
        <w:t>具体安排情况如下：</w:t>
      </w:r>
    </w:p>
    <w:p w14:paraId="31726668">
      <w:pPr>
        <w:spacing w:line="560" w:lineRule="exact"/>
        <w:ind w:firstLine="640" w:firstLineChars="200"/>
        <w:rPr>
          <w:rFonts w:ascii="仿宋" w:hAnsi="仿宋" w:eastAsia="仿宋" w:cs="仿宋_GB2312"/>
          <w:kern w:val="0"/>
          <w:sz w:val="32"/>
          <w:szCs w:val="32"/>
        </w:rPr>
      </w:pPr>
      <w:r>
        <w:rPr>
          <w:rFonts w:hint="eastAsia" w:ascii="微软雅黑" w:hAnsi="微软雅黑" w:eastAsia="微软雅黑" w:cs="微软雅黑"/>
          <w:b/>
          <w:bCs/>
          <w:kern w:val="0"/>
          <w:sz w:val="32"/>
          <w:szCs w:val="32"/>
        </w:rPr>
        <w:t>（一）基本支出</w:t>
      </w:r>
      <w:r>
        <w:rPr>
          <w:rFonts w:hint="eastAsia" w:ascii="微软雅黑" w:hAnsi="微软雅黑" w:eastAsia="微软雅黑" w:cs="微软雅黑"/>
          <w:kern w:val="0"/>
          <w:sz w:val="32"/>
          <w:szCs w:val="32"/>
          <w:lang w:eastAsia="zh-CN"/>
        </w:rPr>
        <w:t>：</w:t>
      </w: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年基本支出年初预算数为</w:t>
      </w:r>
      <w:r>
        <w:rPr>
          <w:rFonts w:hint="eastAsia" w:ascii="仿宋" w:hAnsi="仿宋" w:eastAsia="仿宋" w:cs="仿宋_GB2312"/>
          <w:kern w:val="0"/>
          <w:sz w:val="32"/>
          <w:szCs w:val="32"/>
          <w:lang w:val="en-US" w:eastAsia="zh-CN"/>
        </w:rPr>
        <w:t>2217.86</w:t>
      </w:r>
      <w:r>
        <w:rPr>
          <w:rFonts w:hint="eastAsia" w:ascii="仿宋" w:hAnsi="仿宋" w:eastAsia="仿宋" w:cs="仿宋_GB2312"/>
          <w:kern w:val="0"/>
          <w:sz w:val="32"/>
          <w:szCs w:val="32"/>
        </w:rPr>
        <w:t>万元，是指为保障单位机构正常运转、完成日常工作任务而发生的各项支出，包括用于基本工资、津贴补贴等人员经费以及办公费、印刷费、水电费、差旅费等日常公用经费。</w:t>
      </w:r>
    </w:p>
    <w:p w14:paraId="05466064">
      <w:pPr>
        <w:widowControl/>
        <w:spacing w:line="600" w:lineRule="exact"/>
        <w:ind w:firstLine="660"/>
        <w:jc w:val="left"/>
        <w:rPr>
          <w:rFonts w:hint="eastAsia" w:ascii="微软雅黑" w:hAnsi="微软雅黑" w:eastAsia="微软雅黑" w:cs="微软雅黑"/>
          <w:sz w:val="32"/>
          <w:szCs w:val="32"/>
        </w:rPr>
      </w:pPr>
      <w:r>
        <w:rPr>
          <w:rFonts w:hint="eastAsia" w:ascii="微软雅黑" w:hAnsi="微软雅黑" w:eastAsia="微软雅黑" w:cs="微软雅黑"/>
          <w:b/>
          <w:bCs/>
          <w:kern w:val="0"/>
          <w:sz w:val="32"/>
          <w:szCs w:val="32"/>
        </w:rPr>
        <w:t>（二）项目支出</w:t>
      </w:r>
      <w:r>
        <w:rPr>
          <w:rFonts w:hint="eastAsia" w:ascii="微软雅黑" w:hAnsi="微软雅黑" w:eastAsia="微软雅黑" w:cs="微软雅黑"/>
          <w:kern w:val="0"/>
          <w:sz w:val="32"/>
          <w:szCs w:val="32"/>
        </w:rPr>
        <w:t>：</w:t>
      </w: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年项目支出年初预算数为</w:t>
      </w:r>
      <w:r>
        <w:rPr>
          <w:rFonts w:hint="eastAsia" w:ascii="仿宋" w:hAnsi="仿宋" w:eastAsia="仿宋" w:cs="仿宋_GB2312"/>
          <w:kern w:val="0"/>
          <w:sz w:val="32"/>
          <w:szCs w:val="32"/>
          <w:lang w:val="en-US" w:eastAsia="zh-CN"/>
        </w:rPr>
        <w:t>40634.59</w:t>
      </w:r>
      <w:r>
        <w:rPr>
          <w:rFonts w:hint="eastAsia" w:ascii="仿宋" w:hAnsi="仿宋" w:eastAsia="仿宋" w:cs="仿宋_GB2312"/>
          <w:kern w:val="0"/>
          <w:sz w:val="32"/>
          <w:szCs w:val="32"/>
        </w:rPr>
        <w:t>万元，是指单位为完成特定行政工作任务或事业发展目标而发生的支出，包括有关业务工作经费、运行维护经费等。其中：业务工作经费支出</w:t>
      </w:r>
      <w:r>
        <w:rPr>
          <w:rFonts w:hint="eastAsia" w:ascii="仿宋" w:hAnsi="仿宋" w:eastAsia="仿宋" w:cs="仿宋_GB2312"/>
          <w:kern w:val="0"/>
          <w:sz w:val="32"/>
          <w:szCs w:val="32"/>
          <w:lang w:val="en-US" w:eastAsia="zh-CN"/>
        </w:rPr>
        <w:t>331.03</w:t>
      </w:r>
      <w:r>
        <w:rPr>
          <w:rFonts w:hint="eastAsia" w:ascii="仿宋" w:hAnsi="仿宋" w:eastAsia="仿宋" w:cs="仿宋_GB2312"/>
          <w:kern w:val="0"/>
          <w:sz w:val="32"/>
          <w:szCs w:val="32"/>
        </w:rPr>
        <w:t>万元，主要用于项目开展相关工作经费等方面；运行维护经费</w:t>
      </w:r>
      <w:r>
        <w:rPr>
          <w:rFonts w:hint="eastAsia" w:ascii="仿宋" w:hAnsi="仿宋" w:eastAsia="仿宋" w:cs="仿宋_GB2312"/>
          <w:kern w:val="0"/>
          <w:sz w:val="32"/>
          <w:szCs w:val="32"/>
          <w:lang w:val="en-US" w:eastAsia="zh-CN"/>
        </w:rPr>
        <w:t>40303.56</w:t>
      </w:r>
      <w:r>
        <w:rPr>
          <w:rFonts w:hint="eastAsia" w:ascii="仿宋" w:hAnsi="仿宋" w:eastAsia="仿宋" w:cs="仿宋_GB2312"/>
          <w:kern w:val="0"/>
          <w:sz w:val="32"/>
          <w:szCs w:val="32"/>
        </w:rPr>
        <w:t>万元，主要用于农环项目、化肥减量、集中育秧（设施）项目稻谷检测、农安项目、耕地地力保护补贴、种粮农民一次性补贴、产业发展项目、退化耕地治理、粮食生产项目、洞庭</w:t>
      </w:r>
      <w:r>
        <w:rPr>
          <w:rFonts w:hint="eastAsia" w:ascii="仿宋" w:hAnsi="仿宋" w:eastAsia="仿宋" w:cs="仿宋_GB2312"/>
          <w:kern w:val="0"/>
          <w:sz w:val="32"/>
          <w:szCs w:val="32"/>
          <w:lang w:eastAsia="zh-CN"/>
        </w:rPr>
        <w:t>小龙虾</w:t>
      </w:r>
      <w:r>
        <w:rPr>
          <w:rFonts w:hint="eastAsia" w:ascii="仿宋" w:hAnsi="仿宋" w:eastAsia="仿宋" w:cs="仿宋_GB2312"/>
          <w:kern w:val="0"/>
          <w:sz w:val="32"/>
          <w:szCs w:val="32"/>
        </w:rPr>
        <w:t>优势特色产业集群项目、美丽乡村建设项目、定位监测、稻谷目标价格补贴、耕地轮作项目等方面。</w:t>
      </w:r>
    </w:p>
    <w:p w14:paraId="4D81D69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lang w:val="en-US" w:eastAsia="zh-CN"/>
        </w:rPr>
        <w:t>四</w:t>
      </w:r>
      <w:r>
        <w:rPr>
          <w:rFonts w:hint="eastAsia" w:ascii="微软雅黑" w:hAnsi="微软雅黑" w:eastAsia="微软雅黑" w:cs="微软雅黑"/>
          <w:b/>
          <w:bCs/>
          <w:color w:val="auto"/>
          <w:kern w:val="0"/>
          <w:sz w:val="32"/>
          <w:szCs w:val="32"/>
        </w:rPr>
        <w:t>、政府性基金预算支出</w:t>
      </w:r>
    </w:p>
    <w:p w14:paraId="31A5056D">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年度本单位无政府性基金安排的支出，所以公开的附件16-18（政府性基金预算）为空。</w:t>
      </w:r>
    </w:p>
    <w:p w14:paraId="1C071B1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五</w:t>
      </w:r>
      <w:r>
        <w:rPr>
          <w:rFonts w:hint="eastAsia" w:ascii="微软雅黑" w:hAnsi="微软雅黑" w:eastAsia="微软雅黑" w:cs="微软雅黑"/>
          <w:b/>
          <w:bCs/>
          <w:kern w:val="0"/>
          <w:sz w:val="32"/>
          <w:szCs w:val="32"/>
        </w:rPr>
        <w:t>、其他重要事项的情况说明</w:t>
      </w:r>
    </w:p>
    <w:p w14:paraId="7D747CF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（一）机关运行经费</w:t>
      </w:r>
    </w:p>
    <w:p w14:paraId="57E0C486">
      <w:pPr>
        <w:spacing w:line="560" w:lineRule="exact"/>
        <w:ind w:firstLine="640" w:firstLineChars="200"/>
        <w:rPr>
          <w:rFonts w:hint="eastAsia" w:ascii="仿宋" w:hAnsi="仿宋" w:eastAsia="仿宋" w:cs="仿宋_GB2312"/>
          <w:kern w:val="0"/>
          <w:sz w:val="32"/>
          <w:szCs w:val="32"/>
          <w:lang w:eastAsia="zh-CN"/>
        </w:rPr>
      </w:pPr>
      <w:r>
        <w:rPr>
          <w:rFonts w:hint="eastAsia" w:ascii="仿宋" w:hAnsi="仿宋" w:eastAsia="仿宋" w:cs="仿宋_GB2312"/>
          <w:kern w:val="0"/>
          <w:sz w:val="32"/>
          <w:szCs w:val="32"/>
        </w:rPr>
        <w:t>本单位202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年机关运行经费当年一般公共预算拨款</w:t>
      </w:r>
      <w:r>
        <w:rPr>
          <w:rFonts w:hint="eastAsia" w:ascii="仿宋" w:hAnsi="仿宋" w:eastAsia="仿宋" w:cs="仿宋_GB2312"/>
          <w:kern w:val="0"/>
          <w:sz w:val="32"/>
          <w:szCs w:val="32"/>
          <w:lang w:val="en-US" w:eastAsia="zh-CN"/>
        </w:rPr>
        <w:t>534</w:t>
      </w:r>
      <w:r>
        <w:rPr>
          <w:rFonts w:hint="eastAsia" w:ascii="仿宋" w:hAnsi="仿宋" w:eastAsia="仿宋" w:cs="仿宋_GB2312"/>
          <w:kern w:val="0"/>
          <w:sz w:val="32"/>
          <w:szCs w:val="32"/>
        </w:rPr>
        <w:t>万元，比上一年减少</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万元，降低</w:t>
      </w:r>
      <w:r>
        <w:rPr>
          <w:rFonts w:hint="eastAsia" w:ascii="仿宋" w:hAnsi="仿宋" w:eastAsia="仿宋" w:cs="仿宋_GB2312"/>
          <w:kern w:val="0"/>
          <w:sz w:val="32"/>
          <w:szCs w:val="32"/>
          <w:lang w:val="en-US" w:eastAsia="zh-CN"/>
        </w:rPr>
        <w:t>0</w:t>
      </w:r>
      <w:r>
        <w:rPr>
          <w:rFonts w:ascii="仿宋" w:hAnsi="仿宋" w:eastAsia="仿宋" w:cs="仿宋_GB2312"/>
          <w:kern w:val="0"/>
          <w:sz w:val="32"/>
          <w:szCs w:val="32"/>
        </w:rPr>
        <w:t>%</w:t>
      </w:r>
      <w:r>
        <w:rPr>
          <w:rFonts w:hint="eastAsia" w:ascii="仿宋" w:hAnsi="仿宋" w:eastAsia="仿宋" w:cs="仿宋_GB2312"/>
          <w:kern w:val="0"/>
          <w:sz w:val="32"/>
          <w:szCs w:val="32"/>
        </w:rPr>
        <w:t>。主要原因是我单位增加了人员预算支出</w:t>
      </w:r>
      <w:r>
        <w:rPr>
          <w:rFonts w:hint="eastAsia" w:ascii="仿宋" w:hAnsi="仿宋" w:eastAsia="仿宋" w:cs="仿宋_GB2312"/>
          <w:kern w:val="0"/>
          <w:sz w:val="32"/>
          <w:szCs w:val="32"/>
          <w:lang w:eastAsia="zh-CN"/>
        </w:rPr>
        <w:t>。</w:t>
      </w:r>
    </w:p>
    <w:p w14:paraId="46E9694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（二）“三公”经费预算</w:t>
      </w:r>
    </w:p>
    <w:p w14:paraId="1B356832">
      <w:pPr>
        <w:spacing w:line="560" w:lineRule="exact"/>
        <w:ind w:firstLine="640" w:firstLineChars="200"/>
        <w:rPr>
          <w:rFonts w:hint="eastAsia" w:ascii="微软雅黑" w:hAnsi="微软雅黑" w:eastAsia="微软雅黑" w:cs="微软雅黑"/>
          <w:kern w:val="0"/>
          <w:sz w:val="32"/>
          <w:szCs w:val="32"/>
        </w:rPr>
      </w:pPr>
      <w:r>
        <w:rPr>
          <w:rFonts w:hint="eastAsia" w:ascii="仿宋" w:hAnsi="仿宋" w:eastAsia="仿宋" w:cs="仿宋_GB2312"/>
          <w:kern w:val="0"/>
          <w:sz w:val="32"/>
          <w:szCs w:val="32"/>
        </w:rPr>
        <w:t>本单位2025年“三公”经费预算</w:t>
      </w:r>
      <w:r>
        <w:rPr>
          <w:rFonts w:hint="eastAsia" w:ascii="仿宋" w:hAnsi="仿宋" w:eastAsia="仿宋" w:cs="仿宋_GB2312"/>
          <w:kern w:val="0"/>
          <w:sz w:val="32"/>
          <w:szCs w:val="32"/>
          <w:lang w:val="en-US" w:eastAsia="zh-CN"/>
        </w:rPr>
        <w:t>15.2</w:t>
      </w:r>
      <w:r>
        <w:rPr>
          <w:rFonts w:hint="eastAsia" w:ascii="仿宋" w:hAnsi="仿宋" w:eastAsia="仿宋" w:cs="仿宋_GB2312"/>
          <w:kern w:val="0"/>
          <w:sz w:val="32"/>
          <w:szCs w:val="32"/>
        </w:rPr>
        <w:t>万元，其中，公务接待费</w:t>
      </w:r>
      <w:r>
        <w:rPr>
          <w:rFonts w:hint="eastAsia" w:ascii="仿宋" w:hAnsi="仿宋" w:eastAsia="仿宋" w:cs="仿宋_GB2312"/>
          <w:kern w:val="0"/>
          <w:sz w:val="32"/>
          <w:szCs w:val="32"/>
          <w:lang w:val="en-US" w:eastAsia="zh-CN"/>
        </w:rPr>
        <w:t>11.00</w:t>
      </w:r>
      <w:r>
        <w:rPr>
          <w:rFonts w:hint="eastAsia" w:ascii="仿宋" w:hAnsi="仿宋" w:eastAsia="仿宋" w:cs="仿宋_GB2312"/>
          <w:kern w:val="0"/>
          <w:sz w:val="32"/>
          <w:szCs w:val="32"/>
        </w:rPr>
        <w:t>万元，因公出国（境）费0万元，公务用车购置及运行费</w:t>
      </w:r>
      <w:r>
        <w:rPr>
          <w:rFonts w:hint="eastAsia" w:ascii="仿宋" w:hAnsi="仿宋" w:eastAsia="仿宋" w:cs="仿宋_GB2312"/>
          <w:kern w:val="0"/>
          <w:sz w:val="32"/>
          <w:szCs w:val="32"/>
          <w:lang w:val="en-US" w:eastAsia="zh-CN"/>
        </w:rPr>
        <w:t>4.2</w:t>
      </w:r>
      <w:r>
        <w:rPr>
          <w:rFonts w:hint="eastAsia" w:ascii="仿宋" w:hAnsi="仿宋" w:eastAsia="仿宋" w:cs="仿宋_GB2312"/>
          <w:kern w:val="0"/>
          <w:sz w:val="32"/>
          <w:szCs w:val="32"/>
        </w:rPr>
        <w:t>万元，其中公务用车购置费0万元，公务用车运行费</w:t>
      </w:r>
      <w:r>
        <w:rPr>
          <w:rFonts w:hint="eastAsia" w:ascii="仿宋" w:hAnsi="仿宋" w:eastAsia="仿宋" w:cs="仿宋_GB2312"/>
          <w:kern w:val="0"/>
          <w:sz w:val="32"/>
          <w:szCs w:val="32"/>
          <w:lang w:val="en-US" w:eastAsia="zh-CN"/>
        </w:rPr>
        <w:t>4.2</w:t>
      </w:r>
      <w:r>
        <w:rPr>
          <w:rFonts w:hint="eastAsia" w:ascii="仿宋" w:hAnsi="仿宋" w:eastAsia="仿宋" w:cs="仿宋_GB2312"/>
          <w:kern w:val="0"/>
          <w:sz w:val="32"/>
          <w:szCs w:val="32"/>
        </w:rPr>
        <w:t>万元。比上一年减少</w:t>
      </w:r>
      <w:r>
        <w:rPr>
          <w:rFonts w:hint="eastAsia" w:ascii="仿宋" w:hAnsi="仿宋" w:eastAsia="仿宋" w:cs="仿宋_GB2312"/>
          <w:kern w:val="0"/>
          <w:sz w:val="32"/>
          <w:szCs w:val="32"/>
          <w:lang w:val="en-US" w:eastAsia="zh-CN"/>
        </w:rPr>
        <w:t>7.95</w:t>
      </w:r>
      <w:r>
        <w:rPr>
          <w:rFonts w:hint="eastAsia" w:ascii="仿宋" w:hAnsi="仿宋" w:eastAsia="仿宋" w:cs="仿宋_GB2312"/>
          <w:kern w:val="0"/>
          <w:sz w:val="32"/>
          <w:szCs w:val="32"/>
        </w:rPr>
        <w:t>万元，主要原因与决算口径一致不含租车费，并且响应“过紧日子”的政策号召，并进一步完善“三公”经费使用制度，压缩部门预算安排。</w:t>
      </w:r>
    </w:p>
    <w:p w14:paraId="7E43EF9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（三）一般性支出情况</w:t>
      </w:r>
    </w:p>
    <w:p w14:paraId="609E5066">
      <w:pPr>
        <w:spacing w:line="560" w:lineRule="exact"/>
        <w:ind w:firstLine="640" w:firstLineChars="200"/>
        <w:rPr>
          <w:rFonts w:hint="eastAsia" w:ascii="仿宋" w:hAnsi="仿宋" w:eastAsia="仿宋" w:cs="仿宋_GB2312"/>
          <w:kern w:val="0"/>
          <w:sz w:val="32"/>
          <w:szCs w:val="32"/>
          <w:lang w:eastAsia="zh-CN"/>
        </w:rPr>
      </w:pPr>
      <w:r>
        <w:rPr>
          <w:rFonts w:hint="eastAsia" w:ascii="仿宋" w:hAnsi="仿宋" w:eastAsia="仿宋" w:cs="仿宋_GB2312"/>
          <w:kern w:val="0"/>
          <w:sz w:val="32"/>
          <w:szCs w:val="32"/>
        </w:rPr>
        <w:t>本单位202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年会议费预算9万元，拟召开10次会议，人数1500人，内容为农业农村工作、党建工作、作风建设工作等部署推进</w:t>
      </w:r>
      <w:r>
        <w:rPr>
          <w:rFonts w:hint="eastAsia" w:ascii="仿宋" w:hAnsi="仿宋" w:eastAsia="仿宋" w:cs="仿宋_GB2312"/>
          <w:kern w:val="0"/>
          <w:sz w:val="32"/>
          <w:szCs w:val="32"/>
          <w:lang w:eastAsia="zh-CN"/>
        </w:rPr>
        <w:t>。</w:t>
      </w:r>
    </w:p>
    <w:p w14:paraId="7ED36B3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lang w:eastAsia="zh-CN"/>
        </w:rPr>
      </w:pPr>
      <w:r>
        <w:rPr>
          <w:rFonts w:hint="eastAsia" w:ascii="微软雅黑" w:hAnsi="微软雅黑" w:eastAsia="微软雅黑" w:cs="微软雅黑"/>
          <w:b/>
          <w:bCs/>
          <w:color w:val="auto"/>
          <w:kern w:val="0"/>
          <w:sz w:val="32"/>
          <w:szCs w:val="32"/>
          <w:lang w:eastAsia="zh-CN"/>
        </w:rPr>
        <w:t>（四）政府采购情况</w:t>
      </w:r>
    </w:p>
    <w:p w14:paraId="256695A8">
      <w:pPr>
        <w:widowControl/>
        <w:spacing w:line="600" w:lineRule="exact"/>
        <w:ind w:firstLine="640" w:firstLineChars="200"/>
        <w:rPr>
          <w:rFonts w:hint="eastAsia" w:ascii="微软雅黑" w:hAnsi="微软雅黑" w:eastAsia="微软雅黑" w:cs="微软雅黑"/>
          <w:color w:val="3216DC"/>
          <w:kern w:val="0"/>
          <w:sz w:val="32"/>
          <w:szCs w:val="32"/>
          <w:lang w:eastAsia="zh-CN"/>
        </w:rPr>
      </w:pPr>
      <w:r>
        <w:rPr>
          <w:rFonts w:hint="eastAsia" w:ascii="仿宋" w:hAnsi="仿宋" w:eastAsia="仿宋" w:cs="仿宋"/>
          <w:kern w:val="0"/>
          <w:sz w:val="32"/>
          <w:szCs w:val="32"/>
        </w:rPr>
        <w:t>本单位202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年政府采购预算总额</w:t>
      </w:r>
      <w:r>
        <w:rPr>
          <w:rFonts w:hint="eastAsia" w:ascii="仿宋" w:hAnsi="仿宋" w:eastAsia="仿宋" w:cs="仿宋"/>
          <w:kern w:val="0"/>
          <w:sz w:val="32"/>
          <w:szCs w:val="32"/>
          <w:lang w:val="en-US" w:eastAsia="zh-CN"/>
        </w:rPr>
        <w:t>2091.06</w:t>
      </w:r>
      <w:r>
        <w:rPr>
          <w:rFonts w:hint="eastAsia" w:ascii="仿宋" w:hAnsi="仿宋" w:eastAsia="仿宋" w:cs="仿宋"/>
          <w:kern w:val="0"/>
          <w:sz w:val="32"/>
          <w:szCs w:val="32"/>
        </w:rPr>
        <w:t>万元，其中工程类</w:t>
      </w:r>
      <w:r>
        <w:rPr>
          <w:rFonts w:hint="eastAsia" w:ascii="仿宋" w:hAnsi="仿宋" w:eastAsia="仿宋" w:cs="仿宋"/>
          <w:kern w:val="0"/>
          <w:sz w:val="32"/>
          <w:szCs w:val="32"/>
          <w:lang w:val="en-US" w:eastAsia="zh-CN"/>
        </w:rPr>
        <w:t>120</w:t>
      </w:r>
      <w:r>
        <w:rPr>
          <w:rFonts w:hint="eastAsia" w:ascii="仿宋" w:hAnsi="仿宋" w:eastAsia="仿宋" w:cs="仿宋"/>
          <w:kern w:val="0"/>
          <w:sz w:val="32"/>
          <w:szCs w:val="32"/>
        </w:rPr>
        <w:t>万元，货物类</w:t>
      </w:r>
      <w:r>
        <w:rPr>
          <w:rFonts w:hint="eastAsia" w:ascii="仿宋" w:hAnsi="仿宋" w:eastAsia="仿宋" w:cs="仿宋"/>
          <w:kern w:val="0"/>
          <w:sz w:val="32"/>
          <w:szCs w:val="32"/>
          <w:lang w:val="en-US" w:eastAsia="zh-CN"/>
        </w:rPr>
        <w:t>1601.76</w:t>
      </w:r>
      <w:r>
        <w:rPr>
          <w:rFonts w:hint="eastAsia" w:ascii="仿宋" w:hAnsi="仿宋" w:eastAsia="仿宋" w:cs="仿宋"/>
          <w:kern w:val="0"/>
          <w:sz w:val="32"/>
          <w:szCs w:val="32"/>
        </w:rPr>
        <w:t>万元，服务类</w:t>
      </w:r>
      <w:r>
        <w:rPr>
          <w:rFonts w:hint="eastAsia" w:ascii="仿宋" w:hAnsi="仿宋" w:eastAsia="仿宋" w:cs="仿宋"/>
          <w:kern w:val="0"/>
          <w:sz w:val="32"/>
          <w:szCs w:val="32"/>
          <w:lang w:val="en-US" w:eastAsia="zh-CN"/>
        </w:rPr>
        <w:t>369.3</w:t>
      </w:r>
      <w:r>
        <w:rPr>
          <w:rFonts w:hint="eastAsia" w:ascii="仿宋" w:hAnsi="仿宋" w:eastAsia="仿宋" w:cs="仿宋"/>
          <w:kern w:val="0"/>
          <w:sz w:val="32"/>
          <w:szCs w:val="32"/>
        </w:rPr>
        <w:t>万元。</w:t>
      </w:r>
    </w:p>
    <w:p w14:paraId="6B076D3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（五）国有资产占有使用及新增资产配置情况</w:t>
      </w:r>
    </w:p>
    <w:p w14:paraId="00E01DAF">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截至上一年12月底，本单位共有车辆2辆，其中领导干部用车0辆，一般公务用车0辆，农业综合执法车1辆，工具车1辆，其他用车0辆。</w:t>
      </w:r>
    </w:p>
    <w:p w14:paraId="615BE56B">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单位价值50万元以上通用设备0台，单位价值100万元以上专用设备0台。</w:t>
      </w:r>
    </w:p>
    <w:p w14:paraId="080804E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 w:hAnsi="仿宋" w:eastAsia="仿宋" w:cs="仿宋_GB2312"/>
          <w:kern w:val="0"/>
          <w:sz w:val="32"/>
          <w:szCs w:val="32"/>
        </w:rPr>
      </w:pP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年度本单位未计划处置或新增车辆、设备等</w:t>
      </w:r>
    </w:p>
    <w:p w14:paraId="66AFC13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（六）预算绩效</w:t>
      </w:r>
      <w:r>
        <w:rPr>
          <w:rFonts w:hint="eastAsia" w:ascii="微软雅黑" w:hAnsi="微软雅黑" w:eastAsia="微软雅黑" w:cs="微软雅黑"/>
          <w:b/>
          <w:bCs/>
          <w:kern w:val="0"/>
          <w:sz w:val="32"/>
          <w:szCs w:val="32"/>
          <w:lang w:val="en-US" w:eastAsia="zh-CN"/>
        </w:rPr>
        <w:t>目标</w:t>
      </w:r>
      <w:r>
        <w:rPr>
          <w:rFonts w:hint="eastAsia" w:ascii="微软雅黑" w:hAnsi="微软雅黑" w:eastAsia="微软雅黑" w:cs="微软雅黑"/>
          <w:b/>
          <w:bCs/>
          <w:kern w:val="0"/>
          <w:sz w:val="32"/>
          <w:szCs w:val="32"/>
          <w:lang w:eastAsia="zh-CN"/>
        </w:rPr>
        <w:t>说明</w:t>
      </w:r>
    </w:p>
    <w:p w14:paraId="6A5E9C8F">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本单位</w:t>
      </w:r>
      <w:r>
        <w:rPr>
          <w:rFonts w:ascii="仿宋" w:hAnsi="仿宋" w:eastAsia="仿宋" w:cs="仿宋_GB2312"/>
          <w:kern w:val="0"/>
          <w:sz w:val="32"/>
          <w:szCs w:val="32"/>
        </w:rPr>
        <w:t>所有支出实行绩效目标管理。纳入</w:t>
      </w: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rPr>
        <w:t>年单位</w:t>
      </w:r>
      <w:r>
        <w:rPr>
          <w:rFonts w:ascii="仿宋" w:hAnsi="仿宋" w:eastAsia="仿宋" w:cs="仿宋_GB2312"/>
          <w:kern w:val="0"/>
          <w:sz w:val="32"/>
          <w:szCs w:val="32"/>
        </w:rPr>
        <w:t>整体支出绩效目标的金额为</w:t>
      </w:r>
      <w:r>
        <w:rPr>
          <w:rFonts w:hint="eastAsia" w:ascii="仿宋" w:hAnsi="仿宋" w:eastAsia="仿宋" w:cs="仿宋_GB2312"/>
          <w:kern w:val="0"/>
          <w:sz w:val="32"/>
          <w:szCs w:val="32"/>
          <w:lang w:val="en-US" w:eastAsia="zh-CN"/>
        </w:rPr>
        <w:t>42852.45</w:t>
      </w:r>
      <w:r>
        <w:rPr>
          <w:rFonts w:ascii="仿宋" w:hAnsi="仿宋" w:eastAsia="仿宋" w:cs="仿宋_GB2312"/>
          <w:kern w:val="0"/>
          <w:sz w:val="32"/>
          <w:szCs w:val="32"/>
        </w:rPr>
        <w:t>万元，其中，基本支出</w:t>
      </w:r>
      <w:r>
        <w:rPr>
          <w:rFonts w:hint="eastAsia" w:ascii="仿宋" w:hAnsi="仿宋" w:eastAsia="仿宋" w:cs="仿宋_GB2312"/>
          <w:kern w:val="0"/>
          <w:sz w:val="32"/>
          <w:szCs w:val="32"/>
          <w:lang w:val="en-US" w:eastAsia="zh-CN"/>
        </w:rPr>
        <w:t>2217.86</w:t>
      </w:r>
      <w:r>
        <w:rPr>
          <w:rFonts w:ascii="仿宋" w:hAnsi="仿宋" w:eastAsia="仿宋" w:cs="仿宋_GB2312"/>
          <w:kern w:val="0"/>
          <w:sz w:val="32"/>
          <w:szCs w:val="32"/>
        </w:rPr>
        <w:t>万元，项目支出</w:t>
      </w:r>
      <w:r>
        <w:rPr>
          <w:rFonts w:hint="eastAsia" w:ascii="仿宋" w:hAnsi="仿宋" w:eastAsia="仿宋" w:cs="仿宋_GB2312"/>
          <w:kern w:val="0"/>
          <w:sz w:val="32"/>
          <w:szCs w:val="32"/>
          <w:lang w:val="en-US" w:eastAsia="zh-CN"/>
        </w:rPr>
        <w:t>40634.59</w:t>
      </w:r>
      <w:r>
        <w:rPr>
          <w:rFonts w:ascii="仿宋" w:hAnsi="仿宋" w:eastAsia="仿宋" w:cs="仿宋_GB2312"/>
          <w:kern w:val="0"/>
          <w:sz w:val="32"/>
          <w:szCs w:val="32"/>
        </w:rPr>
        <w:t>万元，</w:t>
      </w:r>
      <w:r>
        <w:rPr>
          <w:rFonts w:hint="eastAsia" w:ascii="仿宋" w:hAnsi="仿宋" w:eastAsia="仿宋" w:cs="仿宋_GB2312"/>
          <w:kern w:val="0"/>
          <w:sz w:val="32"/>
          <w:szCs w:val="32"/>
        </w:rPr>
        <w:t>详见文尾附表中单位预算公开表格的表22-23。</w:t>
      </w:r>
    </w:p>
    <w:p w14:paraId="5F9CFBB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六</w:t>
      </w:r>
      <w:r>
        <w:rPr>
          <w:rFonts w:hint="eastAsia" w:ascii="微软雅黑" w:hAnsi="微软雅黑" w:eastAsia="微软雅黑" w:cs="微软雅黑"/>
          <w:b/>
          <w:bCs/>
          <w:kern w:val="0"/>
          <w:sz w:val="32"/>
          <w:szCs w:val="32"/>
        </w:rPr>
        <w:t>、名词解释</w:t>
      </w:r>
    </w:p>
    <w:p w14:paraId="52D3C2C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rPr>
        <w:t>1、机关运行经费：是指各</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14:paraId="486FE60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rPr>
        <w:t>2、“三公”经费：纳入财政预算管理的“三公“经费，是指用一般公共预算拨款安排的公务接待费、公务用车购置及运行维护费和因公出国（境）费。其中，公务接待费反映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按规定开支的各类公务接待支出；公务用车购置及运行费反映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公务用车车辆购置支出（含车辆购置税），以及燃料费、维修费、保险费等支出；因公出国（境）费反映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公务出国（境）的国际旅费、国外城市间交通费、食宿费等支出。</w:t>
      </w:r>
      <w:bookmarkStart w:id="0" w:name="_GoBack"/>
      <w:bookmarkEnd w:id="0"/>
      <w:r>
        <w:rPr>
          <w:rFonts w:hint="eastAsia" w:ascii="微软雅黑" w:hAnsi="微软雅黑" w:eastAsia="微软雅黑" w:cs="微软雅黑"/>
          <w:kern w:val="0"/>
          <w:sz w:val="32"/>
          <w:szCs w:val="32"/>
          <w:lang w:val="en-US" w:eastAsia="zh-CN"/>
        </w:rPr>
        <w:t xml:space="preserve">               </w:t>
      </w:r>
    </w:p>
    <w:p w14:paraId="0FB6F4EA">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kern w:val="0"/>
          <w:sz w:val="32"/>
          <w:szCs w:val="32"/>
        </w:rPr>
        <w:br w:type="page"/>
      </w: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单位预算</w:t>
      </w:r>
      <w:r>
        <w:rPr>
          <w:rFonts w:hint="eastAsia" w:ascii="微软雅黑" w:hAnsi="微软雅黑" w:eastAsia="微软雅黑" w:cs="微软雅黑"/>
          <w:b/>
          <w:bCs/>
          <w:kern w:val="0"/>
          <w:sz w:val="32"/>
          <w:szCs w:val="32"/>
          <w:lang w:val="en-US" w:eastAsia="zh-CN"/>
        </w:rPr>
        <w:t>公开</w:t>
      </w:r>
      <w:r>
        <w:rPr>
          <w:rFonts w:hint="eastAsia" w:ascii="微软雅黑" w:hAnsi="微软雅黑" w:eastAsia="微软雅黑" w:cs="微软雅黑"/>
          <w:b/>
          <w:bCs/>
          <w:kern w:val="0"/>
          <w:sz w:val="32"/>
          <w:szCs w:val="32"/>
        </w:rPr>
        <w:t>表</w:t>
      </w:r>
      <w:r>
        <w:rPr>
          <w:rFonts w:hint="eastAsia" w:ascii="微软雅黑" w:hAnsi="微软雅黑" w:eastAsia="微软雅黑" w:cs="微软雅黑"/>
          <w:b/>
          <w:bCs/>
          <w:kern w:val="0"/>
          <w:sz w:val="32"/>
          <w:szCs w:val="32"/>
          <w:lang w:val="en-US" w:eastAsia="zh-CN"/>
        </w:rPr>
        <w:t>格</w:t>
      </w:r>
    </w:p>
    <w:p w14:paraId="22875E79">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b/>
          <w:bCs/>
          <w:kern w:val="0"/>
          <w:sz w:val="32"/>
          <w:szCs w:val="32"/>
          <w:lang w:eastAsia="zh-CN"/>
        </w:rPr>
        <w:t>附件：</w:t>
      </w:r>
      <w:r>
        <w:rPr>
          <w:rFonts w:hint="eastAsia" w:ascii="微软雅黑" w:hAnsi="微软雅黑" w:eastAsia="微软雅黑" w:cs="微软雅黑"/>
          <w:b/>
          <w:bCs/>
          <w:kern w:val="0"/>
          <w:sz w:val="32"/>
          <w:szCs w:val="32"/>
          <w:lang w:val="en-US" w:eastAsia="zh-CN"/>
        </w:rPr>
        <w:t>岳阳县农业农村局</w:t>
      </w:r>
      <w:r>
        <w:rPr>
          <w:rFonts w:ascii="微软雅黑" w:hAnsi="微软雅黑" w:eastAsia="微软雅黑" w:cs="微软雅黑"/>
          <w:b/>
          <w:sz w:val="32"/>
        </w:rPr>
        <w:t>单位预算公开表格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embedRegular r:id="rId1" w:fontKey="{EA59F745-44B9-413D-AEBA-137460187B2F}"/>
  </w:font>
  <w:font w:name="仿宋">
    <w:panose1 w:val="02010609060101010101"/>
    <w:charset w:val="86"/>
    <w:family w:val="modern"/>
    <w:pitch w:val="default"/>
    <w:sig w:usb0="800002BF" w:usb1="38CF7CFA" w:usb2="00000016" w:usb3="00000000" w:csb0="00040001" w:csb1="00000000"/>
    <w:embedRegular r:id="rId2" w:fontKey="{43A0D3E7-C39F-4FAD-9598-4BCFE1F4B8D3}"/>
  </w:font>
  <w:font w:name="仿宋_GB2312">
    <w:panose1 w:val="02010609030101010101"/>
    <w:charset w:val="86"/>
    <w:family w:val="auto"/>
    <w:pitch w:val="default"/>
    <w:sig w:usb0="00000001" w:usb1="080E0000" w:usb2="00000000" w:usb3="00000000" w:csb0="00040000" w:csb1="00000000"/>
    <w:embedRegular r:id="rId3" w:fontKey="{4CF5C55A-A2A1-438C-88B2-C6EEB97F870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7DDAA">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509D2">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0F2BA">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2FB3E">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BA231">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023AC">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8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0NWU4NzA0NTBhNzIxMGYxNjdhYzgyZTJkYTk0YzAifQ=="/>
    <w:docVar w:name="KSO_WPS_MARK_KEY" w:val="4ec26934-afcf-48b4-991b-b93945f8c5dd"/>
  </w:docVars>
  <w:rsids>
    <w:rsidRoot w:val="00CA5057"/>
    <w:rsid w:val="00001697"/>
    <w:rsid w:val="000034D6"/>
    <w:rsid w:val="0006270B"/>
    <w:rsid w:val="00065DA2"/>
    <w:rsid w:val="00117900"/>
    <w:rsid w:val="001336FC"/>
    <w:rsid w:val="00193395"/>
    <w:rsid w:val="001A0136"/>
    <w:rsid w:val="001A3382"/>
    <w:rsid w:val="001A3861"/>
    <w:rsid w:val="001A6377"/>
    <w:rsid w:val="001C6E63"/>
    <w:rsid w:val="001D154A"/>
    <w:rsid w:val="001F365A"/>
    <w:rsid w:val="00203B0A"/>
    <w:rsid w:val="0025517E"/>
    <w:rsid w:val="00270E85"/>
    <w:rsid w:val="002B0968"/>
    <w:rsid w:val="002C117B"/>
    <w:rsid w:val="002F5747"/>
    <w:rsid w:val="002F57F8"/>
    <w:rsid w:val="00344D3D"/>
    <w:rsid w:val="003457B4"/>
    <w:rsid w:val="00355284"/>
    <w:rsid w:val="003C0AE2"/>
    <w:rsid w:val="003C0E16"/>
    <w:rsid w:val="003C62F5"/>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6137D9"/>
    <w:rsid w:val="00617392"/>
    <w:rsid w:val="00637664"/>
    <w:rsid w:val="00687143"/>
    <w:rsid w:val="00695750"/>
    <w:rsid w:val="006C1259"/>
    <w:rsid w:val="006E013D"/>
    <w:rsid w:val="006E335E"/>
    <w:rsid w:val="006F2FD2"/>
    <w:rsid w:val="00714685"/>
    <w:rsid w:val="00754296"/>
    <w:rsid w:val="00755471"/>
    <w:rsid w:val="007B0161"/>
    <w:rsid w:val="007C48A3"/>
    <w:rsid w:val="00812DE3"/>
    <w:rsid w:val="00832EBB"/>
    <w:rsid w:val="008459F5"/>
    <w:rsid w:val="008511BD"/>
    <w:rsid w:val="00854FCA"/>
    <w:rsid w:val="0085589C"/>
    <w:rsid w:val="008827C7"/>
    <w:rsid w:val="00893563"/>
    <w:rsid w:val="008974A0"/>
    <w:rsid w:val="008C1057"/>
    <w:rsid w:val="008E61DB"/>
    <w:rsid w:val="008E6571"/>
    <w:rsid w:val="009143CB"/>
    <w:rsid w:val="0093410B"/>
    <w:rsid w:val="00990520"/>
    <w:rsid w:val="00995AF1"/>
    <w:rsid w:val="009D1CA3"/>
    <w:rsid w:val="009D450C"/>
    <w:rsid w:val="009E5041"/>
    <w:rsid w:val="009E7921"/>
    <w:rsid w:val="00A0350C"/>
    <w:rsid w:val="00A03C0E"/>
    <w:rsid w:val="00A867C6"/>
    <w:rsid w:val="00AA481C"/>
    <w:rsid w:val="00AB576D"/>
    <w:rsid w:val="00AB6861"/>
    <w:rsid w:val="00AC160E"/>
    <w:rsid w:val="00B0403C"/>
    <w:rsid w:val="00B21CBD"/>
    <w:rsid w:val="00B366B4"/>
    <w:rsid w:val="00B82665"/>
    <w:rsid w:val="00BC04D7"/>
    <w:rsid w:val="00BE4229"/>
    <w:rsid w:val="00BF5A08"/>
    <w:rsid w:val="00C36022"/>
    <w:rsid w:val="00C5316A"/>
    <w:rsid w:val="00CA5057"/>
    <w:rsid w:val="00CB1E6F"/>
    <w:rsid w:val="00CB5C8F"/>
    <w:rsid w:val="00CF2BA3"/>
    <w:rsid w:val="00D1730A"/>
    <w:rsid w:val="00D279D7"/>
    <w:rsid w:val="00D60DAB"/>
    <w:rsid w:val="00D75CFA"/>
    <w:rsid w:val="00D84D40"/>
    <w:rsid w:val="00D96317"/>
    <w:rsid w:val="00DB63BF"/>
    <w:rsid w:val="00DD2BA7"/>
    <w:rsid w:val="00DD573A"/>
    <w:rsid w:val="00E01BD5"/>
    <w:rsid w:val="00E179D0"/>
    <w:rsid w:val="00E24DC7"/>
    <w:rsid w:val="00E419D9"/>
    <w:rsid w:val="00E5547E"/>
    <w:rsid w:val="00E75085"/>
    <w:rsid w:val="00EA5C43"/>
    <w:rsid w:val="00EC052E"/>
    <w:rsid w:val="00F05F5B"/>
    <w:rsid w:val="00F06D7F"/>
    <w:rsid w:val="00F078E9"/>
    <w:rsid w:val="00F24836"/>
    <w:rsid w:val="00F36C19"/>
    <w:rsid w:val="00F74B02"/>
    <w:rsid w:val="00FB0434"/>
    <w:rsid w:val="00FB1B41"/>
    <w:rsid w:val="00FB3CC9"/>
    <w:rsid w:val="00FE2E8C"/>
    <w:rsid w:val="02DF562C"/>
    <w:rsid w:val="032D48E5"/>
    <w:rsid w:val="039837D0"/>
    <w:rsid w:val="04497920"/>
    <w:rsid w:val="066C559F"/>
    <w:rsid w:val="06874187"/>
    <w:rsid w:val="069419C6"/>
    <w:rsid w:val="08281851"/>
    <w:rsid w:val="09A6701A"/>
    <w:rsid w:val="0AF15A72"/>
    <w:rsid w:val="0B422D73"/>
    <w:rsid w:val="0BE707F9"/>
    <w:rsid w:val="0C0C6008"/>
    <w:rsid w:val="0C4F7AFC"/>
    <w:rsid w:val="0C7A3FDE"/>
    <w:rsid w:val="0D5B6622"/>
    <w:rsid w:val="0E064421"/>
    <w:rsid w:val="0E3715D1"/>
    <w:rsid w:val="0ED234CD"/>
    <w:rsid w:val="0F654CC7"/>
    <w:rsid w:val="0F9E0A26"/>
    <w:rsid w:val="13242569"/>
    <w:rsid w:val="13422421"/>
    <w:rsid w:val="14903A2F"/>
    <w:rsid w:val="15D9563A"/>
    <w:rsid w:val="1887053C"/>
    <w:rsid w:val="19420C90"/>
    <w:rsid w:val="19D5374E"/>
    <w:rsid w:val="1AC31CB7"/>
    <w:rsid w:val="1BEF6124"/>
    <w:rsid w:val="1EAD2225"/>
    <w:rsid w:val="1F1F1226"/>
    <w:rsid w:val="1F841754"/>
    <w:rsid w:val="1FE364B7"/>
    <w:rsid w:val="20424297"/>
    <w:rsid w:val="236C2E40"/>
    <w:rsid w:val="23A83C63"/>
    <w:rsid w:val="26570D53"/>
    <w:rsid w:val="27D848B8"/>
    <w:rsid w:val="29BD1AEA"/>
    <w:rsid w:val="2CDB483B"/>
    <w:rsid w:val="2FC40521"/>
    <w:rsid w:val="30197C97"/>
    <w:rsid w:val="31815AF3"/>
    <w:rsid w:val="3405688C"/>
    <w:rsid w:val="34183798"/>
    <w:rsid w:val="34E11E02"/>
    <w:rsid w:val="355F39BC"/>
    <w:rsid w:val="388764A3"/>
    <w:rsid w:val="39385431"/>
    <w:rsid w:val="395D152B"/>
    <w:rsid w:val="3BC82B6A"/>
    <w:rsid w:val="3D3B56F0"/>
    <w:rsid w:val="3E4D3BDD"/>
    <w:rsid w:val="3F6B39C9"/>
    <w:rsid w:val="3FCF3ECE"/>
    <w:rsid w:val="41DA7DB9"/>
    <w:rsid w:val="447637E8"/>
    <w:rsid w:val="46814786"/>
    <w:rsid w:val="49EF4858"/>
    <w:rsid w:val="4AE9742D"/>
    <w:rsid w:val="4BA67C06"/>
    <w:rsid w:val="4CA46ED7"/>
    <w:rsid w:val="4D013E21"/>
    <w:rsid w:val="4D8D7228"/>
    <w:rsid w:val="4DDD2C7F"/>
    <w:rsid w:val="4F1826FF"/>
    <w:rsid w:val="500E4FCB"/>
    <w:rsid w:val="506C2AB0"/>
    <w:rsid w:val="53344C63"/>
    <w:rsid w:val="538751CC"/>
    <w:rsid w:val="541F5763"/>
    <w:rsid w:val="54E30327"/>
    <w:rsid w:val="55295806"/>
    <w:rsid w:val="55D3446A"/>
    <w:rsid w:val="590B3D71"/>
    <w:rsid w:val="593F63D3"/>
    <w:rsid w:val="598D36CC"/>
    <w:rsid w:val="59E7447B"/>
    <w:rsid w:val="5B423ECD"/>
    <w:rsid w:val="5CDA4DA9"/>
    <w:rsid w:val="5D3513BC"/>
    <w:rsid w:val="5E280101"/>
    <w:rsid w:val="62820F98"/>
    <w:rsid w:val="62873CEC"/>
    <w:rsid w:val="64035B71"/>
    <w:rsid w:val="64DB31B9"/>
    <w:rsid w:val="665B1A94"/>
    <w:rsid w:val="681842B0"/>
    <w:rsid w:val="6AE87D9C"/>
    <w:rsid w:val="6D2154B9"/>
    <w:rsid w:val="6F8561D3"/>
    <w:rsid w:val="6F8D2902"/>
    <w:rsid w:val="70271B5B"/>
    <w:rsid w:val="70845F00"/>
    <w:rsid w:val="71AC0C24"/>
    <w:rsid w:val="73DE3EA6"/>
    <w:rsid w:val="773C67F0"/>
    <w:rsid w:val="78C06172"/>
    <w:rsid w:val="7D397CC1"/>
    <w:rsid w:val="7DFA5EB0"/>
    <w:rsid w:val="7E3E73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w:basedOn w:val="1"/>
    <w:link w:val="11"/>
    <w:qFormat/>
    <w:uiPriority w:val="0"/>
    <w:pPr>
      <w:spacing w:after="120"/>
    </w:pPr>
  </w:style>
  <w:style w:type="paragraph" w:styleId="4">
    <w:name w:val="Date"/>
    <w:basedOn w:val="1"/>
    <w:next w:val="1"/>
    <w:link w:val="12"/>
    <w:qFormat/>
    <w:uiPriority w:val="0"/>
    <w:pPr>
      <w:ind w:left="100" w:leftChars="2500"/>
    </w:pPr>
  </w:style>
  <w:style w:type="paragraph" w:styleId="5">
    <w:name w:val="Balloon Text"/>
    <w:basedOn w:val="1"/>
    <w:link w:val="13"/>
    <w:semiHidden/>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1">
    <w:name w:val="Body Text Char"/>
    <w:basedOn w:val="10"/>
    <w:link w:val="3"/>
    <w:qFormat/>
    <w:locked/>
    <w:uiPriority w:val="0"/>
    <w:rPr>
      <w:rFonts w:eastAsia="宋体"/>
      <w:kern w:val="2"/>
      <w:sz w:val="21"/>
      <w:szCs w:val="21"/>
      <w:lang w:val="en-US" w:eastAsia="zh-CN" w:bidi="ar-SA"/>
    </w:rPr>
  </w:style>
  <w:style w:type="character" w:customStyle="1" w:styleId="12">
    <w:name w:val="Date Char"/>
    <w:basedOn w:val="10"/>
    <w:link w:val="4"/>
    <w:qFormat/>
    <w:locked/>
    <w:uiPriority w:val="0"/>
    <w:rPr>
      <w:rFonts w:eastAsia="宋体"/>
      <w:kern w:val="2"/>
      <w:sz w:val="21"/>
      <w:szCs w:val="21"/>
      <w:lang w:val="en-US" w:eastAsia="zh-CN" w:bidi="ar-SA"/>
    </w:rPr>
  </w:style>
  <w:style w:type="character" w:customStyle="1" w:styleId="13">
    <w:name w:val="Balloon Text Char"/>
    <w:basedOn w:val="10"/>
    <w:link w:val="5"/>
    <w:qFormat/>
    <w:locked/>
    <w:uiPriority w:val="0"/>
    <w:rPr>
      <w:rFonts w:eastAsia="宋体"/>
      <w:kern w:val="2"/>
      <w:sz w:val="18"/>
      <w:szCs w:val="18"/>
      <w:lang w:val="en-US" w:eastAsia="zh-CN" w:bidi="ar-SA"/>
    </w:rPr>
  </w:style>
  <w:style w:type="character" w:customStyle="1" w:styleId="14">
    <w:name w:val="Footer Char"/>
    <w:basedOn w:val="10"/>
    <w:link w:val="6"/>
    <w:qFormat/>
    <w:locked/>
    <w:uiPriority w:val="0"/>
    <w:rPr>
      <w:rFonts w:eastAsia="宋体"/>
      <w:kern w:val="2"/>
      <w:sz w:val="18"/>
      <w:szCs w:val="18"/>
      <w:lang w:val="en-US" w:eastAsia="zh-CN" w:bidi="ar-SA"/>
    </w:rPr>
  </w:style>
  <w:style w:type="character" w:customStyle="1" w:styleId="15">
    <w:name w:val="Header Char"/>
    <w:basedOn w:val="10"/>
    <w:link w:val="7"/>
    <w:qFormat/>
    <w:locked/>
    <w:uiPriority w:val="0"/>
    <w:rPr>
      <w:rFonts w:eastAsia="宋体"/>
      <w:kern w:val="2"/>
      <w:sz w:val="18"/>
      <w:szCs w:val="18"/>
      <w:lang w:val="en-US" w:eastAsia="zh-CN" w:bidi="ar-SA"/>
    </w:rPr>
  </w:style>
  <w:style w:type="paragraph" w:customStyle="1" w:styleId="16">
    <w:name w:val="表格内容"/>
    <w:basedOn w:val="3"/>
    <w:qFormat/>
    <w:uiPriority w:val="0"/>
    <w:pPr>
      <w:suppressLineNumbers/>
      <w:suppressAutoHyphens/>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Corporation</Company>
  <Pages>5</Pages>
  <Words>2699</Words>
  <Characters>2938</Characters>
  <Lines>38</Lines>
  <Paragraphs>10</Paragraphs>
  <TotalTime>0</TotalTime>
  <ScaleCrop>false</ScaleCrop>
  <LinksUpToDate>false</LinksUpToDate>
  <CharactersWithSpaces>2961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2018-08-09T00:21:00Z</dcterms:created>
  <dc:creator>周继恩 10.105.113.143</dc:creator>
  <cp:lastModifiedBy>Administrator</cp:lastModifiedBy>
  <cp:lastPrinted>2019-05-05T07:55:00Z</cp:lastPrinted>
  <dcterms:modified xsi:type="dcterms:W3CDTF">2026-03-30T03:29:27Z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C4860E9A834B48709A0C0EB2292C02B8_13</vt:lpwstr>
  </property>
  <property fmtid="{D5CDD505-2E9C-101B-9397-08002B2CF9AE}" pid="4" name="KSOTemplateDocerSaveRecord">
    <vt:lpwstr>eyJoZGlkIjoiZTkzMmEwYmE4NGJhNGI0Zjk0MTViZjI0YmU0NWM2ZjMifQ==</vt:lpwstr>
  </property>
</Properties>
</file>