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0A93B1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岳阳县饶村卫生院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bookmarkStart w:id="0" w:name="_GoBack"/>
      <w:bookmarkEnd w:id="0"/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70E044A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right="0" w:rightChars="0"/>
        <w:jc w:val="left"/>
        <w:textAlignment w:val="baseline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color="auto" w:fill="FFFFFF"/>
          <w:vertAlign w:val="baseline"/>
        </w:rPr>
        <w:t>提供基本医疗服务：包括常见病、多发病的诊疗，急诊急救，康复治疗等。</w:t>
      </w:r>
    </w:p>
    <w:p w14:paraId="352A79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right="0" w:rightChars="0"/>
        <w:jc w:val="left"/>
        <w:textAlignment w:val="baseline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color="auto" w:fill="FFFFFF"/>
          <w:vertAlign w:val="baseline"/>
        </w:rPr>
        <w:t>开展公共卫生服务：如预防接种、健康教育、慢性病管理、妇幼保健等。</w:t>
      </w:r>
    </w:p>
    <w:p w14:paraId="3A6CDD2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right="0" w:rightChars="0"/>
        <w:jc w:val="left"/>
        <w:textAlignment w:val="baseline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color="auto" w:fill="FFFFFF"/>
          <w:vertAlign w:val="baseline"/>
        </w:rPr>
        <w:t>执行国家基本药物制度：确保药品安全、有效、经济。</w:t>
      </w:r>
    </w:p>
    <w:p w14:paraId="6D4F96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right="0" w:rightChars="0"/>
        <w:jc w:val="left"/>
        <w:textAlignment w:val="baseline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color="auto" w:fill="FFFFFF"/>
          <w:vertAlign w:val="baseline"/>
        </w:rPr>
        <w:t>参与卫生应急和疫情防控工作。</w:t>
      </w:r>
    </w:p>
    <w:p w14:paraId="67CAE26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right="0" w:rightChars="0"/>
        <w:jc w:val="left"/>
        <w:textAlignment w:val="baseline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color="auto" w:fill="FFFFFF"/>
          <w:vertAlign w:val="baseline"/>
        </w:rPr>
        <w:t>承担辖区内的卫生监督协管工作。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3D8285C5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right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  <w:vertAlign w:val="baseline"/>
        </w:rPr>
        <w:t>乡镇卫生院作为县或乡设立的综合性卫生机构，承担着医疗、预防、保健等多种职能。其机构设置一般包括以下几个主要部门：</w:t>
      </w:r>
    </w:p>
    <w:p w14:paraId="508485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390" w:lineRule="atLeast"/>
        <w:ind w:right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1. 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行政管理科室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：</w:t>
      </w:r>
    </w:p>
    <w:p w14:paraId="0DC780A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405" w:lineRule="atLeast"/>
        <w:ind w:left="0" w:right="0" w:hanging="36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Style w:val="12"/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 xml:space="preserve">     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院长办公室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：负责全面领导和管理工作。</w:t>
      </w:r>
    </w:p>
    <w:p w14:paraId="42E6DD4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405" w:lineRule="atLeast"/>
        <w:ind w:left="0" w:right="0" w:hanging="36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Style w:val="12"/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 xml:space="preserve">     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副院长办公室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：协助院长处理各类事务，通常分为业务副院长和行政副院长。</w:t>
      </w:r>
    </w:p>
    <w:p w14:paraId="50976FF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405" w:lineRule="atLeast"/>
        <w:ind w:left="0" w:right="0" w:hanging="36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Style w:val="12"/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 xml:space="preserve">    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办公室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：负责综合协调、公文处理、档案管理、服务领导等工作。</w:t>
      </w:r>
    </w:p>
    <w:p w14:paraId="5F6DD9F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405" w:lineRule="atLeast"/>
        <w:ind w:left="0" w:right="0" w:hanging="36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Style w:val="12"/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 xml:space="preserve">    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人事科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：负责人员聘用、职称考试、职工培训等工作。</w:t>
      </w:r>
    </w:p>
    <w:p w14:paraId="3E82A4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390" w:lineRule="atLeast"/>
        <w:ind w:right="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2. 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医疗业务科室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：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内科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外科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中医科</w:t>
      </w:r>
    </w:p>
    <w:p w14:paraId="74F7A4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390" w:lineRule="atLeast"/>
        <w:ind w:right="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3. 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医技科室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：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药房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检验科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影像科</w:t>
      </w:r>
    </w:p>
    <w:p w14:paraId="4D444B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390" w:lineRule="atLeast"/>
        <w:ind w:right="0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4. 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公共卫生科室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>: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预防保健科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妇幼保健科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>慢病、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健康教育科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b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卫生监督科</w:t>
      </w:r>
    </w:p>
    <w:p w14:paraId="36F6F77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405" w:lineRule="atLeast"/>
        <w:ind w:right="0" w:rightChars="0"/>
        <w:jc w:val="both"/>
        <w:textAlignment w:val="baseline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>5.其他科室：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财务科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eastAsia="zh-CN"/>
        </w:rPr>
        <w:t>、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en-US" w:eastAsia="zh-CN"/>
        </w:rPr>
        <w:t>医保</w:t>
      </w:r>
      <w:r>
        <w:rPr>
          <w:rStyle w:val="12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质控科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608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78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180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250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560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78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/>
          <w:sz w:val="32"/>
          <w:szCs w:val="32"/>
          <w:lang w:val="en-US" w:eastAsia="zh-CN"/>
        </w:rPr>
        <w:t>减少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减少20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</w:t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t>加强内部精细化管理</w:t>
      </w:r>
      <w:r>
        <w:rPr>
          <w:rFonts w:hint="eastAsia" w:ascii="宋体" w:hAnsi="宋体" w:cs="宋体"/>
          <w:color w:val="auto"/>
          <w:sz w:val="32"/>
          <w:szCs w:val="32"/>
          <w:u w:val="none"/>
          <w:lang w:val="en-US" w:eastAsia="zh-CN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78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482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78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77BC914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eastAsia="zh-CN"/>
        </w:rPr>
        <w:t>本单位2025年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“三公”经费预算数</w:t>
      </w:r>
      <w:r>
        <w:rPr>
          <w:rFonts w:hint="eastAsia" w:ascii="宋体" w:hAnsi="宋体" w:cs="宋体"/>
          <w:color w:val="auto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（数据来源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u w:val="none"/>
          <w:lang w:val="en-US" w:eastAsia="zh-CN"/>
        </w:rPr>
        <w:t>见表15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，其中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公务用车运行费</w:t>
      </w:r>
      <w:r>
        <w:rPr>
          <w:rFonts w:hint="eastAsia" w:ascii="宋体" w:hAnsi="宋体" w:cs="宋体"/>
          <w:color w:val="auto"/>
          <w:kern w:val="0"/>
          <w:sz w:val="32"/>
          <w:szCs w:val="32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万元。比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ascii="宋体" w:hAnsi="宋体" w:cs="宋体"/>
          <w:color w:val="auto"/>
          <w:kern w:val="0"/>
          <w:sz w:val="32"/>
          <w:szCs w:val="32"/>
          <w:u w:val="none"/>
          <w:lang w:val="en-US" w:eastAsia="zh-CN"/>
        </w:rPr>
        <w:t>增加1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val="en-US" w:eastAsia="zh-CN"/>
        </w:rPr>
        <w:t>万元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</w:rPr>
        <w:t>主要原因是</w:t>
      </w:r>
      <w:r>
        <w:rPr>
          <w:rFonts w:hint="eastAsia" w:ascii="宋体" w:hAnsi="宋体" w:cs="宋体"/>
          <w:color w:val="auto"/>
          <w:kern w:val="0"/>
          <w:sz w:val="32"/>
          <w:szCs w:val="32"/>
          <w:u w:val="none"/>
          <w:lang w:val="en-US" w:eastAsia="zh-CN"/>
        </w:rPr>
        <w:t>加强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val="en-US" w:eastAsia="zh-CN"/>
        </w:rPr>
        <w:t>公共卫生服务</w:t>
      </w:r>
      <w:r>
        <w:rPr>
          <w:rFonts w:hint="eastAsia" w:ascii="宋体" w:hAnsi="宋体" w:cs="宋体"/>
          <w:color w:val="auto"/>
          <w:kern w:val="0"/>
          <w:sz w:val="32"/>
          <w:szCs w:val="32"/>
          <w:u w:val="none"/>
          <w:lang w:val="en-US" w:eastAsia="zh-CN"/>
        </w:rPr>
        <w:t>和家庭医生下村服务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u w:val="none"/>
          <w:lang w:val="en-US" w:eastAsia="zh-CN"/>
        </w:rPr>
        <w:t>用车。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为乡村医生培训。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2026年度本单位未安排政府采购预算。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78</w:t>
      </w:r>
      <w:r>
        <w:rPr>
          <w:rFonts w:eastAsia="仿宋_GB2312"/>
          <w:bCs/>
          <w:kern w:val="0"/>
          <w:sz w:val="32"/>
          <w:szCs w:val="32"/>
        </w:rPr>
        <w:t>万元，其中，项目支出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78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饶村卫生院单位预算公开表格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C0996B-796A-471B-8F73-E6990856AC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0C7BCC0-AB03-4842-9D83-71EE6D02208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8D0A78F5-4525-4332-A94D-5B08419A2F6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7B02C0E-DE28-4F11-BA19-29F9BB043C1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92EB64A-207C-4532-A1E3-9F89153D33A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CCBC74"/>
    <w:multiLevelType w:val="multilevel"/>
    <w:tmpl w:val="F0CCBC7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E4D3BDD"/>
    <w:rsid w:val="3E9276AC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EB97A87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4">
    <w:name w:val="Body Text"/>
    <w:basedOn w:val="1"/>
    <w:link w:val="13"/>
    <w:autoRedefine/>
    <w:qFormat/>
    <w:uiPriority w:val="0"/>
    <w:pPr>
      <w:spacing w:after="120"/>
    </w:pPr>
  </w:style>
  <w:style w:type="paragraph" w:styleId="5">
    <w:name w:val="Date"/>
    <w:basedOn w:val="1"/>
    <w:next w:val="1"/>
    <w:link w:val="14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15"/>
    <w:autoRedefine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Body Text Char"/>
    <w:basedOn w:val="11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4">
    <w:name w:val="Date Char"/>
    <w:basedOn w:val="11"/>
    <w:link w:val="5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5">
    <w:name w:val="Balloon Text Char"/>
    <w:basedOn w:val="11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6">
    <w:name w:val="Footer Char"/>
    <w:basedOn w:val="11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7">
    <w:name w:val="Header Char"/>
    <w:basedOn w:val="11"/>
    <w:link w:val="8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8">
    <w:name w:val="表格内容"/>
    <w:basedOn w:val="4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  <w:style w:type="paragraph" w:customStyle="1" w:styleId="19">
    <w:name w:val="正文文本1"/>
    <w:basedOn w:val="1"/>
    <w:qFormat/>
    <w:uiPriority w:val="0"/>
    <w:pPr>
      <w:spacing w:after="120" w:line="560" w:lineRule="exac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2298</Words>
  <Characters>2400</Characters>
  <Lines>38</Lines>
  <Paragraphs>10</Paragraphs>
  <TotalTime>11</TotalTime>
  <ScaleCrop>false</ScaleCrop>
  <LinksUpToDate>false</LinksUpToDate>
  <CharactersWithSpaces>2448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2026-07-24T08:44:51Z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D2F8D2A861FF4AECA1076C1372B29946_13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