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DFD893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jc w:val="both"/>
        <w:textAlignment w:val="auto"/>
        <w:rPr>
          <w:rFonts w:hint="eastAsia" w:ascii="方正小标宋简体" w:hAnsi="方正小标宋简体" w:eastAsia="方正小标宋简体" w:cs="方正小标宋简体"/>
          <w:b/>
          <w:bCs/>
          <w:kern w:val="0"/>
          <w:sz w:val="72"/>
          <w:szCs w:val="72"/>
        </w:rPr>
      </w:pPr>
      <w:bookmarkStart w:id="0" w:name="_GoBack"/>
      <w:bookmarkEnd w:id="0"/>
    </w:p>
    <w:p w14:paraId="441B561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微软雅黑" w:hAnsi="微软雅黑" w:eastAsia="微软雅黑" w:cs="微软雅黑"/>
          <w:kern w:val="0"/>
          <w:sz w:val="48"/>
          <w:szCs w:val="48"/>
        </w:rPr>
      </w:pPr>
      <w:r>
        <w:rPr>
          <w:rFonts w:hint="eastAsia" w:ascii="微软雅黑" w:hAnsi="微软雅黑" w:eastAsia="微软雅黑" w:cs="微软雅黑"/>
          <w:kern w:val="0"/>
          <w:sz w:val="48"/>
          <w:szCs w:val="48"/>
          <w:lang w:val="en-US" w:eastAsia="zh-CN"/>
        </w:rPr>
        <w:t>岳阳县黄沙街镇中心卫生院</w:t>
      </w:r>
      <w:r>
        <w:rPr>
          <w:rFonts w:hint="eastAsia" w:ascii="微软雅黑" w:hAnsi="微软雅黑" w:eastAsia="微软雅黑" w:cs="微软雅黑"/>
          <w:kern w:val="0"/>
          <w:sz w:val="48"/>
          <w:szCs w:val="48"/>
          <w:lang w:eastAsia="zh-CN"/>
        </w:rPr>
        <w:t>2026年</w:t>
      </w:r>
      <w:r>
        <w:rPr>
          <w:rFonts w:hint="eastAsia" w:ascii="微软雅黑" w:hAnsi="微软雅黑" w:eastAsia="微软雅黑" w:cs="微软雅黑"/>
          <w:kern w:val="0"/>
          <w:sz w:val="48"/>
          <w:szCs w:val="48"/>
        </w:rPr>
        <w:t>度</w:t>
      </w:r>
    </w:p>
    <w:p w14:paraId="24EF1DA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微软雅黑" w:hAnsi="微软雅黑" w:eastAsia="微软雅黑" w:cs="微软雅黑"/>
          <w:kern w:val="0"/>
          <w:sz w:val="48"/>
          <w:szCs w:val="48"/>
        </w:rPr>
      </w:pPr>
      <w:r>
        <w:rPr>
          <w:rFonts w:hint="eastAsia" w:ascii="微软雅黑" w:hAnsi="微软雅黑" w:eastAsia="微软雅黑" w:cs="微软雅黑"/>
          <w:kern w:val="0"/>
          <w:sz w:val="48"/>
          <w:szCs w:val="48"/>
          <w:lang w:val="en-US" w:eastAsia="zh-CN"/>
        </w:rPr>
        <w:t>单位预算</w:t>
      </w:r>
    </w:p>
    <w:p w14:paraId="4789C911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ind w:firstLine="880" w:firstLineChars="200"/>
        <w:jc w:val="center"/>
        <w:textAlignment w:val="auto"/>
        <w:rPr>
          <w:rFonts w:hint="eastAsia" w:ascii="黑体" w:hAnsi="黑体" w:eastAsia="黑体" w:cs="黑体"/>
          <w:kern w:val="0"/>
          <w:sz w:val="44"/>
          <w:szCs w:val="44"/>
        </w:rPr>
      </w:pPr>
    </w:p>
    <w:p w14:paraId="5D1AC358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ind w:firstLine="880" w:firstLineChars="200"/>
        <w:jc w:val="center"/>
        <w:textAlignment w:val="auto"/>
        <w:rPr>
          <w:rFonts w:hint="eastAsia" w:ascii="黑体" w:hAnsi="黑体" w:eastAsia="黑体" w:cs="黑体"/>
          <w:kern w:val="0"/>
          <w:sz w:val="44"/>
          <w:szCs w:val="44"/>
        </w:rPr>
      </w:pPr>
      <w:r>
        <w:rPr>
          <w:rFonts w:hint="eastAsia" w:ascii="黑体" w:hAnsi="黑体" w:eastAsia="黑体" w:cs="黑体"/>
          <w:kern w:val="0"/>
          <w:sz w:val="44"/>
          <w:szCs w:val="44"/>
        </w:rPr>
        <w:t>目录</w:t>
      </w:r>
    </w:p>
    <w:p w14:paraId="129514D8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ind w:firstLine="643" w:firstLineChars="200"/>
        <w:textAlignment w:val="auto"/>
        <w:rPr>
          <w:rFonts w:ascii="仿宋_GB2312" w:eastAsia="仿宋_GB2312"/>
          <w:b/>
          <w:bCs/>
          <w:kern w:val="0"/>
          <w:sz w:val="32"/>
          <w:szCs w:val="32"/>
        </w:rPr>
      </w:pPr>
    </w:p>
    <w:p w14:paraId="501C1AD3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黑体" w:cs="黑体"/>
          <w:color w:val="auto"/>
          <w:kern w:val="0"/>
          <w:sz w:val="32"/>
          <w:szCs w:val="32"/>
        </w:rPr>
      </w:pPr>
      <w:r>
        <w:rPr>
          <w:rFonts w:hint="eastAsia" w:eastAsia="黑体" w:cs="黑体"/>
          <w:color w:val="auto"/>
          <w:kern w:val="0"/>
          <w:sz w:val="32"/>
          <w:szCs w:val="32"/>
        </w:rPr>
        <w:t>第一部分</w:t>
      </w:r>
      <w:r>
        <w:rPr>
          <w:rFonts w:hint="eastAsia" w:eastAsia="黑体" w:cs="黑体"/>
          <w:color w:val="auto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eastAsia="黑体" w:cs="黑体"/>
          <w:color w:val="auto"/>
          <w:kern w:val="0"/>
          <w:sz w:val="32"/>
          <w:szCs w:val="32"/>
          <w:lang w:eastAsia="zh-CN"/>
        </w:rPr>
        <w:t>2026年</w:t>
      </w:r>
      <w:r>
        <w:rPr>
          <w:rFonts w:hint="eastAsia" w:eastAsia="黑体" w:cs="黑体"/>
          <w:color w:val="auto"/>
          <w:kern w:val="0"/>
          <w:sz w:val="32"/>
          <w:szCs w:val="32"/>
          <w:lang w:val="en-US" w:eastAsia="zh-CN"/>
        </w:rPr>
        <w:t>单位</w:t>
      </w:r>
      <w:r>
        <w:rPr>
          <w:rFonts w:hint="eastAsia" w:eastAsia="黑体" w:cs="黑体"/>
          <w:color w:val="auto"/>
          <w:kern w:val="0"/>
          <w:sz w:val="32"/>
          <w:szCs w:val="32"/>
          <w:lang w:eastAsia="zh-CN"/>
        </w:rPr>
        <w:t>预算</w:t>
      </w:r>
      <w:r>
        <w:rPr>
          <w:rFonts w:hint="eastAsia" w:eastAsia="黑体" w:cs="黑体"/>
          <w:color w:val="auto"/>
          <w:kern w:val="0"/>
          <w:sz w:val="32"/>
          <w:szCs w:val="32"/>
        </w:rPr>
        <w:t>说明</w:t>
      </w:r>
    </w:p>
    <w:p w14:paraId="075C49A3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黑体" w:cs="黑体"/>
          <w:kern w:val="0"/>
          <w:sz w:val="32"/>
          <w:szCs w:val="32"/>
        </w:rPr>
      </w:pPr>
      <w:r>
        <w:rPr>
          <w:rFonts w:hint="eastAsia" w:eastAsia="黑体" w:cs="黑体"/>
          <w:kern w:val="0"/>
          <w:sz w:val="32"/>
          <w:szCs w:val="32"/>
        </w:rPr>
        <w:t>第二部分</w:t>
      </w:r>
      <w:r>
        <w:rPr>
          <w:rFonts w:hint="eastAsia" w:eastAsia="黑体" w:cs="黑体"/>
          <w:kern w:val="0"/>
          <w:sz w:val="32"/>
          <w:szCs w:val="32"/>
          <w:lang w:val="en-US" w:eastAsia="zh-CN"/>
        </w:rPr>
        <w:t xml:space="preserve">  单位</w:t>
      </w:r>
      <w:r>
        <w:rPr>
          <w:rFonts w:hint="eastAsia" w:eastAsia="黑体" w:cs="黑体"/>
          <w:kern w:val="0"/>
          <w:sz w:val="32"/>
          <w:szCs w:val="32"/>
          <w:lang w:eastAsia="zh-CN"/>
        </w:rPr>
        <w:t>预算</w:t>
      </w:r>
      <w:r>
        <w:rPr>
          <w:rFonts w:hint="eastAsia" w:eastAsia="黑体" w:cs="黑体"/>
          <w:kern w:val="0"/>
          <w:sz w:val="32"/>
          <w:szCs w:val="32"/>
        </w:rPr>
        <w:t>公开表格</w:t>
      </w:r>
    </w:p>
    <w:p w14:paraId="4C2622A2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1、收支总表</w:t>
      </w:r>
    </w:p>
    <w:p w14:paraId="3E2003A5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2、收入总表</w:t>
      </w:r>
    </w:p>
    <w:p w14:paraId="4F63F79B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3、支出总表</w:t>
      </w:r>
    </w:p>
    <w:p w14:paraId="16F75327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4、支出预算分类汇总表（按政府预算经济分类）</w:t>
      </w:r>
    </w:p>
    <w:p w14:paraId="7149FE4A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5、支出预算分类汇总表（按部门预算经济分类）</w:t>
      </w:r>
    </w:p>
    <w:p w14:paraId="14C11B85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6、财政拨款收支总表</w:t>
      </w:r>
    </w:p>
    <w:p w14:paraId="146FBBF9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7、一般公共预算支出表</w:t>
      </w:r>
    </w:p>
    <w:p w14:paraId="5F9E53A2">
      <w:pPr>
        <w:widowControl/>
        <w:spacing w:line="600" w:lineRule="exact"/>
        <w:ind w:firstLine="640" w:firstLineChars="200"/>
        <w:jc w:val="left"/>
      </w:pPr>
      <w:r>
        <w:rPr>
          <w:rFonts w:hint="eastAsia" w:eastAsia="仿宋_GB2312"/>
          <w:sz w:val="32"/>
          <w:szCs w:val="32"/>
          <w:lang w:val="en-US" w:eastAsia="zh-CN"/>
        </w:rPr>
        <w:t>8</w:t>
      </w:r>
      <w:r>
        <w:rPr>
          <w:rFonts w:eastAsia="仿宋_GB2312"/>
          <w:sz w:val="32"/>
          <w:szCs w:val="32"/>
        </w:rPr>
        <w:t>、</w:t>
      </w:r>
      <w:r>
        <w:rPr>
          <w:rFonts w:hint="eastAsia" w:eastAsia="仿宋_GB2312"/>
          <w:sz w:val="32"/>
          <w:szCs w:val="32"/>
        </w:rPr>
        <w:t>一般公共预算基本支出表</w:t>
      </w:r>
    </w:p>
    <w:p w14:paraId="60B9626F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9</w:t>
      </w:r>
      <w:r>
        <w:rPr>
          <w:rFonts w:eastAsia="仿宋_GB2312"/>
          <w:sz w:val="32"/>
          <w:szCs w:val="32"/>
        </w:rPr>
        <w:t>、一般公共预算基本支出表-人员经费（工资福利支出）（按政府预算经济分类）</w:t>
      </w:r>
    </w:p>
    <w:p w14:paraId="59FF09DC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10</w:t>
      </w:r>
      <w:r>
        <w:rPr>
          <w:rFonts w:eastAsia="仿宋_GB2312"/>
          <w:sz w:val="32"/>
          <w:szCs w:val="32"/>
        </w:rPr>
        <w:t>、一般公共预算基本支出表-人员经费（工资福利支出）（按部门预算经济分类）</w:t>
      </w:r>
    </w:p>
    <w:p w14:paraId="5CF7D87B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1</w:t>
      </w:r>
      <w:r>
        <w:rPr>
          <w:rFonts w:eastAsia="仿宋_GB2312"/>
          <w:sz w:val="32"/>
          <w:szCs w:val="32"/>
        </w:rPr>
        <w:t>、一般公共预算基本支出表-人员经费（对个人和家庭的补助）（按政府预算经济分类）</w:t>
      </w:r>
    </w:p>
    <w:p w14:paraId="7A1B2991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2</w:t>
      </w:r>
      <w:r>
        <w:rPr>
          <w:rFonts w:eastAsia="仿宋_GB2312"/>
          <w:sz w:val="32"/>
          <w:szCs w:val="32"/>
        </w:rPr>
        <w:t>、一般公共预算基本支出表-人员经费（对个人和家庭的补助）（按部门预算经济分类）</w:t>
      </w:r>
    </w:p>
    <w:p w14:paraId="350AD3E5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3</w:t>
      </w:r>
      <w:r>
        <w:rPr>
          <w:rFonts w:eastAsia="仿宋_GB2312"/>
          <w:sz w:val="32"/>
          <w:szCs w:val="32"/>
        </w:rPr>
        <w:t>、一般公共预算基本支出表-</w:t>
      </w:r>
      <w:r>
        <w:rPr>
          <w:rFonts w:hint="eastAsia" w:eastAsia="仿宋_GB2312"/>
          <w:sz w:val="32"/>
          <w:szCs w:val="32"/>
          <w:lang w:eastAsia="zh-CN"/>
        </w:rPr>
        <w:t>公用</w:t>
      </w:r>
      <w:r>
        <w:rPr>
          <w:rFonts w:eastAsia="仿宋_GB2312"/>
          <w:sz w:val="32"/>
          <w:szCs w:val="32"/>
        </w:rPr>
        <w:t>经费（商品和服务支出）（按政府预算经济分类）</w:t>
      </w:r>
    </w:p>
    <w:p w14:paraId="72A806BC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4</w:t>
      </w:r>
      <w:r>
        <w:rPr>
          <w:rFonts w:eastAsia="仿宋_GB2312"/>
          <w:sz w:val="32"/>
          <w:szCs w:val="32"/>
        </w:rPr>
        <w:t>、一般公共预算基本支出表-</w:t>
      </w:r>
      <w:r>
        <w:rPr>
          <w:rFonts w:hint="eastAsia" w:eastAsia="仿宋_GB2312"/>
          <w:sz w:val="32"/>
          <w:szCs w:val="32"/>
          <w:lang w:eastAsia="zh-CN"/>
        </w:rPr>
        <w:t>公用</w:t>
      </w:r>
      <w:r>
        <w:rPr>
          <w:rFonts w:eastAsia="仿宋_GB2312"/>
          <w:sz w:val="32"/>
          <w:szCs w:val="32"/>
        </w:rPr>
        <w:t>经费（商品和服务支出）（按部门预算经济分类）</w:t>
      </w:r>
    </w:p>
    <w:p w14:paraId="0602F7A5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5</w:t>
      </w:r>
      <w:r>
        <w:rPr>
          <w:rFonts w:eastAsia="仿宋_GB2312"/>
          <w:sz w:val="32"/>
          <w:szCs w:val="32"/>
        </w:rPr>
        <w:t>、一般公共预算“三公”经费支出表</w:t>
      </w:r>
    </w:p>
    <w:p w14:paraId="51DE0AD2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6</w:t>
      </w:r>
      <w:r>
        <w:rPr>
          <w:rFonts w:eastAsia="仿宋_GB2312"/>
          <w:sz w:val="32"/>
          <w:szCs w:val="32"/>
        </w:rPr>
        <w:t>、政府性基金预算支出表</w:t>
      </w:r>
    </w:p>
    <w:p w14:paraId="0B2572DE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7</w:t>
      </w:r>
      <w:r>
        <w:rPr>
          <w:rFonts w:eastAsia="仿宋_GB2312"/>
          <w:sz w:val="32"/>
          <w:szCs w:val="32"/>
        </w:rPr>
        <w:t>、政府性基金预算支出分类汇总表（按政府预算经济分类）</w:t>
      </w:r>
    </w:p>
    <w:p w14:paraId="3F023D1B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8</w:t>
      </w:r>
      <w:r>
        <w:rPr>
          <w:rFonts w:eastAsia="仿宋_GB2312"/>
          <w:sz w:val="32"/>
          <w:szCs w:val="32"/>
        </w:rPr>
        <w:t>、政府性基金预算支出分类汇总表（按部门预算经济分类）</w:t>
      </w:r>
    </w:p>
    <w:p w14:paraId="0F80D80B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9</w:t>
      </w:r>
      <w:r>
        <w:rPr>
          <w:rFonts w:eastAsia="仿宋_GB2312"/>
          <w:sz w:val="32"/>
          <w:szCs w:val="32"/>
        </w:rPr>
        <w:t>、国有资本经营预算支出表</w:t>
      </w:r>
    </w:p>
    <w:p w14:paraId="4FDB7AFC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20</w:t>
      </w:r>
      <w:r>
        <w:rPr>
          <w:rFonts w:eastAsia="仿宋_GB2312"/>
          <w:sz w:val="32"/>
          <w:szCs w:val="32"/>
        </w:rPr>
        <w:t>、财政专户管理资金预算支出表</w:t>
      </w:r>
    </w:p>
    <w:p w14:paraId="2864D030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</w:t>
      </w:r>
      <w:r>
        <w:rPr>
          <w:rFonts w:hint="eastAsia" w:eastAsia="仿宋_GB2312"/>
          <w:sz w:val="32"/>
          <w:szCs w:val="32"/>
          <w:lang w:val="en-US" w:eastAsia="zh-CN"/>
        </w:rPr>
        <w:t>1</w:t>
      </w:r>
      <w:r>
        <w:rPr>
          <w:rFonts w:eastAsia="仿宋_GB2312"/>
          <w:sz w:val="32"/>
          <w:szCs w:val="32"/>
        </w:rPr>
        <w:t>、专项资金预算汇总表</w:t>
      </w:r>
    </w:p>
    <w:p w14:paraId="691CD3C7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</w:t>
      </w:r>
      <w:r>
        <w:rPr>
          <w:rFonts w:hint="eastAsia" w:eastAsia="仿宋_GB2312"/>
          <w:sz w:val="32"/>
          <w:szCs w:val="32"/>
          <w:lang w:val="en-US" w:eastAsia="zh-CN"/>
        </w:rPr>
        <w:t>2</w:t>
      </w:r>
      <w:r>
        <w:rPr>
          <w:rFonts w:hint="eastAsia" w:eastAsia="仿宋_GB2312"/>
          <w:sz w:val="32"/>
          <w:szCs w:val="32"/>
          <w:lang w:eastAsia="zh-CN"/>
        </w:rPr>
        <w:t>、</w:t>
      </w:r>
      <w:r>
        <w:rPr>
          <w:rFonts w:hint="eastAsia" w:eastAsia="仿宋_GB2312"/>
          <w:sz w:val="32"/>
          <w:szCs w:val="32"/>
          <w:lang w:val="en-US" w:eastAsia="zh-CN"/>
        </w:rPr>
        <w:t>项目支出</w:t>
      </w:r>
      <w:r>
        <w:rPr>
          <w:rFonts w:eastAsia="仿宋_GB2312"/>
          <w:sz w:val="32"/>
          <w:szCs w:val="32"/>
        </w:rPr>
        <w:t>绩效目标表</w:t>
      </w:r>
    </w:p>
    <w:p w14:paraId="0DB85332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</w:t>
      </w:r>
      <w:r>
        <w:rPr>
          <w:rFonts w:hint="eastAsia" w:eastAsia="仿宋_GB2312"/>
          <w:sz w:val="32"/>
          <w:szCs w:val="32"/>
          <w:lang w:val="en-US" w:eastAsia="zh-CN"/>
        </w:rPr>
        <w:t>3</w:t>
      </w:r>
      <w:r>
        <w:rPr>
          <w:rFonts w:eastAsia="仿宋_GB2312"/>
          <w:sz w:val="32"/>
          <w:szCs w:val="32"/>
        </w:rPr>
        <w:t>、部门整体支出绩效目标表</w:t>
      </w:r>
    </w:p>
    <w:p w14:paraId="1C645262">
      <w:pPr>
        <w:widowControl/>
        <w:spacing w:line="600" w:lineRule="exact"/>
        <w:ind w:firstLine="643" w:firstLineChars="200"/>
        <w:rPr>
          <w:rFonts w:hint="eastAsia" w:eastAsia="仿宋_GB2312" w:cs="仿宋_GB2312"/>
          <w:color w:val="FF0000"/>
          <w:kern w:val="0"/>
          <w:sz w:val="32"/>
          <w:szCs w:val="32"/>
        </w:rPr>
      </w:pPr>
      <w:r>
        <w:rPr>
          <w:rFonts w:eastAsia="仿宋_GB2312"/>
          <w:b/>
          <w:bCs w:val="0"/>
          <w:color w:val="FF0000"/>
          <w:kern w:val="0"/>
          <w:sz w:val="32"/>
          <w:szCs w:val="32"/>
        </w:rPr>
        <w:t>注：以上</w:t>
      </w:r>
      <w:r>
        <w:rPr>
          <w:rFonts w:hint="eastAsia" w:eastAsia="仿宋_GB2312"/>
          <w:b/>
          <w:bCs w:val="0"/>
          <w:color w:val="FF0000"/>
          <w:kern w:val="0"/>
          <w:sz w:val="32"/>
          <w:szCs w:val="32"/>
          <w:lang w:val="en-US" w:eastAsia="zh-CN"/>
        </w:rPr>
        <w:t>单位</w:t>
      </w:r>
      <w:r>
        <w:rPr>
          <w:rFonts w:hint="eastAsia" w:eastAsia="仿宋_GB2312"/>
          <w:b/>
          <w:bCs w:val="0"/>
          <w:color w:val="FF0000"/>
          <w:kern w:val="0"/>
          <w:sz w:val="32"/>
          <w:szCs w:val="32"/>
          <w:lang w:eastAsia="zh-CN"/>
        </w:rPr>
        <w:t>预算</w:t>
      </w:r>
      <w:r>
        <w:rPr>
          <w:rFonts w:hint="eastAsia" w:eastAsia="仿宋_GB2312"/>
          <w:b/>
          <w:bCs w:val="0"/>
          <w:color w:val="FF0000"/>
          <w:kern w:val="0"/>
          <w:sz w:val="32"/>
          <w:szCs w:val="32"/>
          <w:lang w:val="en-US" w:eastAsia="zh-CN"/>
        </w:rPr>
        <w:t>公开</w:t>
      </w:r>
      <w:r>
        <w:rPr>
          <w:rFonts w:eastAsia="仿宋_GB2312"/>
          <w:b/>
          <w:bCs w:val="0"/>
          <w:color w:val="FF0000"/>
          <w:kern w:val="0"/>
          <w:sz w:val="32"/>
          <w:szCs w:val="32"/>
        </w:rPr>
        <w:t>报表中，空表表示本</w:t>
      </w:r>
      <w:r>
        <w:rPr>
          <w:rFonts w:hint="eastAsia" w:eastAsia="仿宋_GB2312"/>
          <w:b/>
          <w:bCs w:val="0"/>
          <w:color w:val="FF0000"/>
          <w:kern w:val="0"/>
          <w:sz w:val="32"/>
          <w:szCs w:val="32"/>
          <w:lang w:val="en-US" w:eastAsia="zh-CN"/>
        </w:rPr>
        <w:t>单位</w:t>
      </w:r>
      <w:r>
        <w:rPr>
          <w:rFonts w:eastAsia="仿宋_GB2312"/>
          <w:b/>
          <w:bCs w:val="0"/>
          <w:color w:val="FF0000"/>
          <w:kern w:val="0"/>
          <w:sz w:val="32"/>
          <w:szCs w:val="32"/>
        </w:rPr>
        <w:t>无相关收支情况。</w:t>
      </w:r>
    </w:p>
    <w:p w14:paraId="0A481E97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jc w:val="center"/>
        <w:textAlignment w:val="auto"/>
        <w:rPr>
          <w:rFonts w:hint="eastAsia" w:eastAsia="黑体" w:cs="黑体"/>
          <w:kern w:val="0"/>
          <w:sz w:val="32"/>
          <w:szCs w:val="32"/>
        </w:rPr>
      </w:pPr>
      <w:r>
        <w:rPr>
          <w:rFonts w:hint="eastAsia" w:eastAsia="黑体" w:cs="黑体"/>
          <w:kern w:val="0"/>
          <w:sz w:val="32"/>
          <w:szCs w:val="32"/>
        </w:rPr>
        <w:br w:type="page"/>
      </w:r>
      <w:r>
        <w:rPr>
          <w:rFonts w:hint="eastAsia" w:ascii="黑体" w:hAnsi="黑体" w:eastAsia="黑体" w:cs="黑体"/>
          <w:kern w:val="0"/>
          <w:sz w:val="32"/>
          <w:szCs w:val="32"/>
        </w:rPr>
        <w:t>第一部分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ascii="黑体" w:hAnsi="黑体" w:eastAsia="黑体" w:cs="黑体"/>
          <w:kern w:val="0"/>
          <w:sz w:val="32"/>
          <w:szCs w:val="32"/>
          <w:lang w:eastAsia="zh-CN"/>
        </w:rPr>
        <w:t>2026年单位预算</w:t>
      </w:r>
      <w:r>
        <w:rPr>
          <w:rFonts w:hint="eastAsia" w:ascii="黑体" w:hAnsi="黑体" w:eastAsia="黑体" w:cs="黑体"/>
          <w:kern w:val="0"/>
          <w:sz w:val="32"/>
          <w:szCs w:val="32"/>
        </w:rPr>
        <w:t>说明</w:t>
      </w:r>
    </w:p>
    <w:p w14:paraId="251EFFD1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</w:rPr>
      </w:pPr>
    </w:p>
    <w:p w14:paraId="3DD49BBE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一、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单位</w:t>
      </w:r>
      <w:r>
        <w:rPr>
          <w:rFonts w:hint="eastAsia" w:ascii="黑体" w:hAnsi="黑体" w:eastAsia="黑体" w:cs="黑体"/>
          <w:kern w:val="0"/>
          <w:sz w:val="32"/>
          <w:szCs w:val="32"/>
        </w:rPr>
        <w:t>基本概况</w:t>
      </w:r>
    </w:p>
    <w:p w14:paraId="72A04E45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</w:rPr>
      </w:pPr>
      <w:r>
        <w:rPr>
          <w:rFonts w:hint="eastAsia" w:eastAsia="仿宋_GB2312" w:cs="仿宋_GB2312"/>
          <w:kern w:val="0"/>
          <w:sz w:val="32"/>
          <w:szCs w:val="32"/>
        </w:rPr>
        <w:t>（一）职能职责</w:t>
      </w:r>
    </w:p>
    <w:p w14:paraId="178A940E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为人民身体健康提供医疗与预防保健服务。医疗、预防保健、合作医疗组织与管理、卫生监督卫生信息管理。</w:t>
      </w:r>
    </w:p>
    <w:p w14:paraId="47E30E4A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</w:rPr>
      </w:pPr>
      <w:r>
        <w:rPr>
          <w:rFonts w:hint="eastAsia" w:eastAsia="仿宋_GB2312" w:cs="仿宋_GB2312"/>
          <w:kern w:val="0"/>
          <w:sz w:val="32"/>
          <w:szCs w:val="32"/>
        </w:rPr>
        <w:t>（二）机构设置</w:t>
      </w:r>
    </w:p>
    <w:p w14:paraId="6A401655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 xml:space="preserve">  预防保健科、全科医疗科、内科（心血管内科专业 内分泌专业 老年病专业）、外科、妇科专业（计划生育专业）、康复医学科、医学检验科、医学影像科、中医科等。</w:t>
      </w:r>
    </w:p>
    <w:p w14:paraId="33930462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 w:cs="黑体"/>
          <w:kern w:val="0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单位</w:t>
      </w:r>
      <w:r>
        <w:rPr>
          <w:rFonts w:hint="eastAsia" w:ascii="黑体" w:hAnsi="黑体" w:eastAsia="黑体" w:cs="黑体"/>
          <w:kern w:val="0"/>
          <w:sz w:val="32"/>
          <w:szCs w:val="32"/>
        </w:rPr>
        <w:t>收支总体情况</w:t>
      </w:r>
    </w:p>
    <w:p w14:paraId="715606DA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（一）收入预算</w:t>
      </w:r>
    </w:p>
    <w:p w14:paraId="15E9FA10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eastAsia="仿宋_GB2312" w:cs="仿宋_GB2312"/>
          <w:kern w:val="0"/>
          <w:sz w:val="32"/>
          <w:szCs w:val="32"/>
          <w:lang w:eastAsia="zh-CN"/>
        </w:rPr>
        <w:t>包括一般公共预算、政府性基金、国有资本经营预算等财政拨款收入，以及经营收入、事业收入等单位资金。2026年本单位收入预算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1566.2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万元，其中，一般公共预算拨款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182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万元，政府性基金预算拨款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万元，国有资本经营预算拨款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万元，财政专户管理资金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万元，上级补助收入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303.5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万元，事业单位经营收入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1080.7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万元，上年结转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万元。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eastAsia="zh-CN"/>
        </w:rPr>
        <w:t>（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val="en-US" w:eastAsia="zh-CN"/>
        </w:rPr>
        <w:t>数据来源</w:t>
      </w:r>
      <w:r>
        <w:rPr>
          <w:rFonts w:hint="eastAsia" w:eastAsia="仿宋_GB2312" w:cs="仿宋_GB2312"/>
          <w:b/>
          <w:bCs/>
          <w:i w:val="0"/>
          <w:iCs w:val="0"/>
          <w:color w:val="auto"/>
          <w:kern w:val="0"/>
          <w:sz w:val="32"/>
          <w:szCs w:val="32"/>
          <w:u w:val="none"/>
          <w:lang w:val="en-US" w:eastAsia="zh-CN"/>
        </w:rPr>
        <w:t>见表2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val="en-US" w:eastAsia="zh-CN"/>
        </w:rPr>
        <w:t>。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eastAsia="zh-CN"/>
        </w:rPr>
        <w:t>本单位2026年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</w:rPr>
        <w:t>没有政府性基金预算拨款和纳入专户管理的非税收入拨款收入，也没有使用政府性基金预算拨款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eastAsia="zh-CN"/>
        </w:rPr>
        <w:t>、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</w:rPr>
        <w:t>国有资本经营预算收入和纳入专户管理的非税收入拨款安排的支出，所以公开的附件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val="en-US" w:eastAsia="zh-CN"/>
        </w:rPr>
        <w:t>16-18（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</w:rPr>
        <w:t>政府性基金预算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val="en-US" w:eastAsia="zh-CN"/>
        </w:rPr>
        <w:t>）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</w:rPr>
        <w:t>、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val="en-US" w:eastAsia="zh-CN"/>
        </w:rPr>
        <w:t>19（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</w:rPr>
        <w:t>国有资本经营预算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val="en-US" w:eastAsia="zh-CN"/>
        </w:rPr>
        <w:t>）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</w:rPr>
        <w:t>、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val="en-US" w:eastAsia="zh-CN"/>
        </w:rPr>
        <w:t>20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</w:rPr>
        <w:t>表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eastAsia="zh-CN"/>
        </w:rPr>
        <w:t>（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val="en-US" w:eastAsia="zh-CN"/>
        </w:rPr>
        <w:t>财政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</w:rPr>
        <w:t>专户管理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val="en-US" w:eastAsia="zh-CN"/>
        </w:rPr>
        <w:t>资金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</w:rPr>
        <w:t>预算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eastAsia="zh-CN"/>
        </w:rPr>
        <w:t>）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</w:rPr>
        <w:t>均为空。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eastAsia="zh-CN"/>
        </w:rPr>
        <w:t>”）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eastAsia="zh-CN"/>
        </w:rPr>
        <w:t>收入较去年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val="en-US" w:eastAsia="zh-CN"/>
        </w:rPr>
        <w:t>减少35.8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eastAsia="zh-CN"/>
        </w:rPr>
        <w:t>万元，主要是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val="en-US" w:eastAsia="zh-CN"/>
        </w:rPr>
        <w:t>因为医疗事业收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入下滑等原因造成。</w:t>
      </w:r>
    </w:p>
    <w:p w14:paraId="7CDA85C9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（二）支出预算</w:t>
      </w:r>
    </w:p>
    <w:p w14:paraId="49A4018D">
      <w:pPr>
        <w:widowControl/>
        <w:spacing w:line="600" w:lineRule="exact"/>
        <w:ind w:firstLine="627" w:firstLineChars="196"/>
        <w:jc w:val="left"/>
        <w:rPr>
          <w:rFonts w:hint="eastAsia" w:eastAsia="仿宋_GB2312" w:cs="仿宋_GB2312"/>
          <w:color w:val="auto"/>
          <w:kern w:val="0"/>
          <w:sz w:val="32"/>
          <w:szCs w:val="32"/>
        </w:rPr>
      </w:pPr>
      <w:r>
        <w:rPr>
          <w:rFonts w:hint="eastAsia" w:eastAsia="仿宋_GB2312"/>
          <w:sz w:val="32"/>
          <w:szCs w:val="32"/>
          <w:lang w:eastAsia="zh-CN"/>
        </w:rPr>
        <w:t>2026年本单位</w:t>
      </w:r>
      <w:r>
        <w:rPr>
          <w:rFonts w:eastAsia="仿宋_GB2312"/>
          <w:sz w:val="32"/>
          <w:szCs w:val="32"/>
        </w:rPr>
        <w:t>支出预算</w:t>
      </w:r>
      <w:r>
        <w:rPr>
          <w:rFonts w:hint="eastAsia" w:eastAsia="仿宋_GB2312"/>
          <w:sz w:val="32"/>
          <w:szCs w:val="32"/>
          <w:lang w:val="en-US" w:eastAsia="zh-CN"/>
        </w:rPr>
        <w:t>1566.2</w:t>
      </w:r>
      <w:r>
        <w:rPr>
          <w:rFonts w:eastAsia="仿宋_GB2312"/>
          <w:sz w:val="32"/>
          <w:szCs w:val="32"/>
        </w:rPr>
        <w:t>万元，其中，一般公共服务</w:t>
      </w:r>
      <w:r>
        <w:rPr>
          <w:rFonts w:hint="eastAsia" w:eastAsia="仿宋_GB2312"/>
          <w:sz w:val="32"/>
          <w:szCs w:val="32"/>
          <w:lang w:val="en-US" w:eastAsia="zh-CN"/>
        </w:rPr>
        <w:t>182</w:t>
      </w:r>
      <w:r>
        <w:rPr>
          <w:rFonts w:eastAsia="仿宋_GB2312"/>
          <w:sz w:val="32"/>
          <w:szCs w:val="32"/>
        </w:rPr>
        <w:t>万元，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经费拨款182万元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（按类级功能科目列出支出预算明细，数据来源见表6）。</w:t>
      </w:r>
      <w:r>
        <w:rPr>
          <w:rFonts w:hint="eastAsia" w:eastAsia="仿宋_GB2312"/>
          <w:color w:val="auto"/>
          <w:sz w:val="32"/>
          <w:szCs w:val="32"/>
        </w:rPr>
        <w:t>支出较去年</w:t>
      </w:r>
      <w:r>
        <w:rPr>
          <w:rFonts w:hint="eastAsia" w:eastAsia="仿宋_GB2312"/>
          <w:color w:val="auto"/>
          <w:sz w:val="32"/>
          <w:szCs w:val="32"/>
          <w:lang w:val="en-US" w:eastAsia="zh-CN"/>
        </w:rPr>
        <w:t>增加20万元。</w:t>
      </w:r>
    </w:p>
    <w:p w14:paraId="1E86AB16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auto"/>
          <w:kern w:val="0"/>
          <w:sz w:val="32"/>
          <w:szCs w:val="32"/>
          <w:lang w:val="en-US" w:eastAsia="zh-CN"/>
        </w:rPr>
        <w:t>三、</w:t>
      </w:r>
      <w:r>
        <w:rPr>
          <w:rFonts w:hint="eastAsia" w:ascii="黑体" w:hAnsi="黑体" w:eastAsia="黑体" w:cs="黑体"/>
          <w:color w:val="auto"/>
          <w:kern w:val="0"/>
          <w:sz w:val="32"/>
          <w:szCs w:val="32"/>
        </w:rPr>
        <w:t>一般公共预算拨款支出预算</w:t>
      </w:r>
    </w:p>
    <w:p w14:paraId="48BE7B78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</w:pP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2026年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一般公共预算拨款支出预算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182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万元，其中</w:t>
      </w:r>
      <w:r>
        <w:rPr>
          <w:rFonts w:eastAsia="仿宋_GB2312"/>
          <w:color w:val="auto"/>
          <w:sz w:val="32"/>
          <w:szCs w:val="32"/>
        </w:rPr>
        <w:t>，一般公共服务支出</w:t>
      </w:r>
      <w:r>
        <w:rPr>
          <w:rFonts w:hint="eastAsia" w:eastAsia="仿宋_GB2312"/>
          <w:color w:val="auto"/>
          <w:sz w:val="32"/>
          <w:szCs w:val="32"/>
          <w:lang w:val="en-US" w:eastAsia="zh-CN"/>
        </w:rPr>
        <w:t>182</w:t>
      </w:r>
      <w:r>
        <w:rPr>
          <w:rFonts w:eastAsia="仿宋_GB2312"/>
          <w:color w:val="auto"/>
          <w:sz w:val="32"/>
          <w:szCs w:val="32"/>
        </w:rPr>
        <w:t>万元，占</w:t>
      </w:r>
      <w:r>
        <w:rPr>
          <w:rFonts w:hint="eastAsia" w:eastAsia="仿宋_GB2312"/>
          <w:color w:val="auto"/>
          <w:sz w:val="32"/>
          <w:szCs w:val="32"/>
          <w:lang w:val="en-US" w:eastAsia="zh-CN"/>
        </w:rPr>
        <w:t>100</w:t>
      </w:r>
      <w:r>
        <w:rPr>
          <w:rFonts w:hint="eastAsia" w:eastAsia="仿宋_GB2312"/>
          <w:color w:val="auto"/>
          <w:sz w:val="32"/>
          <w:szCs w:val="32"/>
          <w:u w:val="none"/>
        </w:rPr>
        <w:t>%</w:t>
      </w:r>
      <w:r>
        <w:rPr>
          <w:rFonts w:eastAsia="仿宋_GB2312"/>
          <w:color w:val="auto"/>
          <w:sz w:val="32"/>
          <w:szCs w:val="32"/>
        </w:rPr>
        <w:t>；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（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val="en-US" w:eastAsia="zh-CN"/>
        </w:rPr>
        <w:t>数据来源</w:t>
      </w:r>
      <w:r>
        <w:rPr>
          <w:rFonts w:hint="eastAsia" w:eastAsia="仿宋_GB2312"/>
          <w:b/>
          <w:bCs/>
          <w:color w:val="auto"/>
          <w:sz w:val="32"/>
          <w:szCs w:val="32"/>
          <w:lang w:val="en-US" w:eastAsia="zh-CN"/>
        </w:rPr>
        <w:t>见表7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val="en-US" w:eastAsia="zh-CN"/>
        </w:rPr>
        <w:t>，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按类级功能科目说明每大类功能科目下的金额和比例）具体安排情况如下：</w:t>
      </w:r>
    </w:p>
    <w:p w14:paraId="31726668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</w:pPr>
      <w:r>
        <w:rPr>
          <w:rFonts w:hint="eastAsia" w:eastAsia="仿宋_GB2312" w:cs="仿宋_GB2312"/>
          <w:color w:val="auto"/>
          <w:kern w:val="0"/>
          <w:sz w:val="32"/>
          <w:szCs w:val="32"/>
        </w:rPr>
        <w:t>（一）基本支出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：2026年基本支出年初预算数为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1566.2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万元</w:t>
      </w:r>
      <w:r>
        <w:rPr>
          <w:rFonts w:hint="eastAsia" w:ascii="Times New Roman" w:hAnsi="Times New Roman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val="en-US" w:eastAsia="zh-CN"/>
        </w:rPr>
        <w:t>（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val="en-US" w:eastAsia="zh-CN"/>
        </w:rPr>
        <w:t>数据来源</w:t>
      </w:r>
      <w:r>
        <w:rPr>
          <w:rFonts w:hint="eastAsia" w:eastAsia="仿宋_GB2312"/>
          <w:b/>
          <w:bCs/>
          <w:color w:val="auto"/>
          <w:sz w:val="32"/>
          <w:szCs w:val="32"/>
          <w:lang w:val="en-US" w:eastAsia="zh-CN"/>
        </w:rPr>
        <w:t>见表5</w:t>
      </w:r>
      <w:r>
        <w:rPr>
          <w:rFonts w:hint="eastAsia" w:ascii="Times New Roman" w:hAnsi="Times New Roman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val="en-US" w:eastAsia="zh-CN"/>
        </w:rPr>
        <w:t>）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，是指为保障单位机构正常运转、完成日常工作任务而发生的各项支出，包括用于基本工资、津贴补贴等人员经费以及办公费、印刷费、水电费、差旅费等日常公用经费。</w:t>
      </w:r>
    </w:p>
    <w:p w14:paraId="22CBED26">
      <w:pPr>
        <w:widowControl/>
        <w:spacing w:line="600" w:lineRule="exact"/>
        <w:ind w:firstLine="660"/>
        <w:jc w:val="left"/>
        <w:rPr>
          <w:rFonts w:hint="eastAsia" w:eastAsia="仿宋_GB2312"/>
          <w:color w:val="auto"/>
          <w:sz w:val="32"/>
          <w:szCs w:val="32"/>
        </w:rPr>
      </w:pPr>
      <w:r>
        <w:rPr>
          <w:rFonts w:hint="eastAsia" w:eastAsia="仿宋_GB2312" w:cs="仿宋_GB2312"/>
          <w:color w:val="auto"/>
          <w:kern w:val="0"/>
          <w:sz w:val="32"/>
          <w:szCs w:val="32"/>
        </w:rPr>
        <w:t>（二）项目支出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</w:rPr>
        <w:t>：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val="en-US" w:eastAsia="zh-CN"/>
        </w:rPr>
        <w:t>2026年度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eastAsia="zh-CN"/>
        </w:rPr>
        <w:t>本单位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</w:rPr>
        <w:t>无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val="en-US" w:eastAsia="zh-CN"/>
        </w:rPr>
        <w:t>项目预算。</w:t>
      </w:r>
    </w:p>
    <w:p w14:paraId="697B02E7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auto"/>
          <w:kern w:val="0"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 w:cs="黑体"/>
          <w:color w:val="auto"/>
          <w:kern w:val="0"/>
          <w:sz w:val="32"/>
          <w:szCs w:val="32"/>
        </w:rPr>
        <w:t>、政府性基金预算支出</w:t>
      </w:r>
    </w:p>
    <w:p w14:paraId="0CD7898A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color w:val="auto"/>
          <w:kern w:val="0"/>
          <w:sz w:val="32"/>
          <w:szCs w:val="32"/>
          <w:u w:val="none"/>
        </w:rPr>
      </w:pP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val="en-US" w:eastAsia="zh-CN"/>
        </w:rPr>
        <w:t>2026年度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eastAsia="zh-CN"/>
        </w:rPr>
        <w:t>本单位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</w:rPr>
        <w:t>无政府性基金安排的支出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eastAsia="zh-CN"/>
        </w:rPr>
        <w:t>，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</w:rPr>
        <w:t>所以公开的附件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val="en-US" w:eastAsia="zh-CN"/>
        </w:rPr>
        <w:t>16-18（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</w:rPr>
        <w:t>政府性基金预算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val="en-US" w:eastAsia="zh-CN"/>
        </w:rPr>
        <w:t>）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</w:rPr>
        <w:t>为空。</w:t>
      </w:r>
    </w:p>
    <w:p w14:paraId="4E78AC9A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auto"/>
          <w:kern w:val="0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 w:cs="黑体"/>
          <w:color w:val="auto"/>
          <w:kern w:val="0"/>
          <w:sz w:val="32"/>
          <w:szCs w:val="32"/>
        </w:rPr>
        <w:t>、其他重要事项的情况说明</w:t>
      </w:r>
    </w:p>
    <w:p w14:paraId="2DCCAF0E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</w:rPr>
        <w:t>（一）机关运行经费</w:t>
      </w:r>
    </w:p>
    <w:p w14:paraId="77BC9148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eastAsia="仿宋_GB2312"/>
          <w:color w:val="auto"/>
          <w:kern w:val="0"/>
          <w:sz w:val="32"/>
          <w:szCs w:val="32"/>
        </w:rPr>
      </w:pPr>
      <w:r>
        <w:rPr>
          <w:rFonts w:hint="eastAsia" w:eastAsia="仿宋_GB2312"/>
          <w:color w:val="auto"/>
          <w:kern w:val="0"/>
          <w:sz w:val="32"/>
          <w:szCs w:val="32"/>
          <w:lang w:val="en-US" w:eastAsia="zh-CN"/>
        </w:rPr>
        <w:t>2026年度本单位无机关运行经费预算</w:t>
      </w:r>
    </w:p>
    <w:p w14:paraId="0A8FC0EE"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“三公”经费预算</w:t>
      </w:r>
    </w:p>
    <w:p w14:paraId="3EA60379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2026年度本单位无“三公”经费预算</w:t>
      </w:r>
    </w:p>
    <w:p w14:paraId="0F1F1399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  <w:t>（三）一般性支出情况</w:t>
      </w:r>
    </w:p>
    <w:p w14:paraId="609E5066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color w:val="FF0000"/>
          <w:kern w:val="0"/>
          <w:sz w:val="32"/>
          <w:szCs w:val="32"/>
          <w:lang w:eastAsia="zh-CN"/>
        </w:rPr>
      </w:pP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val="en-US" w:eastAsia="zh-CN"/>
        </w:rPr>
        <w:t>2026年度本单位</w:t>
      </w:r>
      <w:r>
        <w:rPr>
          <w:rFonts w:hint="eastAsia" w:eastAsia="仿宋_GB2312"/>
          <w:color w:val="auto"/>
          <w:kern w:val="0"/>
          <w:sz w:val="32"/>
          <w:szCs w:val="32"/>
          <w:u w:val="none"/>
          <w:lang w:eastAsia="zh-CN"/>
        </w:rPr>
        <w:t>未计划</w:t>
      </w:r>
      <w:r>
        <w:rPr>
          <w:rFonts w:hint="eastAsia" w:eastAsia="仿宋_GB2312"/>
          <w:color w:val="auto"/>
          <w:kern w:val="0"/>
          <w:sz w:val="32"/>
          <w:szCs w:val="32"/>
          <w:u w:val="none"/>
          <w:lang w:val="en-US" w:eastAsia="zh-CN"/>
        </w:rPr>
        <w:t>安排会议、培训，未计划</w:t>
      </w:r>
      <w:r>
        <w:rPr>
          <w:rFonts w:hint="eastAsia" w:eastAsia="仿宋_GB2312"/>
          <w:color w:val="auto"/>
          <w:kern w:val="0"/>
          <w:sz w:val="32"/>
          <w:szCs w:val="32"/>
          <w:u w:val="none"/>
          <w:lang w:eastAsia="zh-CN"/>
        </w:rPr>
        <w:t>举办</w:t>
      </w:r>
      <w:r>
        <w:rPr>
          <w:rFonts w:hint="eastAsia" w:eastAsia="仿宋_GB2312"/>
          <w:color w:val="auto"/>
          <w:kern w:val="0"/>
          <w:sz w:val="32"/>
          <w:szCs w:val="32"/>
          <w:u w:val="none"/>
        </w:rPr>
        <w:t>节庆、晚会、</w:t>
      </w:r>
      <w:r>
        <w:rPr>
          <w:rFonts w:eastAsia="仿宋_GB2312"/>
          <w:color w:val="auto"/>
          <w:kern w:val="0"/>
          <w:sz w:val="32"/>
          <w:szCs w:val="32"/>
          <w:u w:val="none"/>
        </w:rPr>
        <w:t>论坛、赛事</w:t>
      </w:r>
      <w:r>
        <w:rPr>
          <w:rFonts w:hint="eastAsia" w:eastAsia="仿宋_GB2312"/>
          <w:color w:val="auto"/>
          <w:kern w:val="0"/>
          <w:sz w:val="32"/>
          <w:szCs w:val="32"/>
          <w:u w:val="none"/>
        </w:rPr>
        <w:t>活动</w:t>
      </w:r>
      <w:r>
        <w:rPr>
          <w:rFonts w:hint="eastAsia" w:eastAsia="仿宋_GB2312"/>
          <w:color w:val="auto"/>
          <w:kern w:val="0"/>
          <w:sz w:val="32"/>
          <w:szCs w:val="32"/>
          <w:u w:val="none"/>
          <w:lang w:eastAsia="zh-CN"/>
        </w:rPr>
        <w:t>。</w:t>
      </w:r>
    </w:p>
    <w:p w14:paraId="5A741AEA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lang w:eastAsia="zh-CN"/>
        </w:rPr>
        <w:t>（四）政府采购情况</w:t>
      </w:r>
    </w:p>
    <w:p w14:paraId="5214B15B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color w:val="3216DC"/>
          <w:kern w:val="0"/>
          <w:sz w:val="32"/>
          <w:szCs w:val="32"/>
          <w:lang w:eastAsia="zh-CN"/>
        </w:rPr>
      </w:pP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本单位2026年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政府采购预算总额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72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万元，其中工程类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30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万元，货物类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24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万元，服务类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18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万元。</w:t>
      </w:r>
    </w:p>
    <w:p w14:paraId="02327D49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  <w:t>（五）国有资产占有使用及新增资产配置情况</w:t>
      </w:r>
    </w:p>
    <w:p w14:paraId="5AA8EE28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</w:rPr>
      </w:pPr>
      <w:r>
        <w:rPr>
          <w:rFonts w:hint="eastAsia" w:eastAsia="仿宋_GB2312" w:cs="仿宋_GB2312"/>
          <w:color w:val="auto"/>
          <w:kern w:val="0"/>
          <w:sz w:val="32"/>
          <w:szCs w:val="32"/>
        </w:rPr>
        <w:t>截至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上一年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12月底，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本单位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共有车</w:t>
      </w:r>
      <w:r>
        <w:rPr>
          <w:rFonts w:hint="eastAsia" w:eastAsia="仿宋_GB2312" w:cs="仿宋_GB2312"/>
          <w:kern w:val="0"/>
          <w:sz w:val="32"/>
          <w:szCs w:val="32"/>
        </w:rPr>
        <w:t>辆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1</w:t>
      </w:r>
      <w:r>
        <w:rPr>
          <w:rFonts w:hint="eastAsia" w:eastAsia="仿宋_GB2312" w:cs="仿宋_GB2312"/>
          <w:kern w:val="0"/>
          <w:sz w:val="32"/>
          <w:szCs w:val="32"/>
        </w:rPr>
        <w:t>辆，其中领导干部用车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辆，一般公务用车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1</w:t>
      </w:r>
      <w:r>
        <w:rPr>
          <w:rFonts w:hint="eastAsia" w:eastAsia="仿宋_GB2312" w:cs="仿宋_GB2312"/>
          <w:kern w:val="0"/>
          <w:sz w:val="32"/>
          <w:szCs w:val="32"/>
        </w:rPr>
        <w:t>辆，其他用车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辆。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 w:cs="仿宋_GB2312"/>
          <w:kern w:val="0"/>
          <w:sz w:val="32"/>
          <w:szCs w:val="32"/>
        </w:rPr>
        <w:t>价值50万元以上通用设备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台，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 w:cs="仿宋_GB2312"/>
          <w:kern w:val="0"/>
          <w:sz w:val="32"/>
          <w:szCs w:val="32"/>
        </w:rPr>
        <w:t>价值100万元以上专用设备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1</w:t>
      </w:r>
      <w:r>
        <w:rPr>
          <w:rFonts w:hint="eastAsia" w:eastAsia="仿宋_GB2312" w:cs="仿宋_GB2312"/>
          <w:kern w:val="0"/>
          <w:sz w:val="32"/>
          <w:szCs w:val="32"/>
        </w:rPr>
        <w:t>台。</w:t>
      </w:r>
    </w:p>
    <w:p w14:paraId="4DD5ED40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val="en-US" w:eastAsia="zh-CN"/>
        </w:rPr>
      </w:pP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val="en-US" w:eastAsia="zh-CN"/>
        </w:rPr>
        <w:t>2026年度本单位未计划处置或新增车辆、设备等。</w:t>
      </w:r>
    </w:p>
    <w:p w14:paraId="68C54990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  <w:t>（六）预算绩效</w:t>
      </w: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val="en-US" w:eastAsia="zh-CN"/>
        </w:rPr>
        <w:t>目标</w:t>
      </w: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  <w:t>说明</w:t>
      </w:r>
    </w:p>
    <w:p w14:paraId="6A5E9C8F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eastAsia="仿宋_GB2312"/>
          <w:bCs/>
          <w:kern w:val="0"/>
          <w:sz w:val="32"/>
          <w:szCs w:val="32"/>
          <w:lang w:val="en-US" w:eastAsia="zh-CN"/>
        </w:rPr>
        <w:t>2026年</w:t>
      </w:r>
      <w:r>
        <w:rPr>
          <w:rFonts w:hint="eastAsia" w:eastAsia="仿宋_GB2312"/>
          <w:bCs/>
          <w:kern w:val="0"/>
          <w:sz w:val="32"/>
          <w:szCs w:val="32"/>
          <w:lang w:eastAsia="zh-CN"/>
        </w:rPr>
        <w:t>本单位</w:t>
      </w:r>
      <w:r>
        <w:rPr>
          <w:rFonts w:hint="eastAsia" w:eastAsia="仿宋_GB2312"/>
          <w:bCs/>
          <w:kern w:val="0"/>
          <w:sz w:val="32"/>
          <w:szCs w:val="32"/>
          <w:lang w:val="en-US" w:eastAsia="zh-CN"/>
        </w:rPr>
        <w:t>未实行</w:t>
      </w:r>
      <w:r>
        <w:rPr>
          <w:rFonts w:eastAsia="仿宋_GB2312"/>
          <w:bCs/>
          <w:kern w:val="0"/>
          <w:sz w:val="32"/>
          <w:szCs w:val="32"/>
        </w:rPr>
        <w:t>实行绩效目标管理</w:t>
      </w:r>
      <w:r>
        <w:rPr>
          <w:rFonts w:hint="eastAsia" w:eastAsia="仿宋_GB2312"/>
          <w:bCs/>
          <w:kern w:val="0"/>
          <w:sz w:val="32"/>
          <w:szCs w:val="32"/>
          <w:lang w:val="en-US" w:eastAsia="zh-CN"/>
        </w:rPr>
        <w:t>.</w:t>
      </w:r>
    </w:p>
    <w:p w14:paraId="42D07D09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 w:cs="黑体"/>
          <w:kern w:val="0"/>
          <w:sz w:val="32"/>
          <w:szCs w:val="32"/>
        </w:rPr>
        <w:t>、名词解释</w:t>
      </w:r>
    </w:p>
    <w:p w14:paraId="12CE72A5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/>
          <w:kern w:val="0"/>
          <w:sz w:val="32"/>
          <w:szCs w:val="32"/>
          <w:lang w:eastAsia="zh-CN"/>
        </w:rPr>
      </w:pPr>
      <w:r>
        <w:rPr>
          <w:rFonts w:hint="eastAsia" w:eastAsia="仿宋_GB2312"/>
          <w:kern w:val="0"/>
          <w:sz w:val="32"/>
          <w:szCs w:val="32"/>
        </w:rPr>
        <w:t>1、机关运行经费：是指各</w:t>
      </w:r>
      <w:r>
        <w:rPr>
          <w:rFonts w:hint="eastAsia" w:eastAsia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/>
          <w:kern w:val="0"/>
          <w:sz w:val="32"/>
          <w:szCs w:val="32"/>
        </w:rPr>
        <w:t>的公用经费，包括办公及印刷费、邮电费、差旅费、会议费、福利费、日常维修费、专用资料及一般设备购置费、办公用房水电费、办公用房取暖费、办公用房物业管理费、公务用车运行维护费以及其他费用。</w:t>
      </w:r>
    </w:p>
    <w:p w14:paraId="6C1F7B37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eastAsia="仿宋_GB2312"/>
          <w:kern w:val="0"/>
          <w:sz w:val="32"/>
          <w:szCs w:val="32"/>
          <w:lang w:val="en-US" w:eastAsia="zh-CN"/>
        </w:rPr>
      </w:pPr>
      <w:r>
        <w:rPr>
          <w:rFonts w:hint="eastAsia" w:eastAsia="仿宋_GB2312"/>
          <w:kern w:val="0"/>
          <w:sz w:val="32"/>
          <w:szCs w:val="32"/>
        </w:rPr>
        <w:t>2、“三公”经费：纳入财政预算管理的“三公“经费，是指用一般公共预算拨款安排的公务接待费、公务用车购置及运行维护费和因公出国（境）费。其中，公务接待费反映</w:t>
      </w:r>
      <w:r>
        <w:rPr>
          <w:rFonts w:hint="eastAsia" w:eastAsia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/>
          <w:kern w:val="0"/>
          <w:sz w:val="32"/>
          <w:szCs w:val="32"/>
        </w:rPr>
        <w:t>按规定开支的各类公务接待支出；公务用车购置及运行费反映</w:t>
      </w:r>
      <w:r>
        <w:rPr>
          <w:rFonts w:hint="eastAsia" w:eastAsia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/>
          <w:kern w:val="0"/>
          <w:sz w:val="32"/>
          <w:szCs w:val="32"/>
        </w:rPr>
        <w:t>公务用车车辆购置支出（含车辆购置税），以及燃料费、维修费、保险费等支出；因公出国（境）费反映</w:t>
      </w:r>
      <w:r>
        <w:rPr>
          <w:rFonts w:hint="eastAsia" w:eastAsia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/>
          <w:kern w:val="0"/>
          <w:sz w:val="32"/>
          <w:szCs w:val="32"/>
        </w:rPr>
        <w:t>公务出国（境）的国际旅费、国外城市间交通费、食宿费等支出。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 xml:space="preserve">               </w:t>
      </w:r>
    </w:p>
    <w:p w14:paraId="4A4170F6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jc w:val="center"/>
        <w:textAlignment w:val="auto"/>
        <w:rPr>
          <w:rFonts w:hint="eastAsia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eastAsia="黑体" w:cs="黑体"/>
          <w:kern w:val="0"/>
          <w:sz w:val="32"/>
          <w:szCs w:val="32"/>
        </w:rPr>
        <w:br w:type="page"/>
      </w:r>
      <w:r>
        <w:rPr>
          <w:rFonts w:hint="eastAsia" w:eastAsia="黑体" w:cs="黑体"/>
          <w:kern w:val="0"/>
          <w:sz w:val="32"/>
          <w:szCs w:val="32"/>
        </w:rPr>
        <w:t>第二部分</w:t>
      </w:r>
      <w:r>
        <w:rPr>
          <w:rFonts w:hint="eastAsia" w:eastAsia="黑体" w:cs="黑体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eastAsia="黑体" w:cs="黑体"/>
          <w:kern w:val="0"/>
          <w:sz w:val="32"/>
          <w:szCs w:val="32"/>
          <w:lang w:eastAsia="zh-CN"/>
        </w:rPr>
        <w:t>单位预算</w:t>
      </w:r>
      <w:r>
        <w:rPr>
          <w:rFonts w:hint="eastAsia" w:eastAsia="黑体" w:cs="黑体"/>
          <w:kern w:val="0"/>
          <w:sz w:val="32"/>
          <w:szCs w:val="32"/>
          <w:lang w:val="en-US" w:eastAsia="zh-CN"/>
        </w:rPr>
        <w:t>公开</w:t>
      </w:r>
      <w:r>
        <w:rPr>
          <w:rFonts w:hint="eastAsia" w:eastAsia="黑体" w:cs="黑体"/>
          <w:kern w:val="0"/>
          <w:sz w:val="32"/>
          <w:szCs w:val="32"/>
        </w:rPr>
        <w:t>表</w:t>
      </w:r>
      <w:r>
        <w:rPr>
          <w:rFonts w:hint="eastAsia" w:eastAsia="黑体" w:cs="黑体"/>
          <w:kern w:val="0"/>
          <w:sz w:val="32"/>
          <w:szCs w:val="32"/>
          <w:lang w:val="en-US" w:eastAsia="zh-CN"/>
        </w:rPr>
        <w:t>格</w:t>
      </w:r>
    </w:p>
    <w:p w14:paraId="46EB83C3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11520" w:firstLineChars="3600"/>
        <w:textAlignment w:val="auto"/>
        <w:rPr>
          <w:rFonts w:hint="default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eastAsia="黑体" w:cs="黑体"/>
          <w:kern w:val="0"/>
          <w:sz w:val="32"/>
          <w:szCs w:val="32"/>
          <w:lang w:eastAsia="zh-CN"/>
        </w:rPr>
        <w:t>附</w:t>
      </w:r>
      <w:r>
        <w:rPr>
          <w:rFonts w:hint="eastAsia" w:eastAsia="黑体" w:cs="黑体"/>
          <w:kern w:val="0"/>
          <w:sz w:val="32"/>
          <w:szCs w:val="32"/>
          <w:lang w:val="en-US" w:eastAsia="zh-CN"/>
        </w:rPr>
        <w:t>附</w:t>
      </w:r>
      <w:r>
        <w:rPr>
          <w:rFonts w:hint="eastAsia" w:eastAsia="黑体" w:cs="黑体"/>
          <w:kern w:val="0"/>
          <w:sz w:val="32"/>
          <w:szCs w:val="32"/>
          <w:lang w:eastAsia="zh-CN"/>
        </w:rPr>
        <w:t>件：</w:t>
      </w:r>
      <w:r>
        <w:rPr>
          <w:rFonts w:hint="eastAsia" w:eastAsia="黑体" w:cs="黑体"/>
          <w:kern w:val="0"/>
          <w:sz w:val="32"/>
          <w:szCs w:val="32"/>
          <w:lang w:val="en-US" w:eastAsia="zh-CN"/>
        </w:rPr>
        <w:t>XX单位预算公开表格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43875DC-7602-407B-B4E8-C8498C085681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D46F99D0-E673-4E85-B6B8-83E30FAE0917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3" w:fontKey="{95538565-B88D-4971-A476-DD09C81D668F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EF080E35-16C2-424E-9377-3A29F320BA4C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5" w:fontKey="{253CF2EA-8FC9-4544-A22E-0CD2E336F63C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8D5606"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9ED2DB"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D181E1"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B636B5">
    <w:pPr>
      <w:pStyle w:val="7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49BB8A"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0970E7">
    <w:pPr>
      <w:pStyle w:val="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2A4B08A"/>
    <w:multiLevelType w:val="singleLevel"/>
    <w:tmpl w:val="E2A4B08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Y1YTA5Yzk4NmQ3NzkyYzIyNzdmNGNjNTM3N2I0NGIifQ=="/>
  </w:docVars>
  <w:rsids>
    <w:rsidRoot w:val="00CA5057"/>
    <w:rsid w:val="00001697"/>
    <w:rsid w:val="000034D6"/>
    <w:rsid w:val="0006270B"/>
    <w:rsid w:val="00065DA2"/>
    <w:rsid w:val="00117900"/>
    <w:rsid w:val="001336FC"/>
    <w:rsid w:val="00193395"/>
    <w:rsid w:val="001A0136"/>
    <w:rsid w:val="001A3382"/>
    <w:rsid w:val="001A3861"/>
    <w:rsid w:val="001A6377"/>
    <w:rsid w:val="001C6E63"/>
    <w:rsid w:val="001D154A"/>
    <w:rsid w:val="001F365A"/>
    <w:rsid w:val="00203B0A"/>
    <w:rsid w:val="0025517E"/>
    <w:rsid w:val="00270E85"/>
    <w:rsid w:val="002B0968"/>
    <w:rsid w:val="002C117B"/>
    <w:rsid w:val="002F5747"/>
    <w:rsid w:val="002F57F8"/>
    <w:rsid w:val="00344D3D"/>
    <w:rsid w:val="003457B4"/>
    <w:rsid w:val="00355284"/>
    <w:rsid w:val="003C0AE2"/>
    <w:rsid w:val="003C0E16"/>
    <w:rsid w:val="003C62F5"/>
    <w:rsid w:val="003E6642"/>
    <w:rsid w:val="00452611"/>
    <w:rsid w:val="00464A20"/>
    <w:rsid w:val="00466617"/>
    <w:rsid w:val="004711E9"/>
    <w:rsid w:val="00490880"/>
    <w:rsid w:val="0049696B"/>
    <w:rsid w:val="004A0D4C"/>
    <w:rsid w:val="004A798F"/>
    <w:rsid w:val="004B4F1A"/>
    <w:rsid w:val="004B766D"/>
    <w:rsid w:val="004D0879"/>
    <w:rsid w:val="004E302C"/>
    <w:rsid w:val="0054440F"/>
    <w:rsid w:val="005E6320"/>
    <w:rsid w:val="006137D9"/>
    <w:rsid w:val="00617392"/>
    <w:rsid w:val="00637664"/>
    <w:rsid w:val="00687143"/>
    <w:rsid w:val="00695750"/>
    <w:rsid w:val="006C1259"/>
    <w:rsid w:val="006E013D"/>
    <w:rsid w:val="006E335E"/>
    <w:rsid w:val="006F2FD2"/>
    <w:rsid w:val="00714685"/>
    <w:rsid w:val="00754296"/>
    <w:rsid w:val="00755471"/>
    <w:rsid w:val="007B0161"/>
    <w:rsid w:val="007C48A3"/>
    <w:rsid w:val="00812DE3"/>
    <w:rsid w:val="00832EBB"/>
    <w:rsid w:val="008459F5"/>
    <w:rsid w:val="008511BD"/>
    <w:rsid w:val="00854FCA"/>
    <w:rsid w:val="0085589C"/>
    <w:rsid w:val="008827C7"/>
    <w:rsid w:val="00893563"/>
    <w:rsid w:val="008974A0"/>
    <w:rsid w:val="008C1057"/>
    <w:rsid w:val="008E61DB"/>
    <w:rsid w:val="008E6571"/>
    <w:rsid w:val="009143CB"/>
    <w:rsid w:val="0093410B"/>
    <w:rsid w:val="00990520"/>
    <w:rsid w:val="00995AF1"/>
    <w:rsid w:val="009D1CA3"/>
    <w:rsid w:val="009D450C"/>
    <w:rsid w:val="009E5041"/>
    <w:rsid w:val="009E7921"/>
    <w:rsid w:val="00A0350C"/>
    <w:rsid w:val="00A03C0E"/>
    <w:rsid w:val="00A867C6"/>
    <w:rsid w:val="00AA481C"/>
    <w:rsid w:val="00AB576D"/>
    <w:rsid w:val="00AB6861"/>
    <w:rsid w:val="00AC160E"/>
    <w:rsid w:val="00B0403C"/>
    <w:rsid w:val="00B21CBD"/>
    <w:rsid w:val="00B366B4"/>
    <w:rsid w:val="00B82665"/>
    <w:rsid w:val="00BC04D7"/>
    <w:rsid w:val="00BE4229"/>
    <w:rsid w:val="00BF5A08"/>
    <w:rsid w:val="00C36022"/>
    <w:rsid w:val="00C5316A"/>
    <w:rsid w:val="00CA5057"/>
    <w:rsid w:val="00CB1E6F"/>
    <w:rsid w:val="00CB5C8F"/>
    <w:rsid w:val="00CF2BA3"/>
    <w:rsid w:val="00D1730A"/>
    <w:rsid w:val="00D279D7"/>
    <w:rsid w:val="00D60DAB"/>
    <w:rsid w:val="00D75CFA"/>
    <w:rsid w:val="00D84D40"/>
    <w:rsid w:val="00D96317"/>
    <w:rsid w:val="00DB63BF"/>
    <w:rsid w:val="00DD2BA7"/>
    <w:rsid w:val="00DD573A"/>
    <w:rsid w:val="00E01BD5"/>
    <w:rsid w:val="00E179D0"/>
    <w:rsid w:val="00E24DC7"/>
    <w:rsid w:val="00E419D9"/>
    <w:rsid w:val="00E5547E"/>
    <w:rsid w:val="00E75085"/>
    <w:rsid w:val="00EA5C43"/>
    <w:rsid w:val="00EC052E"/>
    <w:rsid w:val="00F05F5B"/>
    <w:rsid w:val="00F06D7F"/>
    <w:rsid w:val="00F078E9"/>
    <w:rsid w:val="00F24836"/>
    <w:rsid w:val="00F36C19"/>
    <w:rsid w:val="00F74B02"/>
    <w:rsid w:val="00FB0434"/>
    <w:rsid w:val="00FB1B41"/>
    <w:rsid w:val="00FB3CC9"/>
    <w:rsid w:val="00FE2E8C"/>
    <w:rsid w:val="01492937"/>
    <w:rsid w:val="02DF562C"/>
    <w:rsid w:val="032D48E5"/>
    <w:rsid w:val="039837D0"/>
    <w:rsid w:val="04497920"/>
    <w:rsid w:val="069419C6"/>
    <w:rsid w:val="08281851"/>
    <w:rsid w:val="0AF15A72"/>
    <w:rsid w:val="0C0C6008"/>
    <w:rsid w:val="0C4F7AFC"/>
    <w:rsid w:val="0D5B6622"/>
    <w:rsid w:val="0E064421"/>
    <w:rsid w:val="0ED234CD"/>
    <w:rsid w:val="0F654CC7"/>
    <w:rsid w:val="0F9E0A26"/>
    <w:rsid w:val="1297182F"/>
    <w:rsid w:val="14903A2F"/>
    <w:rsid w:val="15D9563A"/>
    <w:rsid w:val="16170DD2"/>
    <w:rsid w:val="19420C90"/>
    <w:rsid w:val="19D5374E"/>
    <w:rsid w:val="1AC31CB7"/>
    <w:rsid w:val="1B057A55"/>
    <w:rsid w:val="1BEF6124"/>
    <w:rsid w:val="1D6A69B7"/>
    <w:rsid w:val="1EAD2225"/>
    <w:rsid w:val="1F1F1226"/>
    <w:rsid w:val="26570D53"/>
    <w:rsid w:val="27D848B8"/>
    <w:rsid w:val="2CDB483B"/>
    <w:rsid w:val="2FC40521"/>
    <w:rsid w:val="3405688C"/>
    <w:rsid w:val="34E11E02"/>
    <w:rsid w:val="388764A3"/>
    <w:rsid w:val="3BC82B6A"/>
    <w:rsid w:val="3D1816DB"/>
    <w:rsid w:val="3E4D3BDD"/>
    <w:rsid w:val="41DA7DB9"/>
    <w:rsid w:val="43884ABF"/>
    <w:rsid w:val="447637E8"/>
    <w:rsid w:val="49EF4858"/>
    <w:rsid w:val="4AE9742D"/>
    <w:rsid w:val="4BA67C06"/>
    <w:rsid w:val="4CA46ED7"/>
    <w:rsid w:val="4D013E21"/>
    <w:rsid w:val="4D8D7228"/>
    <w:rsid w:val="4DDD2C7F"/>
    <w:rsid w:val="4F1826FF"/>
    <w:rsid w:val="506C2AB0"/>
    <w:rsid w:val="53344C63"/>
    <w:rsid w:val="55295806"/>
    <w:rsid w:val="55D3446A"/>
    <w:rsid w:val="569D61C6"/>
    <w:rsid w:val="59044790"/>
    <w:rsid w:val="593F63D3"/>
    <w:rsid w:val="59C77C98"/>
    <w:rsid w:val="5B423ECD"/>
    <w:rsid w:val="5CDA4DA9"/>
    <w:rsid w:val="5D5E0DDF"/>
    <w:rsid w:val="62820F98"/>
    <w:rsid w:val="62873CEC"/>
    <w:rsid w:val="64035B71"/>
    <w:rsid w:val="64DB31B9"/>
    <w:rsid w:val="681842B0"/>
    <w:rsid w:val="6AE87D9C"/>
    <w:rsid w:val="6F8561D3"/>
    <w:rsid w:val="6F92456D"/>
    <w:rsid w:val="70271B5B"/>
    <w:rsid w:val="71AC0C24"/>
    <w:rsid w:val="773C67F0"/>
    <w:rsid w:val="7DFA5EB0"/>
    <w:rsid w:val="7E3E736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99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10">
    <w:name w:val="Default Paragraph Font"/>
    <w:autoRedefine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autoRedefine/>
    <w:qFormat/>
    <w:uiPriority w:val="99"/>
    <w:pPr>
      <w:spacing w:before="120" w:after="200" w:line="276" w:lineRule="auto"/>
    </w:pPr>
    <w:rPr>
      <w:rFonts w:ascii="Arial" w:hAnsi="Arial"/>
      <w:sz w:val="24"/>
    </w:rPr>
  </w:style>
  <w:style w:type="paragraph" w:styleId="3">
    <w:name w:val="Body Text"/>
    <w:basedOn w:val="1"/>
    <w:link w:val="11"/>
    <w:autoRedefine/>
    <w:qFormat/>
    <w:uiPriority w:val="0"/>
    <w:pPr>
      <w:spacing w:after="120"/>
    </w:pPr>
  </w:style>
  <w:style w:type="paragraph" w:styleId="4">
    <w:name w:val="Date"/>
    <w:basedOn w:val="1"/>
    <w:next w:val="1"/>
    <w:link w:val="12"/>
    <w:autoRedefine/>
    <w:qFormat/>
    <w:uiPriority w:val="0"/>
    <w:pPr>
      <w:ind w:left="100" w:leftChars="2500"/>
    </w:pPr>
  </w:style>
  <w:style w:type="paragraph" w:styleId="5">
    <w:name w:val="Balloon Text"/>
    <w:basedOn w:val="1"/>
    <w:link w:val="13"/>
    <w:autoRedefine/>
    <w:semiHidden/>
    <w:qFormat/>
    <w:uiPriority w:val="0"/>
    <w:rPr>
      <w:sz w:val="18"/>
      <w:szCs w:val="18"/>
    </w:rPr>
  </w:style>
  <w:style w:type="paragraph" w:styleId="6">
    <w:name w:val="footer"/>
    <w:basedOn w:val="1"/>
    <w:link w:val="14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5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autoRedefine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11">
    <w:name w:val="Body Text Char"/>
    <w:basedOn w:val="10"/>
    <w:link w:val="3"/>
    <w:autoRedefine/>
    <w:qFormat/>
    <w:locked/>
    <w:uiPriority w:val="0"/>
    <w:rPr>
      <w:rFonts w:eastAsia="宋体"/>
      <w:kern w:val="2"/>
      <w:sz w:val="21"/>
      <w:szCs w:val="21"/>
      <w:lang w:val="en-US" w:eastAsia="zh-CN" w:bidi="ar-SA"/>
    </w:rPr>
  </w:style>
  <w:style w:type="character" w:customStyle="1" w:styleId="12">
    <w:name w:val="Date Char"/>
    <w:basedOn w:val="10"/>
    <w:link w:val="4"/>
    <w:autoRedefine/>
    <w:qFormat/>
    <w:locked/>
    <w:uiPriority w:val="0"/>
    <w:rPr>
      <w:rFonts w:eastAsia="宋体"/>
      <w:kern w:val="2"/>
      <w:sz w:val="21"/>
      <w:szCs w:val="21"/>
      <w:lang w:val="en-US" w:eastAsia="zh-CN" w:bidi="ar-SA"/>
    </w:rPr>
  </w:style>
  <w:style w:type="character" w:customStyle="1" w:styleId="13">
    <w:name w:val="Balloon Text Char"/>
    <w:basedOn w:val="10"/>
    <w:link w:val="5"/>
    <w:autoRedefine/>
    <w:qFormat/>
    <w:locked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4">
    <w:name w:val="Footer Char"/>
    <w:basedOn w:val="10"/>
    <w:link w:val="6"/>
    <w:autoRedefine/>
    <w:qFormat/>
    <w:locked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5">
    <w:name w:val="Header Char"/>
    <w:basedOn w:val="10"/>
    <w:link w:val="7"/>
    <w:autoRedefine/>
    <w:qFormat/>
    <w:locked/>
    <w:uiPriority w:val="0"/>
    <w:rPr>
      <w:rFonts w:eastAsia="宋体"/>
      <w:kern w:val="2"/>
      <w:sz w:val="18"/>
      <w:szCs w:val="18"/>
      <w:lang w:val="en-US" w:eastAsia="zh-CN" w:bidi="ar-SA"/>
    </w:rPr>
  </w:style>
  <w:style w:type="paragraph" w:customStyle="1" w:styleId="16">
    <w:name w:val="表格内容"/>
    <w:basedOn w:val="3"/>
    <w:autoRedefine/>
    <w:qFormat/>
    <w:uiPriority w:val="0"/>
    <w:pPr>
      <w:suppressLineNumbers/>
      <w:suppressAutoHyphens/>
      <w:jc w:val="left"/>
    </w:pPr>
    <w:rPr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 Corporation</Company>
  <Pages>7</Pages>
  <Words>1999</Words>
  <Characters>2121</Characters>
  <Lines>38</Lines>
  <Paragraphs>10</Paragraphs>
  <TotalTime>6</TotalTime>
  <ScaleCrop>false</ScaleCrop>
  <LinksUpToDate>false</LinksUpToDate>
  <CharactersWithSpaces>2148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2018-08-09T00:21:00Z</dcterms:created>
  <dc:creator>周继恩 10.105.113.143</dc:creator>
  <cp:lastModifiedBy>红粉</cp:lastModifiedBy>
  <cp:lastPrinted>2019-05-05T07:55:00Z</cp:lastPrinted>
  <dcterms:modified xsi:type="dcterms:W3CDTF">2026-07-24T08:48:22Z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84A236CE9147496D815CAD1491B15E6B_13</vt:lpwstr>
  </property>
  <property fmtid="{D5CDD505-2E9C-101B-9397-08002B2CF9AE}" pid="4" name="KSOTemplateDocerSaveRecord">
    <vt:lpwstr>eyJoZGlkIjoiODYxMzZiMGIwZmY1NGJiNWVkMGJjMDI0YWYyYzJhNjMiLCJ1c2VySWQiOiIxMTUzNjE4Mjk3In0=</vt:lpwstr>
  </property>
</Properties>
</file>