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岳阳县人民医院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2327F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F212F82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(1)贯彻执行国家有关医院的政策、法律、法规，行使公立医院基本职责。</w:t>
      </w:r>
    </w:p>
    <w:p w14:paraId="18D931B1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(2)向服务范围内的的居民提供公共卫生服务，促进健康。</w:t>
      </w:r>
    </w:p>
    <w:p w14:paraId="32FD5C89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(3)确保服务范围内的居民的基本医疗保障得以实现。</w:t>
      </w:r>
    </w:p>
    <w:p w14:paraId="41280435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(4)负责服务范围内居民危重病的抢救、救治，常见病的诊断、控制工作。</w:t>
      </w:r>
    </w:p>
    <w:p w14:paraId="0844073C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(5)向服务范围内的居民提供体检，对居民健康进行动态分析，跟踪。</w:t>
      </w:r>
    </w:p>
    <w:p w14:paraId="43B92838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(6)负责传染病的预防和控制。</w:t>
      </w:r>
    </w:p>
    <w:p w14:paraId="31E9440D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(7)帮助和促进乡镇医院发展。</w:t>
      </w:r>
    </w:p>
    <w:p w14:paraId="77FF4E05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(8)开展科研，教学工作。</w:t>
      </w:r>
    </w:p>
    <w:p w14:paraId="20F371B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(9)上级部门交办的其他工作。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2395CBE3"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医院设有急诊科、重症医学科、手术室、麻醉科、骨科胸外烧伤科、神经脊柱外科、普外科、泌尿外科、妇科、产科、心血管呼吸内科、神经内分泌科、消化内科、感染科、中医老年病综合内科、五官科、儿科、新生儿科、住院康复疼痛科、血液透析中心、体外碎石中心、健康管理中心、影像中心（放射、CT、核磁共振）、检验科、超声科、口腔科、皮肤科、病理科、康复理疗中心、介入中心、盆底与产后康复中心等临床医技科室30多个。</w:t>
      </w:r>
    </w:p>
    <w:p w14:paraId="762D7DD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299E872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20631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251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20000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lang w:eastAsia="zh-CN"/>
        </w:rPr>
        <w:t>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27E7117C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20631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20380</w:t>
      </w:r>
      <w:r>
        <w:rPr>
          <w:rFonts w:eastAsia="仿宋_GB2312"/>
          <w:sz w:val="32"/>
          <w:szCs w:val="32"/>
        </w:rPr>
        <w:t>万元</w:t>
      </w:r>
      <w:r>
        <w:rPr>
          <w:rFonts w:eastAsia="仿宋_GB2312"/>
          <w:color w:val="auto"/>
          <w:sz w:val="32"/>
          <w:szCs w:val="32"/>
          <w:u w:val="none"/>
        </w:rPr>
        <w:t>，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一般公共预算经费科目</w:t>
      </w:r>
      <w:bookmarkStart w:id="0" w:name="_GoBack"/>
      <w:bookmarkEnd w:id="0"/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251万元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类级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见表6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）</w:t>
      </w:r>
      <w:r>
        <w:rPr>
          <w:rFonts w:eastAsia="仿宋_GB2312"/>
          <w:color w:val="auto"/>
          <w:sz w:val="32"/>
          <w:szCs w:val="32"/>
          <w:u w:val="none"/>
        </w:rPr>
        <w:t>。</w:t>
      </w:r>
      <w:r>
        <w:rPr>
          <w:rFonts w:hint="eastAsia" w:eastAsia="仿宋_GB2312"/>
          <w:color w:val="auto"/>
          <w:sz w:val="32"/>
          <w:szCs w:val="32"/>
          <w:u w:val="none"/>
        </w:rPr>
        <w:t>支出较去年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持平</w:t>
      </w:r>
      <w:r>
        <w:rPr>
          <w:rFonts w:hint="eastAsia" w:eastAsia="仿宋_GB2312"/>
          <w:color w:val="auto"/>
          <w:sz w:val="32"/>
          <w:szCs w:val="32"/>
          <w:u w:val="none"/>
        </w:rPr>
        <w:t>，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其中</w:t>
      </w:r>
      <w:r>
        <w:rPr>
          <w:rFonts w:hint="eastAsia" w:eastAsia="仿宋_GB2312"/>
          <w:color w:val="auto"/>
          <w:sz w:val="32"/>
          <w:szCs w:val="32"/>
          <w:u w:val="none"/>
        </w:rPr>
        <w:t>基本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color w:val="auto"/>
          <w:sz w:val="32"/>
          <w:szCs w:val="32"/>
          <w:u w:val="none"/>
        </w:rPr>
        <w:t>。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其中基本支出较上年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减少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主要是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因为按预算控制成本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，项目支出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主要是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因为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外科大楼建设项目支出增加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。</w:t>
      </w:r>
    </w:p>
    <w:p w14:paraId="5517B0DE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279A14A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251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</w:t>
      </w:r>
      <w:r>
        <w:rPr>
          <w:rFonts w:eastAsia="仿宋_GB2312"/>
          <w:color w:val="auto"/>
          <w:sz w:val="32"/>
          <w:szCs w:val="32"/>
        </w:rPr>
        <w:t>，一般公共服务支出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251</w:t>
      </w:r>
      <w:r>
        <w:rPr>
          <w:rFonts w:eastAsia="仿宋_GB2312"/>
          <w:color w:val="auto"/>
          <w:sz w:val="32"/>
          <w:szCs w:val="32"/>
        </w:rPr>
        <w:t>万元，占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auto"/>
          <w:sz w:val="32"/>
          <w:szCs w:val="32"/>
          <w:u w:val="none"/>
        </w:rPr>
        <w:t>%</w:t>
      </w:r>
      <w:r>
        <w:rPr>
          <w:rFonts w:eastAsia="仿宋_GB2312"/>
          <w:color w:val="auto"/>
          <w:sz w:val="32"/>
          <w:szCs w:val="32"/>
        </w:rPr>
        <w:t>；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项目支出0万元，占0%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按类级功能科目说明每大类功能科目下的金额和比例）具体安排情况如下：</w:t>
      </w:r>
    </w:p>
    <w:p w14:paraId="0CD0865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251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见表7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7A16E6AC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见表7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310CC42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14E704F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54B1493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251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见表13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，比</w:t>
      </w:r>
      <w:r>
        <w:rPr>
          <w:rFonts w:hint="eastAsia" w:eastAsia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增加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主要原因是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预算拨款没有变。</w:t>
      </w:r>
    </w:p>
    <w:p w14:paraId="4B22D41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9CB2BB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比</w:t>
      </w:r>
      <w:r>
        <w:rPr>
          <w:rFonts w:hint="eastAsia" w:eastAsia="仿宋_GB2312"/>
          <w:color w:val="auto"/>
          <w:kern w:val="0"/>
          <w:sz w:val="32"/>
          <w:szCs w:val="32"/>
          <w:lang w:eastAsia="zh-CN"/>
        </w:rPr>
        <w:t>上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一年增加0万元，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主要原因是“三公”经费预算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没有变。</w:t>
      </w:r>
    </w:p>
    <w:p w14:paraId="17A93FF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340C9EC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1522883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63B78F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2026年度本单位未安排政府采购预算。</w:t>
      </w:r>
    </w:p>
    <w:p w14:paraId="58398C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2A0B327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为救护车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24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52AB902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7FAF021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6"/>
          <w:szCs w:val="36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2026年度本单位未计划处置或新增车辆、设备等。</w:t>
      </w:r>
    </w:p>
    <w:p w14:paraId="7D66A16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114A446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1E4A64B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5FD258F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岳阳县人民医院预算公开表格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A7D147-D18B-4A1C-B4B2-E16A71BF45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E6C34C5B-2EF8-4DBE-9510-09772B7C666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DE568EC-857A-4CC5-8390-BEFF5F94156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75C492A-2E07-47AA-B5E7-2984B52055D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512C92E-61CF-4740-A059-A73F52981945}"/>
  </w:font>
  <w:font w:name="WPSEMBED1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61C3962"/>
    <w:rsid w:val="382E36DE"/>
    <w:rsid w:val="388764A3"/>
    <w:rsid w:val="3B763B61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E3E1525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5A3149E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2597</Words>
  <Characters>2754</Characters>
  <Lines>38</Lines>
  <Paragraphs>10</Paragraphs>
  <TotalTime>0</TotalTime>
  <ScaleCrop>false</ScaleCrop>
  <LinksUpToDate>false</LinksUpToDate>
  <CharactersWithSpaces>2773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然宝</cp:lastModifiedBy>
  <cp:lastPrinted>2019-05-05T07:55:00Z</cp:lastPrinted>
  <dcterms:modified xsi:type="dcterms:W3CDTF">2026-03-24T03:10:24Z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eyJoZGlkIjoiZTVkMTQwM2E3NjA1Nzg2ZDcwN2U4M2RjYjc5MDgzNDMiLCJ1c2VySWQiOiI5ODI1NDU4NTQifQ==</vt:lpwstr>
  </property>
</Properties>
</file>