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298873">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微软雅黑" w:hAnsi="微软雅黑" w:eastAsia="微软雅黑" w:cs="微软雅黑"/>
          <w:b/>
          <w:bCs/>
          <w:kern w:val="0"/>
          <w:sz w:val="72"/>
          <w:szCs w:val="72"/>
        </w:rPr>
      </w:pPr>
      <w:r>
        <w:rPr>
          <w:rFonts w:hint="eastAsia" w:ascii="微软雅黑" w:hAnsi="微软雅黑" w:eastAsia="微软雅黑" w:cs="微软雅黑"/>
          <w:b/>
          <w:bCs/>
          <w:kern w:val="0"/>
          <w:sz w:val="72"/>
          <w:szCs w:val="72"/>
          <w:lang w:eastAsia="zh-CN"/>
        </w:rPr>
        <w:t>岳阳县血吸虫病防治事务中心</w:t>
      </w:r>
      <w:r>
        <w:rPr>
          <w:rFonts w:hint="eastAsia" w:ascii="微软雅黑" w:hAnsi="微软雅黑" w:eastAsia="微软雅黑" w:cs="微软雅黑"/>
          <w:b/>
          <w:bCs/>
          <w:kern w:val="0"/>
          <w:sz w:val="72"/>
          <w:szCs w:val="72"/>
          <w:lang w:val="en-US" w:eastAsia="zh-CN"/>
        </w:rPr>
        <w:t>单位</w:t>
      </w:r>
      <w:r>
        <w:rPr>
          <w:rFonts w:hint="eastAsia" w:ascii="微软雅黑" w:hAnsi="微软雅黑" w:eastAsia="微软雅黑" w:cs="微软雅黑"/>
          <w:b/>
          <w:bCs/>
          <w:kern w:val="0"/>
          <w:sz w:val="72"/>
          <w:szCs w:val="72"/>
          <w:lang w:eastAsia="zh-CN"/>
        </w:rPr>
        <w:t>2026</w:t>
      </w:r>
      <w:r>
        <w:rPr>
          <w:rFonts w:ascii="微软雅黑" w:hAnsi="微软雅黑" w:eastAsia="微软雅黑" w:cs="微软雅黑"/>
          <w:b/>
          <w:sz w:val="72"/>
        </w:rPr>
        <w:t>年</w:t>
      </w:r>
      <w:r>
        <w:rPr>
          <w:rFonts w:hint="eastAsia" w:ascii="微软雅黑" w:hAnsi="微软雅黑" w:eastAsia="微软雅黑" w:cs="微软雅黑"/>
          <w:b/>
          <w:bCs/>
          <w:kern w:val="0"/>
          <w:sz w:val="72"/>
          <w:szCs w:val="72"/>
        </w:rPr>
        <w:t>度</w:t>
      </w:r>
    </w:p>
    <w:p w14:paraId="536C3BAD">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微软雅黑" w:hAnsi="微软雅黑" w:eastAsia="微软雅黑" w:cs="微软雅黑"/>
          <w:b/>
          <w:bCs/>
          <w:kern w:val="0"/>
          <w:sz w:val="72"/>
          <w:szCs w:val="72"/>
        </w:rPr>
      </w:pPr>
      <w:r>
        <w:rPr>
          <w:rFonts w:hint="eastAsia" w:ascii="微软雅黑" w:hAnsi="微软雅黑" w:eastAsia="微软雅黑" w:cs="微软雅黑"/>
          <w:b/>
          <w:bCs/>
          <w:kern w:val="0"/>
          <w:sz w:val="72"/>
          <w:szCs w:val="72"/>
          <w:lang w:val="en-US" w:eastAsia="zh-CN"/>
        </w:rPr>
        <w:t>单位预算</w:t>
      </w:r>
    </w:p>
    <w:p w14:paraId="4538FC5D">
      <w:pPr>
        <w:keepNext w:val="0"/>
        <w:keepLines w:val="0"/>
        <w:pageBreakBefore w:val="0"/>
        <w:widowControl/>
        <w:kinsoku/>
        <w:wordWrap/>
        <w:overflowPunct/>
        <w:topLinePunct w:val="0"/>
        <w:bidi w:val="0"/>
        <w:adjustRightInd/>
        <w:snapToGrid/>
        <w:ind w:firstLine="880" w:firstLineChars="200"/>
        <w:jc w:val="center"/>
        <w:textAlignment w:val="auto"/>
        <w:rPr>
          <w:rFonts w:hint="eastAsia" w:ascii="微软雅黑" w:hAnsi="微软雅黑" w:eastAsia="微软雅黑" w:cs="微软雅黑"/>
          <w:b/>
          <w:bCs/>
          <w:kern w:val="0"/>
          <w:sz w:val="44"/>
          <w:szCs w:val="44"/>
        </w:rPr>
      </w:pPr>
    </w:p>
    <w:p w14:paraId="592B350B">
      <w:pPr>
        <w:keepNext w:val="0"/>
        <w:keepLines w:val="0"/>
        <w:pageBreakBefore w:val="0"/>
        <w:widowControl/>
        <w:kinsoku/>
        <w:wordWrap/>
        <w:overflowPunct/>
        <w:topLinePunct w:val="0"/>
        <w:bidi w:val="0"/>
        <w:adjustRightInd/>
        <w:snapToGrid/>
        <w:jc w:val="center"/>
        <w:textAlignment w:val="auto"/>
        <w:rPr>
          <w:rFonts w:hint="eastAsia" w:ascii="微软雅黑" w:hAnsi="微软雅黑" w:eastAsia="微软雅黑" w:cs="微软雅黑"/>
          <w:b/>
          <w:bCs/>
          <w:kern w:val="0"/>
          <w:sz w:val="44"/>
          <w:szCs w:val="44"/>
        </w:rPr>
      </w:pPr>
      <w:r>
        <w:rPr>
          <w:rFonts w:hint="eastAsia" w:ascii="微软雅黑" w:hAnsi="微软雅黑" w:eastAsia="微软雅黑" w:cs="微软雅黑"/>
          <w:b/>
          <w:bCs/>
          <w:kern w:val="0"/>
          <w:sz w:val="44"/>
          <w:szCs w:val="44"/>
        </w:rPr>
        <w:t>目录</w:t>
      </w:r>
    </w:p>
    <w:p w14:paraId="6E710041">
      <w:pPr>
        <w:keepNext w:val="0"/>
        <w:keepLines w:val="0"/>
        <w:pageBreakBefore w:val="0"/>
        <w:widowControl/>
        <w:kinsoku/>
        <w:wordWrap/>
        <w:overflowPunct/>
        <w:topLinePunct w:val="0"/>
        <w:bidi w:val="0"/>
        <w:adjustRightInd/>
        <w:snapToGrid/>
        <w:ind w:firstLine="640" w:firstLineChars="200"/>
        <w:textAlignment w:val="auto"/>
        <w:rPr>
          <w:rFonts w:hint="eastAsia" w:ascii="微软雅黑" w:hAnsi="微软雅黑" w:eastAsia="微软雅黑" w:cs="微软雅黑"/>
          <w:b/>
          <w:bCs/>
          <w:kern w:val="0"/>
          <w:sz w:val="32"/>
          <w:szCs w:val="32"/>
        </w:rPr>
      </w:pPr>
    </w:p>
    <w:p w14:paraId="7D7A42B1">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color w:val="auto"/>
          <w:kern w:val="0"/>
          <w:sz w:val="32"/>
          <w:szCs w:val="32"/>
        </w:rPr>
      </w:pPr>
      <w:r>
        <w:rPr>
          <w:rFonts w:hint="eastAsia" w:ascii="微软雅黑" w:hAnsi="微软雅黑" w:eastAsia="微软雅黑" w:cs="微软雅黑"/>
          <w:b/>
          <w:bCs/>
          <w:color w:val="auto"/>
          <w:kern w:val="0"/>
          <w:sz w:val="32"/>
          <w:szCs w:val="32"/>
        </w:rPr>
        <w:t>第一部分</w:t>
      </w:r>
      <w:r>
        <w:rPr>
          <w:rFonts w:hint="eastAsia" w:ascii="微软雅黑" w:hAnsi="微软雅黑" w:eastAsia="微软雅黑" w:cs="微软雅黑"/>
          <w:b/>
          <w:bCs/>
          <w:color w:val="auto"/>
          <w:kern w:val="0"/>
          <w:sz w:val="32"/>
          <w:szCs w:val="32"/>
          <w:lang w:val="en-US" w:eastAsia="zh-CN"/>
        </w:rPr>
        <w:t xml:space="preserve">  </w:t>
      </w:r>
      <w:r>
        <w:rPr>
          <w:rFonts w:hint="eastAsia" w:ascii="微软雅黑" w:hAnsi="微软雅黑" w:eastAsia="微软雅黑" w:cs="微软雅黑"/>
          <w:b/>
          <w:bCs/>
          <w:color w:val="auto"/>
          <w:kern w:val="0"/>
          <w:sz w:val="32"/>
          <w:szCs w:val="32"/>
          <w:lang w:eastAsia="zh-CN"/>
        </w:rPr>
        <w:t>2026</w:t>
      </w:r>
      <w:r>
        <w:rPr>
          <w:rFonts w:ascii="微软雅黑" w:hAnsi="微软雅黑" w:eastAsia="微软雅黑" w:cs="微软雅黑"/>
          <w:b/>
          <w:color w:val="auto"/>
          <w:sz w:val="32"/>
        </w:rPr>
        <w:t>年</w:t>
      </w:r>
      <w:r>
        <w:rPr>
          <w:rFonts w:hint="eastAsia" w:ascii="微软雅黑" w:hAnsi="微软雅黑" w:eastAsia="微软雅黑" w:cs="微软雅黑"/>
          <w:b/>
          <w:bCs/>
          <w:color w:val="auto"/>
          <w:kern w:val="0"/>
          <w:sz w:val="32"/>
          <w:szCs w:val="32"/>
          <w:lang w:val="en-US" w:eastAsia="zh-CN"/>
        </w:rPr>
        <w:t>单位</w:t>
      </w:r>
      <w:r>
        <w:rPr>
          <w:rFonts w:hint="eastAsia" w:ascii="微软雅黑" w:hAnsi="微软雅黑" w:eastAsia="微软雅黑" w:cs="微软雅黑"/>
          <w:b/>
          <w:bCs/>
          <w:color w:val="auto"/>
          <w:kern w:val="0"/>
          <w:sz w:val="32"/>
          <w:szCs w:val="32"/>
          <w:lang w:eastAsia="zh-CN"/>
        </w:rPr>
        <w:t>预算</w:t>
      </w:r>
      <w:r>
        <w:rPr>
          <w:rFonts w:hint="eastAsia" w:ascii="微软雅黑" w:hAnsi="微软雅黑" w:eastAsia="微软雅黑" w:cs="微软雅黑"/>
          <w:b/>
          <w:bCs/>
          <w:color w:val="auto"/>
          <w:kern w:val="0"/>
          <w:sz w:val="32"/>
          <w:szCs w:val="32"/>
        </w:rPr>
        <w:t>说明</w:t>
      </w:r>
    </w:p>
    <w:p w14:paraId="1E773125">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rPr>
      </w:pPr>
      <w:r>
        <w:rPr>
          <w:rFonts w:hint="eastAsia" w:ascii="微软雅黑" w:hAnsi="微软雅黑" w:eastAsia="微软雅黑" w:cs="微软雅黑"/>
          <w:b/>
          <w:bCs/>
          <w:kern w:val="0"/>
          <w:sz w:val="32"/>
          <w:szCs w:val="32"/>
        </w:rPr>
        <w:t>第二部分</w:t>
      </w:r>
      <w:r>
        <w:rPr>
          <w:rFonts w:hint="eastAsia" w:ascii="微软雅黑" w:hAnsi="微软雅黑" w:eastAsia="微软雅黑" w:cs="微软雅黑"/>
          <w:b/>
          <w:bCs/>
          <w:kern w:val="0"/>
          <w:sz w:val="32"/>
          <w:szCs w:val="32"/>
          <w:lang w:val="en-US" w:eastAsia="zh-CN"/>
        </w:rPr>
        <w:t xml:space="preserve">  单位</w:t>
      </w:r>
      <w:r>
        <w:rPr>
          <w:rFonts w:hint="eastAsia" w:ascii="微软雅黑" w:hAnsi="微软雅黑" w:eastAsia="微软雅黑" w:cs="微软雅黑"/>
          <w:b/>
          <w:bCs/>
          <w:kern w:val="0"/>
          <w:sz w:val="32"/>
          <w:szCs w:val="32"/>
          <w:lang w:eastAsia="zh-CN"/>
        </w:rPr>
        <w:t>预算</w:t>
      </w:r>
      <w:r>
        <w:rPr>
          <w:rFonts w:hint="eastAsia" w:ascii="微软雅黑" w:hAnsi="微软雅黑" w:eastAsia="微软雅黑" w:cs="微软雅黑"/>
          <w:b/>
          <w:bCs/>
          <w:kern w:val="0"/>
          <w:sz w:val="32"/>
          <w:szCs w:val="32"/>
        </w:rPr>
        <w:t>公开表格</w:t>
      </w:r>
    </w:p>
    <w:p w14:paraId="0067618E">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1、收支总表</w:t>
      </w:r>
    </w:p>
    <w:p w14:paraId="75AD8CBC">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2、收入总表</w:t>
      </w:r>
    </w:p>
    <w:p w14:paraId="551A6768">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3、支出总表</w:t>
      </w:r>
    </w:p>
    <w:p w14:paraId="30811D70">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4、支出预算分类汇总表（按政府预算经济分类）</w:t>
      </w:r>
    </w:p>
    <w:p w14:paraId="53D41B81">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5、支出预算分类汇总表（按部门预算经济分类）</w:t>
      </w:r>
    </w:p>
    <w:p w14:paraId="310BD059">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6、财政拨款收支总表</w:t>
      </w:r>
    </w:p>
    <w:p w14:paraId="488BCC32">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7、一般公共预算支出表</w:t>
      </w:r>
    </w:p>
    <w:p w14:paraId="62B29986">
      <w:pPr>
        <w:widowControl/>
        <w:spacing w:line="600" w:lineRule="exact"/>
        <w:ind w:firstLine="640" w:firstLineChars="200"/>
        <w:jc w:val="left"/>
        <w:rPr>
          <w:rFonts w:hint="eastAsia" w:ascii="微软雅黑" w:hAnsi="微软雅黑" w:eastAsia="微软雅黑" w:cs="微软雅黑"/>
        </w:rPr>
      </w:pPr>
      <w:r>
        <w:rPr>
          <w:rFonts w:hint="eastAsia" w:ascii="微软雅黑" w:hAnsi="微软雅黑" w:eastAsia="微软雅黑" w:cs="微软雅黑"/>
          <w:sz w:val="32"/>
          <w:szCs w:val="32"/>
          <w:lang w:val="en-US" w:eastAsia="zh-CN"/>
        </w:rPr>
        <w:t>8</w:t>
      </w:r>
      <w:r>
        <w:rPr>
          <w:rFonts w:hint="eastAsia" w:ascii="微软雅黑" w:hAnsi="微软雅黑" w:eastAsia="微软雅黑" w:cs="微软雅黑"/>
          <w:sz w:val="32"/>
          <w:szCs w:val="32"/>
        </w:rPr>
        <w:t>、一般公共预算基本支出表</w:t>
      </w:r>
    </w:p>
    <w:p w14:paraId="4B6A54BD">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lang w:val="en-US" w:eastAsia="zh-CN"/>
        </w:rPr>
        <w:t>9</w:t>
      </w:r>
      <w:r>
        <w:rPr>
          <w:rFonts w:hint="eastAsia" w:ascii="微软雅黑" w:hAnsi="微软雅黑" w:eastAsia="微软雅黑" w:cs="微软雅黑"/>
          <w:sz w:val="32"/>
          <w:szCs w:val="32"/>
        </w:rPr>
        <w:t>、一般公共预算基本支出表-人员经费（工资福利支出）（按政府预算经济分类）</w:t>
      </w:r>
    </w:p>
    <w:p w14:paraId="3A2A1F07">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lang w:val="en-US" w:eastAsia="zh-CN"/>
        </w:rPr>
        <w:t>10</w:t>
      </w:r>
      <w:r>
        <w:rPr>
          <w:rFonts w:hint="eastAsia" w:ascii="微软雅黑" w:hAnsi="微软雅黑" w:eastAsia="微软雅黑" w:cs="微软雅黑"/>
          <w:sz w:val="32"/>
          <w:szCs w:val="32"/>
        </w:rPr>
        <w:t>、一般公共预算基本支出表-人员经费（工资福利支出）（按部门预算经济分类）</w:t>
      </w:r>
    </w:p>
    <w:p w14:paraId="73106C5E">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1</w:t>
      </w:r>
      <w:r>
        <w:rPr>
          <w:rFonts w:hint="eastAsia" w:ascii="微软雅黑" w:hAnsi="微软雅黑" w:eastAsia="微软雅黑" w:cs="微软雅黑"/>
          <w:sz w:val="32"/>
          <w:szCs w:val="32"/>
          <w:lang w:val="en-US" w:eastAsia="zh-CN"/>
        </w:rPr>
        <w:t>1</w:t>
      </w:r>
      <w:r>
        <w:rPr>
          <w:rFonts w:hint="eastAsia" w:ascii="微软雅黑" w:hAnsi="微软雅黑" w:eastAsia="微软雅黑" w:cs="微软雅黑"/>
          <w:sz w:val="32"/>
          <w:szCs w:val="32"/>
        </w:rPr>
        <w:t>、一般公共预算基本支出表-人员经费（对个人和家庭的补助）（按政府预算经济分类）</w:t>
      </w:r>
    </w:p>
    <w:p w14:paraId="1D269121">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1</w:t>
      </w:r>
      <w:r>
        <w:rPr>
          <w:rFonts w:hint="eastAsia" w:ascii="微软雅黑" w:hAnsi="微软雅黑" w:eastAsia="微软雅黑" w:cs="微软雅黑"/>
          <w:sz w:val="32"/>
          <w:szCs w:val="32"/>
          <w:lang w:val="en-US" w:eastAsia="zh-CN"/>
        </w:rPr>
        <w:t>2</w:t>
      </w:r>
      <w:r>
        <w:rPr>
          <w:rFonts w:hint="eastAsia" w:ascii="微软雅黑" w:hAnsi="微软雅黑" w:eastAsia="微软雅黑" w:cs="微软雅黑"/>
          <w:sz w:val="32"/>
          <w:szCs w:val="32"/>
        </w:rPr>
        <w:t>、一般公共预算基本支出表-人员经费（对个人和家庭的补助）（按部门预算经济分类）</w:t>
      </w:r>
    </w:p>
    <w:p w14:paraId="54E835C2">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1</w:t>
      </w:r>
      <w:r>
        <w:rPr>
          <w:rFonts w:hint="eastAsia" w:ascii="微软雅黑" w:hAnsi="微软雅黑" w:eastAsia="微软雅黑" w:cs="微软雅黑"/>
          <w:sz w:val="32"/>
          <w:szCs w:val="32"/>
          <w:lang w:val="en-US" w:eastAsia="zh-CN"/>
        </w:rPr>
        <w:t>3</w:t>
      </w:r>
      <w:r>
        <w:rPr>
          <w:rFonts w:hint="eastAsia" w:ascii="微软雅黑" w:hAnsi="微软雅黑" w:eastAsia="微软雅黑" w:cs="微软雅黑"/>
          <w:sz w:val="32"/>
          <w:szCs w:val="32"/>
        </w:rPr>
        <w:t>、一般公共预算基本支出表-</w:t>
      </w:r>
      <w:r>
        <w:rPr>
          <w:rFonts w:hint="eastAsia" w:ascii="微软雅黑" w:hAnsi="微软雅黑" w:eastAsia="微软雅黑" w:cs="微软雅黑"/>
          <w:sz w:val="32"/>
          <w:szCs w:val="32"/>
          <w:lang w:eastAsia="zh-CN"/>
        </w:rPr>
        <w:t>公用</w:t>
      </w:r>
      <w:r>
        <w:rPr>
          <w:rFonts w:hint="eastAsia" w:ascii="微软雅黑" w:hAnsi="微软雅黑" w:eastAsia="微软雅黑" w:cs="微软雅黑"/>
          <w:sz w:val="32"/>
          <w:szCs w:val="32"/>
        </w:rPr>
        <w:t>经费（商品和服务支出）（按政府预算经济分类）</w:t>
      </w:r>
    </w:p>
    <w:p w14:paraId="5A966E8C">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1</w:t>
      </w:r>
      <w:r>
        <w:rPr>
          <w:rFonts w:hint="eastAsia" w:ascii="微软雅黑" w:hAnsi="微软雅黑" w:eastAsia="微软雅黑" w:cs="微软雅黑"/>
          <w:sz w:val="32"/>
          <w:szCs w:val="32"/>
          <w:lang w:val="en-US" w:eastAsia="zh-CN"/>
        </w:rPr>
        <w:t>4</w:t>
      </w:r>
      <w:r>
        <w:rPr>
          <w:rFonts w:hint="eastAsia" w:ascii="微软雅黑" w:hAnsi="微软雅黑" w:eastAsia="微软雅黑" w:cs="微软雅黑"/>
          <w:sz w:val="32"/>
          <w:szCs w:val="32"/>
        </w:rPr>
        <w:t>、一般公共预算基本支出表-</w:t>
      </w:r>
      <w:r>
        <w:rPr>
          <w:rFonts w:hint="eastAsia" w:ascii="微软雅黑" w:hAnsi="微软雅黑" w:eastAsia="微软雅黑" w:cs="微软雅黑"/>
          <w:sz w:val="32"/>
          <w:szCs w:val="32"/>
          <w:lang w:eastAsia="zh-CN"/>
        </w:rPr>
        <w:t>公用</w:t>
      </w:r>
      <w:r>
        <w:rPr>
          <w:rFonts w:hint="eastAsia" w:ascii="微软雅黑" w:hAnsi="微软雅黑" w:eastAsia="微软雅黑" w:cs="微软雅黑"/>
          <w:sz w:val="32"/>
          <w:szCs w:val="32"/>
        </w:rPr>
        <w:t>经费（商品和服务支出）（按部门预算经济分类）</w:t>
      </w:r>
    </w:p>
    <w:p w14:paraId="075EC2AB">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1</w:t>
      </w:r>
      <w:r>
        <w:rPr>
          <w:rFonts w:hint="eastAsia" w:ascii="微软雅黑" w:hAnsi="微软雅黑" w:eastAsia="微软雅黑" w:cs="微软雅黑"/>
          <w:sz w:val="32"/>
          <w:szCs w:val="32"/>
          <w:lang w:val="en-US" w:eastAsia="zh-CN"/>
        </w:rPr>
        <w:t>5</w:t>
      </w:r>
      <w:r>
        <w:rPr>
          <w:rFonts w:hint="eastAsia" w:ascii="微软雅黑" w:hAnsi="微软雅黑" w:eastAsia="微软雅黑" w:cs="微软雅黑"/>
          <w:sz w:val="32"/>
          <w:szCs w:val="32"/>
        </w:rPr>
        <w:t>、一般公共预算“三公”经费支出表</w:t>
      </w:r>
    </w:p>
    <w:p w14:paraId="13FE3EF8">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1</w:t>
      </w:r>
      <w:r>
        <w:rPr>
          <w:rFonts w:hint="eastAsia" w:ascii="微软雅黑" w:hAnsi="微软雅黑" w:eastAsia="微软雅黑" w:cs="微软雅黑"/>
          <w:sz w:val="32"/>
          <w:szCs w:val="32"/>
          <w:lang w:val="en-US" w:eastAsia="zh-CN"/>
        </w:rPr>
        <w:t>6</w:t>
      </w:r>
      <w:r>
        <w:rPr>
          <w:rFonts w:hint="eastAsia" w:ascii="微软雅黑" w:hAnsi="微软雅黑" w:eastAsia="微软雅黑" w:cs="微软雅黑"/>
          <w:sz w:val="32"/>
          <w:szCs w:val="32"/>
        </w:rPr>
        <w:t>、政府性基金预算支出表</w:t>
      </w:r>
    </w:p>
    <w:p w14:paraId="056896F9">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1</w:t>
      </w:r>
      <w:r>
        <w:rPr>
          <w:rFonts w:hint="eastAsia" w:ascii="微软雅黑" w:hAnsi="微软雅黑" w:eastAsia="微软雅黑" w:cs="微软雅黑"/>
          <w:sz w:val="32"/>
          <w:szCs w:val="32"/>
          <w:lang w:val="en-US" w:eastAsia="zh-CN"/>
        </w:rPr>
        <w:t>7</w:t>
      </w:r>
      <w:r>
        <w:rPr>
          <w:rFonts w:hint="eastAsia" w:ascii="微软雅黑" w:hAnsi="微软雅黑" w:eastAsia="微软雅黑" w:cs="微软雅黑"/>
          <w:sz w:val="32"/>
          <w:szCs w:val="32"/>
        </w:rPr>
        <w:t>、政府性基金预算支出分类汇总表（按政府预算经济分类）</w:t>
      </w:r>
    </w:p>
    <w:p w14:paraId="547261F6">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1</w:t>
      </w:r>
      <w:r>
        <w:rPr>
          <w:rFonts w:hint="eastAsia" w:ascii="微软雅黑" w:hAnsi="微软雅黑" w:eastAsia="微软雅黑" w:cs="微软雅黑"/>
          <w:sz w:val="32"/>
          <w:szCs w:val="32"/>
          <w:lang w:val="en-US" w:eastAsia="zh-CN"/>
        </w:rPr>
        <w:t>8</w:t>
      </w:r>
      <w:r>
        <w:rPr>
          <w:rFonts w:hint="eastAsia" w:ascii="微软雅黑" w:hAnsi="微软雅黑" w:eastAsia="微软雅黑" w:cs="微软雅黑"/>
          <w:sz w:val="32"/>
          <w:szCs w:val="32"/>
        </w:rPr>
        <w:t>、政府性基金预算支出分类汇总表（按部门预算经济分类）</w:t>
      </w:r>
    </w:p>
    <w:p w14:paraId="2454028C">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1</w:t>
      </w:r>
      <w:r>
        <w:rPr>
          <w:rFonts w:hint="eastAsia" w:ascii="微软雅黑" w:hAnsi="微软雅黑" w:eastAsia="微软雅黑" w:cs="微软雅黑"/>
          <w:sz w:val="32"/>
          <w:szCs w:val="32"/>
          <w:lang w:val="en-US" w:eastAsia="zh-CN"/>
        </w:rPr>
        <w:t>9</w:t>
      </w:r>
      <w:r>
        <w:rPr>
          <w:rFonts w:hint="eastAsia" w:ascii="微软雅黑" w:hAnsi="微软雅黑" w:eastAsia="微软雅黑" w:cs="微软雅黑"/>
          <w:sz w:val="32"/>
          <w:szCs w:val="32"/>
        </w:rPr>
        <w:t>、国有资本经营预算支出表</w:t>
      </w:r>
    </w:p>
    <w:p w14:paraId="18F3A50A">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lang w:val="en-US" w:eastAsia="zh-CN"/>
        </w:rPr>
        <w:t>20</w:t>
      </w:r>
      <w:r>
        <w:rPr>
          <w:rFonts w:hint="eastAsia" w:ascii="微软雅黑" w:hAnsi="微软雅黑" w:eastAsia="微软雅黑" w:cs="微软雅黑"/>
          <w:sz w:val="32"/>
          <w:szCs w:val="32"/>
        </w:rPr>
        <w:t>、财政专户管理资金预算支出表</w:t>
      </w:r>
    </w:p>
    <w:p w14:paraId="5B133D64">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2</w:t>
      </w:r>
      <w:r>
        <w:rPr>
          <w:rFonts w:hint="eastAsia" w:ascii="微软雅黑" w:hAnsi="微软雅黑" w:eastAsia="微软雅黑" w:cs="微软雅黑"/>
          <w:sz w:val="32"/>
          <w:szCs w:val="32"/>
          <w:lang w:val="en-US" w:eastAsia="zh-CN"/>
        </w:rPr>
        <w:t>1</w:t>
      </w:r>
      <w:r>
        <w:rPr>
          <w:rFonts w:hint="eastAsia" w:ascii="微软雅黑" w:hAnsi="微软雅黑" w:eastAsia="微软雅黑" w:cs="微软雅黑"/>
          <w:sz w:val="32"/>
          <w:szCs w:val="32"/>
        </w:rPr>
        <w:t>、专项资金预算汇总表</w:t>
      </w:r>
    </w:p>
    <w:p w14:paraId="4880D093">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2</w:t>
      </w:r>
      <w:r>
        <w:rPr>
          <w:rFonts w:hint="eastAsia" w:ascii="微软雅黑" w:hAnsi="微软雅黑" w:eastAsia="微软雅黑" w:cs="微软雅黑"/>
          <w:sz w:val="32"/>
          <w:szCs w:val="32"/>
          <w:lang w:val="en-US" w:eastAsia="zh-CN"/>
        </w:rPr>
        <w:t>2</w:t>
      </w:r>
      <w:r>
        <w:rPr>
          <w:rFonts w:hint="eastAsia" w:ascii="微软雅黑" w:hAnsi="微软雅黑" w:eastAsia="微软雅黑" w:cs="微软雅黑"/>
          <w:sz w:val="32"/>
          <w:szCs w:val="32"/>
          <w:lang w:eastAsia="zh-CN"/>
        </w:rPr>
        <w:t>、</w:t>
      </w:r>
      <w:r>
        <w:rPr>
          <w:rFonts w:hint="eastAsia" w:ascii="微软雅黑" w:hAnsi="微软雅黑" w:eastAsia="微软雅黑" w:cs="微软雅黑"/>
          <w:sz w:val="32"/>
          <w:szCs w:val="32"/>
          <w:lang w:val="en-US" w:eastAsia="zh-CN"/>
        </w:rPr>
        <w:t>项目支出</w:t>
      </w:r>
      <w:r>
        <w:rPr>
          <w:rFonts w:hint="eastAsia" w:ascii="微软雅黑" w:hAnsi="微软雅黑" w:eastAsia="微软雅黑" w:cs="微软雅黑"/>
          <w:sz w:val="32"/>
          <w:szCs w:val="32"/>
        </w:rPr>
        <w:t>绩效目标表</w:t>
      </w:r>
    </w:p>
    <w:p w14:paraId="4C26D8DD">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2</w:t>
      </w:r>
      <w:r>
        <w:rPr>
          <w:rFonts w:hint="eastAsia" w:ascii="微软雅黑" w:hAnsi="微软雅黑" w:eastAsia="微软雅黑" w:cs="微软雅黑"/>
          <w:sz w:val="32"/>
          <w:szCs w:val="32"/>
          <w:lang w:val="en-US" w:eastAsia="zh-CN"/>
        </w:rPr>
        <w:t>3</w:t>
      </w:r>
      <w:r>
        <w:rPr>
          <w:rFonts w:hint="eastAsia" w:ascii="微软雅黑" w:hAnsi="微软雅黑" w:eastAsia="微软雅黑" w:cs="微软雅黑"/>
          <w:sz w:val="32"/>
          <w:szCs w:val="32"/>
        </w:rPr>
        <w:t>、部门整体支出绩效目标表</w:t>
      </w:r>
    </w:p>
    <w:p w14:paraId="56390BC0">
      <w:pPr>
        <w:widowControl/>
        <w:spacing w:line="600" w:lineRule="exact"/>
        <w:ind w:firstLine="640" w:firstLineChars="200"/>
        <w:rPr>
          <w:rFonts w:hint="eastAsia" w:ascii="微软雅黑" w:hAnsi="微软雅黑" w:eastAsia="微软雅黑" w:cs="微软雅黑"/>
          <w:color w:val="FF0000"/>
          <w:kern w:val="0"/>
          <w:sz w:val="32"/>
          <w:szCs w:val="32"/>
        </w:rPr>
      </w:pPr>
      <w:r>
        <w:rPr>
          <w:rFonts w:hint="eastAsia" w:ascii="微软雅黑" w:hAnsi="微软雅黑" w:eastAsia="微软雅黑" w:cs="微软雅黑"/>
          <w:b/>
          <w:bCs w:val="0"/>
          <w:color w:val="FF0000"/>
          <w:kern w:val="0"/>
          <w:sz w:val="32"/>
          <w:szCs w:val="32"/>
        </w:rPr>
        <w:t>注：以上</w:t>
      </w:r>
      <w:r>
        <w:rPr>
          <w:rFonts w:hint="eastAsia" w:ascii="微软雅黑" w:hAnsi="微软雅黑" w:eastAsia="微软雅黑" w:cs="微软雅黑"/>
          <w:b/>
          <w:bCs w:val="0"/>
          <w:color w:val="FF0000"/>
          <w:kern w:val="0"/>
          <w:sz w:val="32"/>
          <w:szCs w:val="32"/>
          <w:lang w:val="en-US" w:eastAsia="zh-CN"/>
        </w:rPr>
        <w:t>单位</w:t>
      </w:r>
      <w:r>
        <w:rPr>
          <w:rFonts w:hint="eastAsia" w:ascii="微软雅黑" w:hAnsi="微软雅黑" w:eastAsia="微软雅黑" w:cs="微软雅黑"/>
          <w:b/>
          <w:bCs w:val="0"/>
          <w:color w:val="FF0000"/>
          <w:kern w:val="0"/>
          <w:sz w:val="32"/>
          <w:szCs w:val="32"/>
          <w:lang w:eastAsia="zh-CN"/>
        </w:rPr>
        <w:t>预算</w:t>
      </w:r>
      <w:r>
        <w:rPr>
          <w:rFonts w:hint="eastAsia" w:ascii="微软雅黑" w:hAnsi="微软雅黑" w:eastAsia="微软雅黑" w:cs="微软雅黑"/>
          <w:b/>
          <w:bCs w:val="0"/>
          <w:color w:val="FF0000"/>
          <w:kern w:val="0"/>
          <w:sz w:val="32"/>
          <w:szCs w:val="32"/>
          <w:lang w:val="en-US" w:eastAsia="zh-CN"/>
        </w:rPr>
        <w:t>公开</w:t>
      </w:r>
      <w:r>
        <w:rPr>
          <w:rFonts w:hint="eastAsia" w:ascii="微软雅黑" w:hAnsi="微软雅黑" w:eastAsia="微软雅黑" w:cs="微软雅黑"/>
          <w:b/>
          <w:bCs w:val="0"/>
          <w:color w:val="FF0000"/>
          <w:kern w:val="0"/>
          <w:sz w:val="32"/>
          <w:szCs w:val="32"/>
        </w:rPr>
        <w:t>报表中，空表表示本</w:t>
      </w:r>
      <w:r>
        <w:rPr>
          <w:rFonts w:hint="eastAsia" w:ascii="微软雅黑" w:hAnsi="微软雅黑" w:eastAsia="微软雅黑" w:cs="微软雅黑"/>
          <w:b/>
          <w:bCs w:val="0"/>
          <w:color w:val="FF0000"/>
          <w:kern w:val="0"/>
          <w:sz w:val="32"/>
          <w:szCs w:val="32"/>
          <w:lang w:val="en-US" w:eastAsia="zh-CN"/>
        </w:rPr>
        <w:t>单位</w:t>
      </w:r>
      <w:r>
        <w:rPr>
          <w:rFonts w:hint="eastAsia" w:ascii="微软雅黑" w:hAnsi="微软雅黑" w:eastAsia="微软雅黑" w:cs="微软雅黑"/>
          <w:b/>
          <w:bCs w:val="0"/>
          <w:color w:val="FF0000"/>
          <w:kern w:val="0"/>
          <w:sz w:val="32"/>
          <w:szCs w:val="32"/>
        </w:rPr>
        <w:t>无相关收支情况。</w:t>
      </w:r>
    </w:p>
    <w:p w14:paraId="516B2E1B">
      <w:pPr>
        <w:keepNext w:val="0"/>
        <w:keepLines w:val="0"/>
        <w:pageBreakBefore w:val="0"/>
        <w:widowControl/>
        <w:kinsoku/>
        <w:wordWrap/>
        <w:overflowPunct/>
        <w:topLinePunct w:val="0"/>
        <w:bidi w:val="0"/>
        <w:adjustRightInd/>
        <w:snapToGrid/>
        <w:spacing w:line="600" w:lineRule="exact"/>
        <w:ind w:firstLine="420" w:firstLineChars="200"/>
        <w:jc w:val="center"/>
        <w:textAlignment w:val="auto"/>
        <w:rPr>
          <w:rFonts w:hint="eastAsia" w:ascii="微软雅黑" w:hAnsi="微软雅黑" w:eastAsia="微软雅黑" w:cs="微软雅黑"/>
          <w:b/>
          <w:bCs/>
          <w:kern w:val="0"/>
          <w:sz w:val="32"/>
          <w:szCs w:val="32"/>
        </w:rPr>
      </w:pPr>
      <w:r>
        <w:br w:type="page"/>
      </w:r>
      <w:r>
        <w:rPr>
          <w:rFonts w:hint="eastAsia" w:ascii="微软雅黑" w:hAnsi="微软雅黑" w:eastAsia="微软雅黑" w:cs="微软雅黑"/>
          <w:b/>
          <w:bCs/>
          <w:kern w:val="0"/>
          <w:sz w:val="32"/>
          <w:szCs w:val="32"/>
        </w:rPr>
        <w:t>第一部分</w:t>
      </w:r>
      <w:r>
        <w:rPr>
          <w:rFonts w:hint="eastAsia" w:ascii="微软雅黑" w:hAnsi="微软雅黑" w:eastAsia="微软雅黑" w:cs="微软雅黑"/>
          <w:b/>
          <w:bCs/>
          <w:kern w:val="0"/>
          <w:sz w:val="32"/>
          <w:szCs w:val="32"/>
          <w:lang w:val="en-US" w:eastAsia="zh-CN"/>
        </w:rPr>
        <w:t xml:space="preserve">  </w:t>
      </w:r>
      <w:r>
        <w:rPr>
          <w:rFonts w:hint="eastAsia" w:ascii="微软雅黑" w:hAnsi="微软雅黑" w:eastAsia="微软雅黑" w:cs="微软雅黑"/>
          <w:b/>
          <w:bCs/>
          <w:kern w:val="0"/>
          <w:sz w:val="32"/>
          <w:szCs w:val="32"/>
          <w:lang w:eastAsia="zh-CN"/>
        </w:rPr>
        <w:t>2026</w:t>
      </w:r>
      <w:r>
        <w:rPr>
          <w:rFonts w:ascii="微软雅黑" w:hAnsi="微软雅黑" w:eastAsia="微软雅黑" w:cs="微软雅黑"/>
          <w:b/>
          <w:sz w:val="32"/>
        </w:rPr>
        <w:t>年单位预算</w:t>
      </w:r>
      <w:r>
        <w:rPr>
          <w:rFonts w:hint="eastAsia" w:ascii="微软雅黑" w:hAnsi="微软雅黑" w:eastAsia="微软雅黑" w:cs="微软雅黑"/>
          <w:b/>
          <w:bCs/>
          <w:kern w:val="0"/>
          <w:sz w:val="32"/>
          <w:szCs w:val="32"/>
        </w:rPr>
        <w:t>说明</w:t>
      </w:r>
    </w:p>
    <w:p w14:paraId="4AE4318E">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rPr>
      </w:pPr>
    </w:p>
    <w:p w14:paraId="1ECE13D2">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rPr>
      </w:pPr>
      <w:r>
        <w:rPr>
          <w:rFonts w:hint="eastAsia" w:ascii="微软雅黑" w:hAnsi="微软雅黑" w:eastAsia="微软雅黑" w:cs="微软雅黑"/>
          <w:b/>
          <w:bCs/>
          <w:kern w:val="0"/>
          <w:sz w:val="32"/>
          <w:szCs w:val="32"/>
        </w:rPr>
        <w:t>一、</w:t>
      </w:r>
      <w:r>
        <w:rPr>
          <w:rFonts w:hint="eastAsia" w:ascii="微软雅黑" w:hAnsi="微软雅黑" w:eastAsia="微软雅黑" w:cs="微软雅黑"/>
          <w:b/>
          <w:bCs/>
          <w:kern w:val="0"/>
          <w:sz w:val="32"/>
          <w:szCs w:val="32"/>
          <w:lang w:val="en-US" w:eastAsia="zh-CN"/>
        </w:rPr>
        <w:t>单位</w:t>
      </w:r>
      <w:r>
        <w:rPr>
          <w:rFonts w:hint="eastAsia" w:ascii="微软雅黑" w:hAnsi="微软雅黑" w:eastAsia="微软雅黑" w:cs="微软雅黑"/>
          <w:b/>
          <w:bCs/>
          <w:kern w:val="0"/>
          <w:sz w:val="32"/>
          <w:szCs w:val="32"/>
        </w:rPr>
        <w:t>基本概况</w:t>
      </w:r>
    </w:p>
    <w:p w14:paraId="2D34B558">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rPr>
      </w:pPr>
      <w:r>
        <w:rPr>
          <w:rFonts w:hint="eastAsia" w:ascii="微软雅黑" w:hAnsi="微软雅黑" w:eastAsia="微软雅黑" w:cs="微软雅黑"/>
          <w:b/>
          <w:bCs/>
          <w:kern w:val="0"/>
          <w:sz w:val="32"/>
          <w:szCs w:val="32"/>
        </w:rPr>
        <w:t>（一）职能职责</w:t>
      </w:r>
    </w:p>
    <w:p w14:paraId="5B4DAE75">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lang w:eastAsia="zh-CN"/>
        </w:rPr>
      </w:pPr>
      <w:r>
        <w:rPr>
          <w:rFonts w:hint="eastAsia" w:ascii="微软雅黑" w:hAnsi="微软雅黑" w:eastAsia="微软雅黑" w:cs="微软雅黑"/>
          <w:kern w:val="0"/>
          <w:sz w:val="32"/>
          <w:szCs w:val="32"/>
          <w:lang w:eastAsia="zh-CN"/>
        </w:rPr>
        <w:t>负责制定全县血吸虫病防治工作规划；组织、实施钉螺调查和药物灭螺；组织、实施人群病情调查和人群化疗、晚期血吸虫病的调查和救治；组织、实施血吸虫病健康教育、健康促进，并进行效果评估；开展疫情监测；开展急性血吸虫感染的预防控制工作，及时调查和处理突发疫情；根据疫情变化，及时调整流行村的疫情分类；开展对专业人员和参与血防工作的非专业人员的技术培训；收集、整理、汇总、统计和保管血吸虫病防治信息资料，及时上报各类报表；根据血吸虫病联防联控工作方案，承担相关工作任务；开展各项防治工作的督导和考核，完成上级领导交办的其他工作任务。</w:t>
      </w:r>
    </w:p>
    <w:p w14:paraId="0046B613">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lang w:eastAsia="zh-CN"/>
        </w:rPr>
      </w:pPr>
    </w:p>
    <w:p w14:paraId="3D8FFBE8">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rPr>
      </w:pPr>
      <w:r>
        <w:rPr>
          <w:rFonts w:hint="eastAsia" w:ascii="微软雅黑" w:hAnsi="微软雅黑" w:eastAsia="微软雅黑" w:cs="微软雅黑"/>
          <w:b/>
          <w:bCs/>
          <w:kern w:val="0"/>
          <w:sz w:val="32"/>
          <w:szCs w:val="32"/>
        </w:rPr>
        <w:t>（二）机构设置</w:t>
      </w:r>
    </w:p>
    <w:p w14:paraId="65A46706">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仿宋" w:hAnsi="仿宋" w:eastAsia="仿宋" w:cs="仿宋"/>
          <w:color w:val="000000"/>
          <w:kern w:val="0"/>
          <w:sz w:val="30"/>
          <w:szCs w:val="30"/>
          <w:lang w:val="en-US" w:eastAsia="zh-CN"/>
        </w:rPr>
      </w:pPr>
      <w:r>
        <w:rPr>
          <w:rFonts w:hint="eastAsia" w:ascii="微软雅黑" w:hAnsi="微软雅黑" w:eastAsia="微软雅黑" w:cs="微软雅黑"/>
          <w:kern w:val="0"/>
          <w:sz w:val="32"/>
          <w:szCs w:val="32"/>
          <w:lang w:eastAsia="zh-CN"/>
        </w:rPr>
        <w:t>……</w:t>
      </w:r>
      <w:r>
        <w:rPr>
          <w:rFonts w:hint="eastAsia" w:ascii="微软雅黑" w:hAnsi="微软雅黑" w:eastAsia="微软雅黑" w:cs="微软雅黑"/>
          <w:kern w:val="0"/>
          <w:sz w:val="32"/>
          <w:szCs w:val="32"/>
          <w:lang w:val="en-US" w:eastAsia="zh-CN"/>
        </w:rPr>
        <w:t>岳阳县血吸虫病防治事务中心是岳阳县卫生健康局所属正股级公益一类事业单位。本部门所属机构4个：岳阳县鹿角血防站、岳阳县中洲血防站、岳阳县麻塘血防站和岳阳县湖洲卫生院（岳阳县湖洲血防站），岳阳县湖洲卫生院（岳阳县湖洲血防站）为财务独立核算的单位。</w:t>
      </w:r>
    </w:p>
    <w:p w14:paraId="4FEF9E94">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rPr>
      </w:pPr>
      <w:r>
        <w:rPr>
          <w:rFonts w:hint="eastAsia" w:ascii="微软雅黑" w:hAnsi="微软雅黑" w:eastAsia="微软雅黑" w:cs="微软雅黑"/>
          <w:b/>
          <w:bCs/>
          <w:kern w:val="0"/>
          <w:sz w:val="32"/>
          <w:szCs w:val="32"/>
          <w:lang w:val="en-US" w:eastAsia="zh-CN"/>
        </w:rPr>
        <w:t>二</w:t>
      </w:r>
      <w:r>
        <w:rPr>
          <w:rFonts w:hint="eastAsia" w:ascii="微软雅黑" w:hAnsi="微软雅黑" w:eastAsia="微软雅黑" w:cs="微软雅黑"/>
          <w:b/>
          <w:bCs/>
          <w:kern w:val="0"/>
          <w:sz w:val="32"/>
          <w:szCs w:val="32"/>
          <w:lang w:eastAsia="zh-CN"/>
        </w:rPr>
        <w:t>、</w:t>
      </w:r>
      <w:r>
        <w:rPr>
          <w:rFonts w:hint="eastAsia" w:ascii="微软雅黑" w:hAnsi="微软雅黑" w:eastAsia="微软雅黑" w:cs="微软雅黑"/>
          <w:b/>
          <w:bCs/>
          <w:kern w:val="0"/>
          <w:sz w:val="32"/>
          <w:szCs w:val="32"/>
          <w:lang w:val="en-US" w:eastAsia="zh-CN"/>
        </w:rPr>
        <w:t>单位</w:t>
      </w:r>
      <w:r>
        <w:rPr>
          <w:rFonts w:hint="eastAsia" w:ascii="微软雅黑" w:hAnsi="微软雅黑" w:eastAsia="微软雅黑" w:cs="微软雅黑"/>
          <w:b/>
          <w:bCs/>
          <w:kern w:val="0"/>
          <w:sz w:val="32"/>
          <w:szCs w:val="32"/>
        </w:rPr>
        <w:t>收支总体情况</w:t>
      </w:r>
    </w:p>
    <w:p w14:paraId="33859C9B">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lang w:eastAsia="zh-CN"/>
        </w:rPr>
      </w:pPr>
      <w:r>
        <w:rPr>
          <w:rFonts w:hint="eastAsia" w:ascii="微软雅黑" w:hAnsi="微软雅黑" w:eastAsia="微软雅黑" w:cs="微软雅黑"/>
          <w:b/>
          <w:bCs/>
          <w:kern w:val="0"/>
          <w:sz w:val="32"/>
          <w:szCs w:val="32"/>
        </w:rPr>
        <w:t>（一）收入预算</w:t>
      </w:r>
      <w:bookmarkStart w:id="0" w:name="_GoBack"/>
      <w:bookmarkEnd w:id="0"/>
    </w:p>
    <w:p w14:paraId="4CDDC48B">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default"/>
          <w:lang w:val="en-US" w:eastAsia="zh-CN"/>
        </w:rPr>
      </w:pPr>
      <w:r>
        <w:rPr>
          <w:rFonts w:hint="eastAsia" w:ascii="微软雅黑" w:hAnsi="微软雅黑" w:eastAsia="微软雅黑" w:cs="微软雅黑"/>
          <w:kern w:val="0"/>
          <w:sz w:val="32"/>
          <w:szCs w:val="32"/>
          <w:lang w:eastAsia="zh-CN"/>
        </w:rPr>
        <w:t>包括一般公共预算、政府性基金、国有资本经营预算等财政拨款收入，以及经营收入、事业收入等单位资金。</w:t>
      </w:r>
      <w:r>
        <w:rPr>
          <w:rFonts w:ascii="微软雅黑" w:hAnsi="微软雅黑" w:eastAsia="微软雅黑" w:cs="微软雅黑"/>
          <w:sz w:val="32"/>
        </w:rPr>
        <w:t>2026年本单位收入预算</w:t>
      </w:r>
      <w:r>
        <w:rPr>
          <w:rFonts w:hint="eastAsia" w:ascii="微软雅黑" w:hAnsi="微软雅黑" w:eastAsia="微软雅黑" w:cs="微软雅黑"/>
          <w:kern w:val="0"/>
          <w:sz w:val="32"/>
          <w:szCs w:val="32"/>
          <w:lang w:val="en-US" w:eastAsia="zh-CN"/>
        </w:rPr>
        <w:t>994.55</w:t>
      </w:r>
      <w:r>
        <w:rPr>
          <w:rFonts w:hint="eastAsia" w:ascii="微软雅黑" w:hAnsi="微软雅黑" w:eastAsia="微软雅黑" w:cs="微软雅黑"/>
          <w:kern w:val="0"/>
          <w:sz w:val="32"/>
          <w:szCs w:val="32"/>
          <w:lang w:eastAsia="zh-CN"/>
        </w:rPr>
        <w:t>万元，其中，一般公共预算拨款</w:t>
      </w:r>
      <w:r>
        <w:rPr>
          <w:rFonts w:hint="eastAsia" w:ascii="微软雅黑" w:hAnsi="微软雅黑" w:eastAsia="微软雅黑" w:cs="微软雅黑"/>
          <w:kern w:val="0"/>
          <w:sz w:val="32"/>
          <w:szCs w:val="32"/>
          <w:lang w:val="en-US" w:eastAsia="zh-CN"/>
        </w:rPr>
        <w:t>994.55</w:t>
      </w:r>
      <w:r>
        <w:rPr>
          <w:rFonts w:hint="eastAsia" w:ascii="微软雅黑" w:hAnsi="微软雅黑" w:eastAsia="微软雅黑" w:cs="微软雅黑"/>
          <w:kern w:val="0"/>
          <w:sz w:val="32"/>
          <w:szCs w:val="32"/>
          <w:lang w:eastAsia="zh-CN"/>
        </w:rPr>
        <w:t>万元，</w:t>
      </w:r>
      <w:r>
        <w:rPr>
          <w:rFonts w:hint="eastAsia" w:ascii="微软雅黑" w:hAnsi="微软雅黑" w:eastAsia="微软雅黑" w:cs="微软雅黑"/>
          <w:kern w:val="0"/>
          <w:sz w:val="32"/>
          <w:szCs w:val="32"/>
          <w:lang w:val="en-US" w:eastAsia="zh-CN"/>
        </w:rPr>
        <w:t>本单位2026年没有政府性基金预算拨款和纳入专户管理的非税收入拨款收入，也没有使用政府性基金预算拨款、国有资本经营预算收入和纳入专户管理的非税收入拨款安排的支出，所以公开的附件16-18（政府性基金预算）、19（国有资本经营预算）、20表（财政专户管理资金预算）均为空。</w:t>
      </w:r>
      <w:r>
        <w:rPr>
          <w:rFonts w:hint="eastAsia" w:ascii="微软雅黑" w:hAnsi="微软雅黑" w:eastAsia="微软雅黑" w:cs="微软雅黑"/>
          <w:kern w:val="0"/>
          <w:sz w:val="32"/>
          <w:szCs w:val="32"/>
          <w:lang w:eastAsia="zh-CN"/>
        </w:rPr>
        <w:t>收入较去年</w:t>
      </w:r>
      <w:r>
        <w:rPr>
          <w:rFonts w:hint="eastAsia" w:ascii="微软雅黑" w:hAnsi="微软雅黑" w:eastAsia="微软雅黑" w:cs="微软雅黑"/>
          <w:kern w:val="0"/>
          <w:sz w:val="32"/>
          <w:szCs w:val="32"/>
          <w:lang w:val="en-US" w:eastAsia="zh-CN"/>
        </w:rPr>
        <w:t>增长9.74</w:t>
      </w:r>
      <w:r>
        <w:rPr>
          <w:rFonts w:hint="eastAsia" w:ascii="微软雅黑" w:hAnsi="微软雅黑" w:eastAsia="微软雅黑" w:cs="微软雅黑"/>
          <w:kern w:val="0"/>
          <w:sz w:val="32"/>
          <w:szCs w:val="32"/>
          <w:lang w:eastAsia="zh-CN"/>
        </w:rPr>
        <w:t>万元，主要是</w:t>
      </w:r>
      <w:r>
        <w:rPr>
          <w:rFonts w:hint="eastAsia" w:ascii="微软雅黑" w:hAnsi="微软雅黑" w:eastAsia="微软雅黑" w:cs="微软雅黑"/>
          <w:kern w:val="0"/>
          <w:sz w:val="32"/>
          <w:szCs w:val="32"/>
          <w:lang w:val="en-US" w:eastAsia="zh-CN"/>
        </w:rPr>
        <w:t>因为人员经费预算增加。</w:t>
      </w:r>
    </w:p>
    <w:p w14:paraId="38CF344C">
      <w:pPr>
        <w:widowControl/>
        <w:spacing w:line="600" w:lineRule="exact"/>
        <w:ind w:firstLine="628" w:firstLineChars="196"/>
        <w:jc w:val="left"/>
        <w:rPr>
          <w:rFonts w:hint="eastAsia" w:ascii="微软雅黑" w:hAnsi="微软雅黑" w:eastAsia="微软雅黑" w:cs="微软雅黑"/>
          <w:b/>
          <w:bCs/>
          <w:kern w:val="0"/>
          <w:sz w:val="32"/>
          <w:szCs w:val="32"/>
        </w:rPr>
      </w:pPr>
      <w:r>
        <w:rPr>
          <w:rFonts w:hint="eastAsia" w:ascii="微软雅黑" w:hAnsi="微软雅黑" w:eastAsia="微软雅黑" w:cs="微软雅黑"/>
          <w:b/>
          <w:bCs/>
          <w:kern w:val="0"/>
          <w:sz w:val="32"/>
          <w:szCs w:val="32"/>
        </w:rPr>
        <w:t>（二）支出预算</w:t>
      </w:r>
    </w:p>
    <w:p w14:paraId="269C24D9">
      <w:pPr>
        <w:widowControl/>
        <w:spacing w:line="600" w:lineRule="exact"/>
        <w:ind w:firstLine="627" w:firstLineChars="196"/>
        <w:jc w:val="left"/>
        <w:rPr>
          <w:rFonts w:hint="eastAsia" w:ascii="微软雅黑" w:hAnsi="微软雅黑" w:eastAsia="微软雅黑" w:cs="微软雅黑"/>
          <w:kern w:val="0"/>
          <w:sz w:val="32"/>
          <w:szCs w:val="32"/>
        </w:rPr>
      </w:pPr>
      <w:r>
        <w:rPr>
          <w:rFonts w:hint="eastAsia" w:ascii="微软雅黑" w:hAnsi="微软雅黑" w:eastAsia="微软雅黑" w:cs="微软雅黑"/>
          <w:sz w:val="32"/>
          <w:szCs w:val="32"/>
          <w:lang w:eastAsia="zh-CN"/>
        </w:rPr>
        <w:t>2026</w:t>
      </w:r>
      <w:r>
        <w:rPr>
          <w:rFonts w:ascii="微软雅黑" w:hAnsi="微软雅黑" w:eastAsia="微软雅黑" w:cs="微软雅黑"/>
          <w:sz w:val="32"/>
        </w:rPr>
        <w:t>年本单位</w:t>
      </w:r>
      <w:r>
        <w:rPr>
          <w:rFonts w:hint="eastAsia" w:ascii="微软雅黑" w:hAnsi="微软雅黑" w:eastAsia="微软雅黑" w:cs="微软雅黑"/>
          <w:sz w:val="32"/>
          <w:szCs w:val="32"/>
        </w:rPr>
        <w:t>支出预算</w:t>
      </w:r>
      <w:r>
        <w:rPr>
          <w:rFonts w:hint="eastAsia" w:ascii="微软雅黑" w:hAnsi="微软雅黑" w:eastAsia="微软雅黑" w:cs="微软雅黑"/>
          <w:kern w:val="0"/>
          <w:sz w:val="32"/>
          <w:szCs w:val="32"/>
          <w:lang w:val="en-US" w:eastAsia="zh-CN"/>
        </w:rPr>
        <w:t>994.55</w:t>
      </w:r>
      <w:r>
        <w:rPr>
          <w:rFonts w:hint="eastAsia" w:ascii="微软雅黑" w:hAnsi="微软雅黑" w:eastAsia="微软雅黑" w:cs="微软雅黑"/>
          <w:sz w:val="32"/>
          <w:szCs w:val="32"/>
        </w:rPr>
        <w:t>万元，</w:t>
      </w:r>
      <w:r>
        <w:rPr>
          <w:rFonts w:hint="eastAsia" w:ascii="微软雅黑" w:hAnsi="微软雅黑" w:eastAsia="微软雅黑" w:cs="微软雅黑"/>
          <w:sz w:val="32"/>
          <w:szCs w:val="32"/>
          <w:lang w:val="en-US" w:eastAsia="zh-CN"/>
        </w:rPr>
        <w:t>其中，一般公共服务994.55万元，其中社会保障和就业支出138.29万元，卫生健康支出793.64万元，住房保障支出62.62万元。支出较去年增加9.74万元，其中基本支出增加23.34万元，项目支出减少13.6万元。其中基本支出较上年增加主要是人员经费预算增加，项目支出减少主要是因为县财政预算缩减项目经费40%。</w:t>
      </w:r>
    </w:p>
    <w:p w14:paraId="56A28E73">
      <w:pPr>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rPr>
      </w:pPr>
      <w:r>
        <w:rPr>
          <w:rFonts w:hint="eastAsia" w:ascii="微软雅黑" w:hAnsi="微软雅黑" w:eastAsia="微软雅黑" w:cs="微软雅黑"/>
          <w:b/>
          <w:bCs/>
          <w:kern w:val="0"/>
          <w:sz w:val="32"/>
          <w:szCs w:val="32"/>
          <w:lang w:val="en-US" w:eastAsia="zh-CN"/>
        </w:rPr>
        <w:t>三、</w:t>
      </w:r>
      <w:r>
        <w:rPr>
          <w:rFonts w:hint="eastAsia" w:ascii="微软雅黑" w:hAnsi="微软雅黑" w:eastAsia="微软雅黑" w:cs="微软雅黑"/>
          <w:b/>
          <w:bCs/>
          <w:kern w:val="0"/>
          <w:sz w:val="32"/>
          <w:szCs w:val="32"/>
        </w:rPr>
        <w:t>一般公共预算拨款支出预算</w:t>
      </w:r>
    </w:p>
    <w:p w14:paraId="407C7549">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sz w:val="32"/>
          <w:lang w:val="en-US" w:eastAsia="zh-CN"/>
        </w:rPr>
      </w:pPr>
      <w:r>
        <w:rPr>
          <w:rFonts w:hint="eastAsia" w:ascii="微软雅黑" w:hAnsi="微软雅黑" w:eastAsia="微软雅黑" w:cs="微软雅黑"/>
          <w:kern w:val="0"/>
          <w:sz w:val="32"/>
          <w:szCs w:val="32"/>
          <w:lang w:eastAsia="zh-CN"/>
        </w:rPr>
        <w:t>2026</w:t>
      </w:r>
      <w:r>
        <w:rPr>
          <w:rFonts w:ascii="微软雅黑" w:hAnsi="微软雅黑" w:eastAsia="微软雅黑" w:cs="微软雅黑"/>
          <w:sz w:val="32"/>
        </w:rPr>
        <w:t>年</w:t>
      </w:r>
      <w:r>
        <w:rPr>
          <w:rFonts w:hint="eastAsia" w:ascii="微软雅黑" w:hAnsi="微软雅黑" w:eastAsia="微软雅黑" w:cs="微软雅黑"/>
          <w:kern w:val="0"/>
          <w:sz w:val="32"/>
          <w:szCs w:val="32"/>
        </w:rPr>
        <w:t>一般公共预算拨款支出预算</w:t>
      </w:r>
      <w:r>
        <w:rPr>
          <w:rFonts w:hint="eastAsia" w:ascii="微软雅黑" w:hAnsi="微软雅黑" w:eastAsia="微软雅黑" w:cs="微软雅黑"/>
          <w:kern w:val="0"/>
          <w:sz w:val="32"/>
          <w:szCs w:val="32"/>
          <w:lang w:val="en-US" w:eastAsia="zh-CN"/>
        </w:rPr>
        <w:t>994.55</w:t>
      </w:r>
      <w:r>
        <w:rPr>
          <w:rFonts w:hint="eastAsia" w:ascii="微软雅黑" w:hAnsi="微软雅黑" w:eastAsia="微软雅黑" w:cs="微软雅黑"/>
          <w:kern w:val="0"/>
          <w:sz w:val="32"/>
          <w:szCs w:val="32"/>
        </w:rPr>
        <w:t>万元，其中</w:t>
      </w:r>
      <w:r>
        <w:rPr>
          <w:rFonts w:hint="eastAsia" w:ascii="微软雅黑" w:hAnsi="微软雅黑" w:eastAsia="微软雅黑" w:cs="微软雅黑"/>
          <w:sz w:val="32"/>
          <w:szCs w:val="32"/>
        </w:rPr>
        <w:t>，一般公共服务支出</w:t>
      </w:r>
      <w:r>
        <w:rPr>
          <w:rFonts w:hint="eastAsia" w:ascii="微软雅黑" w:hAnsi="微软雅黑" w:eastAsia="微软雅黑" w:cs="微软雅黑"/>
          <w:kern w:val="0"/>
          <w:sz w:val="32"/>
          <w:szCs w:val="32"/>
          <w:lang w:val="en-US" w:eastAsia="zh-CN"/>
        </w:rPr>
        <w:t>994.55</w:t>
      </w:r>
      <w:r>
        <w:rPr>
          <w:rFonts w:hint="eastAsia" w:ascii="微软雅黑" w:hAnsi="微软雅黑" w:eastAsia="微软雅黑" w:cs="微软雅黑"/>
          <w:sz w:val="32"/>
          <w:szCs w:val="32"/>
        </w:rPr>
        <w:t>万元，占</w:t>
      </w:r>
      <w:r>
        <w:rPr>
          <w:rFonts w:hint="eastAsia" w:ascii="微软雅黑" w:hAnsi="微软雅黑" w:eastAsia="微软雅黑" w:cs="微软雅黑"/>
          <w:sz w:val="32"/>
          <w:szCs w:val="32"/>
          <w:lang w:val="en-US" w:eastAsia="zh-CN"/>
        </w:rPr>
        <w:t>100</w:t>
      </w:r>
      <w:r>
        <w:rPr>
          <w:rFonts w:hint="eastAsia" w:ascii="微软雅黑" w:hAnsi="微软雅黑" w:eastAsia="微软雅黑" w:cs="微软雅黑"/>
          <w:sz w:val="32"/>
          <w:szCs w:val="32"/>
          <w:u w:val="none"/>
        </w:rPr>
        <w:t>%</w:t>
      </w:r>
      <w:r>
        <w:rPr>
          <w:rFonts w:hint="eastAsia" w:ascii="微软雅黑" w:hAnsi="微软雅黑" w:eastAsia="微软雅黑" w:cs="微软雅黑"/>
          <w:sz w:val="32"/>
          <w:szCs w:val="32"/>
        </w:rPr>
        <w:t>；</w:t>
      </w:r>
      <w:r>
        <w:rPr>
          <w:rFonts w:hint="eastAsia" w:ascii="微软雅黑" w:hAnsi="微软雅黑" w:eastAsia="微软雅黑" w:cs="微软雅黑"/>
          <w:sz w:val="32"/>
          <w:szCs w:val="32"/>
          <w:lang w:val="en-US" w:eastAsia="zh-CN"/>
        </w:rPr>
        <w:t>机关事业单位基本养老保险缴费支出83.49万元，占8.39%</w:t>
      </w:r>
      <w:r>
        <w:rPr>
          <w:rFonts w:ascii="微软雅黑" w:hAnsi="微软雅黑" w:eastAsia="微软雅黑" w:cs="微软雅黑"/>
          <w:sz w:val="32"/>
        </w:rPr>
        <w:t>；</w:t>
      </w:r>
      <w:r>
        <w:rPr>
          <w:rFonts w:hint="eastAsia" w:ascii="微软雅黑" w:hAnsi="微软雅黑" w:eastAsia="微软雅黑" w:cs="微软雅黑"/>
          <w:sz w:val="32"/>
          <w:lang w:val="en-US" w:eastAsia="zh-CN"/>
        </w:rPr>
        <w:t>其他社会保障和就业支出5.22万元，占0.52%；疾病预防控制机构支出793.64万元，占79.80%；事业单位医疗支出44.36万元，占4.46%；公务员医疗补助5.22万元，占0.52%；住房公积金62.62万元，占6.30%。具体安排情况如下：</w:t>
      </w:r>
    </w:p>
    <w:p w14:paraId="57381EAE">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lang w:eastAsia="zh-CN"/>
        </w:rPr>
      </w:pPr>
      <w:r>
        <w:rPr>
          <w:rFonts w:hint="eastAsia" w:ascii="微软雅黑" w:hAnsi="微软雅黑" w:eastAsia="微软雅黑" w:cs="微软雅黑"/>
          <w:b/>
          <w:bCs/>
          <w:kern w:val="0"/>
          <w:sz w:val="32"/>
          <w:szCs w:val="32"/>
        </w:rPr>
        <w:t>（一）基本支出</w:t>
      </w:r>
      <w:r>
        <w:rPr>
          <w:rFonts w:hint="eastAsia" w:ascii="微软雅黑" w:hAnsi="微软雅黑" w:eastAsia="微软雅黑" w:cs="微软雅黑"/>
          <w:kern w:val="0"/>
          <w:sz w:val="32"/>
          <w:szCs w:val="32"/>
          <w:lang w:eastAsia="zh-CN"/>
        </w:rPr>
        <w:t>：</w:t>
      </w:r>
      <w:r>
        <w:rPr>
          <w:rFonts w:ascii="微软雅黑" w:hAnsi="微软雅黑" w:eastAsia="微软雅黑" w:cs="微软雅黑"/>
          <w:sz w:val="32"/>
        </w:rPr>
        <w:t>2026年基本支出年初预算数为</w:t>
      </w:r>
      <w:r>
        <w:rPr>
          <w:rFonts w:hint="eastAsia" w:ascii="微软雅黑" w:hAnsi="微软雅黑" w:eastAsia="微软雅黑" w:cs="微软雅黑"/>
          <w:kern w:val="0"/>
          <w:sz w:val="32"/>
          <w:szCs w:val="32"/>
          <w:lang w:val="en-US" w:eastAsia="zh-CN"/>
        </w:rPr>
        <w:t>974.55</w:t>
      </w:r>
      <w:r>
        <w:rPr>
          <w:rFonts w:hint="eastAsia" w:ascii="微软雅黑" w:hAnsi="微软雅黑" w:eastAsia="微软雅黑" w:cs="微软雅黑"/>
          <w:kern w:val="0"/>
          <w:sz w:val="32"/>
          <w:szCs w:val="32"/>
          <w:lang w:eastAsia="zh-CN"/>
        </w:rPr>
        <w:t>万元，是指为保障单位机构正常运转、完成日常工作任务而发生的各项支出，包括用于基本工资、津贴补贴等人员经费以及办公费、印刷费、水电费、差旅费、</w:t>
      </w:r>
      <w:r>
        <w:rPr>
          <w:rFonts w:hint="eastAsia" w:ascii="微软雅黑" w:hAnsi="微软雅黑" w:eastAsia="微软雅黑" w:cs="微软雅黑"/>
          <w:kern w:val="0"/>
          <w:sz w:val="32"/>
          <w:szCs w:val="32"/>
          <w:lang w:val="en-US" w:eastAsia="zh-CN"/>
        </w:rPr>
        <w:t>邮电费、维修费、会议费、培训费、工会经费、公务接待费</w:t>
      </w:r>
      <w:r>
        <w:rPr>
          <w:rFonts w:hint="eastAsia" w:ascii="微软雅黑" w:hAnsi="微软雅黑" w:eastAsia="微软雅黑" w:cs="微软雅黑"/>
          <w:kern w:val="0"/>
          <w:sz w:val="32"/>
          <w:szCs w:val="32"/>
          <w:lang w:eastAsia="zh-CN"/>
        </w:rPr>
        <w:t>等日常公用经费。</w:t>
      </w:r>
    </w:p>
    <w:p w14:paraId="0C08CB43">
      <w:pPr>
        <w:widowControl/>
        <w:spacing w:line="600" w:lineRule="exact"/>
        <w:ind w:firstLine="660"/>
        <w:jc w:val="left"/>
        <w:rPr>
          <w:rFonts w:hint="eastAsia" w:ascii="微软雅黑" w:hAnsi="微软雅黑" w:eastAsia="微软雅黑" w:cs="微软雅黑"/>
          <w:sz w:val="32"/>
          <w:szCs w:val="32"/>
        </w:rPr>
      </w:pPr>
      <w:r>
        <w:rPr>
          <w:rFonts w:hint="eastAsia" w:ascii="微软雅黑" w:hAnsi="微软雅黑" w:eastAsia="微软雅黑" w:cs="微软雅黑"/>
          <w:b/>
          <w:bCs/>
          <w:kern w:val="0"/>
          <w:sz w:val="32"/>
          <w:szCs w:val="32"/>
        </w:rPr>
        <w:t>（二）项目支出</w:t>
      </w:r>
      <w:r>
        <w:rPr>
          <w:rFonts w:hint="eastAsia" w:ascii="微软雅黑" w:hAnsi="微软雅黑" w:eastAsia="微软雅黑" w:cs="微软雅黑"/>
          <w:kern w:val="0"/>
          <w:sz w:val="32"/>
          <w:szCs w:val="32"/>
        </w:rPr>
        <w:t>：</w:t>
      </w:r>
      <w:r>
        <w:rPr>
          <w:rFonts w:hint="eastAsia" w:ascii="微软雅黑" w:hAnsi="微软雅黑" w:eastAsia="微软雅黑" w:cs="微软雅黑"/>
          <w:kern w:val="0"/>
          <w:sz w:val="32"/>
          <w:szCs w:val="32"/>
          <w:lang w:eastAsia="zh-CN"/>
        </w:rPr>
        <w:t>2026</w:t>
      </w:r>
      <w:r>
        <w:rPr>
          <w:rFonts w:ascii="微软雅黑" w:hAnsi="微软雅黑" w:eastAsia="微软雅黑" w:cs="微软雅黑"/>
          <w:sz w:val="32"/>
        </w:rPr>
        <w:t>年</w:t>
      </w:r>
      <w:r>
        <w:rPr>
          <w:rFonts w:hint="eastAsia" w:ascii="微软雅黑" w:hAnsi="微软雅黑" w:eastAsia="微软雅黑" w:cs="微软雅黑"/>
          <w:kern w:val="0"/>
          <w:sz w:val="32"/>
          <w:szCs w:val="32"/>
        </w:rPr>
        <w:t>项目支出年初预算数为</w:t>
      </w:r>
      <w:r>
        <w:rPr>
          <w:rFonts w:hint="eastAsia" w:ascii="微软雅黑" w:hAnsi="微软雅黑" w:eastAsia="微软雅黑" w:cs="微软雅黑"/>
          <w:kern w:val="0"/>
          <w:sz w:val="32"/>
          <w:szCs w:val="32"/>
          <w:lang w:val="en-US" w:eastAsia="zh-CN"/>
        </w:rPr>
        <w:t>20.00</w:t>
      </w:r>
      <w:r>
        <w:rPr>
          <w:rFonts w:hint="eastAsia" w:ascii="微软雅黑" w:hAnsi="微软雅黑" w:eastAsia="微软雅黑" w:cs="微软雅黑"/>
          <w:kern w:val="0"/>
          <w:sz w:val="32"/>
          <w:szCs w:val="32"/>
        </w:rPr>
        <w:t>万元，是指</w:t>
      </w:r>
      <w:r>
        <w:rPr>
          <w:rFonts w:hint="eastAsia" w:ascii="微软雅黑" w:hAnsi="微软雅黑" w:eastAsia="微软雅黑" w:cs="微软雅黑"/>
          <w:kern w:val="0"/>
          <w:sz w:val="32"/>
          <w:szCs w:val="32"/>
          <w:lang w:eastAsia="zh-CN"/>
        </w:rPr>
        <w:t>单位</w:t>
      </w:r>
      <w:r>
        <w:rPr>
          <w:rFonts w:hint="eastAsia" w:ascii="微软雅黑" w:hAnsi="微软雅黑" w:eastAsia="微软雅黑" w:cs="微软雅黑"/>
          <w:kern w:val="0"/>
          <w:sz w:val="32"/>
          <w:szCs w:val="32"/>
        </w:rPr>
        <w:t>为完成</w:t>
      </w:r>
      <w:r>
        <w:rPr>
          <w:rFonts w:hint="eastAsia" w:ascii="微软雅黑" w:hAnsi="微软雅黑" w:eastAsia="微软雅黑" w:cs="微软雅黑"/>
          <w:kern w:val="0"/>
          <w:sz w:val="32"/>
          <w:szCs w:val="32"/>
          <w:lang w:val="en-US" w:eastAsia="zh-CN"/>
        </w:rPr>
        <w:t>血吸虫病防治事业发展</w:t>
      </w:r>
      <w:r>
        <w:rPr>
          <w:rFonts w:hint="eastAsia" w:ascii="微软雅黑" w:hAnsi="微软雅黑" w:eastAsia="微软雅黑" w:cs="微软雅黑"/>
          <w:kern w:val="0"/>
          <w:sz w:val="32"/>
          <w:szCs w:val="32"/>
        </w:rPr>
        <w:t>目标而发生的支出，包括</w:t>
      </w:r>
      <w:r>
        <w:rPr>
          <w:rFonts w:hint="eastAsia" w:ascii="微软雅黑" w:hAnsi="微软雅黑" w:eastAsia="微软雅黑" w:cs="微软雅黑"/>
          <w:kern w:val="0"/>
          <w:sz w:val="32"/>
          <w:szCs w:val="32"/>
          <w:lang w:val="en-US" w:eastAsia="zh-CN"/>
        </w:rPr>
        <w:t>血吸虫病防治</w:t>
      </w:r>
      <w:r>
        <w:rPr>
          <w:rFonts w:hint="eastAsia" w:ascii="微软雅黑" w:hAnsi="微软雅黑" w:eastAsia="微软雅黑" w:cs="微软雅黑"/>
          <w:kern w:val="0"/>
          <w:sz w:val="32"/>
          <w:szCs w:val="32"/>
        </w:rPr>
        <w:t>有关业务工作经费</w:t>
      </w:r>
      <w:r>
        <w:rPr>
          <w:rFonts w:hint="eastAsia" w:ascii="微软雅黑" w:hAnsi="微软雅黑" w:eastAsia="微软雅黑" w:cs="微软雅黑"/>
          <w:sz w:val="32"/>
          <w:szCs w:val="32"/>
          <w:lang w:eastAsia="zh-CN"/>
        </w:rPr>
        <w:t>、</w:t>
      </w:r>
      <w:r>
        <w:rPr>
          <w:rFonts w:hint="eastAsia" w:ascii="微软雅黑" w:hAnsi="微软雅黑" w:eastAsia="微软雅黑" w:cs="微软雅黑"/>
          <w:sz w:val="32"/>
          <w:szCs w:val="32"/>
        </w:rPr>
        <w:t>运行维护经费</w:t>
      </w:r>
      <w:r>
        <w:rPr>
          <w:rFonts w:hint="eastAsia" w:ascii="微软雅黑" w:hAnsi="微软雅黑" w:eastAsia="微软雅黑" w:cs="微软雅黑"/>
          <w:sz w:val="32"/>
          <w:szCs w:val="32"/>
          <w:lang w:val="en-US" w:eastAsia="zh-CN"/>
        </w:rPr>
        <w:t>等</w:t>
      </w:r>
      <w:r>
        <w:rPr>
          <w:rFonts w:hint="eastAsia" w:ascii="微软雅黑" w:hAnsi="微软雅黑" w:eastAsia="微软雅黑" w:cs="微软雅黑"/>
          <w:sz w:val="32"/>
          <w:szCs w:val="32"/>
        </w:rPr>
        <w:t>。其中业务工作经费支出</w:t>
      </w:r>
      <w:r>
        <w:rPr>
          <w:rFonts w:hint="eastAsia" w:ascii="微软雅黑" w:hAnsi="微软雅黑" w:eastAsia="微软雅黑" w:cs="微软雅黑"/>
          <w:kern w:val="0"/>
          <w:sz w:val="32"/>
          <w:szCs w:val="32"/>
          <w:lang w:val="en-US" w:eastAsia="zh-CN"/>
        </w:rPr>
        <w:t>20</w:t>
      </w:r>
      <w:r>
        <w:rPr>
          <w:rFonts w:hint="eastAsia" w:ascii="微软雅黑" w:hAnsi="微软雅黑" w:eastAsia="微软雅黑" w:cs="微软雅黑"/>
          <w:sz w:val="32"/>
          <w:szCs w:val="32"/>
        </w:rPr>
        <w:t>万元，主要用于</w:t>
      </w:r>
      <w:r>
        <w:rPr>
          <w:rFonts w:hint="eastAsia" w:ascii="微软雅黑" w:hAnsi="微软雅黑" w:eastAsia="微软雅黑" w:cs="微软雅黑"/>
          <w:sz w:val="32"/>
          <w:szCs w:val="32"/>
          <w:lang w:val="en-US" w:eastAsia="zh-CN"/>
        </w:rPr>
        <w:t>对全县血吸虫病防治工作进行规划、完成查螺、灭螺（蚴）、查病、化疗、健康宣教</w:t>
      </w:r>
      <w:r>
        <w:rPr>
          <w:rFonts w:hint="eastAsia" w:ascii="微软雅黑" w:hAnsi="微软雅黑" w:eastAsia="微软雅黑" w:cs="微软雅黑"/>
          <w:sz w:val="32"/>
          <w:szCs w:val="32"/>
        </w:rPr>
        <w:t>等</w:t>
      </w:r>
      <w:r>
        <w:rPr>
          <w:rFonts w:hint="eastAsia" w:ascii="微软雅黑" w:hAnsi="微软雅黑" w:eastAsia="微软雅黑" w:cs="微软雅黑"/>
          <w:sz w:val="32"/>
          <w:szCs w:val="32"/>
          <w:lang w:val="en-US" w:eastAsia="zh-CN"/>
        </w:rPr>
        <w:t>各项计划任务，巩固血吸虫病消除达标成果，推进血吸虫病监测工作进程等方面。</w:t>
      </w:r>
    </w:p>
    <w:p w14:paraId="168381BB">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color w:val="auto"/>
          <w:kern w:val="0"/>
          <w:sz w:val="32"/>
          <w:szCs w:val="32"/>
        </w:rPr>
      </w:pPr>
      <w:r>
        <w:rPr>
          <w:rFonts w:hint="eastAsia" w:ascii="微软雅黑" w:hAnsi="微软雅黑" w:eastAsia="微软雅黑" w:cs="微软雅黑"/>
          <w:b/>
          <w:bCs/>
          <w:color w:val="auto"/>
          <w:kern w:val="0"/>
          <w:sz w:val="32"/>
          <w:szCs w:val="32"/>
          <w:lang w:val="en-US" w:eastAsia="zh-CN"/>
        </w:rPr>
        <w:t>四</w:t>
      </w:r>
      <w:r>
        <w:rPr>
          <w:rFonts w:hint="eastAsia" w:ascii="微软雅黑" w:hAnsi="微软雅黑" w:eastAsia="微软雅黑" w:cs="微软雅黑"/>
          <w:b/>
          <w:bCs/>
          <w:color w:val="auto"/>
          <w:kern w:val="0"/>
          <w:sz w:val="32"/>
          <w:szCs w:val="32"/>
        </w:rPr>
        <w:t>、政府性基金预算支出</w:t>
      </w:r>
    </w:p>
    <w:p w14:paraId="16A621D2">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color w:val="3216DC"/>
          <w:kern w:val="0"/>
          <w:sz w:val="32"/>
          <w:szCs w:val="32"/>
        </w:rPr>
      </w:pPr>
      <w:r>
        <w:rPr>
          <w:rFonts w:hint="eastAsia" w:ascii="微软雅黑" w:hAnsi="微软雅黑" w:eastAsia="微软雅黑" w:cs="微软雅黑"/>
          <w:color w:val="auto"/>
          <w:kern w:val="0"/>
          <w:sz w:val="32"/>
          <w:szCs w:val="32"/>
          <w:lang w:eastAsia="zh-CN"/>
        </w:rPr>
        <w:t>2026</w:t>
      </w:r>
      <w:r>
        <w:rPr>
          <w:rFonts w:ascii="微软雅黑" w:hAnsi="微软雅黑" w:eastAsia="微软雅黑" w:cs="微软雅黑"/>
          <w:color w:val="auto"/>
          <w:sz w:val="32"/>
        </w:rPr>
        <w:t>年</w:t>
      </w:r>
      <w:r>
        <w:rPr>
          <w:rFonts w:hint="eastAsia" w:ascii="微软雅黑" w:hAnsi="微软雅黑" w:eastAsia="微软雅黑" w:cs="微软雅黑"/>
          <w:color w:val="auto"/>
          <w:sz w:val="32"/>
          <w:lang w:val="en-US" w:eastAsia="zh-CN"/>
        </w:rPr>
        <w:t>度本单位无</w:t>
      </w:r>
      <w:r>
        <w:rPr>
          <w:rFonts w:ascii="微软雅黑" w:hAnsi="微软雅黑" w:eastAsia="微软雅黑" w:cs="微软雅黑"/>
          <w:color w:val="auto"/>
          <w:sz w:val="32"/>
        </w:rPr>
        <w:t>政府性基金</w:t>
      </w:r>
      <w:r>
        <w:rPr>
          <w:rFonts w:hint="eastAsia" w:ascii="微软雅黑" w:hAnsi="微软雅黑" w:eastAsia="微软雅黑" w:cs="微软雅黑"/>
          <w:color w:val="auto"/>
          <w:sz w:val="32"/>
          <w:lang w:val="en-US" w:eastAsia="zh-CN"/>
        </w:rPr>
        <w:t>安排的支出，所以公开的附件16-18（政府性基金预算）为空。</w:t>
      </w:r>
    </w:p>
    <w:p w14:paraId="26C12D4D">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rPr>
      </w:pPr>
      <w:r>
        <w:rPr>
          <w:rFonts w:hint="eastAsia" w:ascii="微软雅黑" w:hAnsi="微软雅黑" w:eastAsia="微软雅黑" w:cs="微软雅黑"/>
          <w:b/>
          <w:bCs/>
          <w:kern w:val="0"/>
          <w:sz w:val="32"/>
          <w:szCs w:val="32"/>
          <w:lang w:val="en-US" w:eastAsia="zh-CN"/>
        </w:rPr>
        <w:t>五</w:t>
      </w:r>
      <w:r>
        <w:rPr>
          <w:rFonts w:hint="eastAsia" w:ascii="微软雅黑" w:hAnsi="微软雅黑" w:eastAsia="微软雅黑" w:cs="微软雅黑"/>
          <w:b/>
          <w:bCs/>
          <w:kern w:val="0"/>
          <w:sz w:val="32"/>
          <w:szCs w:val="32"/>
        </w:rPr>
        <w:t>、其他重要事项的情况说明</w:t>
      </w:r>
    </w:p>
    <w:p w14:paraId="26FD6F84">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rPr>
      </w:pPr>
      <w:r>
        <w:rPr>
          <w:rFonts w:hint="eastAsia" w:ascii="微软雅黑" w:hAnsi="微软雅黑" w:eastAsia="微软雅黑" w:cs="微软雅黑"/>
          <w:b/>
          <w:bCs/>
          <w:kern w:val="0"/>
          <w:sz w:val="32"/>
          <w:szCs w:val="32"/>
        </w:rPr>
        <w:t>（一）机关运行经费</w:t>
      </w:r>
    </w:p>
    <w:p w14:paraId="2272623A">
      <w:pPr>
        <w:keepNext w:val="0"/>
        <w:keepLines w:val="0"/>
        <w:pageBreakBefore w:val="0"/>
        <w:kinsoku/>
        <w:wordWrap/>
        <w:overflowPunct/>
        <w:topLinePunct w:val="0"/>
        <w:autoSpaceDE w:val="0"/>
        <w:autoSpaceDN w:val="0"/>
        <w:bidi w:val="0"/>
        <w:adjustRightInd/>
        <w:snapToGrid/>
        <w:spacing w:line="600" w:lineRule="exact"/>
        <w:ind w:firstLine="640" w:firstLineChars="200"/>
        <w:textAlignment w:val="auto"/>
        <w:rPr>
          <w:rFonts w:hint="default" w:ascii="微软雅黑" w:hAnsi="微软雅黑" w:eastAsia="微软雅黑" w:cs="微软雅黑"/>
          <w:kern w:val="0"/>
          <w:sz w:val="32"/>
          <w:szCs w:val="32"/>
          <w:lang w:val="en-US" w:eastAsia="zh-CN"/>
        </w:rPr>
      </w:pPr>
      <w:r>
        <w:rPr>
          <w:rFonts w:hint="eastAsia" w:ascii="微软雅黑" w:hAnsi="微软雅黑" w:eastAsia="微软雅黑" w:cs="微软雅黑"/>
          <w:kern w:val="0"/>
          <w:sz w:val="32"/>
          <w:szCs w:val="32"/>
          <w:lang w:eastAsia="zh-CN"/>
        </w:rPr>
        <w:t>本单位</w:t>
      </w:r>
      <w:r>
        <w:rPr>
          <w:rFonts w:ascii="微软雅黑" w:hAnsi="微软雅黑" w:eastAsia="微软雅黑" w:cs="微软雅黑"/>
          <w:sz w:val="32"/>
        </w:rPr>
        <w:t>2026年</w:t>
      </w:r>
      <w:r>
        <w:rPr>
          <w:rFonts w:hint="eastAsia" w:ascii="微软雅黑" w:hAnsi="微软雅黑" w:eastAsia="微软雅黑" w:cs="微软雅黑"/>
          <w:kern w:val="0"/>
          <w:sz w:val="32"/>
          <w:szCs w:val="32"/>
        </w:rPr>
        <w:t>机关运行经费当年一般公共预算拨款</w:t>
      </w:r>
      <w:r>
        <w:rPr>
          <w:rFonts w:hint="eastAsia" w:ascii="微软雅黑" w:hAnsi="微软雅黑" w:eastAsia="微软雅黑" w:cs="微软雅黑"/>
          <w:sz w:val="32"/>
          <w:lang w:val="en-US" w:eastAsia="zh-CN"/>
        </w:rPr>
        <w:t>82.32</w:t>
      </w:r>
      <w:r>
        <w:rPr>
          <w:rFonts w:hint="eastAsia" w:ascii="微软雅黑" w:hAnsi="微软雅黑" w:eastAsia="微软雅黑" w:cs="微软雅黑"/>
          <w:kern w:val="0"/>
          <w:sz w:val="32"/>
          <w:szCs w:val="32"/>
        </w:rPr>
        <w:t>万元</w:t>
      </w:r>
      <w:r>
        <w:rPr>
          <w:rFonts w:hint="eastAsia" w:ascii="微软雅黑" w:hAnsi="微软雅黑" w:eastAsia="微软雅黑" w:cs="微软雅黑"/>
          <w:i w:val="0"/>
          <w:iCs w:val="0"/>
          <w:color w:val="3216DC"/>
          <w:kern w:val="0"/>
          <w:sz w:val="32"/>
          <w:szCs w:val="32"/>
          <w:u w:val="none"/>
          <w:lang w:val="en-US" w:eastAsia="zh-CN"/>
        </w:rPr>
        <w:t>（数据来源</w:t>
      </w:r>
      <w:r>
        <w:rPr>
          <w:rFonts w:hint="eastAsia" w:ascii="微软雅黑" w:hAnsi="微软雅黑" w:eastAsia="微软雅黑" w:cs="微软雅黑"/>
          <w:b/>
          <w:bCs/>
          <w:color w:val="FF0000"/>
          <w:sz w:val="32"/>
          <w:szCs w:val="32"/>
          <w:lang w:val="en-US" w:eastAsia="zh-CN"/>
        </w:rPr>
        <w:t>见表14</w:t>
      </w:r>
      <w:r>
        <w:rPr>
          <w:rFonts w:hint="eastAsia" w:ascii="微软雅黑" w:hAnsi="微软雅黑" w:eastAsia="微软雅黑" w:cs="微软雅黑"/>
          <w:i w:val="0"/>
          <w:iCs w:val="0"/>
          <w:color w:val="3216DC"/>
          <w:kern w:val="0"/>
          <w:sz w:val="32"/>
          <w:szCs w:val="32"/>
          <w:u w:val="none"/>
          <w:lang w:val="en-US" w:eastAsia="zh-CN"/>
        </w:rPr>
        <w:t>）</w:t>
      </w:r>
      <w:r>
        <w:rPr>
          <w:rFonts w:hint="eastAsia" w:ascii="微软雅黑" w:hAnsi="微软雅黑" w:eastAsia="微软雅黑" w:cs="微软雅黑"/>
          <w:kern w:val="0"/>
          <w:sz w:val="32"/>
          <w:szCs w:val="32"/>
        </w:rPr>
        <w:t>，比</w:t>
      </w:r>
      <w:r>
        <w:rPr>
          <w:rFonts w:hint="eastAsia" w:ascii="微软雅黑" w:hAnsi="微软雅黑" w:eastAsia="微软雅黑" w:cs="微软雅黑"/>
          <w:kern w:val="0"/>
          <w:sz w:val="32"/>
          <w:szCs w:val="32"/>
          <w:lang w:eastAsia="zh-CN"/>
        </w:rPr>
        <w:t>上一年</w:t>
      </w:r>
      <w:r>
        <w:rPr>
          <w:rFonts w:hint="eastAsia" w:ascii="微软雅黑" w:hAnsi="微软雅黑" w:eastAsia="微软雅黑" w:cs="微软雅黑"/>
          <w:color w:val="3216DC"/>
          <w:kern w:val="0"/>
          <w:sz w:val="32"/>
          <w:szCs w:val="32"/>
          <w:u w:val="single"/>
          <w:lang w:val="en-US" w:eastAsia="zh-CN"/>
        </w:rPr>
        <w:t>减少4.8</w:t>
      </w:r>
      <w:r>
        <w:rPr>
          <w:rFonts w:hint="eastAsia" w:ascii="微软雅黑" w:hAnsi="微软雅黑" w:eastAsia="微软雅黑" w:cs="微软雅黑"/>
          <w:kern w:val="0"/>
          <w:sz w:val="32"/>
          <w:szCs w:val="32"/>
        </w:rPr>
        <w:t>万元，</w:t>
      </w:r>
      <w:r>
        <w:rPr>
          <w:rFonts w:hint="eastAsia" w:ascii="微软雅黑" w:hAnsi="微软雅黑" w:eastAsia="微软雅黑" w:cs="微软雅黑"/>
          <w:sz w:val="32"/>
          <w:lang w:val="en-US" w:eastAsia="zh-CN"/>
        </w:rPr>
        <w:t>降低5.51</w:t>
      </w:r>
      <w:r>
        <w:rPr>
          <w:rFonts w:hint="eastAsia" w:ascii="微软雅黑" w:hAnsi="微软雅黑" w:eastAsia="微软雅黑" w:cs="微软雅黑"/>
          <w:kern w:val="0"/>
          <w:sz w:val="32"/>
          <w:szCs w:val="32"/>
        </w:rPr>
        <w:t>%。主要原因是</w:t>
      </w:r>
      <w:r>
        <w:rPr>
          <w:rFonts w:hint="eastAsia" w:ascii="微软雅黑" w:hAnsi="微软雅黑" w:eastAsia="微软雅黑" w:cs="微软雅黑"/>
          <w:kern w:val="0"/>
          <w:sz w:val="32"/>
          <w:szCs w:val="32"/>
          <w:lang w:val="en-US" w:eastAsia="zh-CN"/>
        </w:rPr>
        <w:t>预算人员退休。</w:t>
      </w:r>
    </w:p>
    <w:p w14:paraId="5A1076A1">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rPr>
      </w:pPr>
      <w:r>
        <w:rPr>
          <w:rFonts w:hint="eastAsia" w:ascii="微软雅黑" w:hAnsi="微软雅黑" w:eastAsia="微软雅黑" w:cs="微软雅黑"/>
          <w:b/>
          <w:bCs/>
          <w:kern w:val="0"/>
          <w:sz w:val="32"/>
          <w:szCs w:val="32"/>
        </w:rPr>
        <w:t>（二）“三公”经费预算</w:t>
      </w:r>
    </w:p>
    <w:p w14:paraId="5ACFCA7D">
      <w:pPr>
        <w:keepNext w:val="0"/>
        <w:keepLines w:val="0"/>
        <w:pageBreakBefore w:val="0"/>
        <w:kinsoku/>
        <w:wordWrap/>
        <w:overflowPunct/>
        <w:topLinePunct w:val="0"/>
        <w:autoSpaceDE w:val="0"/>
        <w:autoSpaceDN w:val="0"/>
        <w:bidi w:val="0"/>
        <w:adjustRightInd/>
        <w:snapToGrid/>
        <w:spacing w:line="600" w:lineRule="exact"/>
        <w:ind w:firstLine="640" w:firstLineChars="200"/>
        <w:textAlignment w:val="auto"/>
        <w:rPr>
          <w:rFonts w:hint="default" w:ascii="微软雅黑" w:hAnsi="微软雅黑" w:eastAsia="微软雅黑" w:cs="微软雅黑"/>
          <w:kern w:val="0"/>
          <w:sz w:val="32"/>
          <w:szCs w:val="32"/>
          <w:lang w:val="en-US" w:eastAsia="zh-CN"/>
        </w:rPr>
      </w:pPr>
      <w:r>
        <w:rPr>
          <w:rFonts w:hint="eastAsia" w:ascii="微软雅黑" w:hAnsi="微软雅黑" w:eastAsia="微软雅黑" w:cs="微软雅黑"/>
          <w:kern w:val="0"/>
          <w:sz w:val="32"/>
          <w:szCs w:val="32"/>
          <w:lang w:eastAsia="zh-CN"/>
        </w:rPr>
        <w:t>本单位</w:t>
      </w:r>
      <w:r>
        <w:rPr>
          <w:rFonts w:ascii="微软雅黑" w:hAnsi="微软雅黑" w:eastAsia="微软雅黑" w:cs="微软雅黑"/>
          <w:sz w:val="32"/>
        </w:rPr>
        <w:t>2026年</w:t>
      </w:r>
      <w:r>
        <w:rPr>
          <w:rFonts w:hint="eastAsia" w:ascii="微软雅黑" w:hAnsi="微软雅黑" w:eastAsia="微软雅黑" w:cs="微软雅黑"/>
          <w:kern w:val="0"/>
          <w:sz w:val="32"/>
          <w:szCs w:val="32"/>
        </w:rPr>
        <w:t>“三公”经费预算数</w:t>
      </w:r>
      <w:r>
        <w:rPr>
          <w:rFonts w:ascii="微软雅黑" w:hAnsi="微软雅黑" w:eastAsia="微软雅黑" w:cs="微软雅黑"/>
          <w:sz w:val="32"/>
        </w:rPr>
        <w:t>0.50</w:t>
      </w:r>
      <w:r>
        <w:rPr>
          <w:rFonts w:hint="eastAsia" w:ascii="微软雅黑" w:hAnsi="微软雅黑" w:eastAsia="微软雅黑" w:cs="微软雅黑"/>
          <w:kern w:val="0"/>
          <w:sz w:val="32"/>
          <w:szCs w:val="32"/>
        </w:rPr>
        <w:t>万元</w:t>
      </w:r>
      <w:r>
        <w:rPr>
          <w:rFonts w:hint="eastAsia" w:ascii="微软雅黑" w:hAnsi="微软雅黑" w:eastAsia="微软雅黑" w:cs="微软雅黑"/>
          <w:i w:val="0"/>
          <w:iCs w:val="0"/>
          <w:color w:val="3216DC"/>
          <w:kern w:val="0"/>
          <w:sz w:val="32"/>
          <w:szCs w:val="32"/>
          <w:u w:val="none"/>
          <w:lang w:val="en-US" w:eastAsia="zh-CN"/>
        </w:rPr>
        <w:t>（数据来源</w:t>
      </w:r>
      <w:r>
        <w:rPr>
          <w:rFonts w:hint="eastAsia" w:ascii="微软雅黑" w:hAnsi="微软雅黑" w:eastAsia="微软雅黑" w:cs="微软雅黑"/>
          <w:b/>
          <w:bCs/>
          <w:color w:val="FF0000"/>
          <w:sz w:val="32"/>
          <w:szCs w:val="32"/>
          <w:lang w:val="en-US" w:eastAsia="zh-CN"/>
        </w:rPr>
        <w:t>见表15</w:t>
      </w:r>
      <w:r>
        <w:rPr>
          <w:rFonts w:hint="eastAsia" w:ascii="微软雅黑" w:hAnsi="微软雅黑" w:eastAsia="微软雅黑" w:cs="微软雅黑"/>
          <w:i w:val="0"/>
          <w:iCs w:val="0"/>
          <w:color w:val="3216DC"/>
          <w:kern w:val="0"/>
          <w:sz w:val="32"/>
          <w:szCs w:val="32"/>
          <w:u w:val="none"/>
          <w:lang w:val="en-US" w:eastAsia="zh-CN"/>
        </w:rPr>
        <w:t>）</w:t>
      </w:r>
      <w:r>
        <w:rPr>
          <w:rFonts w:hint="eastAsia" w:ascii="微软雅黑" w:hAnsi="微软雅黑" w:eastAsia="微软雅黑" w:cs="微软雅黑"/>
          <w:kern w:val="0"/>
          <w:sz w:val="32"/>
          <w:szCs w:val="32"/>
        </w:rPr>
        <w:t>，其中，公务接待费</w:t>
      </w:r>
      <w:r>
        <w:rPr>
          <w:rFonts w:ascii="微软雅黑" w:hAnsi="微软雅黑" w:eastAsia="微软雅黑" w:cs="微软雅黑"/>
          <w:sz w:val="32"/>
        </w:rPr>
        <w:t>0.50</w:t>
      </w:r>
      <w:r>
        <w:rPr>
          <w:rFonts w:hint="eastAsia" w:ascii="微软雅黑" w:hAnsi="微软雅黑" w:eastAsia="微软雅黑" w:cs="微软雅黑"/>
          <w:kern w:val="0"/>
          <w:sz w:val="32"/>
          <w:szCs w:val="32"/>
        </w:rPr>
        <w:t>万元，因公出国（境）费</w:t>
      </w:r>
      <w:r>
        <w:rPr>
          <w:rFonts w:ascii="微软雅黑" w:hAnsi="微软雅黑" w:eastAsia="微软雅黑" w:cs="微软雅黑"/>
          <w:sz w:val="32"/>
        </w:rPr>
        <w:t>0</w:t>
      </w:r>
      <w:r>
        <w:rPr>
          <w:rFonts w:hint="eastAsia" w:ascii="微软雅黑" w:hAnsi="微软雅黑" w:eastAsia="微软雅黑" w:cs="微软雅黑"/>
          <w:kern w:val="0"/>
          <w:sz w:val="32"/>
          <w:szCs w:val="32"/>
        </w:rPr>
        <w:t>万元，公务用车购置及运行费</w:t>
      </w:r>
      <w:r>
        <w:rPr>
          <w:rFonts w:ascii="微软雅黑" w:hAnsi="微软雅黑" w:eastAsia="微软雅黑" w:cs="微软雅黑"/>
          <w:sz w:val="32"/>
        </w:rPr>
        <w:t>0</w:t>
      </w:r>
      <w:r>
        <w:rPr>
          <w:rFonts w:hint="eastAsia" w:ascii="微软雅黑" w:hAnsi="微软雅黑" w:eastAsia="微软雅黑" w:cs="微软雅黑"/>
          <w:kern w:val="0"/>
          <w:sz w:val="32"/>
          <w:szCs w:val="32"/>
        </w:rPr>
        <w:t>万元</w:t>
      </w:r>
      <w:r>
        <w:rPr>
          <w:rFonts w:hint="eastAsia" w:ascii="微软雅黑" w:hAnsi="微软雅黑" w:eastAsia="微软雅黑" w:cs="微软雅黑"/>
          <w:kern w:val="0"/>
          <w:sz w:val="32"/>
          <w:szCs w:val="32"/>
          <w:lang w:eastAsia="zh-CN"/>
        </w:rPr>
        <w:t>，</w:t>
      </w:r>
      <w:r>
        <w:rPr>
          <w:rFonts w:hint="eastAsia" w:ascii="微软雅黑" w:hAnsi="微软雅黑" w:eastAsia="微软雅黑" w:cs="微软雅黑"/>
          <w:kern w:val="0"/>
          <w:sz w:val="32"/>
          <w:szCs w:val="32"/>
        </w:rPr>
        <w:t>其中公务用车购置费</w:t>
      </w:r>
      <w:r>
        <w:rPr>
          <w:rFonts w:ascii="微软雅黑" w:hAnsi="微软雅黑" w:eastAsia="微软雅黑" w:cs="微软雅黑"/>
          <w:sz w:val="32"/>
        </w:rPr>
        <w:t>0</w:t>
      </w:r>
      <w:r>
        <w:rPr>
          <w:rFonts w:hint="eastAsia" w:ascii="微软雅黑" w:hAnsi="微软雅黑" w:eastAsia="微软雅黑" w:cs="微软雅黑"/>
          <w:kern w:val="0"/>
          <w:sz w:val="32"/>
          <w:szCs w:val="32"/>
        </w:rPr>
        <w:t>万元，公务用车运行费</w:t>
      </w:r>
      <w:r>
        <w:rPr>
          <w:rFonts w:ascii="微软雅黑" w:hAnsi="微软雅黑" w:eastAsia="微软雅黑" w:cs="微软雅黑"/>
          <w:sz w:val="32"/>
        </w:rPr>
        <w:t>0</w:t>
      </w:r>
      <w:r>
        <w:rPr>
          <w:rFonts w:hint="eastAsia" w:ascii="微软雅黑" w:hAnsi="微软雅黑" w:eastAsia="微软雅黑" w:cs="微软雅黑"/>
          <w:kern w:val="0"/>
          <w:sz w:val="32"/>
          <w:szCs w:val="32"/>
        </w:rPr>
        <w:t>万元。比</w:t>
      </w:r>
      <w:r>
        <w:rPr>
          <w:rFonts w:hint="eastAsia" w:ascii="微软雅黑" w:hAnsi="微软雅黑" w:eastAsia="微软雅黑" w:cs="微软雅黑"/>
          <w:kern w:val="0"/>
          <w:sz w:val="32"/>
          <w:szCs w:val="32"/>
          <w:lang w:eastAsia="zh-CN"/>
        </w:rPr>
        <w:t>上一年</w:t>
      </w:r>
      <w:r>
        <w:rPr>
          <w:rFonts w:hint="eastAsia" w:ascii="微软雅黑" w:hAnsi="微软雅黑" w:eastAsia="微软雅黑" w:cs="微软雅黑"/>
          <w:color w:val="3216DC"/>
          <w:kern w:val="0"/>
          <w:sz w:val="32"/>
          <w:szCs w:val="32"/>
          <w:u w:val="single"/>
          <w:lang w:val="en-US" w:eastAsia="zh-CN"/>
        </w:rPr>
        <w:t>减少1.5</w:t>
      </w:r>
      <w:r>
        <w:rPr>
          <w:rFonts w:hint="eastAsia" w:ascii="微软雅黑" w:hAnsi="微软雅黑" w:eastAsia="微软雅黑" w:cs="微软雅黑"/>
          <w:kern w:val="0"/>
          <w:sz w:val="32"/>
          <w:szCs w:val="32"/>
        </w:rPr>
        <w:t>万元，</w:t>
      </w:r>
      <w:r>
        <w:rPr>
          <w:rFonts w:hint="eastAsia" w:ascii="微软雅黑" w:hAnsi="微软雅黑" w:eastAsia="微软雅黑" w:cs="微软雅黑"/>
          <w:sz w:val="32"/>
          <w:lang w:val="en-US" w:eastAsia="zh-CN"/>
        </w:rPr>
        <w:t>降低75</w:t>
      </w:r>
      <w:r>
        <w:rPr>
          <w:rFonts w:hint="eastAsia" w:ascii="微软雅黑" w:hAnsi="微软雅黑" w:eastAsia="微软雅黑" w:cs="微软雅黑"/>
          <w:kern w:val="0"/>
          <w:sz w:val="32"/>
          <w:szCs w:val="32"/>
        </w:rPr>
        <w:t>%</w:t>
      </w:r>
      <w:r>
        <w:rPr>
          <w:rFonts w:hint="eastAsia" w:ascii="微软雅黑" w:hAnsi="微软雅黑" w:eastAsia="微软雅黑" w:cs="微软雅黑"/>
          <w:kern w:val="0"/>
          <w:sz w:val="32"/>
          <w:szCs w:val="32"/>
          <w:lang w:eastAsia="zh-CN"/>
        </w:rPr>
        <w:t>，</w:t>
      </w:r>
      <w:r>
        <w:rPr>
          <w:rFonts w:hint="eastAsia" w:ascii="微软雅黑" w:hAnsi="微软雅黑" w:eastAsia="微软雅黑" w:cs="微软雅黑"/>
          <w:kern w:val="0"/>
          <w:sz w:val="32"/>
          <w:szCs w:val="32"/>
        </w:rPr>
        <w:t>主要原因是</w:t>
      </w:r>
      <w:r>
        <w:rPr>
          <w:rFonts w:hint="eastAsia" w:ascii="微软雅黑" w:hAnsi="微软雅黑" w:eastAsia="微软雅黑" w:cs="微软雅黑"/>
          <w:kern w:val="0"/>
          <w:sz w:val="32"/>
          <w:szCs w:val="32"/>
          <w:lang w:val="en-US" w:eastAsia="zh-CN"/>
        </w:rPr>
        <w:t>压缩公务接待开支。</w:t>
      </w:r>
    </w:p>
    <w:p w14:paraId="41797DC9">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lang w:eastAsia="zh-CN"/>
        </w:rPr>
      </w:pPr>
      <w:r>
        <w:rPr>
          <w:rFonts w:hint="eastAsia" w:ascii="微软雅黑" w:hAnsi="微软雅黑" w:eastAsia="微软雅黑" w:cs="微软雅黑"/>
          <w:b/>
          <w:bCs/>
          <w:kern w:val="0"/>
          <w:sz w:val="32"/>
          <w:szCs w:val="32"/>
          <w:lang w:eastAsia="zh-CN"/>
        </w:rPr>
        <w:t>（三）一般性支出情况</w:t>
      </w:r>
    </w:p>
    <w:p w14:paraId="03A1041D">
      <w:pPr>
        <w:keepNext w:val="0"/>
        <w:keepLines w:val="0"/>
        <w:pageBreakBefore w:val="0"/>
        <w:kinsoku/>
        <w:wordWrap/>
        <w:overflowPunct/>
        <w:topLinePunct w:val="0"/>
        <w:autoSpaceDE w:val="0"/>
        <w:autoSpaceDN w:val="0"/>
        <w:bidi w:val="0"/>
        <w:adjustRightInd/>
        <w:snapToGrid/>
        <w:spacing w:line="600" w:lineRule="exact"/>
        <w:ind w:firstLine="640" w:firstLineChars="200"/>
        <w:textAlignment w:val="auto"/>
        <w:rPr>
          <w:rFonts w:hint="eastAsia" w:ascii="微软雅黑" w:hAnsi="微软雅黑" w:eastAsia="微软雅黑" w:cs="微软雅黑"/>
          <w:color w:val="FF0000"/>
          <w:kern w:val="0"/>
          <w:sz w:val="32"/>
          <w:szCs w:val="32"/>
          <w:lang w:eastAsia="zh-CN"/>
        </w:rPr>
      </w:pPr>
      <w:r>
        <w:rPr>
          <w:rFonts w:hint="eastAsia" w:ascii="微软雅黑" w:hAnsi="微软雅黑" w:eastAsia="微软雅黑" w:cs="微软雅黑"/>
          <w:color w:val="auto"/>
          <w:kern w:val="0"/>
          <w:sz w:val="32"/>
          <w:szCs w:val="32"/>
          <w:lang w:eastAsia="zh-CN"/>
        </w:rPr>
        <w:t>本单位</w:t>
      </w:r>
      <w:r>
        <w:rPr>
          <w:rFonts w:ascii="微软雅黑" w:hAnsi="微软雅黑" w:eastAsia="微软雅黑" w:cs="微软雅黑"/>
          <w:color w:val="auto"/>
          <w:sz w:val="32"/>
        </w:rPr>
        <w:t>2026年会议费预算</w:t>
      </w:r>
      <w:r>
        <w:rPr>
          <w:rFonts w:hint="eastAsia" w:ascii="微软雅黑" w:hAnsi="微软雅黑" w:eastAsia="微软雅黑" w:cs="微软雅黑"/>
          <w:color w:val="auto"/>
          <w:kern w:val="0"/>
          <w:sz w:val="32"/>
          <w:szCs w:val="32"/>
          <w:lang w:val="en-US" w:eastAsia="zh-CN"/>
        </w:rPr>
        <w:t>2</w:t>
      </w:r>
      <w:r>
        <w:rPr>
          <w:rFonts w:hint="eastAsia" w:ascii="微软雅黑" w:hAnsi="微软雅黑" w:eastAsia="微软雅黑" w:cs="微软雅黑"/>
          <w:color w:val="auto"/>
          <w:kern w:val="0"/>
          <w:sz w:val="32"/>
          <w:szCs w:val="32"/>
          <w:lang w:eastAsia="zh-CN"/>
        </w:rPr>
        <w:t>万元</w:t>
      </w:r>
      <w:r>
        <w:rPr>
          <w:rFonts w:hint="eastAsia" w:ascii="微软雅黑" w:hAnsi="微软雅黑" w:eastAsia="微软雅黑" w:cs="微软雅黑"/>
          <w:i w:val="0"/>
          <w:iCs w:val="0"/>
          <w:color w:val="3216DC"/>
          <w:kern w:val="0"/>
          <w:sz w:val="32"/>
          <w:szCs w:val="32"/>
          <w:u w:val="none"/>
          <w:lang w:val="en-US" w:eastAsia="zh-CN"/>
        </w:rPr>
        <w:t>（数据来源</w:t>
      </w:r>
      <w:r>
        <w:rPr>
          <w:rFonts w:hint="eastAsia" w:ascii="微软雅黑" w:hAnsi="微软雅黑" w:eastAsia="微软雅黑" w:cs="微软雅黑"/>
          <w:b/>
          <w:bCs/>
          <w:color w:val="FF0000"/>
          <w:sz w:val="32"/>
          <w:szCs w:val="32"/>
          <w:lang w:val="en-US" w:eastAsia="zh-CN"/>
        </w:rPr>
        <w:t>见表14会议费+培训费</w:t>
      </w:r>
      <w:r>
        <w:rPr>
          <w:rFonts w:hint="eastAsia" w:ascii="微软雅黑" w:hAnsi="微软雅黑" w:eastAsia="微软雅黑" w:cs="微软雅黑"/>
          <w:i w:val="0"/>
          <w:iCs w:val="0"/>
          <w:color w:val="3216DC"/>
          <w:kern w:val="0"/>
          <w:sz w:val="32"/>
          <w:szCs w:val="32"/>
          <w:u w:val="none"/>
          <w:lang w:val="en-US" w:eastAsia="zh-CN"/>
        </w:rPr>
        <w:t>）</w:t>
      </w:r>
      <w:r>
        <w:rPr>
          <w:rFonts w:hint="eastAsia" w:ascii="微软雅黑" w:hAnsi="微软雅黑" w:eastAsia="微软雅黑" w:cs="微软雅黑"/>
          <w:color w:val="auto"/>
          <w:kern w:val="0"/>
          <w:sz w:val="32"/>
          <w:szCs w:val="32"/>
          <w:lang w:eastAsia="zh-CN"/>
        </w:rPr>
        <w:t>，</w:t>
      </w:r>
      <w:r>
        <w:rPr>
          <w:rFonts w:hint="eastAsia" w:ascii="微软雅黑" w:hAnsi="微软雅黑" w:eastAsia="微软雅黑" w:cs="微软雅黑"/>
          <w:color w:val="auto"/>
          <w:kern w:val="0"/>
          <w:sz w:val="32"/>
          <w:szCs w:val="32"/>
          <w:lang w:val="en-US" w:eastAsia="zh-CN"/>
        </w:rPr>
        <w:t>拟开展4次会议、2次培训，人数400人，内容为查、灭螺（蚴）、急血防控、宣教、智慧血防等血吸虫病防治工作会议、培训。</w:t>
      </w:r>
    </w:p>
    <w:p w14:paraId="2790E564">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color w:val="auto"/>
          <w:kern w:val="0"/>
          <w:sz w:val="32"/>
          <w:szCs w:val="32"/>
          <w:lang w:eastAsia="zh-CN"/>
        </w:rPr>
      </w:pPr>
      <w:r>
        <w:rPr>
          <w:rFonts w:hint="eastAsia" w:ascii="微软雅黑" w:hAnsi="微软雅黑" w:eastAsia="微软雅黑" w:cs="微软雅黑"/>
          <w:b/>
          <w:bCs/>
          <w:color w:val="auto"/>
          <w:kern w:val="0"/>
          <w:sz w:val="32"/>
          <w:szCs w:val="32"/>
          <w:lang w:eastAsia="zh-CN"/>
        </w:rPr>
        <w:t>（四）政府采购情况</w:t>
      </w:r>
    </w:p>
    <w:p w14:paraId="067B2CCE">
      <w:pPr>
        <w:keepNext w:val="0"/>
        <w:keepLines w:val="0"/>
        <w:pageBreakBefore w:val="0"/>
        <w:widowControl/>
        <w:numPr>
          <w:ilvl w:val="0"/>
          <w:numId w:val="0"/>
        </w:numPr>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color w:val="3216DC"/>
          <w:kern w:val="0"/>
          <w:sz w:val="32"/>
          <w:szCs w:val="32"/>
          <w:lang w:eastAsia="zh-CN"/>
        </w:rPr>
      </w:pPr>
      <w:r>
        <w:rPr>
          <w:rFonts w:ascii="微软雅黑" w:hAnsi="微软雅黑" w:eastAsia="微软雅黑" w:cs="微软雅黑"/>
          <w:color w:val="auto"/>
          <w:sz w:val="32"/>
        </w:rPr>
        <w:t>2026年</w:t>
      </w:r>
      <w:r>
        <w:rPr>
          <w:rFonts w:hint="eastAsia" w:ascii="微软雅黑" w:hAnsi="微软雅黑" w:eastAsia="微软雅黑" w:cs="微软雅黑"/>
          <w:color w:val="auto"/>
          <w:sz w:val="32"/>
          <w:lang w:val="en-US" w:eastAsia="zh-CN"/>
        </w:rPr>
        <w:t>度本单位未安排</w:t>
      </w:r>
      <w:r>
        <w:rPr>
          <w:rFonts w:hint="eastAsia" w:ascii="微软雅黑" w:hAnsi="微软雅黑" w:eastAsia="微软雅黑" w:cs="微软雅黑"/>
          <w:color w:val="auto"/>
          <w:kern w:val="0"/>
          <w:sz w:val="32"/>
          <w:szCs w:val="32"/>
        </w:rPr>
        <w:t>政府采购预算</w:t>
      </w:r>
      <w:r>
        <w:rPr>
          <w:rFonts w:hint="eastAsia" w:ascii="微软雅黑" w:hAnsi="微软雅黑" w:eastAsia="微软雅黑" w:cs="微软雅黑"/>
          <w:color w:val="auto"/>
          <w:kern w:val="0"/>
          <w:sz w:val="32"/>
          <w:szCs w:val="32"/>
          <w:lang w:eastAsia="zh-CN"/>
        </w:rPr>
        <w:t>。</w:t>
      </w:r>
    </w:p>
    <w:p w14:paraId="27561134">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lang w:eastAsia="zh-CN"/>
        </w:rPr>
      </w:pPr>
      <w:r>
        <w:rPr>
          <w:rFonts w:hint="eastAsia" w:ascii="微软雅黑" w:hAnsi="微软雅黑" w:eastAsia="微软雅黑" w:cs="微软雅黑"/>
          <w:b/>
          <w:bCs/>
          <w:kern w:val="0"/>
          <w:sz w:val="32"/>
          <w:szCs w:val="32"/>
          <w:lang w:eastAsia="zh-CN"/>
        </w:rPr>
        <w:t>（五）国有资产占有使用及新增资产配置情况</w:t>
      </w:r>
    </w:p>
    <w:p w14:paraId="352644A3">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rPr>
      </w:pPr>
      <w:r>
        <w:rPr>
          <w:rFonts w:hint="eastAsia" w:ascii="微软雅黑" w:hAnsi="微软雅黑" w:eastAsia="微软雅黑" w:cs="微软雅黑"/>
          <w:color w:val="auto"/>
          <w:kern w:val="0"/>
          <w:sz w:val="32"/>
          <w:szCs w:val="32"/>
        </w:rPr>
        <w:t>截至</w:t>
      </w:r>
      <w:r>
        <w:rPr>
          <w:rFonts w:hint="eastAsia" w:ascii="微软雅黑" w:hAnsi="微软雅黑" w:eastAsia="微软雅黑" w:cs="微软雅黑"/>
          <w:color w:val="auto"/>
          <w:kern w:val="0"/>
          <w:sz w:val="32"/>
          <w:szCs w:val="32"/>
          <w:lang w:eastAsia="zh-CN"/>
        </w:rPr>
        <w:t>上一年</w:t>
      </w:r>
      <w:r>
        <w:rPr>
          <w:rFonts w:hint="eastAsia" w:ascii="微软雅黑" w:hAnsi="微软雅黑" w:eastAsia="微软雅黑" w:cs="微软雅黑"/>
          <w:color w:val="auto"/>
          <w:kern w:val="0"/>
          <w:sz w:val="32"/>
          <w:szCs w:val="32"/>
        </w:rPr>
        <w:t>12月底，</w:t>
      </w:r>
      <w:r>
        <w:rPr>
          <w:rFonts w:hint="eastAsia" w:ascii="微软雅黑" w:hAnsi="微软雅黑" w:eastAsia="微软雅黑" w:cs="微软雅黑"/>
          <w:color w:val="auto"/>
          <w:kern w:val="0"/>
          <w:sz w:val="32"/>
          <w:szCs w:val="32"/>
          <w:lang w:eastAsia="zh-CN"/>
        </w:rPr>
        <w:t>本单位</w:t>
      </w:r>
      <w:r>
        <w:rPr>
          <w:rFonts w:hint="eastAsia" w:ascii="微软雅黑" w:hAnsi="微软雅黑" w:eastAsia="微软雅黑" w:cs="微软雅黑"/>
          <w:color w:val="auto"/>
          <w:kern w:val="0"/>
          <w:sz w:val="32"/>
          <w:szCs w:val="32"/>
        </w:rPr>
        <w:t>共有车</w:t>
      </w:r>
      <w:r>
        <w:rPr>
          <w:rFonts w:hint="eastAsia" w:ascii="微软雅黑" w:hAnsi="微软雅黑" w:eastAsia="微软雅黑" w:cs="微软雅黑"/>
          <w:kern w:val="0"/>
          <w:sz w:val="32"/>
          <w:szCs w:val="32"/>
        </w:rPr>
        <w:t>辆</w:t>
      </w:r>
      <w:r>
        <w:rPr>
          <w:rFonts w:hint="eastAsia" w:ascii="微软雅黑" w:hAnsi="微软雅黑" w:eastAsia="微软雅黑" w:cs="微软雅黑"/>
          <w:kern w:val="0"/>
          <w:sz w:val="32"/>
          <w:szCs w:val="32"/>
          <w:lang w:val="en-US" w:eastAsia="zh-CN"/>
        </w:rPr>
        <w:t>0</w:t>
      </w:r>
      <w:r>
        <w:rPr>
          <w:rFonts w:hint="eastAsia" w:ascii="微软雅黑" w:hAnsi="微软雅黑" w:eastAsia="微软雅黑" w:cs="微软雅黑"/>
          <w:kern w:val="0"/>
          <w:sz w:val="32"/>
          <w:szCs w:val="32"/>
        </w:rPr>
        <w:t>辆，其中领导干部用车</w:t>
      </w:r>
      <w:r>
        <w:rPr>
          <w:rFonts w:hint="eastAsia" w:ascii="微软雅黑" w:hAnsi="微软雅黑" w:eastAsia="微软雅黑" w:cs="微软雅黑"/>
          <w:kern w:val="0"/>
          <w:sz w:val="32"/>
          <w:szCs w:val="32"/>
          <w:lang w:val="en-US" w:eastAsia="zh-CN"/>
        </w:rPr>
        <w:t>0</w:t>
      </w:r>
      <w:r>
        <w:rPr>
          <w:rFonts w:hint="eastAsia" w:ascii="微软雅黑" w:hAnsi="微软雅黑" w:eastAsia="微软雅黑" w:cs="微软雅黑"/>
          <w:kern w:val="0"/>
          <w:sz w:val="32"/>
          <w:szCs w:val="32"/>
        </w:rPr>
        <w:t>辆，一般公务用车</w:t>
      </w:r>
      <w:r>
        <w:rPr>
          <w:rFonts w:hint="eastAsia" w:ascii="微软雅黑" w:hAnsi="微软雅黑" w:eastAsia="微软雅黑" w:cs="微软雅黑"/>
          <w:kern w:val="0"/>
          <w:sz w:val="32"/>
          <w:szCs w:val="32"/>
          <w:lang w:val="en-US" w:eastAsia="zh-CN"/>
        </w:rPr>
        <w:t>0</w:t>
      </w:r>
      <w:r>
        <w:rPr>
          <w:rFonts w:hint="eastAsia" w:ascii="微软雅黑" w:hAnsi="微软雅黑" w:eastAsia="微软雅黑" w:cs="微软雅黑"/>
          <w:kern w:val="0"/>
          <w:sz w:val="32"/>
          <w:szCs w:val="32"/>
        </w:rPr>
        <w:t>辆，其他用车</w:t>
      </w:r>
      <w:r>
        <w:rPr>
          <w:rFonts w:hint="eastAsia" w:ascii="微软雅黑" w:hAnsi="微软雅黑" w:eastAsia="微软雅黑" w:cs="微软雅黑"/>
          <w:kern w:val="0"/>
          <w:sz w:val="32"/>
          <w:szCs w:val="32"/>
          <w:lang w:val="en-US" w:eastAsia="zh-CN"/>
        </w:rPr>
        <w:t>0</w:t>
      </w:r>
      <w:r>
        <w:rPr>
          <w:rFonts w:hint="eastAsia" w:ascii="微软雅黑" w:hAnsi="微软雅黑" w:eastAsia="微软雅黑" w:cs="微软雅黑"/>
          <w:kern w:val="0"/>
          <w:sz w:val="32"/>
          <w:szCs w:val="32"/>
        </w:rPr>
        <w:t>辆。</w:t>
      </w:r>
      <w:r>
        <w:rPr>
          <w:rFonts w:hint="eastAsia" w:ascii="微软雅黑" w:hAnsi="微软雅黑" w:eastAsia="微软雅黑" w:cs="微软雅黑"/>
          <w:kern w:val="0"/>
          <w:sz w:val="32"/>
          <w:szCs w:val="32"/>
          <w:lang w:eastAsia="zh-CN"/>
        </w:rPr>
        <w:t>单位</w:t>
      </w:r>
      <w:r>
        <w:rPr>
          <w:rFonts w:hint="eastAsia" w:ascii="微软雅黑" w:hAnsi="微软雅黑" w:eastAsia="微软雅黑" w:cs="微软雅黑"/>
          <w:kern w:val="0"/>
          <w:sz w:val="32"/>
          <w:szCs w:val="32"/>
        </w:rPr>
        <w:t>价值50万元以上通用设备</w:t>
      </w:r>
      <w:r>
        <w:rPr>
          <w:rFonts w:hint="eastAsia" w:ascii="微软雅黑" w:hAnsi="微软雅黑" w:eastAsia="微软雅黑" w:cs="微软雅黑"/>
          <w:kern w:val="0"/>
          <w:sz w:val="32"/>
          <w:szCs w:val="32"/>
          <w:lang w:val="en-US" w:eastAsia="zh-CN"/>
        </w:rPr>
        <w:t>0</w:t>
      </w:r>
      <w:r>
        <w:rPr>
          <w:rFonts w:hint="eastAsia" w:ascii="微软雅黑" w:hAnsi="微软雅黑" w:eastAsia="微软雅黑" w:cs="微软雅黑"/>
          <w:kern w:val="0"/>
          <w:sz w:val="32"/>
          <w:szCs w:val="32"/>
        </w:rPr>
        <w:t>台，</w:t>
      </w:r>
      <w:r>
        <w:rPr>
          <w:rFonts w:hint="eastAsia" w:ascii="微软雅黑" w:hAnsi="微软雅黑" w:eastAsia="微软雅黑" w:cs="微软雅黑"/>
          <w:kern w:val="0"/>
          <w:sz w:val="32"/>
          <w:szCs w:val="32"/>
          <w:lang w:eastAsia="zh-CN"/>
        </w:rPr>
        <w:t>单位</w:t>
      </w:r>
      <w:r>
        <w:rPr>
          <w:rFonts w:hint="eastAsia" w:ascii="微软雅黑" w:hAnsi="微软雅黑" w:eastAsia="微软雅黑" w:cs="微软雅黑"/>
          <w:kern w:val="0"/>
          <w:sz w:val="32"/>
          <w:szCs w:val="32"/>
        </w:rPr>
        <w:t>价值100万元以上专用设备</w:t>
      </w:r>
      <w:r>
        <w:rPr>
          <w:rFonts w:hint="eastAsia" w:ascii="微软雅黑" w:hAnsi="微软雅黑" w:eastAsia="微软雅黑" w:cs="微软雅黑"/>
          <w:kern w:val="0"/>
          <w:sz w:val="32"/>
          <w:szCs w:val="32"/>
          <w:lang w:val="en-US" w:eastAsia="zh-CN"/>
        </w:rPr>
        <w:t>1</w:t>
      </w:r>
      <w:r>
        <w:rPr>
          <w:rFonts w:hint="eastAsia" w:ascii="微软雅黑" w:hAnsi="微软雅黑" w:eastAsia="微软雅黑" w:cs="微软雅黑"/>
          <w:kern w:val="0"/>
          <w:sz w:val="32"/>
          <w:szCs w:val="32"/>
        </w:rPr>
        <w:t>台。</w:t>
      </w:r>
    </w:p>
    <w:p w14:paraId="029ED161">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6"/>
          <w:szCs w:val="36"/>
          <w:lang w:val="en-US" w:eastAsia="zh-CN"/>
        </w:rPr>
      </w:pPr>
      <w:r>
        <w:rPr>
          <w:rFonts w:hint="eastAsia" w:ascii="微软雅黑" w:hAnsi="微软雅黑" w:eastAsia="微软雅黑" w:cs="微软雅黑"/>
          <w:kern w:val="0"/>
          <w:sz w:val="32"/>
          <w:szCs w:val="32"/>
          <w:lang w:val="en-US" w:eastAsia="zh-CN"/>
        </w:rPr>
        <w:t>2026</w:t>
      </w:r>
      <w:r>
        <w:rPr>
          <w:rFonts w:ascii="微软雅黑" w:hAnsi="微软雅黑" w:eastAsia="微软雅黑" w:cs="微软雅黑"/>
          <w:sz w:val="32"/>
        </w:rPr>
        <w:t>年</w:t>
      </w:r>
      <w:r>
        <w:rPr>
          <w:rFonts w:hint="eastAsia" w:ascii="微软雅黑" w:hAnsi="微软雅黑" w:eastAsia="微软雅黑" w:cs="微软雅黑"/>
          <w:sz w:val="32"/>
          <w:lang w:val="en-US" w:eastAsia="zh-CN"/>
        </w:rPr>
        <w:t>度本单位未计划处置或新增车辆、设备等。</w:t>
      </w:r>
    </w:p>
    <w:p w14:paraId="334FC19A">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lang w:eastAsia="zh-CN"/>
        </w:rPr>
      </w:pPr>
      <w:r>
        <w:rPr>
          <w:rFonts w:hint="eastAsia" w:ascii="微软雅黑" w:hAnsi="微软雅黑" w:eastAsia="微软雅黑" w:cs="微软雅黑"/>
          <w:b/>
          <w:bCs/>
          <w:kern w:val="0"/>
          <w:sz w:val="32"/>
          <w:szCs w:val="32"/>
          <w:lang w:eastAsia="zh-CN"/>
        </w:rPr>
        <w:t>（六）预算绩效</w:t>
      </w:r>
      <w:r>
        <w:rPr>
          <w:rFonts w:hint="eastAsia" w:ascii="微软雅黑" w:hAnsi="微软雅黑" w:eastAsia="微软雅黑" w:cs="微软雅黑"/>
          <w:b/>
          <w:bCs/>
          <w:kern w:val="0"/>
          <w:sz w:val="32"/>
          <w:szCs w:val="32"/>
          <w:lang w:val="en-US" w:eastAsia="zh-CN"/>
        </w:rPr>
        <w:t>目标</w:t>
      </w:r>
      <w:r>
        <w:rPr>
          <w:rFonts w:hint="eastAsia" w:ascii="微软雅黑" w:hAnsi="微软雅黑" w:eastAsia="微软雅黑" w:cs="微软雅黑"/>
          <w:b/>
          <w:bCs/>
          <w:kern w:val="0"/>
          <w:sz w:val="32"/>
          <w:szCs w:val="32"/>
          <w:lang w:eastAsia="zh-CN"/>
        </w:rPr>
        <w:t>说明</w:t>
      </w:r>
    </w:p>
    <w:p w14:paraId="182C0437">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color w:val="auto"/>
          <w:kern w:val="0"/>
          <w:sz w:val="32"/>
          <w:szCs w:val="32"/>
          <w:lang w:eastAsia="zh-CN"/>
        </w:rPr>
      </w:pPr>
      <w:r>
        <w:rPr>
          <w:rFonts w:hint="eastAsia" w:ascii="微软雅黑" w:hAnsi="微软雅黑" w:eastAsia="微软雅黑" w:cs="微软雅黑"/>
          <w:bCs/>
          <w:kern w:val="0"/>
          <w:sz w:val="32"/>
          <w:szCs w:val="32"/>
          <w:lang w:eastAsia="zh-CN"/>
        </w:rPr>
        <w:t>本单位</w:t>
      </w:r>
      <w:r>
        <w:rPr>
          <w:rFonts w:hint="eastAsia" w:ascii="微软雅黑" w:hAnsi="微软雅黑" w:eastAsia="微软雅黑" w:cs="微软雅黑"/>
          <w:bCs/>
          <w:kern w:val="0"/>
          <w:sz w:val="32"/>
          <w:szCs w:val="32"/>
        </w:rPr>
        <w:t>所有支出实行绩效目标管理。纳入</w:t>
      </w:r>
      <w:r>
        <w:rPr>
          <w:rFonts w:hint="eastAsia" w:ascii="微软雅黑" w:hAnsi="微软雅黑" w:eastAsia="微软雅黑" w:cs="微软雅黑"/>
          <w:bCs/>
          <w:kern w:val="0"/>
          <w:sz w:val="32"/>
          <w:szCs w:val="32"/>
          <w:lang w:eastAsia="zh-CN"/>
        </w:rPr>
        <w:t>2026</w:t>
      </w:r>
      <w:r>
        <w:rPr>
          <w:rFonts w:ascii="微软雅黑" w:hAnsi="微软雅黑" w:eastAsia="微软雅黑" w:cs="微软雅黑"/>
          <w:sz w:val="32"/>
        </w:rPr>
        <w:t>年单位</w:t>
      </w:r>
      <w:r>
        <w:rPr>
          <w:rFonts w:hint="eastAsia" w:ascii="微软雅黑" w:hAnsi="微软雅黑" w:eastAsia="微软雅黑" w:cs="微软雅黑"/>
          <w:bCs/>
          <w:kern w:val="0"/>
          <w:sz w:val="32"/>
          <w:szCs w:val="32"/>
        </w:rPr>
        <w:t>整体支出绩效目标的金额为</w:t>
      </w:r>
      <w:r>
        <w:rPr>
          <w:rFonts w:hint="eastAsia" w:ascii="微软雅黑" w:hAnsi="微软雅黑" w:eastAsia="微软雅黑" w:cs="微软雅黑"/>
          <w:sz w:val="32"/>
          <w:szCs w:val="32"/>
          <w:u w:val="none"/>
          <w:lang w:val="en-US" w:eastAsia="zh-CN"/>
        </w:rPr>
        <w:t>994.55</w:t>
      </w:r>
      <w:r>
        <w:rPr>
          <w:rFonts w:hint="eastAsia" w:ascii="微软雅黑" w:hAnsi="微软雅黑" w:eastAsia="微软雅黑" w:cs="微软雅黑"/>
          <w:bCs/>
          <w:kern w:val="0"/>
          <w:sz w:val="32"/>
          <w:szCs w:val="32"/>
        </w:rPr>
        <w:t>万元，其中，基本支出</w:t>
      </w:r>
      <w:r>
        <w:rPr>
          <w:rFonts w:hint="eastAsia" w:ascii="微软雅黑" w:hAnsi="微软雅黑" w:eastAsia="微软雅黑" w:cs="微软雅黑"/>
          <w:sz w:val="32"/>
          <w:szCs w:val="32"/>
          <w:u w:val="none"/>
          <w:lang w:val="en-US" w:eastAsia="zh-CN"/>
        </w:rPr>
        <w:t>974.55</w:t>
      </w:r>
      <w:r>
        <w:rPr>
          <w:rFonts w:hint="eastAsia" w:ascii="微软雅黑" w:hAnsi="微软雅黑" w:eastAsia="微软雅黑" w:cs="微软雅黑"/>
          <w:bCs/>
          <w:kern w:val="0"/>
          <w:sz w:val="32"/>
          <w:szCs w:val="32"/>
        </w:rPr>
        <w:t>万元，项目支出</w:t>
      </w:r>
      <w:r>
        <w:rPr>
          <w:rFonts w:hint="eastAsia" w:ascii="微软雅黑" w:hAnsi="微软雅黑" w:eastAsia="微软雅黑" w:cs="微软雅黑"/>
          <w:sz w:val="32"/>
          <w:szCs w:val="32"/>
          <w:u w:val="none"/>
          <w:lang w:val="en-US" w:eastAsia="zh-CN"/>
        </w:rPr>
        <w:t>20.00</w:t>
      </w:r>
      <w:r>
        <w:rPr>
          <w:rFonts w:hint="eastAsia" w:ascii="微软雅黑" w:hAnsi="微软雅黑" w:eastAsia="微软雅黑" w:cs="微软雅黑"/>
          <w:bCs/>
          <w:kern w:val="0"/>
          <w:sz w:val="32"/>
          <w:szCs w:val="32"/>
        </w:rPr>
        <w:t>万元，</w:t>
      </w:r>
      <w:r>
        <w:rPr>
          <w:rFonts w:hint="eastAsia" w:ascii="微软雅黑" w:hAnsi="微软雅黑" w:eastAsia="微软雅黑" w:cs="微软雅黑"/>
          <w:color w:val="auto"/>
          <w:kern w:val="0"/>
          <w:sz w:val="32"/>
          <w:szCs w:val="32"/>
          <w:lang w:eastAsia="zh-CN"/>
        </w:rPr>
        <w:t>详见文尾附表中单位预算公开表格的</w:t>
      </w:r>
      <w:r>
        <w:rPr>
          <w:rFonts w:hint="eastAsia" w:ascii="微软雅黑" w:hAnsi="微软雅黑" w:eastAsia="微软雅黑" w:cs="微软雅黑"/>
          <w:color w:val="auto"/>
          <w:kern w:val="0"/>
          <w:sz w:val="32"/>
          <w:szCs w:val="32"/>
          <w:lang w:val="en-US" w:eastAsia="zh-CN"/>
        </w:rPr>
        <w:t>表22-23</w:t>
      </w:r>
      <w:r>
        <w:rPr>
          <w:rFonts w:hint="eastAsia" w:ascii="微软雅黑" w:hAnsi="微软雅黑" w:eastAsia="微软雅黑" w:cs="微软雅黑"/>
          <w:color w:val="auto"/>
          <w:kern w:val="0"/>
          <w:sz w:val="32"/>
          <w:szCs w:val="32"/>
          <w:lang w:eastAsia="zh-CN"/>
        </w:rPr>
        <w:t>。</w:t>
      </w:r>
    </w:p>
    <w:p w14:paraId="01329496">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rPr>
      </w:pPr>
      <w:r>
        <w:rPr>
          <w:rFonts w:hint="eastAsia" w:ascii="微软雅黑" w:hAnsi="微软雅黑" w:eastAsia="微软雅黑" w:cs="微软雅黑"/>
          <w:b/>
          <w:bCs/>
          <w:kern w:val="0"/>
          <w:sz w:val="32"/>
          <w:szCs w:val="32"/>
          <w:lang w:val="en-US" w:eastAsia="zh-CN"/>
        </w:rPr>
        <w:t>六</w:t>
      </w:r>
      <w:r>
        <w:rPr>
          <w:rFonts w:hint="eastAsia" w:ascii="微软雅黑" w:hAnsi="微软雅黑" w:eastAsia="微软雅黑" w:cs="微软雅黑"/>
          <w:b/>
          <w:bCs/>
          <w:kern w:val="0"/>
          <w:sz w:val="32"/>
          <w:szCs w:val="32"/>
        </w:rPr>
        <w:t>、名词解释</w:t>
      </w:r>
    </w:p>
    <w:p w14:paraId="08AFE121">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lang w:eastAsia="zh-CN"/>
        </w:rPr>
      </w:pPr>
      <w:r>
        <w:rPr>
          <w:rFonts w:hint="eastAsia" w:ascii="微软雅黑" w:hAnsi="微软雅黑" w:eastAsia="微软雅黑" w:cs="微软雅黑"/>
          <w:kern w:val="0"/>
          <w:sz w:val="32"/>
          <w:szCs w:val="32"/>
        </w:rPr>
        <w:t>1、机关运行经费：是指各</w:t>
      </w:r>
      <w:r>
        <w:rPr>
          <w:rFonts w:hint="eastAsia" w:ascii="微软雅黑" w:hAnsi="微软雅黑" w:eastAsia="微软雅黑" w:cs="微软雅黑"/>
          <w:kern w:val="0"/>
          <w:sz w:val="32"/>
          <w:szCs w:val="32"/>
          <w:lang w:eastAsia="zh-CN"/>
        </w:rPr>
        <w:t>单位</w:t>
      </w:r>
      <w:r>
        <w:rPr>
          <w:rFonts w:hint="eastAsia" w:ascii="微软雅黑" w:hAnsi="微软雅黑" w:eastAsia="微软雅黑" w:cs="微软雅黑"/>
          <w:kern w:val="0"/>
          <w:sz w:val="32"/>
          <w:szCs w:val="32"/>
        </w:rPr>
        <w:t>的公用经费，包括办公及印刷费、邮电费、差旅费、会议费、福利费、日常维修费、专用资料及一般设备购置费、办公用房水电费、办公用房取暖费、办公用房物业管理费、公务用车运行维护费以及其他费用。</w:t>
      </w:r>
    </w:p>
    <w:p w14:paraId="5AC86387">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lang w:val="en-US" w:eastAsia="zh-CN"/>
        </w:rPr>
      </w:pPr>
      <w:r>
        <w:rPr>
          <w:rFonts w:hint="eastAsia" w:ascii="微软雅黑" w:hAnsi="微软雅黑" w:eastAsia="微软雅黑" w:cs="微软雅黑"/>
          <w:kern w:val="0"/>
          <w:sz w:val="32"/>
          <w:szCs w:val="32"/>
        </w:rPr>
        <w:t>2、“三公”经费：纳入财政预算管理的“三公“经费，是指用一般公共预算拨款安排的公务接待费、公务用车购置及运行维护费和因公出国（境）费。其中，公务接待费反映</w:t>
      </w:r>
      <w:r>
        <w:rPr>
          <w:rFonts w:hint="eastAsia" w:ascii="微软雅黑" w:hAnsi="微软雅黑" w:eastAsia="微软雅黑" w:cs="微软雅黑"/>
          <w:kern w:val="0"/>
          <w:sz w:val="32"/>
          <w:szCs w:val="32"/>
          <w:lang w:eastAsia="zh-CN"/>
        </w:rPr>
        <w:t>单位</w:t>
      </w:r>
      <w:r>
        <w:rPr>
          <w:rFonts w:hint="eastAsia" w:ascii="微软雅黑" w:hAnsi="微软雅黑" w:eastAsia="微软雅黑" w:cs="微软雅黑"/>
          <w:kern w:val="0"/>
          <w:sz w:val="32"/>
          <w:szCs w:val="32"/>
        </w:rPr>
        <w:t>按规定开支的各类公务接待支出；公务用车购置及运行费反映</w:t>
      </w:r>
      <w:r>
        <w:rPr>
          <w:rFonts w:hint="eastAsia" w:ascii="微软雅黑" w:hAnsi="微软雅黑" w:eastAsia="微软雅黑" w:cs="微软雅黑"/>
          <w:kern w:val="0"/>
          <w:sz w:val="32"/>
          <w:szCs w:val="32"/>
          <w:lang w:eastAsia="zh-CN"/>
        </w:rPr>
        <w:t>单位</w:t>
      </w:r>
      <w:r>
        <w:rPr>
          <w:rFonts w:hint="eastAsia" w:ascii="微软雅黑" w:hAnsi="微软雅黑" w:eastAsia="微软雅黑" w:cs="微软雅黑"/>
          <w:kern w:val="0"/>
          <w:sz w:val="32"/>
          <w:szCs w:val="32"/>
        </w:rPr>
        <w:t>公务用车车辆购置支出（含车辆购置税），以及燃料费、维修费、保险费等支出；因公出国（境）费反映</w:t>
      </w:r>
      <w:r>
        <w:rPr>
          <w:rFonts w:hint="eastAsia" w:ascii="微软雅黑" w:hAnsi="微软雅黑" w:eastAsia="微软雅黑" w:cs="微软雅黑"/>
          <w:kern w:val="0"/>
          <w:sz w:val="32"/>
          <w:szCs w:val="32"/>
          <w:lang w:eastAsia="zh-CN"/>
        </w:rPr>
        <w:t>单位</w:t>
      </w:r>
      <w:r>
        <w:rPr>
          <w:rFonts w:hint="eastAsia" w:ascii="微软雅黑" w:hAnsi="微软雅黑" w:eastAsia="微软雅黑" w:cs="微软雅黑"/>
          <w:kern w:val="0"/>
          <w:sz w:val="32"/>
          <w:szCs w:val="32"/>
        </w:rPr>
        <w:t>公务出国（境）的国际旅费、国外城市间交通费、食宿费等支出。</w:t>
      </w:r>
      <w:r>
        <w:rPr>
          <w:rFonts w:hint="eastAsia" w:ascii="微软雅黑" w:hAnsi="微软雅黑" w:eastAsia="微软雅黑" w:cs="微软雅黑"/>
          <w:kern w:val="0"/>
          <w:sz w:val="32"/>
          <w:szCs w:val="32"/>
          <w:lang w:val="en-US" w:eastAsia="zh-CN"/>
        </w:rPr>
        <w:t xml:space="preserve">               </w:t>
      </w:r>
    </w:p>
    <w:p w14:paraId="1DFDB943">
      <w:pPr>
        <w:keepNext w:val="0"/>
        <w:keepLines w:val="0"/>
        <w:pageBreakBefore w:val="0"/>
        <w:widowControl/>
        <w:kinsoku/>
        <w:wordWrap/>
        <w:overflowPunct/>
        <w:topLinePunct w:val="0"/>
        <w:bidi w:val="0"/>
        <w:adjustRightInd/>
        <w:snapToGrid/>
        <w:spacing w:line="600" w:lineRule="exact"/>
        <w:jc w:val="center"/>
        <w:textAlignment w:val="auto"/>
        <w:rPr>
          <w:rFonts w:hint="eastAsia" w:ascii="微软雅黑" w:hAnsi="微软雅黑" w:eastAsia="微软雅黑" w:cs="微软雅黑"/>
          <w:b/>
          <w:bCs/>
          <w:kern w:val="0"/>
          <w:sz w:val="32"/>
          <w:szCs w:val="32"/>
          <w:lang w:val="en-US" w:eastAsia="zh-CN"/>
        </w:rPr>
      </w:pPr>
      <w:r>
        <w:rPr>
          <w:rFonts w:hint="eastAsia" w:ascii="微软雅黑" w:hAnsi="微软雅黑" w:eastAsia="微软雅黑" w:cs="微软雅黑"/>
          <w:kern w:val="0"/>
          <w:sz w:val="32"/>
          <w:szCs w:val="32"/>
        </w:rPr>
        <w:br w:type="page"/>
      </w:r>
      <w:r>
        <w:rPr>
          <w:rFonts w:hint="eastAsia" w:ascii="微软雅黑" w:hAnsi="微软雅黑" w:eastAsia="微软雅黑" w:cs="微软雅黑"/>
          <w:b/>
          <w:bCs/>
          <w:kern w:val="0"/>
          <w:sz w:val="32"/>
          <w:szCs w:val="32"/>
        </w:rPr>
        <w:t>第二部分</w:t>
      </w:r>
      <w:r>
        <w:rPr>
          <w:rFonts w:hint="eastAsia" w:ascii="微软雅黑" w:hAnsi="微软雅黑" w:eastAsia="微软雅黑" w:cs="微软雅黑"/>
          <w:b/>
          <w:bCs/>
          <w:kern w:val="0"/>
          <w:sz w:val="32"/>
          <w:szCs w:val="32"/>
          <w:lang w:val="en-US" w:eastAsia="zh-CN"/>
        </w:rPr>
        <w:t xml:space="preserve">  </w:t>
      </w:r>
      <w:r>
        <w:rPr>
          <w:rFonts w:hint="eastAsia" w:ascii="微软雅黑" w:hAnsi="微软雅黑" w:eastAsia="微软雅黑" w:cs="微软雅黑"/>
          <w:b/>
          <w:bCs/>
          <w:kern w:val="0"/>
          <w:sz w:val="32"/>
          <w:szCs w:val="32"/>
          <w:lang w:eastAsia="zh-CN"/>
        </w:rPr>
        <w:t>单位预算</w:t>
      </w:r>
      <w:r>
        <w:rPr>
          <w:rFonts w:hint="eastAsia" w:ascii="微软雅黑" w:hAnsi="微软雅黑" w:eastAsia="微软雅黑" w:cs="微软雅黑"/>
          <w:b/>
          <w:bCs/>
          <w:kern w:val="0"/>
          <w:sz w:val="32"/>
          <w:szCs w:val="32"/>
          <w:lang w:val="en-US" w:eastAsia="zh-CN"/>
        </w:rPr>
        <w:t>公开</w:t>
      </w:r>
      <w:r>
        <w:rPr>
          <w:rFonts w:hint="eastAsia" w:ascii="微软雅黑" w:hAnsi="微软雅黑" w:eastAsia="微软雅黑" w:cs="微软雅黑"/>
          <w:b/>
          <w:bCs/>
          <w:kern w:val="0"/>
          <w:sz w:val="32"/>
          <w:szCs w:val="32"/>
        </w:rPr>
        <w:t>表</w:t>
      </w:r>
      <w:r>
        <w:rPr>
          <w:rFonts w:hint="eastAsia" w:ascii="微软雅黑" w:hAnsi="微软雅黑" w:eastAsia="微软雅黑" w:cs="微软雅黑"/>
          <w:b/>
          <w:bCs/>
          <w:kern w:val="0"/>
          <w:sz w:val="32"/>
          <w:szCs w:val="32"/>
          <w:lang w:val="en-US" w:eastAsia="zh-CN"/>
        </w:rPr>
        <w:t>格</w:t>
      </w:r>
    </w:p>
    <w:p w14:paraId="21F51457">
      <w:pPr>
        <w:keepNext w:val="0"/>
        <w:keepLines w:val="0"/>
        <w:pageBreakBefore w:val="0"/>
        <w:widowControl/>
        <w:kinsoku/>
        <w:wordWrap/>
        <w:overflowPunct/>
        <w:topLinePunct w:val="0"/>
        <w:bidi w:val="0"/>
        <w:adjustRightInd/>
        <w:snapToGrid/>
        <w:spacing w:line="600" w:lineRule="exact"/>
        <w:jc w:val="center"/>
        <w:textAlignment w:val="auto"/>
        <w:rPr>
          <w:rFonts w:hint="eastAsia" w:ascii="微软雅黑" w:hAnsi="微软雅黑" w:eastAsia="微软雅黑" w:cs="微软雅黑"/>
          <w:b/>
          <w:bCs/>
          <w:kern w:val="0"/>
          <w:sz w:val="32"/>
          <w:szCs w:val="32"/>
          <w:lang w:val="en-US" w:eastAsia="zh-CN"/>
        </w:rPr>
      </w:pPr>
      <w:r>
        <w:rPr>
          <w:rFonts w:hint="eastAsia" w:ascii="微软雅黑" w:hAnsi="微软雅黑" w:eastAsia="微软雅黑" w:cs="微软雅黑"/>
          <w:b/>
          <w:bCs/>
          <w:kern w:val="0"/>
          <w:sz w:val="32"/>
          <w:szCs w:val="32"/>
          <w:lang w:eastAsia="zh-CN"/>
        </w:rPr>
        <w:t>附件：</w:t>
      </w:r>
      <w:r>
        <w:rPr>
          <w:rFonts w:hint="eastAsia" w:ascii="微软雅黑" w:hAnsi="微软雅黑" w:eastAsia="微软雅黑" w:cs="微软雅黑"/>
          <w:b/>
          <w:bCs/>
          <w:kern w:val="0"/>
          <w:sz w:val="32"/>
          <w:szCs w:val="32"/>
          <w:lang w:val="en-US" w:eastAsia="zh-CN"/>
        </w:rPr>
        <w:t>岳阳县血吸虫病防治事务中心</w:t>
      </w:r>
      <w:r>
        <w:rPr>
          <w:rFonts w:ascii="微软雅黑" w:hAnsi="微软雅黑" w:eastAsia="微软雅黑" w:cs="微软雅黑"/>
          <w:b/>
          <w:sz w:val="32"/>
        </w:rPr>
        <w:t>单位预算公开表格</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embedRegular r:id="rId1" w:fontKey="{5EB892C7-627D-4E95-B6DB-E30AFA52AA40}"/>
  </w:font>
  <w:font w:name="仿宋">
    <w:panose1 w:val="02010609060101010101"/>
    <w:charset w:val="86"/>
    <w:family w:val="modern"/>
    <w:pitch w:val="default"/>
    <w:sig w:usb0="800002BF" w:usb1="38CF7CFA" w:usb2="00000016" w:usb3="00000000" w:csb0="00040001" w:csb1="00000000"/>
    <w:embedRegular r:id="rId2" w:fontKey="{FD06245B-F93B-4BCB-B720-E6D43E6DA7E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B0743B">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B8023F">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2F7494">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8923AB">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CFD5F2">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1DF1F5">
    <w:pPr>
      <w:pStyle w:val="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0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U0NWU4NzA0NTBhNzIxMGYxNjdhYzgyZTJkYTk0YzAifQ=="/>
    <w:docVar w:name="KSO_WPS_MARK_KEY" w:val="4ec26934-afcf-48b4-991b-b93945f8c5dd"/>
  </w:docVars>
  <w:rsids>
    <w:rsidRoot w:val="00CA5057"/>
    <w:rsid w:val="00001697"/>
    <w:rsid w:val="000034D6"/>
    <w:rsid w:val="0006270B"/>
    <w:rsid w:val="00065DA2"/>
    <w:rsid w:val="00117900"/>
    <w:rsid w:val="001336FC"/>
    <w:rsid w:val="00193395"/>
    <w:rsid w:val="001A0136"/>
    <w:rsid w:val="001A3382"/>
    <w:rsid w:val="001A3861"/>
    <w:rsid w:val="001A6377"/>
    <w:rsid w:val="001C6E63"/>
    <w:rsid w:val="001D154A"/>
    <w:rsid w:val="001F365A"/>
    <w:rsid w:val="00203B0A"/>
    <w:rsid w:val="0025517E"/>
    <w:rsid w:val="00270E85"/>
    <w:rsid w:val="002B0968"/>
    <w:rsid w:val="002C117B"/>
    <w:rsid w:val="002F5747"/>
    <w:rsid w:val="002F57F8"/>
    <w:rsid w:val="00344D3D"/>
    <w:rsid w:val="003457B4"/>
    <w:rsid w:val="00355284"/>
    <w:rsid w:val="003C0AE2"/>
    <w:rsid w:val="003C0E16"/>
    <w:rsid w:val="003C62F5"/>
    <w:rsid w:val="003E6642"/>
    <w:rsid w:val="00452611"/>
    <w:rsid w:val="00464A20"/>
    <w:rsid w:val="00466617"/>
    <w:rsid w:val="004711E9"/>
    <w:rsid w:val="00490880"/>
    <w:rsid w:val="0049696B"/>
    <w:rsid w:val="004A0D4C"/>
    <w:rsid w:val="004A798F"/>
    <w:rsid w:val="004B4F1A"/>
    <w:rsid w:val="004B766D"/>
    <w:rsid w:val="004D0879"/>
    <w:rsid w:val="004E302C"/>
    <w:rsid w:val="0054440F"/>
    <w:rsid w:val="005E6320"/>
    <w:rsid w:val="006137D9"/>
    <w:rsid w:val="00617392"/>
    <w:rsid w:val="00637664"/>
    <w:rsid w:val="00687143"/>
    <w:rsid w:val="00695750"/>
    <w:rsid w:val="006C1259"/>
    <w:rsid w:val="006E013D"/>
    <w:rsid w:val="006E335E"/>
    <w:rsid w:val="006F2FD2"/>
    <w:rsid w:val="00714685"/>
    <w:rsid w:val="00754296"/>
    <w:rsid w:val="00755471"/>
    <w:rsid w:val="007B0161"/>
    <w:rsid w:val="007C48A3"/>
    <w:rsid w:val="00812DE3"/>
    <w:rsid w:val="00832EBB"/>
    <w:rsid w:val="008459F5"/>
    <w:rsid w:val="008511BD"/>
    <w:rsid w:val="00854FCA"/>
    <w:rsid w:val="0085589C"/>
    <w:rsid w:val="008827C7"/>
    <w:rsid w:val="00893563"/>
    <w:rsid w:val="008974A0"/>
    <w:rsid w:val="008C1057"/>
    <w:rsid w:val="008E61DB"/>
    <w:rsid w:val="008E6571"/>
    <w:rsid w:val="009143CB"/>
    <w:rsid w:val="0093410B"/>
    <w:rsid w:val="00990520"/>
    <w:rsid w:val="00995AF1"/>
    <w:rsid w:val="009D1CA3"/>
    <w:rsid w:val="009D450C"/>
    <w:rsid w:val="009E5041"/>
    <w:rsid w:val="009E7921"/>
    <w:rsid w:val="00A0350C"/>
    <w:rsid w:val="00A03C0E"/>
    <w:rsid w:val="00A867C6"/>
    <w:rsid w:val="00AA481C"/>
    <w:rsid w:val="00AB576D"/>
    <w:rsid w:val="00AB6861"/>
    <w:rsid w:val="00AC160E"/>
    <w:rsid w:val="00B0403C"/>
    <w:rsid w:val="00B21CBD"/>
    <w:rsid w:val="00B366B4"/>
    <w:rsid w:val="00B82665"/>
    <w:rsid w:val="00BC04D7"/>
    <w:rsid w:val="00BE4229"/>
    <w:rsid w:val="00BF5A08"/>
    <w:rsid w:val="00C36022"/>
    <w:rsid w:val="00C5316A"/>
    <w:rsid w:val="00CA5057"/>
    <w:rsid w:val="00CB1E6F"/>
    <w:rsid w:val="00CB5C8F"/>
    <w:rsid w:val="00CF2BA3"/>
    <w:rsid w:val="00D1730A"/>
    <w:rsid w:val="00D279D7"/>
    <w:rsid w:val="00D60DAB"/>
    <w:rsid w:val="00D75CFA"/>
    <w:rsid w:val="00D84D40"/>
    <w:rsid w:val="00D96317"/>
    <w:rsid w:val="00DB63BF"/>
    <w:rsid w:val="00DD2BA7"/>
    <w:rsid w:val="00DD573A"/>
    <w:rsid w:val="00E01BD5"/>
    <w:rsid w:val="00E179D0"/>
    <w:rsid w:val="00E24DC7"/>
    <w:rsid w:val="00E419D9"/>
    <w:rsid w:val="00E5547E"/>
    <w:rsid w:val="00E75085"/>
    <w:rsid w:val="00EA5C43"/>
    <w:rsid w:val="00EC052E"/>
    <w:rsid w:val="00F05F5B"/>
    <w:rsid w:val="00F06D7F"/>
    <w:rsid w:val="00F078E9"/>
    <w:rsid w:val="00F24836"/>
    <w:rsid w:val="00F36C19"/>
    <w:rsid w:val="00F74B02"/>
    <w:rsid w:val="00FB0434"/>
    <w:rsid w:val="00FB1B41"/>
    <w:rsid w:val="00FB3CC9"/>
    <w:rsid w:val="00FE2E8C"/>
    <w:rsid w:val="02DF562C"/>
    <w:rsid w:val="032D48E5"/>
    <w:rsid w:val="039837D0"/>
    <w:rsid w:val="04497920"/>
    <w:rsid w:val="066C559F"/>
    <w:rsid w:val="069419C6"/>
    <w:rsid w:val="08281851"/>
    <w:rsid w:val="0AF15A72"/>
    <w:rsid w:val="0B422D73"/>
    <w:rsid w:val="0C0C6008"/>
    <w:rsid w:val="0C4F7AFC"/>
    <w:rsid w:val="0D5B6622"/>
    <w:rsid w:val="0E064421"/>
    <w:rsid w:val="0E3715D1"/>
    <w:rsid w:val="0ED234CD"/>
    <w:rsid w:val="0F654CC7"/>
    <w:rsid w:val="0F9E0A26"/>
    <w:rsid w:val="13422421"/>
    <w:rsid w:val="14903A2F"/>
    <w:rsid w:val="15D9563A"/>
    <w:rsid w:val="1887053C"/>
    <w:rsid w:val="19420C90"/>
    <w:rsid w:val="19D5374E"/>
    <w:rsid w:val="1AC31CB7"/>
    <w:rsid w:val="1BEF6124"/>
    <w:rsid w:val="1EAD2225"/>
    <w:rsid w:val="1F1F1226"/>
    <w:rsid w:val="1FE364B7"/>
    <w:rsid w:val="26570D53"/>
    <w:rsid w:val="27D848B8"/>
    <w:rsid w:val="29BD1AEA"/>
    <w:rsid w:val="2CDB483B"/>
    <w:rsid w:val="2FC40521"/>
    <w:rsid w:val="3405688C"/>
    <w:rsid w:val="34183798"/>
    <w:rsid w:val="34E11E02"/>
    <w:rsid w:val="388764A3"/>
    <w:rsid w:val="39385431"/>
    <w:rsid w:val="395D152B"/>
    <w:rsid w:val="3BC82B6A"/>
    <w:rsid w:val="3D3B56F0"/>
    <w:rsid w:val="3E4D3BDD"/>
    <w:rsid w:val="3FCF3ECE"/>
    <w:rsid w:val="41DA7DB9"/>
    <w:rsid w:val="447637E8"/>
    <w:rsid w:val="455752F5"/>
    <w:rsid w:val="46814786"/>
    <w:rsid w:val="49EF4858"/>
    <w:rsid w:val="4AE9742D"/>
    <w:rsid w:val="4BA67C06"/>
    <w:rsid w:val="4CA46ED7"/>
    <w:rsid w:val="4D013E21"/>
    <w:rsid w:val="4D8D7228"/>
    <w:rsid w:val="4DDD2C7F"/>
    <w:rsid w:val="4F1826FF"/>
    <w:rsid w:val="500E4FCB"/>
    <w:rsid w:val="506C2AB0"/>
    <w:rsid w:val="51B57500"/>
    <w:rsid w:val="53344C63"/>
    <w:rsid w:val="538751CC"/>
    <w:rsid w:val="541F5763"/>
    <w:rsid w:val="54E30327"/>
    <w:rsid w:val="55295806"/>
    <w:rsid w:val="55D3446A"/>
    <w:rsid w:val="593F63D3"/>
    <w:rsid w:val="598D36CC"/>
    <w:rsid w:val="5B423ECD"/>
    <w:rsid w:val="5CDA4DA9"/>
    <w:rsid w:val="5D3513BC"/>
    <w:rsid w:val="5E280101"/>
    <w:rsid w:val="62820F98"/>
    <w:rsid w:val="62873CEC"/>
    <w:rsid w:val="64035B71"/>
    <w:rsid w:val="64DB31B9"/>
    <w:rsid w:val="66397D0E"/>
    <w:rsid w:val="681842B0"/>
    <w:rsid w:val="6AE87D9C"/>
    <w:rsid w:val="6D2154B9"/>
    <w:rsid w:val="6F8561D3"/>
    <w:rsid w:val="6F8D2902"/>
    <w:rsid w:val="70271B5B"/>
    <w:rsid w:val="70845F00"/>
    <w:rsid w:val="71AC0C24"/>
    <w:rsid w:val="73DE3EA6"/>
    <w:rsid w:val="773C67F0"/>
    <w:rsid w:val="7D397CC1"/>
    <w:rsid w:val="7DFA5EB0"/>
    <w:rsid w:val="7E3E736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toa heading"/>
    <w:basedOn w:val="1"/>
    <w:next w:val="1"/>
    <w:qFormat/>
    <w:uiPriority w:val="99"/>
    <w:pPr>
      <w:spacing w:before="120" w:after="200" w:line="276" w:lineRule="auto"/>
    </w:pPr>
    <w:rPr>
      <w:rFonts w:ascii="Arial" w:hAnsi="Arial"/>
      <w:sz w:val="24"/>
    </w:rPr>
  </w:style>
  <w:style w:type="paragraph" w:styleId="3">
    <w:name w:val="Body Text"/>
    <w:basedOn w:val="1"/>
    <w:link w:val="11"/>
    <w:qFormat/>
    <w:uiPriority w:val="0"/>
    <w:pPr>
      <w:spacing w:after="120"/>
    </w:pPr>
  </w:style>
  <w:style w:type="paragraph" w:styleId="4">
    <w:name w:val="Date"/>
    <w:basedOn w:val="1"/>
    <w:next w:val="1"/>
    <w:link w:val="12"/>
    <w:qFormat/>
    <w:uiPriority w:val="0"/>
    <w:pPr>
      <w:ind w:left="100" w:leftChars="2500"/>
    </w:pPr>
  </w:style>
  <w:style w:type="paragraph" w:styleId="5">
    <w:name w:val="Balloon Text"/>
    <w:basedOn w:val="1"/>
    <w:link w:val="13"/>
    <w:semiHidden/>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szCs w:val="18"/>
    </w:rPr>
  </w:style>
  <w:style w:type="paragraph" w:styleId="7">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customStyle="1" w:styleId="11">
    <w:name w:val="Body Text Char"/>
    <w:basedOn w:val="10"/>
    <w:link w:val="3"/>
    <w:qFormat/>
    <w:locked/>
    <w:uiPriority w:val="0"/>
    <w:rPr>
      <w:rFonts w:eastAsia="宋体"/>
      <w:kern w:val="2"/>
      <w:sz w:val="21"/>
      <w:szCs w:val="21"/>
      <w:lang w:val="en-US" w:eastAsia="zh-CN" w:bidi="ar-SA"/>
    </w:rPr>
  </w:style>
  <w:style w:type="character" w:customStyle="1" w:styleId="12">
    <w:name w:val="Date Char"/>
    <w:basedOn w:val="10"/>
    <w:link w:val="4"/>
    <w:qFormat/>
    <w:locked/>
    <w:uiPriority w:val="0"/>
    <w:rPr>
      <w:rFonts w:eastAsia="宋体"/>
      <w:kern w:val="2"/>
      <w:sz w:val="21"/>
      <w:szCs w:val="21"/>
      <w:lang w:val="en-US" w:eastAsia="zh-CN" w:bidi="ar-SA"/>
    </w:rPr>
  </w:style>
  <w:style w:type="character" w:customStyle="1" w:styleId="13">
    <w:name w:val="Balloon Text Char"/>
    <w:basedOn w:val="10"/>
    <w:link w:val="5"/>
    <w:qFormat/>
    <w:locked/>
    <w:uiPriority w:val="0"/>
    <w:rPr>
      <w:rFonts w:eastAsia="宋体"/>
      <w:kern w:val="2"/>
      <w:sz w:val="18"/>
      <w:szCs w:val="18"/>
      <w:lang w:val="en-US" w:eastAsia="zh-CN" w:bidi="ar-SA"/>
    </w:rPr>
  </w:style>
  <w:style w:type="character" w:customStyle="1" w:styleId="14">
    <w:name w:val="Footer Char"/>
    <w:basedOn w:val="10"/>
    <w:link w:val="6"/>
    <w:qFormat/>
    <w:locked/>
    <w:uiPriority w:val="0"/>
    <w:rPr>
      <w:rFonts w:eastAsia="宋体"/>
      <w:kern w:val="2"/>
      <w:sz w:val="18"/>
      <w:szCs w:val="18"/>
      <w:lang w:val="en-US" w:eastAsia="zh-CN" w:bidi="ar-SA"/>
    </w:rPr>
  </w:style>
  <w:style w:type="character" w:customStyle="1" w:styleId="15">
    <w:name w:val="Header Char"/>
    <w:basedOn w:val="10"/>
    <w:link w:val="7"/>
    <w:qFormat/>
    <w:locked/>
    <w:uiPriority w:val="0"/>
    <w:rPr>
      <w:rFonts w:eastAsia="宋体"/>
      <w:kern w:val="2"/>
      <w:sz w:val="18"/>
      <w:szCs w:val="18"/>
      <w:lang w:val="en-US" w:eastAsia="zh-CN" w:bidi="ar-SA"/>
    </w:rPr>
  </w:style>
  <w:style w:type="paragraph" w:customStyle="1" w:styleId="16">
    <w:name w:val="表格内容"/>
    <w:basedOn w:val="3"/>
    <w:qFormat/>
    <w:uiPriority w:val="0"/>
    <w:pPr>
      <w:suppressLineNumbers/>
      <w:suppressAutoHyphens/>
      <w:jc w:val="left"/>
    </w:pPr>
    <w:rPr>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 Corporation</Company>
  <Pages>4</Pages>
  <Words>2727</Words>
  <Characters>2966</Characters>
  <Lines>38</Lines>
  <Paragraphs>10</Paragraphs>
  <TotalTime>184</TotalTime>
  <ScaleCrop>false</ScaleCrop>
  <LinksUpToDate>false</LinksUpToDate>
  <CharactersWithSpaces>2989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2018-08-09T00:21:00Z</dcterms:created>
  <dc:creator>周继恩 10.105.113.143</dc:creator>
  <cp:lastModifiedBy>何妮娜</cp:lastModifiedBy>
  <cp:lastPrinted>2019-05-05T07:55:00Z</cp:lastPrinted>
  <dcterms:modified xsi:type="dcterms:W3CDTF">2026-03-17T06:59:50Z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CA88FE87EC5C4F73A7E37DAFC2D5A671_13</vt:lpwstr>
  </property>
  <property fmtid="{D5CDD505-2E9C-101B-9397-08002B2CF9AE}" pid="4" name="KSOTemplateDocerSaveRecord">
    <vt:lpwstr>eyJoZGlkIjoiN2RjY2YxYWNmZWIzY2JhNGFiMzYyMGUyM2YyZTMzZTMiLCJ1c2VySWQiOiIxNjU5Mjk5NDQ1In0=</vt:lpwstr>
  </property>
</Properties>
</file>