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A1D89">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eastAsia="zh-CN"/>
        </w:rPr>
        <w:t>岳阳县卫生健康局</w:t>
      </w:r>
      <w:r>
        <w:rPr>
          <w:rFonts w:hint="eastAsia" w:ascii="微软雅黑" w:hAnsi="微软雅黑" w:eastAsia="微软雅黑" w:cs="微软雅黑"/>
          <w:b/>
          <w:bCs/>
          <w:kern w:val="0"/>
          <w:sz w:val="72"/>
          <w:szCs w:val="72"/>
          <w:lang w:val="en-US" w:eastAsia="zh-CN"/>
        </w:rPr>
        <w:t>单位</w:t>
      </w:r>
      <w:r>
        <w:rPr>
          <w:rFonts w:hint="eastAsia" w:ascii="微软雅黑" w:hAnsi="微软雅黑" w:eastAsia="微软雅黑" w:cs="微软雅黑"/>
          <w:b/>
          <w:bCs/>
          <w:kern w:val="0"/>
          <w:sz w:val="72"/>
          <w:szCs w:val="72"/>
          <w:lang w:eastAsia="zh-CN"/>
        </w:rPr>
        <w:t>2026</w:t>
      </w:r>
      <w:r>
        <w:rPr>
          <w:rFonts w:ascii="微软雅黑" w:hAnsi="微软雅黑" w:eastAsia="微软雅黑" w:cs="微软雅黑"/>
          <w:b/>
          <w:sz w:val="72"/>
        </w:rPr>
        <w:t>年</w:t>
      </w:r>
      <w:r>
        <w:rPr>
          <w:rFonts w:hint="eastAsia" w:ascii="微软雅黑" w:hAnsi="微软雅黑" w:eastAsia="微软雅黑" w:cs="微软雅黑"/>
          <w:b/>
          <w:bCs/>
          <w:kern w:val="0"/>
          <w:sz w:val="72"/>
          <w:szCs w:val="72"/>
        </w:rPr>
        <w:t>度</w:t>
      </w:r>
    </w:p>
    <w:p w14:paraId="7273EF6A">
      <w:pPr>
        <w:keepNext w:val="0"/>
        <w:keepLines w:val="0"/>
        <w:pageBreakBefore w:val="0"/>
        <w:widowControl/>
        <w:kinsoku/>
        <w:wordWrap/>
        <w:overflowPunct/>
        <w:topLinePunct w:val="0"/>
        <w:autoSpaceDE/>
        <w:autoSpaceDN/>
        <w:bidi w:val="0"/>
        <w:adjustRightInd/>
        <w:snapToGrid/>
        <w:ind w:firstLine="0" w:firstLineChars="0"/>
        <w:jc w:val="center"/>
        <w:textAlignment w:val="auto"/>
        <w:rPr>
          <w:rFonts w:hint="eastAsia" w:ascii="微软雅黑" w:hAnsi="微软雅黑" w:eastAsia="微软雅黑" w:cs="微软雅黑"/>
          <w:b/>
          <w:bCs/>
          <w:kern w:val="0"/>
          <w:sz w:val="72"/>
          <w:szCs w:val="72"/>
        </w:rPr>
      </w:pPr>
      <w:r>
        <w:rPr>
          <w:rFonts w:hint="eastAsia" w:ascii="微软雅黑" w:hAnsi="微软雅黑" w:eastAsia="微软雅黑" w:cs="微软雅黑"/>
          <w:b/>
          <w:bCs/>
          <w:kern w:val="0"/>
          <w:sz w:val="72"/>
          <w:szCs w:val="72"/>
          <w:lang w:val="en-US" w:eastAsia="zh-CN"/>
        </w:rPr>
        <w:t>单位预算</w:t>
      </w:r>
    </w:p>
    <w:p w14:paraId="72AE520B">
      <w:pPr>
        <w:keepNext w:val="0"/>
        <w:keepLines w:val="0"/>
        <w:pageBreakBefore w:val="0"/>
        <w:widowControl/>
        <w:kinsoku/>
        <w:wordWrap/>
        <w:overflowPunct/>
        <w:topLinePunct w:val="0"/>
        <w:bidi w:val="0"/>
        <w:adjustRightInd/>
        <w:snapToGrid/>
        <w:ind w:firstLine="880" w:firstLineChars="200"/>
        <w:jc w:val="center"/>
        <w:textAlignment w:val="auto"/>
        <w:rPr>
          <w:rFonts w:hint="eastAsia" w:ascii="微软雅黑" w:hAnsi="微软雅黑" w:eastAsia="微软雅黑" w:cs="微软雅黑"/>
          <w:b/>
          <w:bCs/>
          <w:kern w:val="0"/>
          <w:sz w:val="44"/>
          <w:szCs w:val="44"/>
        </w:rPr>
      </w:pPr>
    </w:p>
    <w:p w14:paraId="13EB6998">
      <w:pPr>
        <w:keepNext w:val="0"/>
        <w:keepLines w:val="0"/>
        <w:pageBreakBefore w:val="0"/>
        <w:widowControl/>
        <w:kinsoku/>
        <w:wordWrap/>
        <w:overflowPunct/>
        <w:topLinePunct w:val="0"/>
        <w:bidi w:val="0"/>
        <w:adjustRightInd/>
        <w:snapToGrid/>
        <w:jc w:val="center"/>
        <w:textAlignment w:val="auto"/>
        <w:rPr>
          <w:rFonts w:hint="eastAsia" w:ascii="微软雅黑" w:hAnsi="微软雅黑" w:eastAsia="微软雅黑" w:cs="微软雅黑"/>
          <w:b/>
          <w:bCs/>
          <w:kern w:val="0"/>
          <w:sz w:val="44"/>
          <w:szCs w:val="44"/>
        </w:rPr>
      </w:pPr>
      <w:r>
        <w:rPr>
          <w:rFonts w:hint="eastAsia" w:ascii="微软雅黑" w:hAnsi="微软雅黑" w:eastAsia="微软雅黑" w:cs="微软雅黑"/>
          <w:b/>
          <w:bCs/>
          <w:kern w:val="0"/>
          <w:sz w:val="44"/>
          <w:szCs w:val="44"/>
        </w:rPr>
        <w:t>目录</w:t>
      </w:r>
    </w:p>
    <w:p w14:paraId="19CFD988">
      <w:pPr>
        <w:keepNext w:val="0"/>
        <w:keepLines w:val="0"/>
        <w:pageBreakBefore w:val="0"/>
        <w:widowControl/>
        <w:kinsoku/>
        <w:wordWrap/>
        <w:overflowPunct/>
        <w:topLinePunct w:val="0"/>
        <w:bidi w:val="0"/>
        <w:adjustRightInd/>
        <w:snapToGrid/>
        <w:ind w:firstLine="640" w:firstLineChars="200"/>
        <w:textAlignment w:val="auto"/>
        <w:rPr>
          <w:rFonts w:hint="eastAsia" w:ascii="微软雅黑" w:hAnsi="微软雅黑" w:eastAsia="微软雅黑" w:cs="微软雅黑"/>
          <w:b/>
          <w:bCs/>
          <w:kern w:val="0"/>
          <w:sz w:val="32"/>
          <w:szCs w:val="32"/>
        </w:rPr>
      </w:pPr>
    </w:p>
    <w:p w14:paraId="3BBFF57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rPr>
        <w:t>第一部分</w:t>
      </w:r>
      <w:r>
        <w:rPr>
          <w:rFonts w:hint="eastAsia" w:ascii="微软雅黑" w:hAnsi="微软雅黑" w:eastAsia="微软雅黑" w:cs="微软雅黑"/>
          <w:b/>
          <w:bCs/>
          <w:color w:val="auto"/>
          <w:kern w:val="0"/>
          <w:sz w:val="32"/>
          <w:szCs w:val="32"/>
          <w:lang w:val="en-US" w:eastAsia="zh-CN"/>
        </w:rPr>
        <w:t xml:space="preserve">  </w:t>
      </w:r>
      <w:r>
        <w:rPr>
          <w:rFonts w:hint="eastAsia" w:ascii="微软雅黑" w:hAnsi="微软雅黑" w:eastAsia="微软雅黑" w:cs="微软雅黑"/>
          <w:b/>
          <w:bCs/>
          <w:color w:val="auto"/>
          <w:kern w:val="0"/>
          <w:sz w:val="32"/>
          <w:szCs w:val="32"/>
          <w:lang w:eastAsia="zh-CN"/>
        </w:rPr>
        <w:t>2026</w:t>
      </w:r>
      <w:r>
        <w:rPr>
          <w:rFonts w:ascii="微软雅黑" w:hAnsi="微软雅黑" w:eastAsia="微软雅黑" w:cs="微软雅黑"/>
          <w:b/>
          <w:color w:val="auto"/>
          <w:sz w:val="32"/>
        </w:rPr>
        <w:t>年</w:t>
      </w:r>
      <w:r>
        <w:rPr>
          <w:rFonts w:hint="eastAsia" w:ascii="微软雅黑" w:hAnsi="微软雅黑" w:eastAsia="微软雅黑" w:cs="微软雅黑"/>
          <w:b/>
          <w:bCs/>
          <w:color w:val="auto"/>
          <w:kern w:val="0"/>
          <w:sz w:val="32"/>
          <w:szCs w:val="32"/>
          <w:lang w:val="en-US" w:eastAsia="zh-CN"/>
        </w:rPr>
        <w:t>单位</w:t>
      </w:r>
      <w:r>
        <w:rPr>
          <w:rFonts w:hint="eastAsia" w:ascii="微软雅黑" w:hAnsi="微软雅黑" w:eastAsia="微软雅黑" w:cs="微软雅黑"/>
          <w:b/>
          <w:bCs/>
          <w:color w:val="auto"/>
          <w:kern w:val="0"/>
          <w:sz w:val="32"/>
          <w:szCs w:val="32"/>
          <w:lang w:eastAsia="zh-CN"/>
        </w:rPr>
        <w:t>预算</w:t>
      </w:r>
      <w:r>
        <w:rPr>
          <w:rFonts w:hint="eastAsia" w:ascii="微软雅黑" w:hAnsi="微软雅黑" w:eastAsia="微软雅黑" w:cs="微软雅黑"/>
          <w:b/>
          <w:bCs/>
          <w:color w:val="auto"/>
          <w:kern w:val="0"/>
          <w:sz w:val="32"/>
          <w:szCs w:val="32"/>
        </w:rPr>
        <w:t>说明</w:t>
      </w:r>
    </w:p>
    <w:p w14:paraId="5F62105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单位</w:t>
      </w:r>
      <w:r>
        <w:rPr>
          <w:rFonts w:hint="eastAsia" w:ascii="微软雅黑" w:hAnsi="微软雅黑" w:eastAsia="微软雅黑" w:cs="微软雅黑"/>
          <w:b/>
          <w:bCs/>
          <w:kern w:val="0"/>
          <w:sz w:val="32"/>
          <w:szCs w:val="32"/>
          <w:lang w:eastAsia="zh-CN"/>
        </w:rPr>
        <w:t>预算</w:t>
      </w:r>
      <w:r>
        <w:rPr>
          <w:rFonts w:hint="eastAsia" w:ascii="微软雅黑" w:hAnsi="微软雅黑" w:eastAsia="微软雅黑" w:cs="微软雅黑"/>
          <w:b/>
          <w:bCs/>
          <w:kern w:val="0"/>
          <w:sz w:val="32"/>
          <w:szCs w:val="32"/>
        </w:rPr>
        <w:t>公开表格</w:t>
      </w:r>
    </w:p>
    <w:p w14:paraId="6CF5726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1、收支总表</w:t>
      </w:r>
    </w:p>
    <w:p w14:paraId="055511BF">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2、收入总表</w:t>
      </w:r>
    </w:p>
    <w:p w14:paraId="31FE5CA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3、支出总表</w:t>
      </w:r>
    </w:p>
    <w:p w14:paraId="747C1D47">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4、支出预算分类汇总表（按政府预算经济分类）</w:t>
      </w:r>
    </w:p>
    <w:p w14:paraId="06BD3B22">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5、支出预算分类汇总表（按部门预算经济分类）</w:t>
      </w:r>
    </w:p>
    <w:p w14:paraId="50EA16DC">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6、财政拨款收支总表</w:t>
      </w:r>
    </w:p>
    <w:p w14:paraId="7A2131D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7、一般公共预算支出表</w:t>
      </w:r>
    </w:p>
    <w:p w14:paraId="1BB4CEB5">
      <w:pPr>
        <w:widowControl/>
        <w:spacing w:line="600" w:lineRule="exact"/>
        <w:ind w:firstLine="640" w:firstLineChars="200"/>
        <w:jc w:val="left"/>
        <w:rPr>
          <w:rFonts w:hint="eastAsia" w:ascii="微软雅黑" w:hAnsi="微软雅黑" w:eastAsia="微软雅黑" w:cs="微软雅黑"/>
        </w:rPr>
      </w:pP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、一般公共预算基本支出表</w:t>
      </w:r>
    </w:p>
    <w:p w14:paraId="144A150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、一般公共预算基本支出表-人员经费（工资福利支出）（按政府预算经济分类）</w:t>
      </w:r>
    </w:p>
    <w:p w14:paraId="7AB9692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10</w:t>
      </w:r>
      <w:r>
        <w:rPr>
          <w:rFonts w:hint="eastAsia" w:ascii="微软雅黑" w:hAnsi="微软雅黑" w:eastAsia="微软雅黑" w:cs="微软雅黑"/>
          <w:sz w:val="32"/>
          <w:szCs w:val="32"/>
        </w:rPr>
        <w:t>、一般公共预算基本支出表-人员经费（工资福利支出）（按部门预算经济分类）</w:t>
      </w:r>
    </w:p>
    <w:p w14:paraId="3AFC1F82">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、一般公共预算基本支出表-人员经费（对个人和家庭的补助）（按政府预算经济分类）</w:t>
      </w:r>
    </w:p>
    <w:p w14:paraId="29CAA3A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rPr>
        <w:t>、一般公共预算基本支出表-人员经费（对个人和家庭的补助）（按部门预算经济分类）</w:t>
      </w:r>
    </w:p>
    <w:p w14:paraId="48C0D19E">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经费（商品和服务支出）（按政府预算经济分类）</w:t>
      </w:r>
    </w:p>
    <w:p w14:paraId="04C6DD4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4</w:t>
      </w:r>
      <w:r>
        <w:rPr>
          <w:rFonts w:hint="eastAsia" w:ascii="微软雅黑" w:hAnsi="微软雅黑" w:eastAsia="微软雅黑" w:cs="微软雅黑"/>
          <w:sz w:val="32"/>
          <w:szCs w:val="32"/>
        </w:rPr>
        <w:t>、一般公共预算基本支出表-</w:t>
      </w:r>
      <w:r>
        <w:rPr>
          <w:rFonts w:hint="eastAsia" w:ascii="微软雅黑" w:hAnsi="微软雅黑" w:eastAsia="微软雅黑" w:cs="微软雅黑"/>
          <w:sz w:val="32"/>
          <w:szCs w:val="32"/>
          <w:lang w:eastAsia="zh-CN"/>
        </w:rPr>
        <w:t>公用</w:t>
      </w:r>
      <w:r>
        <w:rPr>
          <w:rFonts w:hint="eastAsia" w:ascii="微软雅黑" w:hAnsi="微软雅黑" w:eastAsia="微软雅黑" w:cs="微软雅黑"/>
          <w:sz w:val="32"/>
          <w:szCs w:val="32"/>
        </w:rPr>
        <w:t>经费（商品和服务支出）（按部门预算经济分类）</w:t>
      </w:r>
    </w:p>
    <w:p w14:paraId="2B67B06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5</w:t>
      </w:r>
      <w:r>
        <w:rPr>
          <w:rFonts w:hint="eastAsia" w:ascii="微软雅黑" w:hAnsi="微软雅黑" w:eastAsia="微软雅黑" w:cs="微软雅黑"/>
          <w:sz w:val="32"/>
          <w:szCs w:val="32"/>
        </w:rPr>
        <w:t>、一般公共预算“三公”经费支出表</w:t>
      </w:r>
    </w:p>
    <w:p w14:paraId="370957FA">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6</w:t>
      </w:r>
      <w:r>
        <w:rPr>
          <w:rFonts w:hint="eastAsia" w:ascii="微软雅黑" w:hAnsi="微软雅黑" w:eastAsia="微软雅黑" w:cs="微软雅黑"/>
          <w:sz w:val="32"/>
          <w:szCs w:val="32"/>
        </w:rPr>
        <w:t>、政府性基金预算支出表</w:t>
      </w:r>
    </w:p>
    <w:p w14:paraId="42CE58C1">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7</w:t>
      </w:r>
      <w:r>
        <w:rPr>
          <w:rFonts w:hint="eastAsia" w:ascii="微软雅黑" w:hAnsi="微软雅黑" w:eastAsia="微软雅黑" w:cs="微软雅黑"/>
          <w:sz w:val="32"/>
          <w:szCs w:val="32"/>
        </w:rPr>
        <w:t>、政府性基金预算支出分类汇总表（按政府预算经济分类）</w:t>
      </w:r>
    </w:p>
    <w:p w14:paraId="50E7259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8</w:t>
      </w:r>
      <w:r>
        <w:rPr>
          <w:rFonts w:hint="eastAsia" w:ascii="微软雅黑" w:hAnsi="微软雅黑" w:eastAsia="微软雅黑" w:cs="微软雅黑"/>
          <w:sz w:val="32"/>
          <w:szCs w:val="32"/>
        </w:rPr>
        <w:t>、政府性基金预算支出分类汇总表（按部门预算经济分类）</w:t>
      </w:r>
    </w:p>
    <w:p w14:paraId="5596FE6D">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1</w:t>
      </w:r>
      <w:r>
        <w:rPr>
          <w:rFonts w:hint="eastAsia" w:ascii="微软雅黑" w:hAnsi="微软雅黑" w:eastAsia="微软雅黑" w:cs="微软雅黑"/>
          <w:sz w:val="32"/>
          <w:szCs w:val="32"/>
          <w:lang w:val="en-US" w:eastAsia="zh-CN"/>
        </w:rPr>
        <w:t>9</w:t>
      </w:r>
      <w:r>
        <w:rPr>
          <w:rFonts w:hint="eastAsia" w:ascii="微软雅黑" w:hAnsi="微软雅黑" w:eastAsia="微软雅黑" w:cs="微软雅黑"/>
          <w:sz w:val="32"/>
          <w:szCs w:val="32"/>
        </w:rPr>
        <w:t>、国有资本经营预算支出表</w:t>
      </w:r>
    </w:p>
    <w:p w14:paraId="6505FF3B">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lang w:val="en-US" w:eastAsia="zh-CN"/>
        </w:rPr>
        <w:t>20</w:t>
      </w:r>
      <w:r>
        <w:rPr>
          <w:rFonts w:hint="eastAsia" w:ascii="微软雅黑" w:hAnsi="微软雅黑" w:eastAsia="微软雅黑" w:cs="微软雅黑"/>
          <w:sz w:val="32"/>
          <w:szCs w:val="32"/>
        </w:rPr>
        <w:t>、财政专户管理资金预算支出表</w:t>
      </w:r>
    </w:p>
    <w:p w14:paraId="6635CC16">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1</w:t>
      </w:r>
      <w:r>
        <w:rPr>
          <w:rFonts w:hint="eastAsia" w:ascii="微软雅黑" w:hAnsi="微软雅黑" w:eastAsia="微软雅黑" w:cs="微软雅黑"/>
          <w:sz w:val="32"/>
          <w:szCs w:val="32"/>
        </w:rPr>
        <w:t>、专项资金预算汇总表</w:t>
      </w:r>
    </w:p>
    <w:p w14:paraId="0101E010">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2</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lang w:val="en-US" w:eastAsia="zh-CN"/>
        </w:rPr>
        <w:t>项目支出</w:t>
      </w:r>
      <w:r>
        <w:rPr>
          <w:rFonts w:hint="eastAsia" w:ascii="微软雅黑" w:hAnsi="微软雅黑" w:eastAsia="微软雅黑" w:cs="微软雅黑"/>
          <w:sz w:val="32"/>
          <w:szCs w:val="32"/>
        </w:rPr>
        <w:t>绩效目标表</w:t>
      </w:r>
    </w:p>
    <w:p w14:paraId="7AB84E88">
      <w:pPr>
        <w:widowControl/>
        <w:spacing w:line="600" w:lineRule="exact"/>
        <w:ind w:firstLine="640" w:firstLineChars="200"/>
        <w:jc w:val="left"/>
        <w:rPr>
          <w:rFonts w:hint="eastAsia" w:ascii="微软雅黑" w:hAnsi="微软雅黑" w:eastAsia="微软雅黑" w:cs="微软雅黑"/>
          <w:sz w:val="32"/>
          <w:szCs w:val="32"/>
        </w:rPr>
      </w:pPr>
      <w:r>
        <w:rPr>
          <w:rFonts w:hint="eastAsia" w:ascii="微软雅黑" w:hAnsi="微软雅黑" w:eastAsia="微软雅黑" w:cs="微软雅黑"/>
          <w:sz w:val="32"/>
          <w:szCs w:val="32"/>
        </w:rPr>
        <w:t>2</w:t>
      </w:r>
      <w:r>
        <w:rPr>
          <w:rFonts w:hint="eastAsia" w:ascii="微软雅黑" w:hAnsi="微软雅黑" w:eastAsia="微软雅黑" w:cs="微软雅黑"/>
          <w:sz w:val="32"/>
          <w:szCs w:val="32"/>
          <w:lang w:val="en-US" w:eastAsia="zh-CN"/>
        </w:rPr>
        <w:t>3</w:t>
      </w:r>
      <w:r>
        <w:rPr>
          <w:rFonts w:hint="eastAsia" w:ascii="微软雅黑" w:hAnsi="微软雅黑" w:eastAsia="微软雅黑" w:cs="微软雅黑"/>
          <w:sz w:val="32"/>
          <w:szCs w:val="32"/>
        </w:rPr>
        <w:t>、部门整体支出绩效目标表</w:t>
      </w:r>
    </w:p>
    <w:p w14:paraId="282E507D">
      <w:pPr>
        <w:widowControl/>
        <w:spacing w:line="600" w:lineRule="exact"/>
        <w:ind w:firstLine="640" w:firstLineChars="200"/>
        <w:rPr>
          <w:rFonts w:hint="eastAsia" w:ascii="微软雅黑" w:hAnsi="微软雅黑" w:eastAsia="微软雅黑" w:cs="微软雅黑"/>
          <w:color w:val="FF0000"/>
          <w:kern w:val="0"/>
          <w:sz w:val="32"/>
          <w:szCs w:val="32"/>
        </w:rPr>
      </w:pPr>
      <w:r>
        <w:rPr>
          <w:rFonts w:hint="eastAsia" w:ascii="微软雅黑" w:hAnsi="微软雅黑" w:eastAsia="微软雅黑" w:cs="微软雅黑"/>
          <w:b/>
          <w:bCs w:val="0"/>
          <w:color w:val="FF0000"/>
          <w:kern w:val="0"/>
          <w:sz w:val="32"/>
          <w:szCs w:val="32"/>
        </w:rPr>
        <w:t>注：以上</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lang w:eastAsia="zh-CN"/>
        </w:rPr>
        <w:t>预算</w:t>
      </w:r>
      <w:r>
        <w:rPr>
          <w:rFonts w:hint="eastAsia" w:ascii="微软雅黑" w:hAnsi="微软雅黑" w:eastAsia="微软雅黑" w:cs="微软雅黑"/>
          <w:b/>
          <w:bCs w:val="0"/>
          <w:color w:val="FF0000"/>
          <w:kern w:val="0"/>
          <w:sz w:val="32"/>
          <w:szCs w:val="32"/>
          <w:lang w:val="en-US" w:eastAsia="zh-CN"/>
        </w:rPr>
        <w:t>公开</w:t>
      </w:r>
      <w:r>
        <w:rPr>
          <w:rFonts w:hint="eastAsia" w:ascii="微软雅黑" w:hAnsi="微软雅黑" w:eastAsia="微软雅黑" w:cs="微软雅黑"/>
          <w:b/>
          <w:bCs w:val="0"/>
          <w:color w:val="FF0000"/>
          <w:kern w:val="0"/>
          <w:sz w:val="32"/>
          <w:szCs w:val="32"/>
        </w:rPr>
        <w:t>报表中，空表表示本</w:t>
      </w:r>
      <w:r>
        <w:rPr>
          <w:rFonts w:hint="eastAsia" w:ascii="微软雅黑" w:hAnsi="微软雅黑" w:eastAsia="微软雅黑" w:cs="微软雅黑"/>
          <w:b/>
          <w:bCs w:val="0"/>
          <w:color w:val="FF0000"/>
          <w:kern w:val="0"/>
          <w:sz w:val="32"/>
          <w:szCs w:val="32"/>
          <w:lang w:val="en-US" w:eastAsia="zh-CN"/>
        </w:rPr>
        <w:t>单位</w:t>
      </w:r>
      <w:r>
        <w:rPr>
          <w:rFonts w:hint="eastAsia" w:ascii="微软雅黑" w:hAnsi="微软雅黑" w:eastAsia="微软雅黑" w:cs="微软雅黑"/>
          <w:b/>
          <w:bCs w:val="0"/>
          <w:color w:val="FF0000"/>
          <w:kern w:val="0"/>
          <w:sz w:val="32"/>
          <w:szCs w:val="32"/>
        </w:rPr>
        <w:t>无相关收支情况。</w:t>
      </w:r>
    </w:p>
    <w:p w14:paraId="233A358C">
      <w:pPr>
        <w:keepNext w:val="0"/>
        <w:keepLines w:val="0"/>
        <w:pageBreakBefore w:val="0"/>
        <w:widowControl/>
        <w:kinsoku/>
        <w:wordWrap/>
        <w:overflowPunct/>
        <w:topLinePunct w:val="0"/>
        <w:bidi w:val="0"/>
        <w:adjustRightInd/>
        <w:snapToGrid/>
        <w:spacing w:line="600" w:lineRule="exact"/>
        <w:ind w:firstLine="420" w:firstLineChars="200"/>
        <w:jc w:val="center"/>
        <w:textAlignment w:val="auto"/>
        <w:rPr>
          <w:rFonts w:hint="eastAsia" w:ascii="微软雅黑" w:hAnsi="微软雅黑" w:eastAsia="微软雅黑" w:cs="微软雅黑"/>
          <w:b/>
          <w:bCs/>
          <w:kern w:val="0"/>
          <w:sz w:val="32"/>
          <w:szCs w:val="32"/>
        </w:rPr>
      </w:pPr>
      <w:r>
        <w:br w:type="page"/>
      </w:r>
      <w:r>
        <w:rPr>
          <w:rFonts w:hint="eastAsia" w:ascii="微软雅黑" w:hAnsi="微软雅黑" w:eastAsia="微软雅黑" w:cs="微软雅黑"/>
          <w:b/>
          <w:bCs/>
          <w:kern w:val="0"/>
          <w:sz w:val="32"/>
          <w:szCs w:val="32"/>
        </w:rPr>
        <w:t>第一部分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2026</w:t>
      </w:r>
      <w:r>
        <w:rPr>
          <w:rFonts w:ascii="微软雅黑" w:hAnsi="微软雅黑" w:eastAsia="微软雅黑" w:cs="微软雅黑"/>
          <w:b/>
          <w:sz w:val="32"/>
        </w:rPr>
        <w:t>年单位预算</w:t>
      </w:r>
      <w:r>
        <w:rPr>
          <w:rFonts w:hint="eastAsia" w:ascii="微软雅黑" w:hAnsi="微软雅黑" w:eastAsia="微软雅黑" w:cs="微软雅黑"/>
          <w:b/>
          <w:bCs/>
          <w:kern w:val="0"/>
          <w:sz w:val="32"/>
          <w:szCs w:val="32"/>
        </w:rPr>
        <w:t>说明</w:t>
      </w:r>
    </w:p>
    <w:p w14:paraId="6041305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p>
    <w:p w14:paraId="7F9C7EC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基本概况</w:t>
      </w:r>
    </w:p>
    <w:p w14:paraId="52354C2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（一）职能职责</w:t>
      </w:r>
    </w:p>
    <w:p w14:paraId="28621A2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 贯彻执行国家、省、市关于卫生和计划生育工作的方针政策和法律法规。议定全县中医药中长期发展规划，并纳入全县卫生和计划生育发展总体规划和战略目标；组织实施国家、省、市卫生标准和技术规范。负责协调推进全县医药卫生体制改革和医疗保障，统筹规划全县卫生和计划生育服务资源配置，指导区域卫生和计划生育规划的编制和实施。</w:t>
      </w:r>
    </w:p>
    <w:p w14:paraId="373CAAB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2.负责全县疾病预防控制规划、免疫规划、严重危害人民健康的公共卫生问题的干预措施并组织落实，根据国家检疫传染病和监测传染病目录，制定全县卫生应急和紧急医学救援预案、突发公共卫生事件监测和风险评估计划，组织和指导全县突发公共卫生事件预防控制和各类突发公共事件的医疗卫生救援，发布法定报告传染病疫情信息、突发公共卫生事件应急处置信息。</w:t>
      </w:r>
    </w:p>
    <w:p w14:paraId="3117715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3.负责组织开展职责范围内的职业卫生、放射卫生、环境卫生、学校卫生、公共场所卫生、饮用水卫生的相关监测、调查、评估和监督，负责传染病防治监督。组织开展食品安全风险监测、评估；负责食源性疾病及与食品安全事故有关的流行病学调查。</w:t>
      </w:r>
    </w:p>
    <w:p w14:paraId="1BA0AB3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4.负责组织拟订并实施基层卫生和计划生育服务、妇幼卫生发展规划和政策措施，指导全县基层卫生和计划生育、妇幼卫生服务体系建设，推进基本公共卫生和计划生育服务均等化，完善基层运行新机制和乡村医生管理制度。贯彻落实新型农村合作医疗发展规划和政策措施，组织基金个人缴纳费用筹集和协调各级财政补助资金落实，负责全县农村合作医疗基金的监管与效益评估，负责定点医疗机构医疗费用控制。</w:t>
      </w:r>
    </w:p>
    <w:p w14:paraId="71DEC32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5.负责制定全县医疗机构和医疗服务全行业管理办法并监督实施。制定医疗机构及其医疗服务、医疗技术、医疗质量、医疗安全以及采供血机构管理的规范、标准并组织实施，会同有关部门贯彻执行国家卫生专业技术人员准入、资格标准，制定和实施卫生专业技术人员执业规则和服务规范，建立医疗机构运行监管和医疗服务评价体系。</w:t>
      </w:r>
    </w:p>
    <w:p w14:paraId="7A0504A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6.负责组织推进全县公立医院改革，建立以公益性为导向的绩效考核和评价运行机制，建设和谐医患关系，提出医疗服务和药品价格政策的建议。</w:t>
      </w:r>
    </w:p>
    <w:p w14:paraId="412B0F2E">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7.贯彻落实国家药物政策和国家基本药物制度，执行国家基本药物目录及省药品增补目录，制定我县基本药物采购、配送、使用的政策措施，会同有关部门提出全县基本药物价格政策的建议。</w:t>
      </w:r>
    </w:p>
    <w:p w14:paraId="0D07BAA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8.提出完善生育政策建议，组织实施加强全县出生人口性别比综合治理的政策措施，组织监测全县计划生育发展动态，提出发布计划生育安全预警预报信息建议。制定计划生育技术服务管理制度并监督实施。制定优生优育和提高出生人口素质的政策措施并组织实施，推动实施计划生育生殖健康促进计划，降低出生缺陷发生率。</w:t>
      </w:r>
    </w:p>
    <w:p w14:paraId="3B2F394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9.组织建立计划生育利益导向、计划生育特殊困难家庭扶助和促进计划生育家庭发展等机制。负责协</w:t>
      </w:r>
      <w:bookmarkStart w:id="0" w:name="_GoBack"/>
      <w:bookmarkEnd w:id="0"/>
      <w:r>
        <w:rPr>
          <w:rFonts w:hint="eastAsia" w:ascii="微软雅黑" w:hAnsi="微软雅黑" w:eastAsia="微软雅黑" w:cs="微软雅黑"/>
          <w:kern w:val="0"/>
          <w:sz w:val="32"/>
          <w:szCs w:val="32"/>
          <w:lang w:eastAsia="zh-CN"/>
        </w:rPr>
        <w:t>调推进有关部门、群众团体履行计划生育工作相关职责，建立与经济社会发展政策的衔接机制，提出稳定低生育水平政策措施。</w:t>
      </w:r>
    </w:p>
    <w:p w14:paraId="5065A75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10.制定全县流动人口计划生育服务管理制度并组织落实，推动建立流动人口卫生和计划生育信息共享、区域协作和公共服务工作机制。</w:t>
      </w:r>
    </w:p>
    <w:p w14:paraId="2733B62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11.组织拟订全县卫生和计划生育人才发展规划，指导卫生和计划生育人才队伍建设。加强全科医生等急需紧缺专业人才培养，贯彻落实国家住院医师和专科医师规范化培训制度。</w:t>
      </w:r>
    </w:p>
    <w:p w14:paraId="002B04B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12.组织拟订全县卫生和计划生育科技发展规划，组织实施卫生和计划生育相关科研项目。参与制定医学教育发展规划，协同指导院校医学教育和计划生育教育，组织实施毕业后医学教育和继续医学教育。</w:t>
      </w:r>
    </w:p>
    <w:p w14:paraId="4380862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13.指导全县卫生和计划生育工作，完善全县卫生和计划生育综合监督执法体系，规范执法行为，监督检查法律法规和政策措施的落实，组织查处重大违法行为。组织实施计划生育考核评估工作，监督落实计划生育一票否决制。</w:t>
      </w:r>
    </w:p>
    <w:p w14:paraId="7F7EEBC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14.负责全县卫生和计划生育宣传、健康教育、健康促进和信息化建设等工作，依法组织实施统计调查，参与全县人口基础信息库建设。组织实施国际交流合作与援外工作。</w:t>
      </w:r>
    </w:p>
    <w:p w14:paraId="5BAEAEB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15.负责全县保健对象的医疗保健工作，承担全县重大会议和重大活动的医疗卫生保障工作。</w:t>
      </w:r>
    </w:p>
    <w:p w14:paraId="1F7A3AF7">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（二）机构设置</w:t>
      </w:r>
    </w:p>
    <w:p w14:paraId="62E25DC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内设机构：办公室、人事股、规划与信息股、财务股、法制股、中医药管理股、疾病预防控制股、妇幼健康服务股、医政医管股、卫生建设管理股、药物政策与基本药物管理股、计划生育指导股、计划生育家庭发展股、宣传股、科技教育股。挂靠机构：岳阳县计划生育协会秘书室。</w:t>
      </w:r>
    </w:p>
    <w:p w14:paraId="57DB9EA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二</w:t>
      </w:r>
      <w:r>
        <w:rPr>
          <w:rFonts w:hint="eastAsia" w:ascii="微软雅黑" w:hAnsi="微软雅黑" w:eastAsia="微软雅黑" w:cs="微软雅黑"/>
          <w:b/>
          <w:bCs/>
          <w:kern w:val="0"/>
          <w:sz w:val="32"/>
          <w:szCs w:val="32"/>
          <w:lang w:eastAsia="zh-CN"/>
        </w:rPr>
        <w:t>、</w:t>
      </w:r>
      <w:r>
        <w:rPr>
          <w:rFonts w:hint="eastAsia" w:ascii="微软雅黑" w:hAnsi="微软雅黑" w:eastAsia="微软雅黑" w:cs="微软雅黑"/>
          <w:b/>
          <w:bCs/>
          <w:kern w:val="0"/>
          <w:sz w:val="32"/>
          <w:szCs w:val="32"/>
          <w:lang w:val="en-US" w:eastAsia="zh-CN"/>
        </w:rPr>
        <w:t>单位</w:t>
      </w:r>
      <w:r>
        <w:rPr>
          <w:rFonts w:hint="eastAsia" w:ascii="微软雅黑" w:hAnsi="微软雅黑" w:eastAsia="微软雅黑" w:cs="微软雅黑"/>
          <w:b/>
          <w:bCs/>
          <w:kern w:val="0"/>
          <w:sz w:val="32"/>
          <w:szCs w:val="32"/>
        </w:rPr>
        <w:t>收支总体情况</w:t>
      </w:r>
    </w:p>
    <w:p w14:paraId="1428AC3A">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rPr>
        <w:t>（一）收入预算</w:t>
      </w:r>
    </w:p>
    <w:p w14:paraId="44AD6CE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包括一般公共预算、政府性基金、国有资本经营预算等财政拨款收入，以及经营收入、事业收入等单位资金。</w:t>
      </w:r>
      <w:r>
        <w:rPr>
          <w:rFonts w:ascii="微软雅黑" w:hAnsi="微软雅黑" w:eastAsia="微软雅黑" w:cs="微软雅黑"/>
          <w:sz w:val="32"/>
        </w:rPr>
        <w:t>2026年本单位收入预算</w:t>
      </w:r>
      <w:r>
        <w:rPr>
          <w:rFonts w:hint="eastAsia" w:ascii="微软雅黑" w:hAnsi="微软雅黑" w:eastAsia="微软雅黑" w:cs="微软雅黑"/>
          <w:kern w:val="0"/>
          <w:sz w:val="32"/>
          <w:szCs w:val="32"/>
          <w:lang w:val="en-US" w:eastAsia="zh-CN"/>
        </w:rPr>
        <w:t>3,564.52</w:t>
      </w:r>
      <w:r>
        <w:rPr>
          <w:rFonts w:hint="eastAsia" w:ascii="微软雅黑" w:hAnsi="微软雅黑" w:eastAsia="微软雅黑" w:cs="微软雅黑"/>
          <w:kern w:val="0"/>
          <w:sz w:val="32"/>
          <w:szCs w:val="32"/>
          <w:lang w:eastAsia="zh-CN"/>
        </w:rPr>
        <w:t>万元，其中，一般公共预算拨款</w:t>
      </w:r>
      <w:r>
        <w:rPr>
          <w:rFonts w:hint="eastAsia" w:ascii="微软雅黑" w:hAnsi="微软雅黑" w:eastAsia="微软雅黑" w:cs="微软雅黑"/>
          <w:kern w:val="0"/>
          <w:sz w:val="32"/>
          <w:szCs w:val="32"/>
          <w:lang w:val="en-US" w:eastAsia="zh-CN"/>
        </w:rPr>
        <w:t>3,564.52</w:t>
      </w:r>
      <w:r>
        <w:rPr>
          <w:rFonts w:hint="eastAsia" w:ascii="微软雅黑" w:hAnsi="微软雅黑" w:eastAsia="微软雅黑" w:cs="微软雅黑"/>
          <w:kern w:val="0"/>
          <w:sz w:val="32"/>
          <w:szCs w:val="32"/>
          <w:lang w:eastAsia="zh-CN"/>
        </w:rPr>
        <w:t>万元，政府性基金预算拨款</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万元，国有资本经营预算拨款</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万元，财政专户管理资金</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万元，上级补助收入</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万元，事业单位经营收入</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万元，上年结转</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lang w:eastAsia="zh-CN"/>
        </w:rPr>
        <w:t>万元。本单位2026年没有政府性基金预算拨款和纳入专户管理的非税收入拨款收入，也没有使用政府性基金预算拨款、国有资本经营预算收入和纳入专户管理的非税收入拨款安排的支出，所以公开的附件</w:t>
      </w:r>
      <w:r>
        <w:rPr>
          <w:rFonts w:hint="eastAsia" w:ascii="微软雅黑" w:hAnsi="微软雅黑" w:eastAsia="微软雅黑" w:cs="微软雅黑"/>
          <w:kern w:val="0"/>
          <w:sz w:val="32"/>
          <w:szCs w:val="32"/>
          <w:lang w:val="en-US" w:eastAsia="zh-CN"/>
        </w:rPr>
        <w:t>16-18（</w:t>
      </w:r>
      <w:r>
        <w:rPr>
          <w:rFonts w:hint="eastAsia" w:ascii="微软雅黑" w:hAnsi="微软雅黑" w:eastAsia="微软雅黑" w:cs="微软雅黑"/>
          <w:kern w:val="0"/>
          <w:sz w:val="32"/>
          <w:szCs w:val="32"/>
          <w:lang w:eastAsia="zh-CN"/>
        </w:rPr>
        <w:t>政府性基金预算</w:t>
      </w:r>
      <w:r>
        <w:rPr>
          <w:rFonts w:hint="eastAsia" w:ascii="微软雅黑" w:hAnsi="微软雅黑" w:eastAsia="微软雅黑" w:cs="微软雅黑"/>
          <w:kern w:val="0"/>
          <w:sz w:val="32"/>
          <w:szCs w:val="32"/>
          <w:lang w:val="en-US" w:eastAsia="zh-CN"/>
        </w:rPr>
        <w:t>）</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lang w:val="en-US" w:eastAsia="zh-CN"/>
        </w:rPr>
        <w:t>19（</w:t>
      </w:r>
      <w:r>
        <w:rPr>
          <w:rFonts w:hint="eastAsia" w:ascii="微软雅黑" w:hAnsi="微软雅黑" w:eastAsia="微软雅黑" w:cs="微软雅黑"/>
          <w:kern w:val="0"/>
          <w:sz w:val="32"/>
          <w:szCs w:val="32"/>
          <w:lang w:eastAsia="zh-CN"/>
        </w:rPr>
        <w:t>国有资本经营预算</w:t>
      </w:r>
      <w:r>
        <w:rPr>
          <w:rFonts w:hint="eastAsia" w:ascii="微软雅黑" w:hAnsi="微软雅黑" w:eastAsia="微软雅黑" w:cs="微软雅黑"/>
          <w:kern w:val="0"/>
          <w:sz w:val="32"/>
          <w:szCs w:val="32"/>
          <w:lang w:val="en-US" w:eastAsia="zh-CN"/>
        </w:rPr>
        <w:t>）</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lang w:val="en-US" w:eastAsia="zh-CN"/>
        </w:rPr>
        <w:t>20</w:t>
      </w:r>
      <w:r>
        <w:rPr>
          <w:rFonts w:hint="eastAsia" w:ascii="微软雅黑" w:hAnsi="微软雅黑" w:eastAsia="微软雅黑" w:cs="微软雅黑"/>
          <w:kern w:val="0"/>
          <w:sz w:val="32"/>
          <w:szCs w:val="32"/>
          <w:lang w:eastAsia="zh-CN"/>
        </w:rPr>
        <w:t>表（</w:t>
      </w:r>
      <w:r>
        <w:rPr>
          <w:rFonts w:hint="eastAsia" w:ascii="微软雅黑" w:hAnsi="微软雅黑" w:eastAsia="微软雅黑" w:cs="微软雅黑"/>
          <w:kern w:val="0"/>
          <w:sz w:val="32"/>
          <w:szCs w:val="32"/>
          <w:lang w:val="en-US" w:eastAsia="zh-CN"/>
        </w:rPr>
        <w:t>财政</w:t>
      </w:r>
      <w:r>
        <w:rPr>
          <w:rFonts w:hint="eastAsia" w:ascii="微软雅黑" w:hAnsi="微软雅黑" w:eastAsia="微软雅黑" w:cs="微软雅黑"/>
          <w:kern w:val="0"/>
          <w:sz w:val="32"/>
          <w:szCs w:val="32"/>
          <w:lang w:eastAsia="zh-CN"/>
        </w:rPr>
        <w:t>专户管理</w:t>
      </w:r>
      <w:r>
        <w:rPr>
          <w:rFonts w:hint="eastAsia" w:ascii="微软雅黑" w:hAnsi="微软雅黑" w:eastAsia="微软雅黑" w:cs="微软雅黑"/>
          <w:kern w:val="0"/>
          <w:sz w:val="32"/>
          <w:szCs w:val="32"/>
          <w:lang w:val="en-US" w:eastAsia="zh-CN"/>
        </w:rPr>
        <w:t>资金</w:t>
      </w:r>
      <w:r>
        <w:rPr>
          <w:rFonts w:hint="eastAsia" w:ascii="微软雅黑" w:hAnsi="微软雅黑" w:eastAsia="微软雅黑" w:cs="微软雅黑"/>
          <w:kern w:val="0"/>
          <w:sz w:val="32"/>
          <w:szCs w:val="32"/>
          <w:lang w:eastAsia="zh-CN"/>
        </w:rPr>
        <w:t>预算）均为空。收入较去年</w:t>
      </w:r>
      <w:r>
        <w:rPr>
          <w:rFonts w:hint="eastAsia" w:ascii="微软雅黑" w:hAnsi="微软雅黑" w:eastAsia="微软雅黑" w:cs="微软雅黑"/>
          <w:kern w:val="0"/>
          <w:sz w:val="32"/>
          <w:szCs w:val="32"/>
          <w:lang w:val="en-US" w:eastAsia="zh-CN"/>
        </w:rPr>
        <w:t>增长390.52</w:t>
      </w:r>
      <w:r>
        <w:rPr>
          <w:rFonts w:hint="eastAsia" w:ascii="微软雅黑" w:hAnsi="微软雅黑" w:eastAsia="微软雅黑" w:cs="微软雅黑"/>
          <w:kern w:val="0"/>
          <w:sz w:val="32"/>
          <w:szCs w:val="32"/>
          <w:lang w:eastAsia="zh-CN"/>
        </w:rPr>
        <w:t>万元，主要是</w:t>
      </w:r>
      <w:r>
        <w:rPr>
          <w:rFonts w:hint="eastAsia" w:ascii="微软雅黑" w:hAnsi="微软雅黑" w:eastAsia="微软雅黑" w:cs="微软雅黑"/>
          <w:kern w:val="0"/>
          <w:sz w:val="32"/>
          <w:szCs w:val="32"/>
          <w:lang w:val="en-US" w:eastAsia="zh-CN"/>
        </w:rPr>
        <w:t>因为新增了中医药事业传承与发展专项和城镇独生子女家庭奖励资金。</w:t>
      </w:r>
    </w:p>
    <w:p w14:paraId="47936413">
      <w:pPr>
        <w:widowControl/>
        <w:spacing w:line="600" w:lineRule="exact"/>
        <w:ind w:firstLine="628" w:firstLineChars="196"/>
        <w:jc w:val="left"/>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（二）支出预算</w:t>
      </w:r>
    </w:p>
    <w:p w14:paraId="4AD3CA1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r>
        <w:rPr>
          <w:rFonts w:hint="eastAsia" w:ascii="微软雅黑" w:hAnsi="微软雅黑" w:eastAsia="微软雅黑" w:cs="微软雅黑"/>
          <w:sz w:val="32"/>
          <w:szCs w:val="32"/>
          <w:lang w:eastAsia="zh-CN"/>
        </w:rPr>
        <w:t>2026</w:t>
      </w:r>
      <w:r>
        <w:rPr>
          <w:rFonts w:ascii="微软雅黑" w:hAnsi="微软雅黑" w:eastAsia="微软雅黑" w:cs="微软雅黑"/>
          <w:sz w:val="32"/>
        </w:rPr>
        <w:t>年本单位</w:t>
      </w:r>
      <w:r>
        <w:rPr>
          <w:rFonts w:hint="eastAsia" w:ascii="微软雅黑" w:hAnsi="微软雅黑" w:eastAsia="微软雅黑" w:cs="微软雅黑"/>
          <w:sz w:val="32"/>
          <w:szCs w:val="32"/>
        </w:rPr>
        <w:t>支出预算</w:t>
      </w:r>
      <w:r>
        <w:rPr>
          <w:rFonts w:hint="eastAsia" w:ascii="微软雅黑" w:hAnsi="微软雅黑" w:eastAsia="微软雅黑" w:cs="微软雅黑"/>
          <w:kern w:val="0"/>
          <w:sz w:val="32"/>
          <w:szCs w:val="32"/>
          <w:lang w:val="en-US" w:eastAsia="zh-CN"/>
        </w:rPr>
        <w:t>3,564.52</w:t>
      </w:r>
      <w:r>
        <w:rPr>
          <w:rFonts w:hint="eastAsia" w:ascii="微软雅黑" w:hAnsi="微软雅黑" w:eastAsia="微软雅黑" w:cs="微软雅黑"/>
          <w:sz w:val="32"/>
          <w:szCs w:val="32"/>
        </w:rPr>
        <w:t>万元，其中，</w:t>
      </w:r>
      <w:r>
        <w:rPr>
          <w:rFonts w:hint="eastAsia" w:ascii="微软雅黑" w:hAnsi="微软雅黑" w:eastAsia="微软雅黑" w:cs="微软雅黑"/>
          <w:sz w:val="32"/>
          <w:szCs w:val="32"/>
          <w:lang w:val="en-US" w:eastAsia="zh-CN"/>
        </w:rPr>
        <w:t>社会保障和就业支出75.45万元，卫生健康支出3,435.80万元，住房保障支出53.26万元。</w:t>
      </w:r>
      <w:r>
        <w:rPr>
          <w:rFonts w:hint="eastAsia" w:ascii="微软雅黑" w:hAnsi="微软雅黑" w:eastAsia="微软雅黑" w:cs="微软雅黑"/>
          <w:sz w:val="32"/>
          <w:szCs w:val="32"/>
        </w:rPr>
        <w:t>支出较去年</w:t>
      </w:r>
      <w:r>
        <w:rPr>
          <w:rFonts w:hint="eastAsia" w:ascii="微软雅黑" w:hAnsi="微软雅黑" w:eastAsia="微软雅黑" w:cs="微软雅黑"/>
          <w:kern w:val="0"/>
          <w:sz w:val="32"/>
          <w:szCs w:val="32"/>
          <w:lang w:val="en-US" w:eastAsia="zh-CN"/>
        </w:rPr>
        <w:t>增长390.52</w:t>
      </w:r>
      <w:r>
        <w:rPr>
          <w:rFonts w:hint="eastAsia" w:ascii="微软雅黑" w:hAnsi="微软雅黑" w:eastAsia="微软雅黑" w:cs="微软雅黑"/>
          <w:sz w:val="32"/>
          <w:szCs w:val="32"/>
        </w:rPr>
        <w:t>万元，</w:t>
      </w:r>
      <w:r>
        <w:rPr>
          <w:rFonts w:hint="eastAsia" w:ascii="微软雅黑" w:hAnsi="微软雅黑" w:eastAsia="微软雅黑" w:cs="微软雅黑"/>
          <w:sz w:val="32"/>
          <w:szCs w:val="32"/>
          <w:lang w:eastAsia="zh-CN"/>
        </w:rPr>
        <w:t>其中，</w:t>
      </w:r>
      <w:r>
        <w:rPr>
          <w:rFonts w:hint="eastAsia" w:ascii="微软雅黑" w:hAnsi="微软雅黑" w:eastAsia="微软雅黑" w:cs="微软雅黑"/>
          <w:sz w:val="32"/>
          <w:szCs w:val="32"/>
        </w:rPr>
        <w:t>基本支出</w:t>
      </w:r>
      <w:r>
        <w:rPr>
          <w:rFonts w:hint="eastAsia" w:ascii="微软雅黑" w:hAnsi="微软雅黑" w:eastAsia="微软雅黑" w:cs="微软雅黑"/>
          <w:kern w:val="0"/>
          <w:sz w:val="32"/>
          <w:szCs w:val="32"/>
          <w:lang w:val="en-US" w:eastAsia="zh-CN"/>
        </w:rPr>
        <w:t>增长115.12</w:t>
      </w:r>
      <w:r>
        <w:rPr>
          <w:rFonts w:hint="eastAsia" w:ascii="微软雅黑" w:hAnsi="微软雅黑" w:eastAsia="微软雅黑" w:cs="微软雅黑"/>
          <w:sz w:val="32"/>
          <w:szCs w:val="32"/>
        </w:rPr>
        <w:t>万元，项目支出</w:t>
      </w:r>
      <w:r>
        <w:rPr>
          <w:rFonts w:hint="eastAsia" w:ascii="微软雅黑" w:hAnsi="微软雅黑" w:eastAsia="微软雅黑" w:cs="微软雅黑"/>
          <w:kern w:val="0"/>
          <w:sz w:val="32"/>
          <w:szCs w:val="32"/>
          <w:lang w:val="en-US" w:eastAsia="zh-CN"/>
        </w:rPr>
        <w:t>增长275.40</w:t>
      </w:r>
      <w:r>
        <w:rPr>
          <w:rFonts w:hint="eastAsia" w:ascii="微软雅黑" w:hAnsi="微软雅黑" w:eastAsia="微软雅黑" w:cs="微软雅黑"/>
          <w:sz w:val="32"/>
          <w:szCs w:val="32"/>
        </w:rPr>
        <w:t>万元。</w:t>
      </w:r>
      <w:r>
        <w:rPr>
          <w:rFonts w:hint="eastAsia" w:ascii="微软雅黑" w:hAnsi="微软雅黑" w:eastAsia="微软雅黑" w:cs="微软雅黑"/>
          <w:sz w:val="32"/>
          <w:szCs w:val="32"/>
          <w:lang w:eastAsia="zh-CN"/>
        </w:rPr>
        <w:t>其中基本支出较上年增加主要是</w:t>
      </w:r>
      <w:r>
        <w:rPr>
          <w:rFonts w:hint="eastAsia" w:ascii="微软雅黑" w:hAnsi="微软雅黑" w:eastAsia="微软雅黑" w:cs="微软雅黑"/>
          <w:sz w:val="32"/>
          <w:szCs w:val="32"/>
          <w:lang w:val="en-US" w:eastAsia="zh-CN"/>
        </w:rPr>
        <w:t>因为人员工资的增长</w:t>
      </w:r>
      <w:r>
        <w:rPr>
          <w:rFonts w:hint="eastAsia" w:ascii="微软雅黑" w:hAnsi="微软雅黑" w:eastAsia="微软雅黑" w:cs="微软雅黑"/>
          <w:sz w:val="32"/>
          <w:szCs w:val="32"/>
          <w:lang w:eastAsia="zh-CN"/>
        </w:rPr>
        <w:t>，项目支出增加</w:t>
      </w:r>
      <w:r>
        <w:rPr>
          <w:rFonts w:hint="eastAsia" w:ascii="微软雅黑" w:hAnsi="微软雅黑" w:eastAsia="微软雅黑" w:cs="微软雅黑"/>
          <w:sz w:val="32"/>
          <w:szCs w:val="32"/>
          <w:lang w:val="en-US" w:eastAsia="zh-CN"/>
        </w:rPr>
        <w:t>主要是</w:t>
      </w:r>
      <w:r>
        <w:rPr>
          <w:rFonts w:hint="eastAsia" w:ascii="微软雅黑" w:hAnsi="微软雅黑" w:eastAsia="微软雅黑" w:cs="微软雅黑"/>
          <w:sz w:val="32"/>
          <w:szCs w:val="32"/>
          <w:lang w:eastAsia="zh-CN"/>
        </w:rPr>
        <w:t>因为</w:t>
      </w:r>
      <w:r>
        <w:rPr>
          <w:rFonts w:hint="eastAsia" w:ascii="微软雅黑" w:hAnsi="微软雅黑" w:eastAsia="微软雅黑" w:cs="微软雅黑"/>
          <w:kern w:val="0"/>
          <w:sz w:val="32"/>
          <w:szCs w:val="32"/>
          <w:lang w:val="en-US" w:eastAsia="zh-CN"/>
        </w:rPr>
        <w:t>新增了中医药事业传承与发展专项和城镇独生子女家庭奖励资金。</w:t>
      </w:r>
    </w:p>
    <w:p w14:paraId="4D8CE0CB">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三、</w:t>
      </w:r>
      <w:r>
        <w:rPr>
          <w:rFonts w:hint="eastAsia" w:ascii="微软雅黑" w:hAnsi="微软雅黑" w:eastAsia="微软雅黑" w:cs="微软雅黑"/>
          <w:b/>
          <w:bCs/>
          <w:kern w:val="0"/>
          <w:sz w:val="32"/>
          <w:szCs w:val="32"/>
        </w:rPr>
        <w:t>一般公共预算拨款支出预算</w:t>
      </w:r>
    </w:p>
    <w:p w14:paraId="3C5EE22D">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lang w:eastAsia="zh-CN"/>
        </w:rPr>
        <w:t>2026</w:t>
      </w:r>
      <w:r>
        <w:rPr>
          <w:rFonts w:ascii="微软雅黑" w:hAnsi="微软雅黑" w:eastAsia="微软雅黑" w:cs="微软雅黑"/>
          <w:sz w:val="32"/>
        </w:rPr>
        <w:t>年</w:t>
      </w:r>
      <w:r>
        <w:rPr>
          <w:rFonts w:hint="eastAsia" w:ascii="微软雅黑" w:hAnsi="微软雅黑" w:eastAsia="微软雅黑" w:cs="微软雅黑"/>
          <w:kern w:val="0"/>
          <w:sz w:val="32"/>
          <w:szCs w:val="32"/>
        </w:rPr>
        <w:t>一般公共预算拨款支出预算</w:t>
      </w:r>
      <w:r>
        <w:rPr>
          <w:rFonts w:hint="eastAsia" w:ascii="微软雅黑" w:hAnsi="微软雅黑" w:eastAsia="微软雅黑" w:cs="微软雅黑"/>
          <w:kern w:val="0"/>
          <w:sz w:val="32"/>
          <w:szCs w:val="32"/>
          <w:lang w:val="en-US" w:eastAsia="zh-CN"/>
        </w:rPr>
        <w:t>3,564.52</w:t>
      </w:r>
      <w:r>
        <w:rPr>
          <w:rFonts w:hint="eastAsia" w:ascii="微软雅黑" w:hAnsi="微软雅黑" w:eastAsia="微软雅黑" w:cs="微软雅黑"/>
          <w:kern w:val="0"/>
          <w:sz w:val="32"/>
          <w:szCs w:val="32"/>
        </w:rPr>
        <w:t>万元，其中</w:t>
      </w:r>
      <w:r>
        <w:rPr>
          <w:rFonts w:hint="eastAsia" w:ascii="微软雅黑" w:hAnsi="微软雅黑" w:eastAsia="微软雅黑" w:cs="微软雅黑"/>
          <w:sz w:val="32"/>
          <w:szCs w:val="32"/>
        </w:rPr>
        <w:t>，</w:t>
      </w:r>
      <w:r>
        <w:rPr>
          <w:rFonts w:hint="eastAsia" w:ascii="微软雅黑" w:hAnsi="微软雅黑" w:eastAsia="微软雅黑" w:cs="微软雅黑"/>
          <w:sz w:val="32"/>
          <w:szCs w:val="32"/>
          <w:lang w:val="en-US" w:eastAsia="zh-CN"/>
        </w:rPr>
        <w:t>社会保障和就业支出75.45万元</w:t>
      </w:r>
      <w:r>
        <w:rPr>
          <w:rFonts w:hint="eastAsia" w:ascii="微软雅黑" w:hAnsi="微软雅黑" w:eastAsia="微软雅黑" w:cs="微软雅黑"/>
          <w:sz w:val="32"/>
          <w:szCs w:val="32"/>
        </w:rPr>
        <w:t>，占</w:t>
      </w:r>
      <w:r>
        <w:rPr>
          <w:rFonts w:hint="eastAsia" w:ascii="微软雅黑" w:hAnsi="微软雅黑" w:eastAsia="微软雅黑" w:cs="微软雅黑"/>
          <w:sz w:val="32"/>
          <w:szCs w:val="32"/>
          <w:lang w:val="en-US" w:eastAsia="zh-CN"/>
        </w:rPr>
        <w:t>2.12</w:t>
      </w:r>
      <w:r>
        <w:rPr>
          <w:rFonts w:hint="eastAsia" w:ascii="微软雅黑" w:hAnsi="微软雅黑" w:eastAsia="微软雅黑" w:cs="微软雅黑"/>
          <w:sz w:val="32"/>
          <w:szCs w:val="32"/>
          <w:u w:val="none"/>
        </w:rPr>
        <w:t>%</w:t>
      </w:r>
      <w:r>
        <w:rPr>
          <w:rFonts w:hint="eastAsia" w:ascii="微软雅黑" w:hAnsi="微软雅黑" w:eastAsia="微软雅黑" w:cs="微软雅黑"/>
          <w:sz w:val="32"/>
          <w:szCs w:val="32"/>
        </w:rPr>
        <w:t>；</w:t>
      </w:r>
      <w:r>
        <w:rPr>
          <w:rFonts w:hint="eastAsia" w:ascii="微软雅黑" w:hAnsi="微软雅黑" w:eastAsia="微软雅黑" w:cs="微软雅黑"/>
          <w:sz w:val="32"/>
          <w:szCs w:val="32"/>
          <w:lang w:val="en-US" w:eastAsia="zh-CN"/>
        </w:rPr>
        <w:t>卫生健康支出3,435.8万元</w:t>
      </w:r>
      <w:r>
        <w:rPr>
          <w:rFonts w:ascii="微软雅黑" w:hAnsi="微软雅黑" w:eastAsia="微软雅黑" w:cs="微软雅黑"/>
          <w:sz w:val="32"/>
        </w:rPr>
        <w:t>，占</w:t>
      </w:r>
      <w:r>
        <w:rPr>
          <w:rFonts w:hint="eastAsia" w:ascii="微软雅黑" w:hAnsi="微软雅黑" w:eastAsia="微软雅黑" w:cs="微软雅黑"/>
          <w:sz w:val="32"/>
          <w:lang w:val="en-US" w:eastAsia="zh-CN"/>
        </w:rPr>
        <w:t>96.39</w:t>
      </w:r>
      <w:r>
        <w:rPr>
          <w:rFonts w:ascii="微软雅黑" w:hAnsi="微软雅黑" w:eastAsia="微软雅黑" w:cs="微软雅黑"/>
          <w:sz w:val="32"/>
        </w:rPr>
        <w:t>%；</w:t>
      </w:r>
      <w:r>
        <w:rPr>
          <w:rFonts w:hint="eastAsia" w:ascii="微软雅黑" w:hAnsi="微软雅黑" w:eastAsia="微软雅黑" w:cs="微软雅黑"/>
          <w:sz w:val="32"/>
          <w:szCs w:val="32"/>
          <w:lang w:val="en-US" w:eastAsia="zh-CN"/>
        </w:rPr>
        <w:t>住房保障支出53.26万元</w:t>
      </w:r>
      <w:r>
        <w:rPr>
          <w:rFonts w:ascii="微软雅黑" w:hAnsi="微软雅黑" w:eastAsia="微软雅黑" w:cs="微软雅黑"/>
          <w:sz w:val="32"/>
        </w:rPr>
        <w:t>，占</w:t>
      </w:r>
      <w:r>
        <w:rPr>
          <w:rFonts w:hint="eastAsia" w:ascii="微软雅黑" w:hAnsi="微软雅黑" w:eastAsia="微软雅黑" w:cs="微软雅黑"/>
          <w:sz w:val="32"/>
          <w:lang w:val="en-US" w:eastAsia="zh-CN"/>
        </w:rPr>
        <w:t>1.49</w:t>
      </w:r>
      <w:r>
        <w:rPr>
          <w:rFonts w:ascii="微软雅黑" w:hAnsi="微软雅黑" w:eastAsia="微软雅黑" w:cs="微软雅黑"/>
          <w:sz w:val="32"/>
        </w:rPr>
        <w:t>%</w:t>
      </w:r>
      <w:r>
        <w:rPr>
          <w:rFonts w:hint="eastAsia" w:ascii="微软雅黑" w:hAnsi="微软雅黑" w:eastAsia="微软雅黑" w:cs="微软雅黑"/>
          <w:sz w:val="32"/>
          <w:lang w:eastAsia="zh-CN"/>
        </w:rPr>
        <w:t>；</w:t>
      </w:r>
      <w:r>
        <w:rPr>
          <w:rFonts w:hint="eastAsia" w:ascii="微软雅黑" w:hAnsi="微软雅黑" w:eastAsia="微软雅黑" w:cs="微软雅黑"/>
          <w:kern w:val="0"/>
          <w:sz w:val="32"/>
          <w:szCs w:val="32"/>
          <w:lang w:eastAsia="zh-CN"/>
        </w:rPr>
        <w:t>具体安排情况如下：</w:t>
      </w:r>
    </w:p>
    <w:p w14:paraId="11A86C1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b/>
          <w:bCs/>
          <w:kern w:val="0"/>
          <w:sz w:val="32"/>
          <w:szCs w:val="32"/>
        </w:rPr>
        <w:t>（一）基本支出</w:t>
      </w:r>
      <w:r>
        <w:rPr>
          <w:rFonts w:hint="eastAsia" w:ascii="微软雅黑" w:hAnsi="微软雅黑" w:eastAsia="微软雅黑" w:cs="微软雅黑"/>
          <w:kern w:val="0"/>
          <w:sz w:val="32"/>
          <w:szCs w:val="32"/>
          <w:lang w:eastAsia="zh-CN"/>
        </w:rPr>
        <w:t>：</w:t>
      </w:r>
      <w:r>
        <w:rPr>
          <w:rFonts w:ascii="微软雅黑" w:hAnsi="微软雅黑" w:eastAsia="微软雅黑" w:cs="微软雅黑"/>
          <w:sz w:val="32"/>
        </w:rPr>
        <w:t>2026年基本支出年初预算数为</w:t>
      </w:r>
      <w:r>
        <w:rPr>
          <w:rFonts w:hint="eastAsia" w:ascii="微软雅黑" w:hAnsi="微软雅黑" w:eastAsia="微软雅黑" w:cs="微软雅黑"/>
          <w:kern w:val="0"/>
          <w:sz w:val="32"/>
          <w:szCs w:val="32"/>
          <w:lang w:val="en-US" w:eastAsia="zh-CN"/>
        </w:rPr>
        <w:t>813.52</w:t>
      </w:r>
      <w:r>
        <w:rPr>
          <w:rFonts w:hint="eastAsia" w:ascii="微软雅黑" w:hAnsi="微软雅黑" w:eastAsia="微软雅黑" w:cs="微软雅黑"/>
          <w:kern w:val="0"/>
          <w:sz w:val="32"/>
          <w:szCs w:val="32"/>
          <w:lang w:eastAsia="zh-CN"/>
        </w:rPr>
        <w:t>万元，是指为保障单位机构正常运转、完成日常工作任务而发生的各项支出，包括用于基本工资、津贴补贴等人员经费以及办公费、印刷费、水电费、差旅费等日常公用经费。</w:t>
      </w:r>
    </w:p>
    <w:p w14:paraId="2326F078">
      <w:pPr>
        <w:widowControl/>
        <w:spacing w:line="600" w:lineRule="exact"/>
        <w:ind w:firstLine="660"/>
        <w:jc w:val="left"/>
        <w:rPr>
          <w:rFonts w:hint="eastAsia" w:ascii="微软雅黑" w:hAnsi="微软雅黑" w:eastAsia="微软雅黑" w:cs="微软雅黑"/>
          <w:sz w:val="32"/>
          <w:szCs w:val="32"/>
        </w:rPr>
      </w:pPr>
      <w:r>
        <w:rPr>
          <w:rFonts w:hint="eastAsia" w:ascii="微软雅黑" w:hAnsi="微软雅黑" w:eastAsia="微软雅黑" w:cs="微软雅黑"/>
          <w:b/>
          <w:bCs/>
          <w:kern w:val="0"/>
          <w:sz w:val="32"/>
          <w:szCs w:val="32"/>
        </w:rPr>
        <w:t>（二）项目支出</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2026</w:t>
      </w:r>
      <w:r>
        <w:rPr>
          <w:rFonts w:ascii="微软雅黑" w:hAnsi="微软雅黑" w:eastAsia="微软雅黑" w:cs="微软雅黑"/>
          <w:sz w:val="32"/>
        </w:rPr>
        <w:t>年</w:t>
      </w:r>
      <w:r>
        <w:rPr>
          <w:rFonts w:hint="eastAsia" w:ascii="微软雅黑" w:hAnsi="微软雅黑" w:eastAsia="微软雅黑" w:cs="微软雅黑"/>
          <w:kern w:val="0"/>
          <w:sz w:val="32"/>
          <w:szCs w:val="32"/>
        </w:rPr>
        <w:t>项目支出年初预算数为</w:t>
      </w:r>
      <w:r>
        <w:rPr>
          <w:rFonts w:hint="eastAsia" w:ascii="微软雅黑" w:hAnsi="微软雅黑" w:eastAsia="微软雅黑" w:cs="微软雅黑"/>
          <w:kern w:val="0"/>
          <w:sz w:val="32"/>
          <w:szCs w:val="32"/>
          <w:lang w:val="en-US" w:eastAsia="zh-CN"/>
        </w:rPr>
        <w:t>2,751.00</w:t>
      </w:r>
      <w:r>
        <w:rPr>
          <w:rFonts w:hint="eastAsia" w:ascii="微软雅黑" w:hAnsi="微软雅黑" w:eastAsia="微软雅黑" w:cs="微软雅黑"/>
          <w:kern w:val="0"/>
          <w:sz w:val="32"/>
          <w:szCs w:val="32"/>
        </w:rPr>
        <w:t>万元，是指</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为完成特定行政工作任务或事业发展目标而发生的支出，包括有关业务工作经费</w:t>
      </w:r>
      <w:r>
        <w:rPr>
          <w:rFonts w:hint="eastAsia" w:ascii="微软雅黑" w:hAnsi="微软雅黑" w:eastAsia="微软雅黑" w:cs="微软雅黑"/>
          <w:sz w:val="32"/>
          <w:szCs w:val="32"/>
          <w:lang w:eastAsia="zh-CN"/>
        </w:rPr>
        <w:t>、</w:t>
      </w:r>
      <w:r>
        <w:rPr>
          <w:rFonts w:hint="eastAsia" w:ascii="微软雅黑" w:hAnsi="微软雅黑" w:eastAsia="微软雅黑" w:cs="微软雅黑"/>
          <w:sz w:val="32"/>
          <w:szCs w:val="32"/>
        </w:rPr>
        <w:t>运行维护经费</w:t>
      </w:r>
      <w:r>
        <w:rPr>
          <w:rFonts w:hint="eastAsia" w:ascii="微软雅黑" w:hAnsi="微软雅黑" w:eastAsia="微软雅黑" w:cs="微软雅黑"/>
          <w:sz w:val="32"/>
          <w:szCs w:val="32"/>
          <w:lang w:val="en-US" w:eastAsia="zh-CN"/>
        </w:rPr>
        <w:t>等</w:t>
      </w:r>
      <w:r>
        <w:rPr>
          <w:rFonts w:hint="eastAsia" w:ascii="微软雅黑" w:hAnsi="微软雅黑" w:eastAsia="微软雅黑" w:cs="微软雅黑"/>
          <w:sz w:val="32"/>
          <w:szCs w:val="32"/>
        </w:rPr>
        <w:t>。其中：业务工作经费支出</w:t>
      </w:r>
      <w:r>
        <w:rPr>
          <w:rFonts w:hint="eastAsia" w:ascii="微软雅黑" w:hAnsi="微软雅黑" w:eastAsia="微软雅黑" w:cs="微软雅黑"/>
          <w:kern w:val="0"/>
          <w:sz w:val="32"/>
          <w:szCs w:val="32"/>
          <w:lang w:val="en-US" w:eastAsia="zh-CN"/>
        </w:rPr>
        <w:t>2692.80</w:t>
      </w:r>
      <w:r>
        <w:rPr>
          <w:rFonts w:hint="eastAsia" w:ascii="微软雅黑" w:hAnsi="微软雅黑" w:eastAsia="微软雅黑" w:cs="微软雅黑"/>
          <w:sz w:val="32"/>
          <w:szCs w:val="32"/>
        </w:rPr>
        <w:t>万元，主要用于</w:t>
      </w:r>
      <w:r>
        <w:rPr>
          <w:rFonts w:hint="eastAsia" w:ascii="微软雅黑" w:hAnsi="微软雅黑" w:eastAsia="微软雅黑" w:cs="微软雅黑"/>
          <w:sz w:val="32"/>
          <w:szCs w:val="32"/>
          <w:lang w:eastAsia="zh-CN"/>
        </w:rPr>
        <w:t>政府针对当前城乡居民存在的主要健康问题面向全体居民免费提供的最基本的公共卫生服务</w:t>
      </w:r>
      <w:r>
        <w:rPr>
          <w:rFonts w:hint="eastAsia" w:ascii="微软雅黑" w:hAnsi="微软雅黑" w:eastAsia="微软雅黑" w:cs="微软雅黑"/>
          <w:sz w:val="32"/>
          <w:szCs w:val="32"/>
          <w:lang w:val="en-US" w:eastAsia="zh-CN"/>
        </w:rPr>
        <w:t>和</w:t>
      </w:r>
      <w:r>
        <w:rPr>
          <w:rFonts w:hint="eastAsia" w:ascii="微软雅黑" w:hAnsi="微软雅黑" w:eastAsia="微软雅黑" w:cs="微软雅黑"/>
          <w:sz w:val="32"/>
          <w:szCs w:val="32"/>
          <w:lang w:eastAsia="zh-CN"/>
        </w:rPr>
        <w:t>曾经实行计划生育政策的对象</w:t>
      </w:r>
      <w:r>
        <w:rPr>
          <w:rFonts w:hint="eastAsia" w:ascii="微软雅黑" w:hAnsi="微软雅黑" w:eastAsia="微软雅黑" w:cs="微软雅黑"/>
          <w:sz w:val="32"/>
          <w:szCs w:val="32"/>
          <w:lang w:val="en-US" w:eastAsia="zh-CN"/>
        </w:rPr>
        <w:t>给予相应</w:t>
      </w:r>
      <w:r>
        <w:rPr>
          <w:rFonts w:hint="eastAsia" w:ascii="微软雅黑" w:hAnsi="微软雅黑" w:eastAsia="微软雅黑" w:cs="微软雅黑"/>
          <w:sz w:val="32"/>
          <w:szCs w:val="32"/>
          <w:lang w:eastAsia="zh-CN"/>
        </w:rPr>
        <w:t>奖励</w:t>
      </w:r>
      <w:r>
        <w:rPr>
          <w:rFonts w:hint="eastAsia" w:ascii="微软雅黑" w:hAnsi="微软雅黑" w:eastAsia="微软雅黑" w:cs="微软雅黑"/>
          <w:sz w:val="32"/>
          <w:szCs w:val="32"/>
          <w:lang w:val="en-US" w:eastAsia="zh-CN"/>
        </w:rPr>
        <w:t>以及</w:t>
      </w:r>
      <w:r>
        <w:rPr>
          <w:rFonts w:hint="eastAsia" w:ascii="微软雅黑" w:hAnsi="微软雅黑" w:eastAsia="微软雅黑" w:cs="微软雅黑"/>
          <w:sz w:val="32"/>
          <w:szCs w:val="32"/>
          <w:lang w:eastAsia="zh-CN"/>
        </w:rPr>
        <w:t>对</w:t>
      </w:r>
      <w:r>
        <w:rPr>
          <w:rFonts w:hint="eastAsia" w:ascii="微软雅黑" w:hAnsi="微软雅黑" w:eastAsia="微软雅黑" w:cs="微软雅黑"/>
          <w:sz w:val="32"/>
          <w:szCs w:val="32"/>
          <w:lang w:val="en-US" w:eastAsia="zh-CN"/>
        </w:rPr>
        <w:t>公立医院改革和重性精神病患者救治</w:t>
      </w:r>
      <w:r>
        <w:rPr>
          <w:rFonts w:hint="eastAsia" w:ascii="微软雅黑" w:hAnsi="微软雅黑" w:eastAsia="微软雅黑" w:cs="微软雅黑"/>
          <w:sz w:val="32"/>
          <w:szCs w:val="32"/>
        </w:rPr>
        <w:t>等方面；运行维护经费</w:t>
      </w:r>
      <w:r>
        <w:rPr>
          <w:rFonts w:hint="eastAsia" w:ascii="微软雅黑" w:hAnsi="微软雅黑" w:eastAsia="微软雅黑" w:cs="微软雅黑"/>
          <w:kern w:val="0"/>
          <w:sz w:val="32"/>
          <w:szCs w:val="32"/>
          <w:lang w:val="en-US" w:eastAsia="zh-CN"/>
        </w:rPr>
        <w:t>58.20</w:t>
      </w:r>
      <w:r>
        <w:rPr>
          <w:rFonts w:hint="eastAsia" w:ascii="微软雅黑" w:hAnsi="微软雅黑" w:eastAsia="微软雅黑" w:cs="微软雅黑"/>
          <w:sz w:val="32"/>
          <w:szCs w:val="32"/>
        </w:rPr>
        <w:t>万元，主要用于</w:t>
      </w:r>
      <w:r>
        <w:rPr>
          <w:rFonts w:hint="eastAsia" w:ascii="微软雅黑" w:hAnsi="微软雅黑" w:eastAsia="微软雅黑" w:cs="微软雅黑"/>
          <w:sz w:val="32"/>
          <w:szCs w:val="32"/>
          <w:lang w:val="en-US" w:eastAsia="zh-CN"/>
        </w:rPr>
        <w:t>村卫生室运行</w:t>
      </w:r>
      <w:r>
        <w:rPr>
          <w:rFonts w:hint="eastAsia" w:ascii="微软雅黑" w:hAnsi="微软雅黑" w:eastAsia="微软雅黑" w:cs="微软雅黑"/>
          <w:sz w:val="32"/>
          <w:szCs w:val="32"/>
        </w:rPr>
        <w:t>等方面。</w:t>
      </w:r>
    </w:p>
    <w:p w14:paraId="7A7E234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rPr>
      </w:pPr>
      <w:r>
        <w:rPr>
          <w:rFonts w:hint="eastAsia" w:ascii="微软雅黑" w:hAnsi="微软雅黑" w:eastAsia="微软雅黑" w:cs="微软雅黑"/>
          <w:b/>
          <w:bCs/>
          <w:color w:val="auto"/>
          <w:kern w:val="0"/>
          <w:sz w:val="32"/>
          <w:szCs w:val="32"/>
          <w:lang w:val="en-US" w:eastAsia="zh-CN"/>
        </w:rPr>
        <w:t>四</w:t>
      </w:r>
      <w:r>
        <w:rPr>
          <w:rFonts w:hint="eastAsia" w:ascii="微软雅黑" w:hAnsi="微软雅黑" w:eastAsia="微软雅黑" w:cs="微软雅黑"/>
          <w:b/>
          <w:bCs/>
          <w:color w:val="auto"/>
          <w:kern w:val="0"/>
          <w:sz w:val="32"/>
          <w:szCs w:val="32"/>
        </w:rPr>
        <w:t>、政府性基金预算支出</w:t>
      </w:r>
    </w:p>
    <w:p w14:paraId="312A309B">
      <w:pPr>
        <w:widowControl/>
        <w:spacing w:line="600" w:lineRule="exact"/>
        <w:ind w:firstLine="660"/>
        <w:jc w:val="left"/>
        <w:rPr>
          <w:rFonts w:hint="eastAsia" w:ascii="微软雅黑" w:hAnsi="微软雅黑" w:eastAsia="微软雅黑" w:cs="微软雅黑"/>
          <w:sz w:val="32"/>
          <w:szCs w:val="32"/>
          <w:lang w:val="en-US" w:eastAsia="zh-CN"/>
        </w:rPr>
      </w:pPr>
      <w:r>
        <w:rPr>
          <w:rFonts w:hint="eastAsia" w:ascii="微软雅黑" w:hAnsi="微软雅黑" w:eastAsia="微软雅黑" w:cs="微软雅黑"/>
          <w:sz w:val="32"/>
          <w:szCs w:val="32"/>
          <w:lang w:val="en-US" w:eastAsia="zh-CN"/>
        </w:rPr>
        <w:t>2026年度本单位无政府性基金安排的支出，所以公开的附件16-18（政府性基金预算）为空。</w:t>
      </w:r>
    </w:p>
    <w:p w14:paraId="4DC6AE4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五</w:t>
      </w:r>
      <w:r>
        <w:rPr>
          <w:rFonts w:hint="eastAsia" w:ascii="微软雅黑" w:hAnsi="微软雅黑" w:eastAsia="微软雅黑" w:cs="微软雅黑"/>
          <w:b/>
          <w:bCs/>
          <w:kern w:val="0"/>
          <w:sz w:val="32"/>
          <w:szCs w:val="32"/>
        </w:rPr>
        <w:t>、其他重要事项的情况说明</w:t>
      </w:r>
    </w:p>
    <w:p w14:paraId="6BDB5460">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rPr>
        <w:t>（一）机关运行经费</w:t>
      </w:r>
    </w:p>
    <w:p w14:paraId="50979E3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default" w:ascii="微软雅黑" w:hAnsi="微软雅黑" w:eastAsia="微软雅黑" w:cs="微软雅黑"/>
          <w:b/>
          <w:bCs/>
          <w:kern w:val="0"/>
          <w:sz w:val="32"/>
          <w:szCs w:val="32"/>
          <w:lang w:val="en-US"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2026年</w:t>
      </w:r>
      <w:r>
        <w:rPr>
          <w:rFonts w:hint="eastAsia" w:ascii="微软雅黑" w:hAnsi="微软雅黑" w:eastAsia="微软雅黑" w:cs="微软雅黑"/>
          <w:kern w:val="0"/>
          <w:sz w:val="32"/>
          <w:szCs w:val="32"/>
        </w:rPr>
        <w:t>机关运行经费当年一般公共预算拨款</w:t>
      </w:r>
      <w:r>
        <w:rPr>
          <w:rFonts w:ascii="微软雅黑" w:hAnsi="微软雅黑" w:eastAsia="微软雅黑" w:cs="微软雅黑"/>
          <w:sz w:val="32"/>
        </w:rPr>
        <w:t>108.60</w:t>
      </w:r>
      <w:r>
        <w:rPr>
          <w:rFonts w:hint="eastAsia" w:ascii="微软雅黑" w:hAnsi="微软雅黑" w:eastAsia="微软雅黑" w:cs="微软雅黑"/>
          <w:kern w:val="0"/>
          <w:sz w:val="32"/>
          <w:szCs w:val="32"/>
        </w:rPr>
        <w:t>万元，比</w:t>
      </w:r>
      <w:r>
        <w:rPr>
          <w:rFonts w:hint="eastAsia" w:ascii="微软雅黑" w:hAnsi="微软雅黑" w:eastAsia="微软雅黑" w:cs="微软雅黑"/>
          <w:kern w:val="0"/>
          <w:sz w:val="32"/>
          <w:szCs w:val="32"/>
          <w:lang w:eastAsia="zh-CN"/>
        </w:rPr>
        <w:t>上一年增长10.67</w:t>
      </w:r>
      <w:r>
        <w:rPr>
          <w:rFonts w:hint="eastAsia" w:ascii="微软雅黑" w:hAnsi="微软雅黑" w:eastAsia="微软雅黑" w:cs="微软雅黑"/>
          <w:kern w:val="0"/>
          <w:sz w:val="32"/>
          <w:szCs w:val="32"/>
        </w:rPr>
        <w:t>万元，</w:t>
      </w:r>
      <w:r>
        <w:rPr>
          <w:rFonts w:ascii="微软雅黑" w:hAnsi="微软雅黑" w:eastAsia="微软雅黑" w:cs="微软雅黑"/>
          <w:sz w:val="32"/>
        </w:rPr>
        <w:t>增长10.90</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val="en-US" w:eastAsia="zh-CN"/>
        </w:rPr>
        <w:t>人员车补增加。</w:t>
      </w:r>
    </w:p>
    <w:p w14:paraId="46955681">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default"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lang w:eastAsia="zh-CN"/>
        </w:rPr>
        <w:t>本单位</w:t>
      </w:r>
      <w:r>
        <w:rPr>
          <w:rFonts w:ascii="微软雅黑" w:hAnsi="微软雅黑" w:eastAsia="微软雅黑" w:cs="微软雅黑"/>
          <w:sz w:val="32"/>
        </w:rPr>
        <w:t>2026年</w:t>
      </w:r>
      <w:r>
        <w:rPr>
          <w:rFonts w:hint="eastAsia" w:ascii="微软雅黑" w:hAnsi="微软雅黑" w:eastAsia="微软雅黑" w:cs="微软雅黑"/>
          <w:kern w:val="0"/>
          <w:sz w:val="32"/>
          <w:szCs w:val="32"/>
        </w:rPr>
        <w:t>“三公”经费预算数</w:t>
      </w:r>
      <w:r>
        <w:rPr>
          <w:rFonts w:ascii="微软雅黑" w:hAnsi="微软雅黑" w:eastAsia="微软雅黑" w:cs="微软雅黑"/>
          <w:sz w:val="32"/>
        </w:rPr>
        <w:t>0.00</w:t>
      </w:r>
      <w:r>
        <w:rPr>
          <w:rFonts w:hint="eastAsia" w:ascii="微软雅黑" w:hAnsi="微软雅黑" w:eastAsia="微软雅黑" w:cs="微软雅黑"/>
          <w:kern w:val="0"/>
          <w:sz w:val="32"/>
          <w:szCs w:val="32"/>
        </w:rPr>
        <w:t>万元，其中，公务接待费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万元，因公出国（境）费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万元，公务用车购置及运行费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其中公务用车购置费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万元，公务用车运行费</w:t>
      </w:r>
      <w:r>
        <w:rPr>
          <w:rFonts w:ascii="微软雅黑" w:hAnsi="微软雅黑" w:eastAsia="微软雅黑" w:cs="微软雅黑"/>
          <w:sz w:val="32"/>
        </w:rPr>
        <w:t>0</w:t>
      </w:r>
      <w:r>
        <w:rPr>
          <w:rFonts w:hint="eastAsia" w:ascii="微软雅黑" w:hAnsi="微软雅黑" w:eastAsia="微软雅黑" w:cs="微软雅黑"/>
          <w:kern w:val="0"/>
          <w:sz w:val="32"/>
          <w:szCs w:val="32"/>
        </w:rPr>
        <w:t>万元。比</w:t>
      </w:r>
      <w:r>
        <w:rPr>
          <w:rFonts w:hint="eastAsia" w:ascii="微软雅黑" w:hAnsi="微软雅黑" w:eastAsia="微软雅黑" w:cs="微软雅黑"/>
          <w:kern w:val="0"/>
          <w:sz w:val="32"/>
          <w:szCs w:val="32"/>
          <w:lang w:eastAsia="zh-CN"/>
        </w:rPr>
        <w:t>上一年减少2.20</w:t>
      </w:r>
      <w:r>
        <w:rPr>
          <w:rFonts w:hint="eastAsia" w:ascii="微软雅黑" w:hAnsi="微软雅黑" w:eastAsia="微软雅黑" w:cs="微软雅黑"/>
          <w:kern w:val="0"/>
          <w:sz w:val="32"/>
          <w:szCs w:val="32"/>
        </w:rPr>
        <w:t>万元，</w:t>
      </w:r>
      <w:r>
        <w:rPr>
          <w:rFonts w:ascii="微软雅黑" w:hAnsi="微软雅黑" w:eastAsia="微软雅黑" w:cs="微软雅黑"/>
          <w:sz w:val="32"/>
        </w:rPr>
        <w:t>减少100.00</w:t>
      </w:r>
      <w:r>
        <w:rPr>
          <w:rFonts w:hint="eastAsia" w:ascii="微软雅黑" w:hAnsi="微软雅黑" w:eastAsia="微软雅黑" w:cs="微软雅黑"/>
          <w:kern w:val="0"/>
          <w:sz w:val="32"/>
          <w:szCs w:val="32"/>
        </w:rPr>
        <w:t>%</w:t>
      </w:r>
      <w:r>
        <w:rPr>
          <w:rFonts w:hint="eastAsia" w:ascii="微软雅黑" w:hAnsi="微软雅黑" w:eastAsia="微软雅黑" w:cs="微软雅黑"/>
          <w:kern w:val="0"/>
          <w:sz w:val="32"/>
          <w:szCs w:val="32"/>
          <w:lang w:eastAsia="zh-CN"/>
        </w:rPr>
        <w:t>，</w:t>
      </w:r>
      <w:r>
        <w:rPr>
          <w:rFonts w:hint="eastAsia" w:ascii="微软雅黑" w:hAnsi="微软雅黑" w:eastAsia="微软雅黑" w:cs="微软雅黑"/>
          <w:kern w:val="0"/>
          <w:sz w:val="32"/>
          <w:szCs w:val="32"/>
        </w:rPr>
        <w:t>主要原因是</w:t>
      </w:r>
      <w:r>
        <w:rPr>
          <w:rFonts w:hint="eastAsia" w:ascii="微软雅黑" w:hAnsi="微软雅黑" w:eastAsia="微软雅黑" w:cs="微软雅黑"/>
          <w:kern w:val="0"/>
          <w:sz w:val="32"/>
          <w:szCs w:val="32"/>
          <w:lang w:val="en-US" w:eastAsia="zh-CN"/>
        </w:rPr>
        <w:t>上年度无公务接待开支，故本年度没有安排预算。</w:t>
      </w:r>
    </w:p>
    <w:p w14:paraId="264BFB59">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（三）一般性支出情况</w:t>
      </w:r>
    </w:p>
    <w:p w14:paraId="365C50A3">
      <w:pPr>
        <w:keepNext w:val="0"/>
        <w:keepLines w:val="0"/>
        <w:pageBreakBefore w:val="0"/>
        <w:kinsoku/>
        <w:wordWrap/>
        <w:overflowPunct/>
        <w:topLinePunct w:val="0"/>
        <w:autoSpaceDE w:val="0"/>
        <w:autoSpaceDN w:val="0"/>
        <w:bidi w:val="0"/>
        <w:adjustRightInd/>
        <w:snapToGrid/>
        <w:spacing w:line="600" w:lineRule="exact"/>
        <w:ind w:firstLine="640" w:firstLineChars="200"/>
        <w:textAlignment w:val="auto"/>
        <w:rPr>
          <w:rFonts w:hint="eastAsia" w:ascii="微软雅黑" w:hAnsi="微软雅黑" w:eastAsia="微软雅黑" w:cs="微软雅黑"/>
          <w:color w:val="auto"/>
          <w:kern w:val="0"/>
          <w:sz w:val="32"/>
          <w:szCs w:val="32"/>
          <w:lang w:val="en-US" w:eastAsia="zh-CN"/>
        </w:rPr>
      </w:pPr>
      <w:r>
        <w:rPr>
          <w:rFonts w:hint="eastAsia" w:ascii="微软雅黑" w:hAnsi="微软雅黑" w:eastAsia="微软雅黑" w:cs="微软雅黑"/>
          <w:color w:val="auto"/>
          <w:kern w:val="0"/>
          <w:sz w:val="32"/>
          <w:szCs w:val="32"/>
          <w:lang w:eastAsia="zh-CN"/>
        </w:rPr>
        <w:t>本单位</w:t>
      </w:r>
      <w:r>
        <w:rPr>
          <w:rFonts w:ascii="微软雅黑" w:hAnsi="微软雅黑" w:eastAsia="微软雅黑" w:cs="微软雅黑"/>
          <w:color w:val="auto"/>
          <w:sz w:val="32"/>
        </w:rPr>
        <w:t>2026年会议费预算</w:t>
      </w:r>
      <w:r>
        <w:rPr>
          <w:rFonts w:hint="eastAsia" w:ascii="微软雅黑" w:hAnsi="微软雅黑" w:eastAsia="微软雅黑" w:cs="微软雅黑"/>
          <w:color w:val="auto"/>
          <w:kern w:val="0"/>
          <w:sz w:val="32"/>
          <w:szCs w:val="32"/>
          <w:lang w:val="en-US" w:eastAsia="zh-CN"/>
        </w:rPr>
        <w:t>2.00</w:t>
      </w:r>
      <w:r>
        <w:rPr>
          <w:rFonts w:hint="eastAsia" w:ascii="微软雅黑" w:hAnsi="微软雅黑" w:eastAsia="微软雅黑" w:cs="微软雅黑"/>
          <w:color w:val="auto"/>
          <w:kern w:val="0"/>
          <w:sz w:val="32"/>
          <w:szCs w:val="32"/>
          <w:lang w:eastAsia="zh-CN"/>
        </w:rPr>
        <w:t>万元，拟召开</w:t>
      </w:r>
      <w:r>
        <w:rPr>
          <w:rFonts w:hint="eastAsia" w:ascii="微软雅黑" w:hAnsi="微软雅黑" w:eastAsia="微软雅黑" w:cs="微软雅黑"/>
          <w:color w:val="auto"/>
          <w:kern w:val="0"/>
          <w:sz w:val="32"/>
          <w:szCs w:val="32"/>
          <w:lang w:val="en-US" w:eastAsia="zh-CN"/>
        </w:rPr>
        <w:t>5</w:t>
      </w:r>
      <w:r>
        <w:rPr>
          <w:rFonts w:hint="eastAsia" w:ascii="微软雅黑" w:hAnsi="微软雅黑" w:eastAsia="微软雅黑" w:cs="微软雅黑"/>
          <w:color w:val="auto"/>
          <w:kern w:val="0"/>
          <w:sz w:val="32"/>
          <w:szCs w:val="32"/>
          <w:lang w:eastAsia="zh-CN"/>
        </w:rPr>
        <w:t>次会议，人数</w:t>
      </w:r>
      <w:r>
        <w:rPr>
          <w:rFonts w:hint="eastAsia" w:ascii="微软雅黑" w:hAnsi="微软雅黑" w:eastAsia="微软雅黑" w:cs="微软雅黑"/>
          <w:color w:val="auto"/>
          <w:kern w:val="0"/>
          <w:sz w:val="32"/>
          <w:szCs w:val="32"/>
          <w:lang w:val="en-US" w:eastAsia="zh-CN"/>
        </w:rPr>
        <w:t>300</w:t>
      </w:r>
      <w:r>
        <w:rPr>
          <w:rFonts w:hint="eastAsia" w:ascii="微软雅黑" w:hAnsi="微软雅黑" w:eastAsia="微软雅黑" w:cs="微软雅黑"/>
          <w:color w:val="auto"/>
          <w:kern w:val="0"/>
          <w:sz w:val="32"/>
          <w:szCs w:val="32"/>
          <w:lang w:eastAsia="zh-CN"/>
        </w:rPr>
        <w:t>人，内容</w:t>
      </w:r>
      <w:r>
        <w:rPr>
          <w:rFonts w:hint="eastAsia" w:ascii="微软雅黑" w:hAnsi="微软雅黑" w:eastAsia="微软雅黑" w:cs="微软雅黑"/>
          <w:color w:val="auto"/>
          <w:kern w:val="0"/>
          <w:sz w:val="32"/>
          <w:szCs w:val="32"/>
          <w:lang w:val="en-US" w:eastAsia="zh-CN"/>
        </w:rPr>
        <w:t>为卫生健康事务管理及党风廉政建设、国家基药制度及药事管理、医师定期考核、医院安全管理、基本公共卫生服务等；培训费预算2.00万元，拟开展2次培训，人数280人，内容为新聘人员岗前培训、基层中医药适宜技术培训；2026年度本单位未计划举办节庆、晚会、论坛、赛事活动。</w:t>
      </w:r>
    </w:p>
    <w:p w14:paraId="7304FD18">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color w:val="auto"/>
          <w:kern w:val="0"/>
          <w:sz w:val="32"/>
          <w:szCs w:val="32"/>
          <w:lang w:eastAsia="zh-CN"/>
        </w:rPr>
      </w:pPr>
      <w:r>
        <w:rPr>
          <w:rFonts w:hint="eastAsia" w:ascii="微软雅黑" w:hAnsi="微软雅黑" w:eastAsia="微软雅黑" w:cs="微软雅黑"/>
          <w:b/>
          <w:bCs/>
          <w:color w:val="auto"/>
          <w:kern w:val="0"/>
          <w:sz w:val="32"/>
          <w:szCs w:val="32"/>
          <w:lang w:eastAsia="zh-CN"/>
        </w:rPr>
        <w:t>（四）政府采购情况</w:t>
      </w:r>
    </w:p>
    <w:p w14:paraId="652459C8">
      <w:pPr>
        <w:keepNext w:val="0"/>
        <w:keepLines w:val="0"/>
        <w:pageBreakBefore w:val="0"/>
        <w:widowControl/>
        <w:numPr>
          <w:ilvl w:val="0"/>
          <w:numId w:val="0"/>
        </w:numPr>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3216DC"/>
          <w:kern w:val="0"/>
          <w:sz w:val="32"/>
          <w:szCs w:val="32"/>
          <w:lang w:eastAsia="zh-CN"/>
        </w:rPr>
      </w:pPr>
      <w:r>
        <w:rPr>
          <w:rFonts w:hint="eastAsia" w:ascii="微软雅黑" w:hAnsi="微软雅黑" w:eastAsia="微软雅黑" w:cs="微软雅黑"/>
          <w:color w:val="auto"/>
          <w:kern w:val="0"/>
          <w:sz w:val="32"/>
          <w:szCs w:val="32"/>
          <w:lang w:eastAsia="zh-CN"/>
        </w:rPr>
        <w:t>本单位</w:t>
      </w:r>
      <w:r>
        <w:rPr>
          <w:rFonts w:ascii="微软雅黑" w:hAnsi="微软雅黑" w:eastAsia="微软雅黑" w:cs="微软雅黑"/>
          <w:color w:val="auto"/>
          <w:sz w:val="32"/>
        </w:rPr>
        <w:t>2026年</w:t>
      </w:r>
      <w:r>
        <w:rPr>
          <w:rFonts w:hint="eastAsia" w:ascii="微软雅黑" w:hAnsi="微软雅黑" w:eastAsia="微软雅黑" w:cs="微软雅黑"/>
          <w:color w:val="auto"/>
          <w:kern w:val="0"/>
          <w:sz w:val="32"/>
          <w:szCs w:val="32"/>
        </w:rPr>
        <w:t>政府采购预算总额</w:t>
      </w:r>
      <w:r>
        <w:rPr>
          <w:rFonts w:hint="eastAsia" w:ascii="微软雅黑" w:hAnsi="微软雅黑" w:eastAsia="微软雅黑" w:cs="微软雅黑"/>
          <w:color w:val="auto"/>
          <w:kern w:val="0"/>
          <w:sz w:val="32"/>
          <w:szCs w:val="32"/>
          <w:lang w:val="en-US" w:eastAsia="zh-CN"/>
        </w:rPr>
        <w:t>27.00</w:t>
      </w:r>
      <w:r>
        <w:rPr>
          <w:rFonts w:hint="eastAsia" w:ascii="微软雅黑" w:hAnsi="微软雅黑" w:eastAsia="微软雅黑" w:cs="微软雅黑"/>
          <w:color w:val="auto"/>
          <w:kern w:val="0"/>
          <w:sz w:val="32"/>
          <w:szCs w:val="32"/>
        </w:rPr>
        <w:t>万元，其中工程类</w:t>
      </w:r>
      <w:r>
        <w:rPr>
          <w:rFonts w:hint="eastAsia" w:ascii="微软雅黑" w:hAnsi="微软雅黑" w:eastAsia="微软雅黑" w:cs="微软雅黑"/>
          <w:color w:val="auto"/>
          <w:kern w:val="0"/>
          <w:sz w:val="32"/>
          <w:szCs w:val="32"/>
          <w:lang w:val="en-US" w:eastAsia="zh-CN"/>
        </w:rPr>
        <w:t>0.00</w:t>
      </w:r>
      <w:r>
        <w:rPr>
          <w:rFonts w:hint="eastAsia" w:ascii="微软雅黑" w:hAnsi="微软雅黑" w:eastAsia="微软雅黑" w:cs="微软雅黑"/>
          <w:color w:val="auto"/>
          <w:kern w:val="0"/>
          <w:sz w:val="32"/>
          <w:szCs w:val="32"/>
        </w:rPr>
        <w:t>万元，货物类</w:t>
      </w:r>
      <w:r>
        <w:rPr>
          <w:rFonts w:hint="eastAsia" w:ascii="微软雅黑" w:hAnsi="微软雅黑" w:eastAsia="微软雅黑" w:cs="微软雅黑"/>
          <w:color w:val="auto"/>
          <w:kern w:val="0"/>
          <w:sz w:val="32"/>
          <w:szCs w:val="32"/>
          <w:lang w:val="en-US" w:eastAsia="zh-CN"/>
        </w:rPr>
        <w:t>21.40</w:t>
      </w:r>
      <w:r>
        <w:rPr>
          <w:rFonts w:hint="eastAsia" w:ascii="微软雅黑" w:hAnsi="微软雅黑" w:eastAsia="微软雅黑" w:cs="微软雅黑"/>
          <w:color w:val="auto"/>
          <w:kern w:val="0"/>
          <w:sz w:val="32"/>
          <w:szCs w:val="32"/>
        </w:rPr>
        <w:t>万元，服务类</w:t>
      </w:r>
      <w:r>
        <w:rPr>
          <w:rFonts w:hint="eastAsia" w:ascii="微软雅黑" w:hAnsi="微软雅黑" w:eastAsia="微软雅黑" w:cs="微软雅黑"/>
          <w:color w:val="auto"/>
          <w:kern w:val="0"/>
          <w:sz w:val="32"/>
          <w:szCs w:val="32"/>
          <w:lang w:val="en-US" w:eastAsia="zh-CN"/>
        </w:rPr>
        <w:t>5.60</w:t>
      </w:r>
      <w:r>
        <w:rPr>
          <w:rFonts w:hint="eastAsia" w:ascii="微软雅黑" w:hAnsi="微软雅黑" w:eastAsia="微软雅黑" w:cs="微软雅黑"/>
          <w:color w:val="auto"/>
          <w:kern w:val="0"/>
          <w:sz w:val="32"/>
          <w:szCs w:val="32"/>
        </w:rPr>
        <w:t>万元。</w:t>
      </w:r>
    </w:p>
    <w:p w14:paraId="7E27F5E2">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（五）国有资产占有使用及新增资产配置情况</w:t>
      </w:r>
    </w:p>
    <w:p w14:paraId="73F68C95">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rPr>
      </w:pPr>
      <w:r>
        <w:rPr>
          <w:rFonts w:hint="eastAsia" w:ascii="微软雅黑" w:hAnsi="微软雅黑" w:eastAsia="微软雅黑" w:cs="微软雅黑"/>
          <w:color w:val="auto"/>
          <w:kern w:val="0"/>
          <w:sz w:val="32"/>
          <w:szCs w:val="32"/>
        </w:rPr>
        <w:t>截至</w:t>
      </w:r>
      <w:r>
        <w:rPr>
          <w:rFonts w:hint="eastAsia" w:ascii="微软雅黑" w:hAnsi="微软雅黑" w:eastAsia="微软雅黑" w:cs="微软雅黑"/>
          <w:color w:val="auto"/>
          <w:kern w:val="0"/>
          <w:sz w:val="32"/>
          <w:szCs w:val="32"/>
          <w:lang w:eastAsia="zh-CN"/>
        </w:rPr>
        <w:t>上一年</w:t>
      </w:r>
      <w:r>
        <w:rPr>
          <w:rFonts w:hint="eastAsia" w:ascii="微软雅黑" w:hAnsi="微软雅黑" w:eastAsia="微软雅黑" w:cs="微软雅黑"/>
          <w:color w:val="auto"/>
          <w:kern w:val="0"/>
          <w:sz w:val="32"/>
          <w:szCs w:val="32"/>
        </w:rPr>
        <w:t>12月底，</w:t>
      </w:r>
      <w:r>
        <w:rPr>
          <w:rFonts w:hint="eastAsia" w:ascii="微软雅黑" w:hAnsi="微软雅黑" w:eastAsia="微软雅黑" w:cs="微软雅黑"/>
          <w:color w:val="auto"/>
          <w:kern w:val="0"/>
          <w:sz w:val="32"/>
          <w:szCs w:val="32"/>
          <w:lang w:eastAsia="zh-CN"/>
        </w:rPr>
        <w:t>本单位</w:t>
      </w:r>
      <w:r>
        <w:rPr>
          <w:rFonts w:hint="eastAsia" w:ascii="微软雅黑" w:hAnsi="微软雅黑" w:eastAsia="微软雅黑" w:cs="微软雅黑"/>
          <w:color w:val="auto"/>
          <w:kern w:val="0"/>
          <w:sz w:val="32"/>
          <w:szCs w:val="32"/>
        </w:rPr>
        <w:t>共有车</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辆，其中领导干部用车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辆，一般公务用车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辆，其他用车</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辆。</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价值50万元以上通用设备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价值100万元以上专用设备</w:t>
      </w:r>
      <w:r>
        <w:rPr>
          <w:rFonts w:hint="eastAsia" w:ascii="微软雅黑" w:hAnsi="微软雅黑" w:eastAsia="微软雅黑" w:cs="微软雅黑"/>
          <w:kern w:val="0"/>
          <w:sz w:val="32"/>
          <w:szCs w:val="32"/>
          <w:lang w:val="en-US" w:eastAsia="zh-CN"/>
        </w:rPr>
        <w:t>0</w:t>
      </w:r>
      <w:r>
        <w:rPr>
          <w:rFonts w:hint="eastAsia" w:ascii="微软雅黑" w:hAnsi="微软雅黑" w:eastAsia="微软雅黑" w:cs="微软雅黑"/>
          <w:kern w:val="0"/>
          <w:sz w:val="32"/>
          <w:szCs w:val="32"/>
        </w:rPr>
        <w:t>台。</w:t>
      </w:r>
    </w:p>
    <w:p w14:paraId="0CB3061B">
      <w:pPr>
        <w:keepNext w:val="0"/>
        <w:keepLines w:val="0"/>
        <w:pageBreakBefore w:val="0"/>
        <w:widowControl/>
        <w:kinsoku/>
        <w:wordWrap/>
        <w:overflowPunct/>
        <w:topLinePunct w:val="0"/>
        <w:bidi w:val="0"/>
        <w:adjustRightInd/>
        <w:snapToGrid/>
        <w:spacing w:line="600" w:lineRule="exact"/>
        <w:ind w:firstLine="640" w:firstLineChars="200"/>
        <w:textAlignment w:val="auto"/>
        <w:rPr>
          <w:rFonts w:ascii="微软雅黑" w:hAnsi="微软雅黑" w:eastAsia="微软雅黑" w:cs="微软雅黑"/>
          <w:color w:val="0000FF"/>
          <w:sz w:val="32"/>
          <w:u w:val="single"/>
        </w:rPr>
      </w:pPr>
      <w:r>
        <w:rPr>
          <w:rFonts w:hint="eastAsia" w:ascii="微软雅黑" w:hAnsi="微软雅黑" w:eastAsia="微软雅黑" w:cs="微软雅黑"/>
          <w:color w:val="auto"/>
          <w:kern w:val="0"/>
          <w:sz w:val="32"/>
          <w:szCs w:val="32"/>
        </w:rPr>
        <w:t>2026年度本单位未计划处置或新增车辆、设备等。</w:t>
      </w:r>
    </w:p>
    <w:p w14:paraId="76DA3F3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lang w:eastAsia="zh-CN"/>
        </w:rPr>
      </w:pPr>
      <w:r>
        <w:rPr>
          <w:rFonts w:hint="eastAsia" w:ascii="微软雅黑" w:hAnsi="微软雅黑" w:eastAsia="微软雅黑" w:cs="微软雅黑"/>
          <w:b/>
          <w:bCs/>
          <w:kern w:val="0"/>
          <w:sz w:val="32"/>
          <w:szCs w:val="32"/>
          <w:lang w:eastAsia="zh-CN"/>
        </w:rPr>
        <w:t>（六）预算绩效</w:t>
      </w:r>
      <w:r>
        <w:rPr>
          <w:rFonts w:hint="eastAsia" w:ascii="微软雅黑" w:hAnsi="微软雅黑" w:eastAsia="微软雅黑" w:cs="微软雅黑"/>
          <w:b/>
          <w:bCs/>
          <w:kern w:val="0"/>
          <w:sz w:val="32"/>
          <w:szCs w:val="32"/>
          <w:lang w:val="en-US" w:eastAsia="zh-CN"/>
        </w:rPr>
        <w:t>目标</w:t>
      </w:r>
      <w:r>
        <w:rPr>
          <w:rFonts w:hint="eastAsia" w:ascii="微软雅黑" w:hAnsi="微软雅黑" w:eastAsia="微软雅黑" w:cs="微软雅黑"/>
          <w:b/>
          <w:bCs/>
          <w:kern w:val="0"/>
          <w:sz w:val="32"/>
          <w:szCs w:val="32"/>
          <w:lang w:eastAsia="zh-CN"/>
        </w:rPr>
        <w:t>说明</w:t>
      </w:r>
    </w:p>
    <w:p w14:paraId="0696A704">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color w:val="auto"/>
          <w:kern w:val="0"/>
          <w:sz w:val="32"/>
          <w:szCs w:val="32"/>
          <w:lang w:eastAsia="zh-CN"/>
        </w:rPr>
      </w:pPr>
      <w:r>
        <w:rPr>
          <w:rFonts w:hint="eastAsia" w:ascii="微软雅黑" w:hAnsi="微软雅黑" w:eastAsia="微软雅黑" w:cs="微软雅黑"/>
          <w:bCs/>
          <w:kern w:val="0"/>
          <w:sz w:val="32"/>
          <w:szCs w:val="32"/>
          <w:lang w:eastAsia="zh-CN"/>
        </w:rPr>
        <w:t>本单位</w:t>
      </w:r>
      <w:r>
        <w:rPr>
          <w:rFonts w:hint="eastAsia" w:ascii="微软雅黑" w:hAnsi="微软雅黑" w:eastAsia="微软雅黑" w:cs="微软雅黑"/>
          <w:bCs/>
          <w:kern w:val="0"/>
          <w:sz w:val="32"/>
          <w:szCs w:val="32"/>
        </w:rPr>
        <w:t>所有支出实行绩效目标管理。纳入</w:t>
      </w:r>
      <w:r>
        <w:rPr>
          <w:rFonts w:hint="eastAsia" w:ascii="微软雅黑" w:hAnsi="微软雅黑" w:eastAsia="微软雅黑" w:cs="微软雅黑"/>
          <w:bCs/>
          <w:kern w:val="0"/>
          <w:sz w:val="32"/>
          <w:szCs w:val="32"/>
          <w:lang w:eastAsia="zh-CN"/>
        </w:rPr>
        <w:t>2026</w:t>
      </w:r>
      <w:r>
        <w:rPr>
          <w:rFonts w:ascii="微软雅黑" w:hAnsi="微软雅黑" w:eastAsia="微软雅黑" w:cs="微软雅黑"/>
          <w:sz w:val="32"/>
        </w:rPr>
        <w:t>年单位</w:t>
      </w:r>
      <w:r>
        <w:rPr>
          <w:rFonts w:hint="eastAsia" w:ascii="微软雅黑" w:hAnsi="微软雅黑" w:eastAsia="微软雅黑" w:cs="微软雅黑"/>
          <w:bCs/>
          <w:kern w:val="0"/>
          <w:sz w:val="32"/>
          <w:szCs w:val="32"/>
        </w:rPr>
        <w:t>整体支出绩效目标的金额为</w:t>
      </w:r>
      <w:r>
        <w:rPr>
          <w:rFonts w:hint="eastAsia" w:ascii="微软雅黑" w:hAnsi="微软雅黑" w:eastAsia="微软雅黑" w:cs="微软雅黑"/>
          <w:kern w:val="0"/>
          <w:sz w:val="32"/>
          <w:szCs w:val="32"/>
          <w:lang w:val="en-US" w:eastAsia="zh-CN"/>
        </w:rPr>
        <w:t>3,564.52</w:t>
      </w:r>
      <w:r>
        <w:rPr>
          <w:rFonts w:hint="eastAsia" w:ascii="微软雅黑" w:hAnsi="微软雅黑" w:eastAsia="微软雅黑" w:cs="微软雅黑"/>
          <w:bCs/>
          <w:kern w:val="0"/>
          <w:sz w:val="32"/>
          <w:szCs w:val="32"/>
        </w:rPr>
        <w:t>万元，其中，基本支出</w:t>
      </w:r>
      <w:r>
        <w:rPr>
          <w:rFonts w:hint="eastAsia" w:ascii="微软雅黑" w:hAnsi="微软雅黑" w:eastAsia="微软雅黑" w:cs="微软雅黑"/>
          <w:sz w:val="32"/>
          <w:szCs w:val="32"/>
          <w:u w:val="none"/>
          <w:lang w:val="en-US" w:eastAsia="zh-CN"/>
        </w:rPr>
        <w:t>813.52</w:t>
      </w:r>
      <w:r>
        <w:rPr>
          <w:rFonts w:hint="eastAsia" w:ascii="微软雅黑" w:hAnsi="微软雅黑" w:eastAsia="微软雅黑" w:cs="微软雅黑"/>
          <w:bCs/>
          <w:kern w:val="0"/>
          <w:sz w:val="32"/>
          <w:szCs w:val="32"/>
        </w:rPr>
        <w:t>万元，项目支出</w:t>
      </w:r>
      <w:r>
        <w:rPr>
          <w:rFonts w:hint="eastAsia" w:ascii="微软雅黑" w:hAnsi="微软雅黑" w:eastAsia="微软雅黑" w:cs="微软雅黑"/>
          <w:sz w:val="32"/>
          <w:szCs w:val="32"/>
          <w:u w:val="none"/>
          <w:lang w:val="en-US" w:eastAsia="zh-CN"/>
        </w:rPr>
        <w:t>2,751.00</w:t>
      </w:r>
      <w:r>
        <w:rPr>
          <w:rFonts w:hint="eastAsia" w:ascii="微软雅黑" w:hAnsi="微软雅黑" w:eastAsia="微软雅黑" w:cs="微软雅黑"/>
          <w:bCs/>
          <w:kern w:val="0"/>
          <w:sz w:val="32"/>
          <w:szCs w:val="32"/>
        </w:rPr>
        <w:t>万元，</w:t>
      </w:r>
      <w:r>
        <w:rPr>
          <w:rFonts w:hint="eastAsia" w:ascii="微软雅黑" w:hAnsi="微软雅黑" w:eastAsia="微软雅黑" w:cs="微软雅黑"/>
          <w:color w:val="auto"/>
          <w:kern w:val="0"/>
          <w:sz w:val="32"/>
          <w:szCs w:val="32"/>
          <w:lang w:eastAsia="zh-CN"/>
        </w:rPr>
        <w:t>详见文尾附表中单位预算公开表格的</w:t>
      </w:r>
      <w:r>
        <w:rPr>
          <w:rFonts w:hint="eastAsia" w:ascii="微软雅黑" w:hAnsi="微软雅黑" w:eastAsia="微软雅黑" w:cs="微软雅黑"/>
          <w:color w:val="auto"/>
          <w:kern w:val="0"/>
          <w:sz w:val="32"/>
          <w:szCs w:val="32"/>
          <w:lang w:val="en-US" w:eastAsia="zh-CN"/>
        </w:rPr>
        <w:t>表22-23</w:t>
      </w:r>
      <w:r>
        <w:rPr>
          <w:rFonts w:hint="eastAsia" w:ascii="微软雅黑" w:hAnsi="微软雅黑" w:eastAsia="微软雅黑" w:cs="微软雅黑"/>
          <w:color w:val="auto"/>
          <w:kern w:val="0"/>
          <w:sz w:val="32"/>
          <w:szCs w:val="32"/>
          <w:lang w:eastAsia="zh-CN"/>
        </w:rPr>
        <w:t>。</w:t>
      </w:r>
    </w:p>
    <w:p w14:paraId="1597093C">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b/>
          <w:bCs/>
          <w:kern w:val="0"/>
          <w:sz w:val="32"/>
          <w:szCs w:val="32"/>
        </w:rPr>
      </w:pPr>
      <w:r>
        <w:rPr>
          <w:rFonts w:hint="eastAsia" w:ascii="微软雅黑" w:hAnsi="微软雅黑" w:eastAsia="微软雅黑" w:cs="微软雅黑"/>
          <w:b/>
          <w:bCs/>
          <w:kern w:val="0"/>
          <w:sz w:val="32"/>
          <w:szCs w:val="32"/>
          <w:lang w:val="en-US" w:eastAsia="zh-CN"/>
        </w:rPr>
        <w:t>六</w:t>
      </w:r>
      <w:r>
        <w:rPr>
          <w:rFonts w:hint="eastAsia" w:ascii="微软雅黑" w:hAnsi="微软雅黑" w:eastAsia="微软雅黑" w:cs="微软雅黑"/>
          <w:b/>
          <w:bCs/>
          <w:kern w:val="0"/>
          <w:sz w:val="32"/>
          <w:szCs w:val="32"/>
        </w:rPr>
        <w:t>、名词解释</w:t>
      </w:r>
    </w:p>
    <w:p w14:paraId="2F59C531">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eastAsia="zh-CN"/>
        </w:rPr>
      </w:pPr>
      <w:r>
        <w:rPr>
          <w:rFonts w:hint="eastAsia" w:ascii="微软雅黑" w:hAnsi="微软雅黑" w:eastAsia="微软雅黑" w:cs="微软雅黑"/>
          <w:kern w:val="0"/>
          <w:sz w:val="32"/>
          <w:szCs w:val="32"/>
        </w:rPr>
        <w:t>1、机关运行经费：是指各</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的公用经费，包括办公及印刷费、邮电费、差旅费、会议费、福利费、日常维修费、专用资料及一般设备购置费、办公用房水电费、办公用房取暖费、办公用房物业管理费、公务用车运行维护费以及其他费用。</w:t>
      </w:r>
    </w:p>
    <w:p w14:paraId="341B1EA6">
      <w:pPr>
        <w:keepNext w:val="0"/>
        <w:keepLines w:val="0"/>
        <w:pageBreakBefore w:val="0"/>
        <w:widowControl/>
        <w:kinsoku/>
        <w:wordWrap/>
        <w:overflowPunct/>
        <w:topLinePunct w:val="0"/>
        <w:bidi w:val="0"/>
        <w:adjustRightInd/>
        <w:snapToGrid/>
        <w:spacing w:line="600" w:lineRule="exact"/>
        <w:ind w:firstLine="640" w:firstLineChars="200"/>
        <w:textAlignment w:val="auto"/>
        <w:rPr>
          <w:rFonts w:hint="eastAsia" w:ascii="微软雅黑" w:hAnsi="微软雅黑" w:eastAsia="微软雅黑" w:cs="微软雅黑"/>
          <w:kern w:val="0"/>
          <w:sz w:val="32"/>
          <w:szCs w:val="32"/>
          <w:lang w:val="en-US" w:eastAsia="zh-CN"/>
        </w:rPr>
      </w:pPr>
      <w:r>
        <w:rPr>
          <w:rFonts w:hint="eastAsia" w:ascii="微软雅黑" w:hAnsi="微软雅黑" w:eastAsia="微软雅黑" w:cs="微软雅黑"/>
          <w:kern w:val="0"/>
          <w:sz w:val="32"/>
          <w:szCs w:val="32"/>
        </w:rPr>
        <w:t>2、“三公”经费：纳入财政预算管理的“三公“经费，是指用一般公共预算拨款安排的公务接待费、公务用车购置及运行维护费和因公出国（境）费。其中，公务接待费反映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按规定开支的各类公务接待支出；公务用车购置及运行费反映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公务用车车辆购置支出（含车辆购置税），以及燃料费、维修费、保险费等支出；因公出国（境）费反映</w:t>
      </w:r>
      <w:r>
        <w:rPr>
          <w:rFonts w:hint="eastAsia" w:ascii="微软雅黑" w:hAnsi="微软雅黑" w:eastAsia="微软雅黑" w:cs="微软雅黑"/>
          <w:kern w:val="0"/>
          <w:sz w:val="32"/>
          <w:szCs w:val="32"/>
          <w:lang w:eastAsia="zh-CN"/>
        </w:rPr>
        <w:t>单位</w:t>
      </w:r>
      <w:r>
        <w:rPr>
          <w:rFonts w:hint="eastAsia" w:ascii="微软雅黑" w:hAnsi="微软雅黑" w:eastAsia="微软雅黑" w:cs="微软雅黑"/>
          <w:kern w:val="0"/>
          <w:sz w:val="32"/>
          <w:szCs w:val="32"/>
        </w:rPr>
        <w:t>公务出国（境）的国际旅费、国外城市间交通费、食宿费等支出。</w:t>
      </w:r>
      <w:r>
        <w:rPr>
          <w:rFonts w:hint="eastAsia" w:ascii="微软雅黑" w:hAnsi="微软雅黑" w:eastAsia="微软雅黑" w:cs="微软雅黑"/>
          <w:kern w:val="0"/>
          <w:sz w:val="32"/>
          <w:szCs w:val="32"/>
          <w:lang w:val="en-US" w:eastAsia="zh-CN"/>
        </w:rPr>
        <w:t xml:space="preserve">               </w:t>
      </w:r>
    </w:p>
    <w:p w14:paraId="76405EA4">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kern w:val="0"/>
          <w:sz w:val="32"/>
          <w:szCs w:val="32"/>
        </w:rPr>
        <w:br w:type="page"/>
      </w:r>
      <w:r>
        <w:rPr>
          <w:rFonts w:hint="eastAsia" w:ascii="微软雅黑" w:hAnsi="微软雅黑" w:eastAsia="微软雅黑" w:cs="微软雅黑"/>
          <w:b/>
          <w:bCs/>
          <w:kern w:val="0"/>
          <w:sz w:val="32"/>
          <w:szCs w:val="32"/>
        </w:rPr>
        <w:t>第二部分</w:t>
      </w:r>
      <w:r>
        <w:rPr>
          <w:rFonts w:hint="eastAsia" w:ascii="微软雅黑" w:hAnsi="微软雅黑" w:eastAsia="微软雅黑" w:cs="微软雅黑"/>
          <w:b/>
          <w:bCs/>
          <w:kern w:val="0"/>
          <w:sz w:val="32"/>
          <w:szCs w:val="32"/>
          <w:lang w:val="en-US" w:eastAsia="zh-CN"/>
        </w:rPr>
        <w:t xml:space="preserve">  </w:t>
      </w:r>
      <w:r>
        <w:rPr>
          <w:rFonts w:hint="eastAsia" w:ascii="微软雅黑" w:hAnsi="微软雅黑" w:eastAsia="微软雅黑" w:cs="微软雅黑"/>
          <w:b/>
          <w:bCs/>
          <w:kern w:val="0"/>
          <w:sz w:val="32"/>
          <w:szCs w:val="32"/>
          <w:lang w:eastAsia="zh-CN"/>
        </w:rPr>
        <w:t>单位预算</w:t>
      </w:r>
      <w:r>
        <w:rPr>
          <w:rFonts w:hint="eastAsia" w:ascii="微软雅黑" w:hAnsi="微软雅黑" w:eastAsia="微软雅黑" w:cs="微软雅黑"/>
          <w:b/>
          <w:bCs/>
          <w:kern w:val="0"/>
          <w:sz w:val="32"/>
          <w:szCs w:val="32"/>
          <w:lang w:val="en-US" w:eastAsia="zh-CN"/>
        </w:rPr>
        <w:t>公开</w:t>
      </w:r>
      <w:r>
        <w:rPr>
          <w:rFonts w:hint="eastAsia" w:ascii="微软雅黑" w:hAnsi="微软雅黑" w:eastAsia="微软雅黑" w:cs="微软雅黑"/>
          <w:b/>
          <w:bCs/>
          <w:kern w:val="0"/>
          <w:sz w:val="32"/>
          <w:szCs w:val="32"/>
        </w:rPr>
        <w:t>表</w:t>
      </w:r>
      <w:r>
        <w:rPr>
          <w:rFonts w:hint="eastAsia" w:ascii="微软雅黑" w:hAnsi="微软雅黑" w:eastAsia="微软雅黑" w:cs="微软雅黑"/>
          <w:b/>
          <w:bCs/>
          <w:kern w:val="0"/>
          <w:sz w:val="32"/>
          <w:szCs w:val="32"/>
          <w:lang w:val="en-US" w:eastAsia="zh-CN"/>
        </w:rPr>
        <w:t>格</w:t>
      </w:r>
    </w:p>
    <w:p w14:paraId="5B995311">
      <w:pPr>
        <w:keepNext w:val="0"/>
        <w:keepLines w:val="0"/>
        <w:pageBreakBefore w:val="0"/>
        <w:widowControl/>
        <w:kinsoku/>
        <w:wordWrap/>
        <w:overflowPunct/>
        <w:topLinePunct w:val="0"/>
        <w:bidi w:val="0"/>
        <w:adjustRightInd/>
        <w:snapToGrid/>
        <w:spacing w:line="600" w:lineRule="exact"/>
        <w:jc w:val="center"/>
        <w:textAlignment w:val="auto"/>
        <w:rPr>
          <w:rFonts w:hint="eastAsia" w:ascii="微软雅黑" w:hAnsi="微软雅黑" w:eastAsia="微软雅黑" w:cs="微软雅黑"/>
          <w:b/>
          <w:bCs/>
          <w:kern w:val="0"/>
          <w:sz w:val="32"/>
          <w:szCs w:val="32"/>
          <w:lang w:val="en-US" w:eastAsia="zh-CN"/>
        </w:rPr>
      </w:pPr>
      <w:r>
        <w:rPr>
          <w:rFonts w:hint="eastAsia" w:ascii="微软雅黑" w:hAnsi="微软雅黑" w:eastAsia="微软雅黑" w:cs="微软雅黑"/>
          <w:b/>
          <w:bCs/>
          <w:kern w:val="0"/>
          <w:sz w:val="32"/>
          <w:szCs w:val="32"/>
          <w:lang w:eastAsia="zh-CN"/>
        </w:rPr>
        <w:t>附件：</w:t>
      </w:r>
      <w:r>
        <w:rPr>
          <w:rFonts w:hint="eastAsia" w:ascii="微软雅黑" w:hAnsi="微软雅黑" w:eastAsia="微软雅黑" w:cs="微软雅黑"/>
          <w:b/>
          <w:bCs/>
          <w:kern w:val="0"/>
          <w:sz w:val="32"/>
          <w:szCs w:val="32"/>
          <w:lang w:val="en-US" w:eastAsia="zh-CN"/>
        </w:rPr>
        <w:t>岳阳县卫生健康局</w:t>
      </w:r>
      <w:r>
        <w:rPr>
          <w:rFonts w:ascii="微软雅黑" w:hAnsi="微软雅黑" w:eastAsia="微软雅黑" w:cs="微软雅黑"/>
          <w:b/>
          <w:sz w:val="32"/>
        </w:rPr>
        <w:t>单位预算公开表格</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1" w:fontKey="{42A6AEAA-F286-4B8F-BEB4-2E5CBB4D7D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58690">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5CEA9">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6E5B0">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4E277">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1DE30">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59DDD">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0NWU4NzA0NTBhNzIxMGYxNjdhYzgyZTJkYTk0YzAifQ=="/>
    <w:docVar w:name="KSO_WPS_MARK_KEY" w:val="4ec26934-afcf-48b4-991b-b93945f8c5dd"/>
  </w:docVars>
  <w:rsids>
    <w:rsidRoot w:val="00CA5057"/>
    <w:rsid w:val="00001697"/>
    <w:rsid w:val="000034D6"/>
    <w:rsid w:val="0006270B"/>
    <w:rsid w:val="00065DA2"/>
    <w:rsid w:val="00117900"/>
    <w:rsid w:val="001336FC"/>
    <w:rsid w:val="00193395"/>
    <w:rsid w:val="001A0136"/>
    <w:rsid w:val="001A3382"/>
    <w:rsid w:val="001A3861"/>
    <w:rsid w:val="001A6377"/>
    <w:rsid w:val="001C6E63"/>
    <w:rsid w:val="001D154A"/>
    <w:rsid w:val="001F365A"/>
    <w:rsid w:val="00203B0A"/>
    <w:rsid w:val="0025517E"/>
    <w:rsid w:val="00270E85"/>
    <w:rsid w:val="002B0968"/>
    <w:rsid w:val="002C117B"/>
    <w:rsid w:val="002F5747"/>
    <w:rsid w:val="002F57F8"/>
    <w:rsid w:val="00344D3D"/>
    <w:rsid w:val="003457B4"/>
    <w:rsid w:val="00355284"/>
    <w:rsid w:val="003C0AE2"/>
    <w:rsid w:val="003C0E16"/>
    <w:rsid w:val="003C62F5"/>
    <w:rsid w:val="003E6642"/>
    <w:rsid w:val="00452611"/>
    <w:rsid w:val="00464A20"/>
    <w:rsid w:val="00466617"/>
    <w:rsid w:val="004711E9"/>
    <w:rsid w:val="00490880"/>
    <w:rsid w:val="0049696B"/>
    <w:rsid w:val="004A0D4C"/>
    <w:rsid w:val="004A798F"/>
    <w:rsid w:val="004B4F1A"/>
    <w:rsid w:val="004B766D"/>
    <w:rsid w:val="004D0879"/>
    <w:rsid w:val="004E302C"/>
    <w:rsid w:val="0054440F"/>
    <w:rsid w:val="005E6320"/>
    <w:rsid w:val="006137D9"/>
    <w:rsid w:val="00617392"/>
    <w:rsid w:val="00637664"/>
    <w:rsid w:val="00687143"/>
    <w:rsid w:val="00695750"/>
    <w:rsid w:val="006C1259"/>
    <w:rsid w:val="006E013D"/>
    <w:rsid w:val="006E335E"/>
    <w:rsid w:val="006F2FD2"/>
    <w:rsid w:val="00714685"/>
    <w:rsid w:val="00754296"/>
    <w:rsid w:val="00755471"/>
    <w:rsid w:val="007B0161"/>
    <w:rsid w:val="007C48A3"/>
    <w:rsid w:val="00812DE3"/>
    <w:rsid w:val="00832EBB"/>
    <w:rsid w:val="008459F5"/>
    <w:rsid w:val="008511BD"/>
    <w:rsid w:val="00854FCA"/>
    <w:rsid w:val="0085589C"/>
    <w:rsid w:val="008827C7"/>
    <w:rsid w:val="00893563"/>
    <w:rsid w:val="008974A0"/>
    <w:rsid w:val="008C1057"/>
    <w:rsid w:val="008E61DB"/>
    <w:rsid w:val="008E6571"/>
    <w:rsid w:val="009143CB"/>
    <w:rsid w:val="0093410B"/>
    <w:rsid w:val="00990520"/>
    <w:rsid w:val="00995AF1"/>
    <w:rsid w:val="009D1CA3"/>
    <w:rsid w:val="009D450C"/>
    <w:rsid w:val="009E5041"/>
    <w:rsid w:val="009E7921"/>
    <w:rsid w:val="00A0350C"/>
    <w:rsid w:val="00A03C0E"/>
    <w:rsid w:val="00A867C6"/>
    <w:rsid w:val="00AA481C"/>
    <w:rsid w:val="00AB576D"/>
    <w:rsid w:val="00AB6861"/>
    <w:rsid w:val="00AC160E"/>
    <w:rsid w:val="00B0403C"/>
    <w:rsid w:val="00B21CBD"/>
    <w:rsid w:val="00B366B4"/>
    <w:rsid w:val="00B82665"/>
    <w:rsid w:val="00BC04D7"/>
    <w:rsid w:val="00BE4229"/>
    <w:rsid w:val="00BF5A08"/>
    <w:rsid w:val="00C36022"/>
    <w:rsid w:val="00C5316A"/>
    <w:rsid w:val="00CA5057"/>
    <w:rsid w:val="00CB1E6F"/>
    <w:rsid w:val="00CB5C8F"/>
    <w:rsid w:val="00CF2BA3"/>
    <w:rsid w:val="00D1730A"/>
    <w:rsid w:val="00D279D7"/>
    <w:rsid w:val="00D60DAB"/>
    <w:rsid w:val="00D75CFA"/>
    <w:rsid w:val="00D84D40"/>
    <w:rsid w:val="00D96317"/>
    <w:rsid w:val="00DB63BF"/>
    <w:rsid w:val="00DD2BA7"/>
    <w:rsid w:val="00DD573A"/>
    <w:rsid w:val="00E01BD5"/>
    <w:rsid w:val="00E179D0"/>
    <w:rsid w:val="00E24DC7"/>
    <w:rsid w:val="00E419D9"/>
    <w:rsid w:val="00E5547E"/>
    <w:rsid w:val="00E75085"/>
    <w:rsid w:val="00EA5C43"/>
    <w:rsid w:val="00EC052E"/>
    <w:rsid w:val="00F05F5B"/>
    <w:rsid w:val="00F06D7F"/>
    <w:rsid w:val="00F078E9"/>
    <w:rsid w:val="00F24836"/>
    <w:rsid w:val="00F36C19"/>
    <w:rsid w:val="00F74B02"/>
    <w:rsid w:val="00FB0434"/>
    <w:rsid w:val="00FB1B41"/>
    <w:rsid w:val="00FB3CC9"/>
    <w:rsid w:val="00FE2E8C"/>
    <w:rsid w:val="02DF562C"/>
    <w:rsid w:val="032D48E5"/>
    <w:rsid w:val="039837D0"/>
    <w:rsid w:val="04497920"/>
    <w:rsid w:val="066C559F"/>
    <w:rsid w:val="069419C6"/>
    <w:rsid w:val="08281851"/>
    <w:rsid w:val="0AF15A72"/>
    <w:rsid w:val="0B422D73"/>
    <w:rsid w:val="0C0C6008"/>
    <w:rsid w:val="0C4F7AFC"/>
    <w:rsid w:val="0D5B6622"/>
    <w:rsid w:val="0E064421"/>
    <w:rsid w:val="0E3715D1"/>
    <w:rsid w:val="0ED234CD"/>
    <w:rsid w:val="0F654CC7"/>
    <w:rsid w:val="0F9E0A26"/>
    <w:rsid w:val="13422421"/>
    <w:rsid w:val="14903A2F"/>
    <w:rsid w:val="15D9563A"/>
    <w:rsid w:val="1887053C"/>
    <w:rsid w:val="19420C90"/>
    <w:rsid w:val="19D5374E"/>
    <w:rsid w:val="1AC31CB7"/>
    <w:rsid w:val="1BEF6124"/>
    <w:rsid w:val="1EAD2225"/>
    <w:rsid w:val="1F1F1226"/>
    <w:rsid w:val="1FE364B7"/>
    <w:rsid w:val="23354639"/>
    <w:rsid w:val="26570D53"/>
    <w:rsid w:val="27D848B8"/>
    <w:rsid w:val="29BD1AEA"/>
    <w:rsid w:val="2CDB483B"/>
    <w:rsid w:val="2FC40521"/>
    <w:rsid w:val="3405688C"/>
    <w:rsid w:val="34183798"/>
    <w:rsid w:val="34E11E02"/>
    <w:rsid w:val="388764A3"/>
    <w:rsid w:val="39385431"/>
    <w:rsid w:val="395D152B"/>
    <w:rsid w:val="3BC82B6A"/>
    <w:rsid w:val="3D3B56F0"/>
    <w:rsid w:val="3E4D3BDD"/>
    <w:rsid w:val="3EEE1748"/>
    <w:rsid w:val="3FCF3ECE"/>
    <w:rsid w:val="41DA7DB9"/>
    <w:rsid w:val="447637E8"/>
    <w:rsid w:val="46814786"/>
    <w:rsid w:val="49EF4858"/>
    <w:rsid w:val="4AE9742D"/>
    <w:rsid w:val="4BA67C06"/>
    <w:rsid w:val="4CA46ED7"/>
    <w:rsid w:val="4D013E21"/>
    <w:rsid w:val="4D8D7228"/>
    <w:rsid w:val="4DDD2C7F"/>
    <w:rsid w:val="4F1826FF"/>
    <w:rsid w:val="500E4FCB"/>
    <w:rsid w:val="506C2AB0"/>
    <w:rsid w:val="53344C63"/>
    <w:rsid w:val="538751CC"/>
    <w:rsid w:val="541F5763"/>
    <w:rsid w:val="54E30327"/>
    <w:rsid w:val="55295806"/>
    <w:rsid w:val="55D3446A"/>
    <w:rsid w:val="593F63D3"/>
    <w:rsid w:val="598D36CC"/>
    <w:rsid w:val="5B3C060A"/>
    <w:rsid w:val="5B423ECD"/>
    <w:rsid w:val="5CDA4DA9"/>
    <w:rsid w:val="5D3513BC"/>
    <w:rsid w:val="5E280101"/>
    <w:rsid w:val="62820F98"/>
    <w:rsid w:val="62873CEC"/>
    <w:rsid w:val="64035B71"/>
    <w:rsid w:val="64DB31B9"/>
    <w:rsid w:val="681842B0"/>
    <w:rsid w:val="6AE87D9C"/>
    <w:rsid w:val="6C0C65CB"/>
    <w:rsid w:val="6D2154B9"/>
    <w:rsid w:val="6F8561D3"/>
    <w:rsid w:val="6F8D2902"/>
    <w:rsid w:val="70271B5B"/>
    <w:rsid w:val="70845F00"/>
    <w:rsid w:val="71AC0C24"/>
    <w:rsid w:val="73DE3EA6"/>
    <w:rsid w:val="773C67F0"/>
    <w:rsid w:val="7D397CC1"/>
    <w:rsid w:val="7DFA5EB0"/>
    <w:rsid w:val="7E3E73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after="200" w:line="276" w:lineRule="auto"/>
    </w:pPr>
    <w:rPr>
      <w:rFonts w:ascii="Arial" w:hAnsi="Arial"/>
      <w:sz w:val="24"/>
    </w:rPr>
  </w:style>
  <w:style w:type="paragraph" w:styleId="3">
    <w:name w:val="Body Text"/>
    <w:basedOn w:val="1"/>
    <w:link w:val="11"/>
    <w:qFormat/>
    <w:uiPriority w:val="0"/>
    <w:pPr>
      <w:spacing w:after="120"/>
    </w:pPr>
  </w:style>
  <w:style w:type="paragraph" w:styleId="4">
    <w:name w:val="Date"/>
    <w:basedOn w:val="1"/>
    <w:next w:val="1"/>
    <w:link w:val="12"/>
    <w:qFormat/>
    <w:uiPriority w:val="0"/>
    <w:pPr>
      <w:ind w:left="100" w:leftChars="2500"/>
    </w:pPr>
  </w:style>
  <w:style w:type="paragraph" w:styleId="5">
    <w:name w:val="Balloon Text"/>
    <w:basedOn w:val="1"/>
    <w:link w:val="13"/>
    <w:semiHidden/>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1">
    <w:name w:val="Body Text Char"/>
    <w:basedOn w:val="10"/>
    <w:link w:val="3"/>
    <w:qFormat/>
    <w:locked/>
    <w:uiPriority w:val="0"/>
    <w:rPr>
      <w:rFonts w:eastAsia="宋体"/>
      <w:kern w:val="2"/>
      <w:sz w:val="21"/>
      <w:szCs w:val="21"/>
      <w:lang w:val="en-US" w:eastAsia="zh-CN" w:bidi="ar-SA"/>
    </w:rPr>
  </w:style>
  <w:style w:type="character" w:customStyle="1" w:styleId="12">
    <w:name w:val="Date Char"/>
    <w:basedOn w:val="10"/>
    <w:link w:val="4"/>
    <w:qFormat/>
    <w:locked/>
    <w:uiPriority w:val="0"/>
    <w:rPr>
      <w:rFonts w:eastAsia="宋体"/>
      <w:kern w:val="2"/>
      <w:sz w:val="21"/>
      <w:szCs w:val="21"/>
      <w:lang w:val="en-US" w:eastAsia="zh-CN" w:bidi="ar-SA"/>
    </w:rPr>
  </w:style>
  <w:style w:type="character" w:customStyle="1" w:styleId="13">
    <w:name w:val="Balloon Text Char"/>
    <w:basedOn w:val="10"/>
    <w:link w:val="5"/>
    <w:qFormat/>
    <w:locked/>
    <w:uiPriority w:val="0"/>
    <w:rPr>
      <w:rFonts w:eastAsia="宋体"/>
      <w:kern w:val="2"/>
      <w:sz w:val="18"/>
      <w:szCs w:val="18"/>
      <w:lang w:val="en-US" w:eastAsia="zh-CN" w:bidi="ar-SA"/>
    </w:rPr>
  </w:style>
  <w:style w:type="character" w:customStyle="1" w:styleId="14">
    <w:name w:val="Footer Char"/>
    <w:basedOn w:val="10"/>
    <w:link w:val="6"/>
    <w:qFormat/>
    <w:locked/>
    <w:uiPriority w:val="0"/>
    <w:rPr>
      <w:rFonts w:eastAsia="宋体"/>
      <w:kern w:val="2"/>
      <w:sz w:val="18"/>
      <w:szCs w:val="18"/>
      <w:lang w:val="en-US" w:eastAsia="zh-CN" w:bidi="ar-SA"/>
    </w:rPr>
  </w:style>
  <w:style w:type="character" w:customStyle="1" w:styleId="15">
    <w:name w:val="Header Char"/>
    <w:basedOn w:val="10"/>
    <w:link w:val="7"/>
    <w:qFormat/>
    <w:locked/>
    <w:uiPriority w:val="0"/>
    <w:rPr>
      <w:rFonts w:eastAsia="宋体"/>
      <w:kern w:val="2"/>
      <w:sz w:val="18"/>
      <w:szCs w:val="18"/>
      <w:lang w:val="en-US" w:eastAsia="zh-CN" w:bidi="ar-SA"/>
    </w:rPr>
  </w:style>
  <w:style w:type="paragraph" w:customStyle="1" w:styleId="16">
    <w:name w:val="表格内容"/>
    <w:basedOn w:val="3"/>
    <w:qFormat/>
    <w:uiPriority w:val="0"/>
    <w:pPr>
      <w:suppressLineNumbers/>
      <w:suppressAutoHyphens/>
      <w:jc w:val="left"/>
    </w:pPr>
    <w:rPr>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Corporation</Company>
  <Pages>4</Pages>
  <Words>4150</Words>
  <Characters>4435</Characters>
  <Lines>38</Lines>
  <Paragraphs>10</Paragraphs>
  <TotalTime>5</TotalTime>
  <ScaleCrop>false</ScaleCrop>
  <LinksUpToDate>false</LinksUpToDate>
  <CharactersWithSpaces>4459</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2018-08-09T00:21:00Z</dcterms:created>
  <dc:creator>周继恩 10.105.113.143</dc:creator>
  <cp:lastModifiedBy>彭杰锋</cp:lastModifiedBy>
  <cp:lastPrinted>2019-05-05T07:55:00Z</cp:lastPrinted>
  <dcterms:modified xsi:type="dcterms:W3CDTF">2026-07-29T08:05:49Z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CA88FE87EC5C4F73A7E37DAFC2D5A671_13</vt:lpwstr>
  </property>
  <property fmtid="{D5CDD505-2E9C-101B-9397-08002B2CF9AE}" pid="4" name="KSOTemplateDocerSaveRecord">
    <vt:lpwstr>eyJoZGlkIjoiNTViYTZiMDAwNGJkMGExMGQ4YjUwN2M4YTYzMzA5MmMiLCJ1c2VySWQiOiIxOTAzMTk5NzIifQ==</vt:lpwstr>
  </property>
</Properties>
</file>