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2E958">
      <w:pPr>
        <w:rPr>
          <w:rFonts w:hint="eastAsia" w:eastAsia="仿宋_GB2312"/>
          <w:color w:val="auto"/>
          <w:sz w:val="36"/>
          <w:szCs w:val="36"/>
        </w:rPr>
      </w:pPr>
      <w:bookmarkStart w:id="0" w:name="OLE_LINK148"/>
      <w:bookmarkStart w:id="1" w:name="_Toc5342_WPSOffice_Level1"/>
      <w:bookmarkStart w:id="2" w:name="_Toc2507"/>
      <w:r>
        <w:rPr>
          <w:rFonts w:hint="eastAsia" w:ascii="Times New Roman" w:hAnsi="Times New Roman" w:eastAsia="宋体" w:cs="Times New Roman"/>
          <w:b/>
          <w:caps w:val="0"/>
          <w:color w:val="auto"/>
          <w:spacing w:val="0"/>
          <w:w w:val="100"/>
          <w:sz w:val="24"/>
          <w:szCs w:val="24"/>
          <w:highlight w:val="none"/>
          <w:u w:val="none" w:color="auto"/>
          <w:vertAlign w:val="baseline"/>
          <w:lang w:eastAsia="zh-CN"/>
        </w:rPr>
        <w:drawing>
          <wp:anchor distT="0" distB="0" distL="114300" distR="114300" simplePos="0" relativeHeight="251661312" behindDoc="1" locked="0" layoutInCell="1" allowOverlap="1">
            <wp:simplePos x="0" y="0"/>
            <wp:positionH relativeFrom="column">
              <wp:posOffset>-106680</wp:posOffset>
            </wp:positionH>
            <wp:positionV relativeFrom="paragraph">
              <wp:posOffset>118110</wp:posOffset>
            </wp:positionV>
            <wp:extent cx="1442085" cy="623570"/>
            <wp:effectExtent l="0" t="0" r="5715" b="5080"/>
            <wp:wrapNone/>
            <wp:docPr id="8" name="图片 8" descr="3faca7730fc5a141746d2129f0f46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faca7730fc5a141746d2129f0f468c"/>
                    <pic:cNvPicPr>
                      <a:picLocks noChangeAspect="1"/>
                    </pic:cNvPicPr>
                  </pic:nvPicPr>
                  <pic:blipFill>
                    <a:blip r:embed="rId9"/>
                    <a:stretch>
                      <a:fillRect/>
                    </a:stretch>
                  </pic:blipFill>
                  <pic:spPr>
                    <a:xfrm>
                      <a:off x="0" y="0"/>
                      <a:ext cx="1442085" cy="623570"/>
                    </a:xfrm>
                    <a:prstGeom prst="rect">
                      <a:avLst/>
                    </a:prstGeom>
                  </pic:spPr>
                </pic:pic>
              </a:graphicData>
            </a:graphic>
          </wp:anchor>
        </w:drawing>
      </w:r>
    </w:p>
    <w:p w14:paraId="6AFBDB0D">
      <w:pPr>
        <w:rPr>
          <w:rFonts w:eastAsia="仿宋_GB2312"/>
          <w:color w:val="auto"/>
          <w:sz w:val="36"/>
          <w:szCs w:val="36"/>
        </w:rPr>
      </w:pPr>
    </w:p>
    <w:p w14:paraId="27969732">
      <w:pPr>
        <w:rPr>
          <w:rFonts w:eastAsia="仿宋_GB2312"/>
          <w:color w:val="auto"/>
          <w:sz w:val="36"/>
          <w:szCs w:val="36"/>
        </w:rPr>
      </w:pPr>
    </w:p>
    <w:p w14:paraId="28AC8235">
      <w:pPr>
        <w:rPr>
          <w:rFonts w:eastAsia="仿宋_GB2312"/>
          <w:color w:val="auto"/>
          <w:sz w:val="36"/>
          <w:szCs w:val="36"/>
        </w:rPr>
      </w:pPr>
    </w:p>
    <w:p w14:paraId="76A71B38">
      <w:pPr>
        <w:bidi w:val="0"/>
        <w:jc w:val="center"/>
        <w:rPr>
          <w:rFonts w:hint="eastAsia"/>
          <w:b/>
          <w:bCs/>
          <w:color w:val="auto"/>
          <w:sz w:val="72"/>
          <w:szCs w:val="72"/>
        </w:rPr>
      </w:pPr>
      <w:bookmarkStart w:id="3" w:name="_Toc5367"/>
      <w:bookmarkStart w:id="4" w:name="OLE_LINK81"/>
      <w:r>
        <w:rPr>
          <w:rFonts w:hint="eastAsia"/>
          <w:b/>
          <w:bCs/>
          <w:color w:val="auto"/>
          <w:sz w:val="72"/>
          <w:szCs w:val="72"/>
        </w:rPr>
        <w:t>建设项目</w:t>
      </w:r>
      <w:r>
        <w:rPr>
          <w:rFonts w:hint="eastAsia"/>
          <w:b/>
          <w:bCs/>
          <w:color w:val="auto"/>
          <w:sz w:val="72"/>
          <w:szCs w:val="72"/>
          <w:lang w:val="en-US" w:eastAsia="zh-CN"/>
        </w:rPr>
        <w:t>生态</w:t>
      </w:r>
      <w:r>
        <w:rPr>
          <w:rFonts w:hint="eastAsia"/>
          <w:b/>
          <w:bCs/>
          <w:color w:val="auto"/>
          <w:sz w:val="72"/>
          <w:szCs w:val="72"/>
        </w:rPr>
        <w:t>环境影响</w:t>
      </w:r>
    </w:p>
    <w:p w14:paraId="446BCBCF">
      <w:pPr>
        <w:bidi w:val="0"/>
        <w:jc w:val="center"/>
        <w:rPr>
          <w:rFonts w:hint="eastAsia"/>
          <w:b/>
          <w:bCs/>
          <w:color w:val="auto"/>
          <w:sz w:val="72"/>
          <w:szCs w:val="72"/>
        </w:rPr>
      </w:pPr>
      <w:r>
        <w:rPr>
          <w:rFonts w:hint="eastAsia"/>
          <w:b/>
          <w:bCs/>
          <w:color w:val="auto"/>
          <w:sz w:val="72"/>
          <w:szCs w:val="72"/>
        </w:rPr>
        <w:t>报告表</w:t>
      </w:r>
      <w:bookmarkEnd w:id="3"/>
    </w:p>
    <w:p w14:paraId="365BDBD7">
      <w:pPr>
        <w:adjustRightInd w:val="0"/>
        <w:snapToGrid w:val="0"/>
        <w:spacing w:before="192" w:beforeLines="80"/>
        <w:jc w:val="center"/>
        <w:rPr>
          <w:rFonts w:hint="eastAsia" w:eastAsia="楷体_GB2312"/>
          <w:bCs/>
          <w:color w:val="auto"/>
          <w:sz w:val="48"/>
          <w:szCs w:val="48"/>
          <w:lang w:val="en-US" w:eastAsia="zh-CN"/>
        </w:rPr>
      </w:pPr>
      <w:r>
        <w:rPr>
          <w:rFonts w:eastAsia="楷体_GB2312"/>
          <w:bCs/>
          <w:color w:val="auto"/>
          <w:sz w:val="48"/>
          <w:szCs w:val="48"/>
        </w:rPr>
        <w:t>（污染影响类）</w:t>
      </w:r>
    </w:p>
    <w:bookmarkEnd w:id="4"/>
    <w:p w14:paraId="4D129EA6">
      <w:pPr>
        <w:adjustRightInd w:val="0"/>
        <w:snapToGrid w:val="0"/>
        <w:spacing w:line="288" w:lineRule="auto"/>
        <w:jc w:val="center"/>
        <w:outlineLvl w:val="9"/>
        <w:rPr>
          <w:rFonts w:eastAsia="华文仿宋"/>
          <w:color w:val="auto"/>
          <w:kern w:val="44"/>
          <w:sz w:val="44"/>
          <w:szCs w:val="44"/>
        </w:rPr>
      </w:pPr>
    </w:p>
    <w:p w14:paraId="58B581D7">
      <w:pPr>
        <w:jc w:val="center"/>
        <w:rPr>
          <w:rFonts w:eastAsia="仿宋"/>
          <w:color w:val="auto"/>
          <w:sz w:val="52"/>
          <w:szCs w:val="52"/>
        </w:rPr>
      </w:pPr>
    </w:p>
    <w:p w14:paraId="66FF5A03">
      <w:pPr>
        <w:rPr>
          <w:rFonts w:eastAsia="仿宋"/>
          <w:color w:val="auto"/>
          <w:sz w:val="44"/>
          <w:szCs w:val="44"/>
        </w:rPr>
      </w:pPr>
    </w:p>
    <w:p w14:paraId="0152B9E5">
      <w:pPr>
        <w:rPr>
          <w:rFonts w:eastAsia="仿宋"/>
          <w:color w:val="auto"/>
          <w:sz w:val="44"/>
          <w:szCs w:val="44"/>
        </w:rPr>
      </w:pPr>
    </w:p>
    <w:p w14:paraId="5338500C">
      <w:pPr>
        <w:rPr>
          <w:rFonts w:eastAsia="仿宋"/>
          <w:color w:val="auto"/>
          <w:sz w:val="44"/>
          <w:szCs w:val="44"/>
        </w:rPr>
      </w:pPr>
    </w:p>
    <w:p w14:paraId="1E75E377">
      <w:pPr>
        <w:pStyle w:val="12"/>
        <w:rPr>
          <w:color w:val="auto"/>
        </w:rPr>
      </w:pPr>
    </w:p>
    <w:p w14:paraId="65456DC2">
      <w:pPr>
        <w:pStyle w:val="12"/>
        <w:rPr>
          <w:color w:val="auto"/>
        </w:rPr>
      </w:pPr>
    </w:p>
    <w:tbl>
      <w:tblPr>
        <w:tblStyle w:val="34"/>
        <w:tblW w:w="9393" w:type="dxa"/>
        <w:tblInd w:w="-33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49"/>
        <w:gridCol w:w="611"/>
        <w:gridCol w:w="886"/>
        <w:gridCol w:w="6047"/>
      </w:tblGrid>
      <w:tr w14:paraId="4A1DB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849" w:type="dxa"/>
            <w:tcBorders>
              <w:tl2br w:val="nil"/>
              <w:tr2bl w:val="nil"/>
            </w:tcBorders>
            <w:noWrap w:val="0"/>
            <w:vAlign w:val="center"/>
          </w:tcPr>
          <w:p w14:paraId="2FD678C9">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仿宋" w:hAnsi="仿宋" w:eastAsia="仿宋" w:cs="仿宋"/>
                <w:b w:val="0"/>
                <w:bCs w:val="0"/>
                <w:color w:val="auto"/>
                <w:sz w:val="36"/>
                <w:szCs w:val="36"/>
                <w:highlight w:val="none"/>
                <w:u w:val="none" w:color="auto"/>
                <w:lang w:eastAsia="zh-CN"/>
              </w:rPr>
            </w:pPr>
            <w:r>
              <w:rPr>
                <w:rFonts w:hint="eastAsia" w:ascii="仿宋" w:hAnsi="仿宋" w:eastAsia="仿宋" w:cs="仿宋"/>
                <w:b w:val="0"/>
                <w:bCs w:val="0"/>
                <w:color w:val="auto"/>
                <w:sz w:val="36"/>
                <w:szCs w:val="36"/>
                <w:highlight w:val="none"/>
                <w:u w:val="none" w:color="auto"/>
                <w:lang w:eastAsia="zh-CN"/>
              </w:rPr>
              <w:t>项目名称：</w:t>
            </w:r>
          </w:p>
        </w:tc>
        <w:tc>
          <w:tcPr>
            <w:tcW w:w="7544" w:type="dxa"/>
            <w:gridSpan w:val="3"/>
            <w:tcBorders>
              <w:tl2br w:val="nil"/>
              <w:tr2bl w:val="nil"/>
            </w:tcBorders>
            <w:noWrap w:val="0"/>
            <w:vAlign w:val="center"/>
          </w:tcPr>
          <w:p w14:paraId="5073F57A">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val="0"/>
                <w:bCs w:val="0"/>
                <w:color w:val="auto"/>
                <w:sz w:val="36"/>
                <w:szCs w:val="36"/>
                <w:highlight w:val="none"/>
                <w:u w:val="none" w:color="auto"/>
                <w:lang w:eastAsia="zh-CN"/>
              </w:rPr>
            </w:pPr>
            <w:r>
              <w:rPr>
                <w:rFonts w:hint="eastAsia" w:ascii="仿宋" w:hAnsi="仿宋" w:eastAsia="仿宋" w:cs="仿宋"/>
                <w:b w:val="0"/>
                <w:bCs w:val="0"/>
                <w:color w:val="auto"/>
                <w:sz w:val="36"/>
                <w:szCs w:val="36"/>
                <w:highlight w:val="none"/>
                <w:u w:val="none" w:color="auto"/>
                <w:lang w:eastAsia="zh-CN"/>
              </w:rPr>
              <w:t>年处置 12 万只报废液化石油气钢瓶项目</w:t>
            </w:r>
          </w:p>
          <w:p w14:paraId="4B97594D">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val="0"/>
                <w:bCs w:val="0"/>
                <w:color w:val="auto"/>
                <w:sz w:val="36"/>
                <w:szCs w:val="36"/>
                <w:highlight w:val="none"/>
                <w:u w:val="none" w:color="auto"/>
                <w:lang w:eastAsia="zh-CN"/>
              </w:rPr>
            </w:pPr>
            <w:r>
              <w:rPr>
                <w:rFonts w:hint="eastAsia" w:ascii="仿宋" w:hAnsi="仿宋" w:eastAsia="仿宋" w:cs="仿宋"/>
                <w:b w:val="0"/>
                <w:bCs w:val="0"/>
                <w:color w:val="auto"/>
                <w:sz w:val="36"/>
                <w:szCs w:val="36"/>
                <w:highlight w:val="none"/>
                <w:u w:val="none" w:color="auto"/>
                <w:lang w:eastAsia="zh-CN"/>
              </w:rPr>
              <w:t>（</w:t>
            </w:r>
            <w:r>
              <w:rPr>
                <w:rFonts w:hint="eastAsia" w:ascii="仿宋" w:hAnsi="仿宋" w:eastAsia="仿宋" w:cs="仿宋"/>
                <w:b w:val="0"/>
                <w:bCs w:val="0"/>
                <w:color w:val="auto"/>
                <w:sz w:val="36"/>
                <w:szCs w:val="36"/>
                <w:highlight w:val="none"/>
                <w:u w:val="none" w:color="auto"/>
                <w:lang w:val="en-US" w:eastAsia="zh-CN"/>
              </w:rPr>
              <w:t>重大变动</w:t>
            </w:r>
            <w:r>
              <w:rPr>
                <w:rFonts w:hint="eastAsia" w:ascii="仿宋" w:hAnsi="仿宋" w:eastAsia="仿宋" w:cs="仿宋"/>
                <w:b w:val="0"/>
                <w:bCs w:val="0"/>
                <w:color w:val="auto"/>
                <w:sz w:val="36"/>
                <w:szCs w:val="36"/>
                <w:highlight w:val="none"/>
                <w:u w:val="none" w:color="auto"/>
                <w:lang w:eastAsia="zh-CN"/>
              </w:rPr>
              <w:t>）</w:t>
            </w:r>
          </w:p>
        </w:tc>
      </w:tr>
      <w:tr w14:paraId="6BFB8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46" w:type="dxa"/>
            <w:gridSpan w:val="3"/>
            <w:tcBorders>
              <w:tl2br w:val="nil"/>
              <w:tr2bl w:val="nil"/>
            </w:tcBorders>
            <w:noWrap w:val="0"/>
            <w:vAlign w:val="center"/>
          </w:tcPr>
          <w:p w14:paraId="151516B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b w:val="0"/>
                <w:bCs w:val="0"/>
                <w:color w:val="auto"/>
                <w:highlight w:val="none"/>
                <w:u w:val="none" w:color="auto"/>
                <w:lang w:eastAsia="zh-CN"/>
              </w:rPr>
            </w:pPr>
            <w:r>
              <w:rPr>
                <w:rFonts w:hint="eastAsia" w:ascii="仿宋" w:hAnsi="仿宋" w:eastAsia="仿宋" w:cs="仿宋"/>
                <w:b w:val="0"/>
                <w:bCs w:val="0"/>
                <w:color w:val="auto"/>
                <w:sz w:val="36"/>
                <w:szCs w:val="36"/>
                <w:highlight w:val="none"/>
                <w:u w:val="none" w:color="auto"/>
              </w:rPr>
              <w:t>建设单位（盖章）</w:t>
            </w:r>
            <w:r>
              <w:rPr>
                <w:rFonts w:hint="eastAsia" w:ascii="仿宋" w:hAnsi="仿宋" w:eastAsia="仿宋" w:cs="仿宋"/>
                <w:b w:val="0"/>
                <w:bCs w:val="0"/>
                <w:color w:val="auto"/>
                <w:sz w:val="36"/>
                <w:szCs w:val="36"/>
                <w:highlight w:val="none"/>
                <w:u w:val="none" w:color="auto"/>
                <w:lang w:eastAsia="zh-CN"/>
              </w:rPr>
              <w:t>：</w:t>
            </w:r>
          </w:p>
        </w:tc>
        <w:tc>
          <w:tcPr>
            <w:tcW w:w="6047" w:type="dxa"/>
            <w:tcBorders>
              <w:tl2br w:val="nil"/>
              <w:tr2bl w:val="nil"/>
            </w:tcBorders>
            <w:noWrap w:val="0"/>
            <w:vAlign w:val="center"/>
          </w:tcPr>
          <w:p w14:paraId="4F599B7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val="0"/>
                <w:bCs w:val="0"/>
                <w:color w:val="auto"/>
                <w:highlight w:val="none"/>
                <w:u w:val="none" w:color="auto"/>
                <w:lang w:eastAsia="zh-CN"/>
              </w:rPr>
            </w:pPr>
            <w:r>
              <w:rPr>
                <w:rFonts w:hint="eastAsia" w:ascii="仿宋" w:hAnsi="仿宋" w:eastAsia="仿宋" w:cs="仿宋"/>
                <w:b w:val="0"/>
                <w:bCs w:val="0"/>
                <w:color w:val="auto"/>
                <w:sz w:val="36"/>
                <w:szCs w:val="36"/>
                <w:highlight w:val="none"/>
                <w:u w:val="none" w:color="auto"/>
                <w:lang w:eastAsia="zh-CN"/>
              </w:rPr>
              <w:t>岳阳县长富钢瓶检测厂新墙分厂</w:t>
            </w:r>
          </w:p>
        </w:tc>
      </w:tr>
      <w:tr w14:paraId="659F3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60" w:type="dxa"/>
            <w:gridSpan w:val="2"/>
            <w:tcBorders>
              <w:tl2br w:val="nil"/>
              <w:tr2bl w:val="nil"/>
            </w:tcBorders>
            <w:noWrap w:val="0"/>
            <w:vAlign w:val="center"/>
          </w:tcPr>
          <w:p w14:paraId="4400D387">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仿宋" w:hAnsi="仿宋" w:eastAsia="仿宋" w:cs="仿宋"/>
                <w:b w:val="0"/>
                <w:bCs w:val="0"/>
                <w:color w:val="auto"/>
                <w:highlight w:val="none"/>
                <w:u w:val="none" w:color="auto"/>
                <w:lang w:eastAsia="zh-CN"/>
              </w:rPr>
            </w:pPr>
            <w:r>
              <w:rPr>
                <w:rFonts w:hint="eastAsia" w:ascii="仿宋" w:hAnsi="仿宋" w:eastAsia="仿宋" w:cs="仿宋"/>
                <w:b w:val="0"/>
                <w:bCs w:val="0"/>
                <w:color w:val="auto"/>
                <w:sz w:val="36"/>
                <w:szCs w:val="36"/>
                <w:highlight w:val="none"/>
                <w:u w:val="none" w:color="auto"/>
              </w:rPr>
              <w:t>编制日期</w:t>
            </w:r>
            <w:r>
              <w:rPr>
                <w:rFonts w:hint="eastAsia" w:ascii="仿宋" w:hAnsi="仿宋" w:eastAsia="仿宋" w:cs="仿宋"/>
                <w:b w:val="0"/>
                <w:bCs w:val="0"/>
                <w:color w:val="auto"/>
                <w:sz w:val="36"/>
                <w:szCs w:val="36"/>
                <w:highlight w:val="none"/>
                <w:u w:val="none" w:color="auto"/>
                <w:lang w:eastAsia="zh-CN"/>
              </w:rPr>
              <w:t>：</w:t>
            </w:r>
          </w:p>
        </w:tc>
        <w:tc>
          <w:tcPr>
            <w:tcW w:w="6933" w:type="dxa"/>
            <w:gridSpan w:val="2"/>
            <w:tcBorders>
              <w:tl2br w:val="nil"/>
              <w:tr2bl w:val="nil"/>
            </w:tcBorders>
            <w:noWrap w:val="0"/>
            <w:vAlign w:val="center"/>
          </w:tcPr>
          <w:p w14:paraId="6C46FDA3">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仿宋" w:hAnsi="仿宋" w:eastAsia="仿宋" w:cs="仿宋"/>
                <w:b w:val="0"/>
                <w:bCs w:val="0"/>
                <w:color w:val="auto"/>
                <w:highlight w:val="none"/>
                <w:u w:val="none" w:color="auto"/>
              </w:rPr>
            </w:pPr>
            <w:r>
              <w:rPr>
                <w:rFonts w:hint="eastAsia" w:ascii="仿宋" w:hAnsi="仿宋" w:eastAsia="仿宋" w:cs="仿宋"/>
                <w:b w:val="0"/>
                <w:bCs w:val="0"/>
                <w:color w:val="auto"/>
                <w:sz w:val="36"/>
                <w:szCs w:val="36"/>
                <w:highlight w:val="none"/>
                <w:u w:val="none" w:color="auto"/>
                <w:lang w:val="en-US" w:eastAsia="zh-CN"/>
              </w:rPr>
              <w:t>2026年9月</w:t>
            </w:r>
          </w:p>
        </w:tc>
      </w:tr>
    </w:tbl>
    <w:p w14:paraId="22F852B4">
      <w:pPr>
        <w:adjustRightInd w:val="0"/>
        <w:snapToGrid w:val="0"/>
        <w:spacing w:line="288" w:lineRule="auto"/>
        <w:ind w:firstLine="1040"/>
        <w:rPr>
          <w:rFonts w:eastAsia="仿宋_GB2312"/>
          <w:color w:val="auto"/>
          <w:sz w:val="36"/>
          <w:szCs w:val="36"/>
        </w:rPr>
      </w:pPr>
      <w:bookmarkStart w:id="5" w:name="_Hlk57884087"/>
    </w:p>
    <w:p w14:paraId="4C03BE12">
      <w:pPr>
        <w:adjustRightInd w:val="0"/>
        <w:snapToGrid w:val="0"/>
        <w:spacing w:line="288" w:lineRule="auto"/>
        <w:ind w:firstLine="1040"/>
        <w:rPr>
          <w:rFonts w:eastAsia="仿宋_GB2312"/>
          <w:color w:val="auto"/>
          <w:sz w:val="36"/>
          <w:szCs w:val="36"/>
        </w:rPr>
      </w:pPr>
    </w:p>
    <w:p w14:paraId="5A01A88E">
      <w:pPr>
        <w:adjustRightInd w:val="0"/>
        <w:snapToGrid w:val="0"/>
        <w:spacing w:line="288" w:lineRule="auto"/>
        <w:rPr>
          <w:rFonts w:eastAsia="仿宋_GB2312"/>
          <w:color w:val="auto"/>
          <w:sz w:val="36"/>
          <w:szCs w:val="36"/>
        </w:rPr>
      </w:pPr>
    </w:p>
    <w:p w14:paraId="5C2E0969">
      <w:pPr>
        <w:adjustRightInd w:val="0"/>
        <w:snapToGrid w:val="0"/>
        <w:spacing w:line="288" w:lineRule="auto"/>
        <w:ind w:firstLine="1040"/>
        <w:rPr>
          <w:rFonts w:eastAsia="仿宋_GB2312"/>
          <w:color w:val="auto"/>
          <w:sz w:val="36"/>
          <w:szCs w:val="36"/>
        </w:rPr>
      </w:pPr>
    </w:p>
    <w:p w14:paraId="08DAE02E">
      <w:pPr>
        <w:adjustRightInd w:val="0"/>
        <w:snapToGrid w:val="0"/>
        <w:spacing w:line="288" w:lineRule="auto"/>
        <w:ind w:firstLine="1040"/>
        <w:rPr>
          <w:rFonts w:eastAsia="仿宋_GB2312"/>
          <w:color w:val="auto"/>
          <w:sz w:val="36"/>
          <w:szCs w:val="36"/>
        </w:rPr>
      </w:pPr>
    </w:p>
    <w:p w14:paraId="5F1793F4">
      <w:pPr>
        <w:adjustRightInd w:val="0"/>
        <w:snapToGrid w:val="0"/>
        <w:spacing w:line="288" w:lineRule="auto"/>
        <w:ind w:firstLine="1040"/>
        <w:jc w:val="left"/>
        <w:rPr>
          <w:rFonts w:eastAsia="仿宋_GB2312"/>
          <w:color w:val="auto"/>
          <w:sz w:val="36"/>
          <w:szCs w:val="36"/>
        </w:rPr>
      </w:pPr>
    </w:p>
    <w:bookmarkEnd w:id="5"/>
    <w:p w14:paraId="09DAB3B5">
      <w:pPr>
        <w:bidi w:val="0"/>
        <w:jc w:val="center"/>
        <w:rPr>
          <w:color w:val="auto"/>
        </w:rPr>
        <w:sectPr>
          <w:headerReference r:id="rId3" w:type="default"/>
          <w:footerReference r:id="rId4" w:type="default"/>
          <w:pgSz w:w="11906" w:h="16838"/>
          <w:pgMar w:top="1134" w:right="1531" w:bottom="1134"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r>
        <w:rPr>
          <w:rFonts w:hint="eastAsia" w:ascii="楷体" w:hAnsi="楷体" w:eastAsia="楷体" w:cs="楷体"/>
          <w:color w:val="auto"/>
          <w:sz w:val="36"/>
          <w:szCs w:val="36"/>
        </w:rPr>
        <w:t>中华人民共和国生态环境部制</w:t>
      </w:r>
      <w:bookmarkEnd w:id="0"/>
    </w:p>
    <w:p w14:paraId="159D2722">
      <w:pPr>
        <w:jc w:val="both"/>
        <w:rPr>
          <w:rFonts w:ascii="Times New Roman" w:hAnsi="Times New Roman" w:eastAsia="宋体" w:cs="Times New Roman"/>
          <w:color w:val="auto"/>
          <w:sz w:val="30"/>
        </w:rPr>
      </w:pPr>
    </w:p>
    <w:p w14:paraId="17839ED0">
      <w:pPr>
        <w:jc w:val="both"/>
        <w:rPr>
          <w:rFonts w:hint="eastAsia" w:ascii="Times New Roman" w:hAnsi="Times New Roman" w:eastAsia="宋体" w:cs="Times New Roman"/>
          <w:color w:val="auto"/>
          <w:sz w:val="30"/>
          <w:lang w:eastAsia="zh-CN"/>
        </w:rPr>
      </w:pPr>
    </w:p>
    <w:tbl>
      <w:tblPr>
        <w:tblStyle w:val="34"/>
        <w:tblW w:w="466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2" w:space="0"/>
        </w:tblBorders>
        <w:tblLayout w:type="autofit"/>
        <w:tblCellMar>
          <w:top w:w="0" w:type="dxa"/>
          <w:left w:w="108" w:type="dxa"/>
          <w:bottom w:w="0" w:type="dxa"/>
          <w:right w:w="108" w:type="dxa"/>
        </w:tblCellMar>
      </w:tblPr>
      <w:tblGrid>
        <w:gridCol w:w="767"/>
        <w:gridCol w:w="3692"/>
        <w:gridCol w:w="4490"/>
        <w:gridCol w:w="1307"/>
      </w:tblGrid>
      <w:tr w14:paraId="4F69C190">
        <w:tblPrEx>
          <w:tblBorders>
            <w:top w:val="single" w:color="auto" w:sz="12" w:space="0"/>
            <w:left w:val="single" w:color="auto" w:sz="12" w:space="0"/>
            <w:bottom w:val="single" w:color="auto" w:sz="12" w:space="0"/>
            <w:right w:val="single" w:color="auto" w:sz="12" w:space="0"/>
            <w:insideH w:val="single" w:color="auto" w:sz="6" w:space="0"/>
            <w:insideV w:val="single" w:color="auto" w:sz="2" w:space="0"/>
          </w:tblBorders>
          <w:tblCellMar>
            <w:top w:w="0" w:type="dxa"/>
            <w:left w:w="108" w:type="dxa"/>
            <w:bottom w:w="0" w:type="dxa"/>
            <w:right w:w="108" w:type="dxa"/>
          </w:tblCellMar>
        </w:tblPrEx>
        <w:trPr>
          <w:trHeight w:val="429" w:hRule="atLeast"/>
          <w:jc w:val="center"/>
        </w:trPr>
        <w:tc>
          <w:tcPr>
            <w:tcW w:w="5000" w:type="pct"/>
            <w:gridSpan w:val="4"/>
            <w:tcBorders>
              <w:tl2br w:val="nil"/>
              <w:tr2bl w:val="nil"/>
            </w:tcBorders>
            <w:vAlign w:val="center"/>
          </w:tcPr>
          <w:p w14:paraId="78931301">
            <w:pPr>
              <w:jc w:val="center"/>
              <w:rPr>
                <w:rFonts w:ascii="Times New Roman" w:hAnsi="Times New Roman" w:eastAsia="宋体" w:cs="Times New Roman"/>
                <w:b/>
                <w:bCs/>
                <w:sz w:val="24"/>
              </w:rPr>
            </w:pPr>
            <w:r>
              <w:rPr>
                <w:rFonts w:ascii="Times New Roman" w:hAnsi="Times New Roman" w:eastAsia="宋体" w:cs="Times New Roman"/>
                <w:b/>
                <w:bCs/>
                <w:sz w:val="24"/>
              </w:rPr>
              <w:t>专家意见修改说明表</w:t>
            </w:r>
          </w:p>
        </w:tc>
      </w:tr>
      <w:tr w14:paraId="4E5073F8">
        <w:tblPrEx>
          <w:tblBorders>
            <w:top w:val="single" w:color="auto" w:sz="12" w:space="0"/>
            <w:left w:val="single" w:color="auto" w:sz="12" w:space="0"/>
            <w:bottom w:val="single" w:color="auto" w:sz="12" w:space="0"/>
            <w:right w:val="single" w:color="auto" w:sz="12" w:space="0"/>
            <w:insideH w:val="single" w:color="auto" w:sz="6" w:space="0"/>
            <w:insideV w:val="single" w:color="auto" w:sz="2" w:space="0"/>
          </w:tblBorders>
          <w:tblCellMar>
            <w:top w:w="0" w:type="dxa"/>
            <w:left w:w="108" w:type="dxa"/>
            <w:bottom w:w="0" w:type="dxa"/>
            <w:right w:w="108" w:type="dxa"/>
          </w:tblCellMar>
        </w:tblPrEx>
        <w:trPr>
          <w:trHeight w:val="414" w:hRule="atLeast"/>
          <w:jc w:val="center"/>
        </w:trPr>
        <w:tc>
          <w:tcPr>
            <w:tcW w:w="374" w:type="pct"/>
            <w:tcBorders>
              <w:tl2br w:val="nil"/>
              <w:tr2bl w:val="nil"/>
            </w:tcBorders>
            <w:vAlign w:val="center"/>
          </w:tcPr>
          <w:p w14:paraId="46B226F4">
            <w:pPr>
              <w:jc w:val="center"/>
              <w:rPr>
                <w:rFonts w:ascii="Times New Roman" w:hAnsi="Times New Roman" w:cs="Times New Roman"/>
              </w:rPr>
            </w:pPr>
            <w:r>
              <w:rPr>
                <w:rFonts w:ascii="Times New Roman" w:hAnsi="Times New Roman" w:eastAsia="宋体" w:cs="Times New Roman"/>
                <w:b/>
                <w:bCs/>
                <w:sz w:val="24"/>
              </w:rPr>
              <w:t>序号</w:t>
            </w:r>
          </w:p>
        </w:tc>
        <w:tc>
          <w:tcPr>
            <w:tcW w:w="1800" w:type="pct"/>
            <w:tcBorders>
              <w:tl2br w:val="nil"/>
              <w:tr2bl w:val="nil"/>
            </w:tcBorders>
            <w:vAlign w:val="center"/>
          </w:tcPr>
          <w:p w14:paraId="7DA84324">
            <w:pPr>
              <w:jc w:val="center"/>
              <w:rPr>
                <w:rFonts w:ascii="Times New Roman" w:hAnsi="Times New Roman" w:cs="Times New Roman"/>
              </w:rPr>
            </w:pPr>
            <w:r>
              <w:rPr>
                <w:rFonts w:ascii="Times New Roman" w:hAnsi="Times New Roman" w:eastAsia="宋体" w:cs="Times New Roman"/>
                <w:b/>
                <w:bCs/>
                <w:sz w:val="24"/>
              </w:rPr>
              <w:t>意见</w:t>
            </w:r>
          </w:p>
        </w:tc>
        <w:tc>
          <w:tcPr>
            <w:tcW w:w="2189" w:type="pct"/>
            <w:tcBorders>
              <w:tl2br w:val="nil"/>
              <w:tr2bl w:val="nil"/>
            </w:tcBorders>
            <w:vAlign w:val="center"/>
          </w:tcPr>
          <w:p w14:paraId="63548C5C">
            <w:pPr>
              <w:jc w:val="center"/>
              <w:rPr>
                <w:rFonts w:ascii="Times New Roman" w:hAnsi="Times New Roman" w:cs="Times New Roman"/>
              </w:rPr>
            </w:pPr>
            <w:r>
              <w:rPr>
                <w:rFonts w:ascii="Times New Roman" w:hAnsi="Times New Roman" w:eastAsia="宋体" w:cs="Times New Roman"/>
                <w:b/>
                <w:bCs/>
                <w:sz w:val="24"/>
              </w:rPr>
              <w:t>修改说明</w:t>
            </w:r>
          </w:p>
        </w:tc>
        <w:tc>
          <w:tcPr>
            <w:tcW w:w="636" w:type="pct"/>
            <w:tcBorders>
              <w:tl2br w:val="nil"/>
              <w:tr2bl w:val="nil"/>
            </w:tcBorders>
            <w:vAlign w:val="center"/>
          </w:tcPr>
          <w:p w14:paraId="31918C12">
            <w:pPr>
              <w:jc w:val="center"/>
              <w:rPr>
                <w:rFonts w:ascii="Times New Roman" w:hAnsi="Times New Roman" w:cs="Times New Roman"/>
              </w:rPr>
            </w:pPr>
            <w:r>
              <w:rPr>
                <w:rFonts w:ascii="Times New Roman" w:hAnsi="Times New Roman" w:eastAsia="宋体" w:cs="Times New Roman"/>
                <w:b/>
                <w:bCs/>
                <w:sz w:val="24"/>
              </w:rPr>
              <w:t>页码</w:t>
            </w:r>
          </w:p>
        </w:tc>
      </w:tr>
      <w:tr w14:paraId="7615ED92">
        <w:tblPrEx>
          <w:tblBorders>
            <w:top w:val="single" w:color="auto" w:sz="12" w:space="0"/>
            <w:left w:val="single" w:color="auto" w:sz="12" w:space="0"/>
            <w:bottom w:val="single" w:color="auto" w:sz="12" w:space="0"/>
            <w:right w:val="single" w:color="auto" w:sz="12" w:space="0"/>
            <w:insideH w:val="single" w:color="auto" w:sz="6" w:space="0"/>
            <w:insideV w:val="single" w:color="auto" w:sz="2" w:space="0"/>
          </w:tblBorders>
          <w:tblCellMar>
            <w:top w:w="0" w:type="dxa"/>
            <w:left w:w="108" w:type="dxa"/>
            <w:bottom w:w="0" w:type="dxa"/>
            <w:right w:w="108" w:type="dxa"/>
          </w:tblCellMar>
        </w:tblPrEx>
        <w:trPr>
          <w:trHeight w:val="956" w:hRule="atLeast"/>
          <w:jc w:val="center"/>
        </w:trPr>
        <w:tc>
          <w:tcPr>
            <w:tcW w:w="374" w:type="pct"/>
            <w:tcBorders>
              <w:tl2br w:val="nil"/>
              <w:tr2bl w:val="nil"/>
            </w:tcBorders>
            <w:vAlign w:val="center"/>
          </w:tcPr>
          <w:p w14:paraId="2EA62CC7">
            <w:pPr>
              <w:jc w:val="center"/>
              <w:rPr>
                <w:rFonts w:ascii="Times New Roman" w:hAnsi="Times New Roman" w:eastAsia="宋体" w:cs="Times New Roman"/>
                <w:sz w:val="24"/>
              </w:rPr>
            </w:pPr>
            <w:r>
              <w:rPr>
                <w:rFonts w:hint="eastAsia" w:ascii="Times New Roman" w:hAnsi="Times New Roman" w:eastAsia="宋体" w:cs="Times New Roman"/>
                <w:sz w:val="24"/>
              </w:rPr>
              <w:t>1</w:t>
            </w:r>
          </w:p>
        </w:tc>
        <w:tc>
          <w:tcPr>
            <w:tcW w:w="1800" w:type="pct"/>
            <w:tcBorders>
              <w:tl2br w:val="nil"/>
              <w:tr2bl w:val="nil"/>
            </w:tcBorders>
            <w:vAlign w:val="center"/>
          </w:tcPr>
          <w:p w14:paraId="53A358D2">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完善本次变动由来，说明变动前项目建设运行情况及存在的环境问题调查和遗留的环境问题及解决措施。</w:t>
            </w:r>
          </w:p>
        </w:tc>
        <w:tc>
          <w:tcPr>
            <w:tcW w:w="2189" w:type="pct"/>
            <w:tcBorders>
              <w:tl2br w:val="nil"/>
              <w:tr2bl w:val="nil"/>
            </w:tcBorders>
            <w:vAlign w:val="center"/>
          </w:tcPr>
          <w:p w14:paraId="7DFB6E64">
            <w:pPr>
              <w:jc w:val="center"/>
              <w:rPr>
                <w:rFonts w:hint="default" w:ascii="Times New Roman" w:hAnsi="Times New Roman" w:eastAsia="宋体" w:cs="Times New Roman"/>
                <w:sz w:val="24"/>
                <w:lang w:val="en-US" w:eastAsia="zh-CN"/>
              </w:rPr>
            </w:pPr>
            <w:r>
              <w:rPr>
                <w:rFonts w:hint="eastAsia" w:cs="Times New Roman"/>
                <w:sz w:val="24"/>
                <w:lang w:val="en-US" w:eastAsia="zh-CN"/>
              </w:rPr>
              <w:t>已</w:t>
            </w:r>
            <w:r>
              <w:rPr>
                <w:rFonts w:hint="eastAsia" w:ascii="Times New Roman" w:hAnsi="Times New Roman" w:eastAsia="宋体" w:cs="Times New Roman"/>
                <w:sz w:val="24"/>
                <w:lang w:eastAsia="zh-CN"/>
              </w:rPr>
              <w:t>完善本次变动由来，说明变动前项目建设运行情况及存在的环境问题调查和遗留的环境问题及解决措施。</w:t>
            </w:r>
          </w:p>
        </w:tc>
        <w:tc>
          <w:tcPr>
            <w:tcW w:w="636" w:type="pct"/>
            <w:tcBorders>
              <w:tl2br w:val="nil"/>
              <w:tr2bl w:val="nil"/>
            </w:tcBorders>
            <w:vAlign w:val="center"/>
          </w:tcPr>
          <w:p w14:paraId="19A83725">
            <w:pPr>
              <w:jc w:val="center"/>
              <w:rPr>
                <w:rFonts w:hint="default" w:ascii="Times New Roman" w:hAnsi="Times New Roman" w:eastAsia="宋体" w:cs="Times New Roman"/>
                <w:sz w:val="24"/>
                <w:lang w:val="en-US"/>
              </w:rPr>
            </w:pPr>
            <w:r>
              <w:rPr>
                <w:rFonts w:hint="eastAsia" w:ascii="Times New Roman" w:hAnsi="Times New Roman" w:eastAsia="宋体" w:cs="Times New Roman"/>
                <w:sz w:val="24"/>
                <w:lang w:val="en-US" w:eastAsia="zh-CN"/>
              </w:rPr>
              <w:t>P</w:t>
            </w:r>
            <w:r>
              <w:rPr>
                <w:rFonts w:hint="eastAsia" w:cs="Times New Roman"/>
                <w:sz w:val="24"/>
                <w:lang w:val="en-US" w:eastAsia="zh-CN"/>
              </w:rPr>
              <w:t>15、26-27</w:t>
            </w:r>
          </w:p>
        </w:tc>
      </w:tr>
      <w:tr w14:paraId="5F0BBAA0">
        <w:tblPrEx>
          <w:tblBorders>
            <w:top w:val="single" w:color="auto" w:sz="12" w:space="0"/>
            <w:left w:val="single" w:color="auto" w:sz="12" w:space="0"/>
            <w:bottom w:val="single" w:color="auto" w:sz="12" w:space="0"/>
            <w:right w:val="single" w:color="auto" w:sz="12" w:space="0"/>
            <w:insideH w:val="single" w:color="auto" w:sz="6" w:space="0"/>
            <w:insideV w:val="single" w:color="auto" w:sz="2" w:space="0"/>
          </w:tblBorders>
          <w:tblCellMar>
            <w:top w:w="0" w:type="dxa"/>
            <w:left w:w="108" w:type="dxa"/>
            <w:bottom w:w="0" w:type="dxa"/>
            <w:right w:w="108" w:type="dxa"/>
          </w:tblCellMar>
        </w:tblPrEx>
        <w:trPr>
          <w:trHeight w:val="642" w:hRule="atLeast"/>
          <w:jc w:val="center"/>
        </w:trPr>
        <w:tc>
          <w:tcPr>
            <w:tcW w:w="374" w:type="pct"/>
            <w:tcBorders>
              <w:tl2br w:val="nil"/>
              <w:tr2bl w:val="nil"/>
            </w:tcBorders>
            <w:vAlign w:val="center"/>
          </w:tcPr>
          <w:p w14:paraId="3052CD94">
            <w:pPr>
              <w:jc w:val="center"/>
              <w:rPr>
                <w:rFonts w:ascii="Times New Roman" w:hAnsi="Times New Roman" w:eastAsia="宋体" w:cs="Times New Roman"/>
                <w:sz w:val="24"/>
              </w:rPr>
            </w:pPr>
            <w:r>
              <w:rPr>
                <w:rFonts w:hint="eastAsia" w:ascii="Times New Roman" w:hAnsi="Times New Roman" w:eastAsia="宋体" w:cs="Times New Roman"/>
                <w:sz w:val="24"/>
              </w:rPr>
              <w:t>2</w:t>
            </w:r>
          </w:p>
        </w:tc>
        <w:tc>
          <w:tcPr>
            <w:tcW w:w="1800" w:type="pct"/>
            <w:tcBorders>
              <w:tl2br w:val="nil"/>
              <w:tr2bl w:val="nil"/>
            </w:tcBorders>
            <w:vAlign w:val="center"/>
          </w:tcPr>
          <w:p w14:paraId="222C747D">
            <w:pPr>
              <w:jc w:val="center"/>
              <w:rPr>
                <w:rFonts w:ascii="Times New Roman" w:hAnsi="Times New Roman" w:eastAsia="宋体" w:cs="Times New Roman"/>
                <w:sz w:val="24"/>
              </w:rPr>
            </w:pPr>
            <w:r>
              <w:rPr>
                <w:rFonts w:hint="eastAsia" w:ascii="Times New Roman" w:hAnsi="Times New Roman" w:eastAsia="宋体" w:cs="Times New Roman"/>
                <w:sz w:val="24"/>
                <w:lang w:eastAsia="zh-CN"/>
              </w:rPr>
              <w:t>核实项目行业类别，完善本项目使用的报废液化石油气钢瓶属性说明。</w:t>
            </w:r>
          </w:p>
        </w:tc>
        <w:tc>
          <w:tcPr>
            <w:tcW w:w="2189" w:type="pct"/>
            <w:tcBorders>
              <w:tl2br w:val="nil"/>
              <w:tr2bl w:val="nil"/>
            </w:tcBorders>
            <w:shd w:val="clear" w:color="auto" w:fill="auto"/>
            <w:vAlign w:val="center"/>
          </w:tcPr>
          <w:p w14:paraId="66662B3C">
            <w:pPr>
              <w:jc w:val="center"/>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sz w:val="24"/>
                <w:lang w:eastAsia="zh-CN"/>
              </w:rPr>
              <w:t>核实项目行业类别，完善本项目使用的报废液化石油气钢瓶属性说明。</w:t>
            </w:r>
          </w:p>
        </w:tc>
        <w:tc>
          <w:tcPr>
            <w:tcW w:w="636" w:type="pct"/>
            <w:tcBorders>
              <w:tl2br w:val="nil"/>
              <w:tr2bl w:val="nil"/>
            </w:tcBorders>
            <w:vAlign w:val="center"/>
          </w:tcPr>
          <w:p w14:paraId="46A65CF0">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P</w:t>
            </w:r>
            <w:r>
              <w:rPr>
                <w:rFonts w:hint="eastAsia" w:cs="Times New Roman"/>
                <w:sz w:val="24"/>
                <w:lang w:val="en-US" w:eastAsia="zh-CN"/>
              </w:rPr>
              <w:t>2、</w:t>
            </w:r>
            <w:r>
              <w:rPr>
                <w:rFonts w:hint="eastAsia" w:ascii="Times New Roman" w:hAnsi="Times New Roman" w:eastAsia="宋体" w:cs="Times New Roman"/>
                <w:sz w:val="24"/>
                <w:lang w:val="en-US" w:eastAsia="zh-CN"/>
              </w:rPr>
              <w:t>17</w:t>
            </w:r>
          </w:p>
        </w:tc>
      </w:tr>
      <w:tr w14:paraId="1729DE8D">
        <w:tblPrEx>
          <w:tblBorders>
            <w:top w:val="single" w:color="auto" w:sz="12" w:space="0"/>
            <w:left w:val="single" w:color="auto" w:sz="12" w:space="0"/>
            <w:bottom w:val="single" w:color="auto" w:sz="12" w:space="0"/>
            <w:right w:val="single" w:color="auto" w:sz="12" w:space="0"/>
            <w:insideH w:val="single" w:color="auto" w:sz="6" w:space="0"/>
            <w:insideV w:val="single" w:color="auto" w:sz="2" w:space="0"/>
          </w:tblBorders>
          <w:tblCellMar>
            <w:top w:w="0" w:type="dxa"/>
            <w:left w:w="108" w:type="dxa"/>
            <w:bottom w:w="0" w:type="dxa"/>
            <w:right w:w="108" w:type="dxa"/>
          </w:tblCellMar>
        </w:tblPrEx>
        <w:trPr>
          <w:trHeight w:val="642" w:hRule="atLeast"/>
          <w:jc w:val="center"/>
        </w:trPr>
        <w:tc>
          <w:tcPr>
            <w:tcW w:w="374" w:type="pct"/>
            <w:tcBorders>
              <w:tl2br w:val="nil"/>
              <w:tr2bl w:val="nil"/>
            </w:tcBorders>
            <w:vAlign w:val="center"/>
          </w:tcPr>
          <w:p w14:paraId="7908504B">
            <w:pPr>
              <w:jc w:val="center"/>
              <w:rPr>
                <w:rFonts w:ascii="Times New Roman" w:hAnsi="Times New Roman" w:eastAsia="宋体" w:cs="Times New Roman"/>
                <w:sz w:val="24"/>
              </w:rPr>
            </w:pPr>
            <w:r>
              <w:rPr>
                <w:rFonts w:hint="eastAsia" w:ascii="Times New Roman" w:hAnsi="Times New Roman" w:eastAsia="宋体" w:cs="Times New Roman"/>
                <w:sz w:val="24"/>
              </w:rPr>
              <w:t>3</w:t>
            </w:r>
          </w:p>
        </w:tc>
        <w:tc>
          <w:tcPr>
            <w:tcW w:w="1800" w:type="pct"/>
            <w:tcBorders>
              <w:tl2br w:val="nil"/>
              <w:tr2bl w:val="nil"/>
            </w:tcBorders>
            <w:vAlign w:val="center"/>
          </w:tcPr>
          <w:p w14:paraId="384EDE41">
            <w:pPr>
              <w:jc w:val="center"/>
              <w:rPr>
                <w:rFonts w:ascii="Times New Roman" w:hAnsi="Times New Roman" w:eastAsia="宋体" w:cs="Times New Roman"/>
                <w:sz w:val="24"/>
              </w:rPr>
            </w:pPr>
            <w:r>
              <w:rPr>
                <w:rFonts w:hint="eastAsia" w:ascii="Times New Roman" w:hAnsi="Times New Roman" w:eastAsia="宋体" w:cs="Times New Roman"/>
                <w:sz w:val="24"/>
                <w:lang w:eastAsia="zh-CN"/>
              </w:rPr>
              <w:t>核实项目主要环保目标及其与本项目的距离。</w:t>
            </w:r>
          </w:p>
        </w:tc>
        <w:tc>
          <w:tcPr>
            <w:tcW w:w="2189" w:type="pct"/>
            <w:tcBorders>
              <w:tl2br w:val="nil"/>
              <w:tr2bl w:val="nil"/>
            </w:tcBorders>
            <w:shd w:val="clear" w:color="auto" w:fill="auto"/>
            <w:vAlign w:val="center"/>
          </w:tcPr>
          <w:p w14:paraId="1A76EEA5">
            <w:pPr>
              <w:jc w:val="center"/>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sz w:val="24"/>
                <w:lang w:val="en-US" w:eastAsia="zh-CN"/>
              </w:rPr>
              <w:t>已</w:t>
            </w:r>
            <w:r>
              <w:rPr>
                <w:rFonts w:hint="eastAsia" w:ascii="Times New Roman" w:hAnsi="Times New Roman" w:eastAsia="宋体" w:cs="Times New Roman"/>
                <w:sz w:val="24"/>
                <w:lang w:eastAsia="zh-CN"/>
              </w:rPr>
              <w:t>核实项目主要环保目标及其与本项目的距离。</w:t>
            </w:r>
          </w:p>
        </w:tc>
        <w:tc>
          <w:tcPr>
            <w:tcW w:w="636" w:type="pct"/>
            <w:tcBorders>
              <w:tl2br w:val="nil"/>
              <w:tr2bl w:val="nil"/>
            </w:tcBorders>
            <w:vAlign w:val="center"/>
          </w:tcPr>
          <w:p w14:paraId="7EB2FF3F">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P</w:t>
            </w:r>
            <w:r>
              <w:rPr>
                <w:rFonts w:hint="eastAsia" w:cs="Times New Roman"/>
                <w:sz w:val="24"/>
                <w:lang w:val="en-US" w:eastAsia="zh-CN"/>
              </w:rPr>
              <w:t>31</w:t>
            </w:r>
          </w:p>
        </w:tc>
      </w:tr>
      <w:tr w14:paraId="202CC21B">
        <w:tblPrEx>
          <w:tblBorders>
            <w:top w:val="single" w:color="auto" w:sz="12" w:space="0"/>
            <w:left w:val="single" w:color="auto" w:sz="12" w:space="0"/>
            <w:bottom w:val="single" w:color="auto" w:sz="12" w:space="0"/>
            <w:right w:val="single" w:color="auto" w:sz="12" w:space="0"/>
            <w:insideH w:val="single" w:color="auto" w:sz="6" w:space="0"/>
            <w:insideV w:val="single" w:color="auto" w:sz="2" w:space="0"/>
          </w:tblBorders>
          <w:tblCellMar>
            <w:top w:w="0" w:type="dxa"/>
            <w:left w:w="108" w:type="dxa"/>
            <w:bottom w:w="0" w:type="dxa"/>
            <w:right w:w="108" w:type="dxa"/>
          </w:tblCellMar>
        </w:tblPrEx>
        <w:trPr>
          <w:trHeight w:val="414" w:hRule="atLeast"/>
          <w:jc w:val="center"/>
        </w:trPr>
        <w:tc>
          <w:tcPr>
            <w:tcW w:w="374" w:type="pct"/>
            <w:vMerge w:val="restart"/>
            <w:tcBorders>
              <w:tl2br w:val="nil"/>
              <w:tr2bl w:val="nil"/>
            </w:tcBorders>
            <w:vAlign w:val="center"/>
          </w:tcPr>
          <w:p w14:paraId="34E74635">
            <w:pPr>
              <w:jc w:val="center"/>
              <w:rPr>
                <w:rFonts w:ascii="Times New Roman" w:hAnsi="Times New Roman" w:eastAsia="宋体" w:cs="Times New Roman"/>
                <w:sz w:val="24"/>
              </w:rPr>
            </w:pPr>
            <w:r>
              <w:rPr>
                <w:rFonts w:hint="eastAsia" w:ascii="Times New Roman" w:hAnsi="Times New Roman" w:eastAsia="宋体" w:cs="Times New Roman"/>
                <w:sz w:val="24"/>
              </w:rPr>
              <w:t>4</w:t>
            </w:r>
          </w:p>
        </w:tc>
        <w:tc>
          <w:tcPr>
            <w:tcW w:w="1800" w:type="pct"/>
            <w:vMerge w:val="restart"/>
            <w:tcBorders>
              <w:tl2br w:val="nil"/>
              <w:tr2bl w:val="nil"/>
            </w:tcBorders>
            <w:vAlign w:val="center"/>
          </w:tcPr>
          <w:p w14:paraId="54F6E4AA">
            <w:pPr>
              <w:jc w:val="center"/>
              <w:rPr>
                <w:rFonts w:ascii="Times New Roman" w:hAnsi="Times New Roman" w:eastAsia="宋体" w:cs="Times New Roman"/>
                <w:sz w:val="24"/>
              </w:rPr>
            </w:pPr>
            <w:r>
              <w:rPr>
                <w:rFonts w:hint="eastAsia" w:ascii="Times New Roman" w:hAnsi="Times New Roman" w:eastAsia="宋体" w:cs="Times New Roman"/>
                <w:sz w:val="24"/>
                <w:lang w:eastAsia="zh-CN"/>
              </w:rPr>
              <w:t>细化焚烧炉的使用情况及废钢瓶焚烧方式说明；完善残液的收集暂存情况及环境风险Q值和可燃气体检测等环境风险防范措施。</w:t>
            </w:r>
          </w:p>
        </w:tc>
        <w:tc>
          <w:tcPr>
            <w:tcW w:w="2189" w:type="pct"/>
            <w:tcBorders>
              <w:tl2br w:val="nil"/>
              <w:tr2bl w:val="nil"/>
            </w:tcBorders>
            <w:shd w:val="clear" w:color="auto" w:fill="auto"/>
            <w:vAlign w:val="center"/>
          </w:tcPr>
          <w:p w14:paraId="30B7577B">
            <w:pPr>
              <w:jc w:val="center"/>
              <w:rPr>
                <w:rFonts w:hint="default" w:ascii="Times New Roman" w:hAnsi="Times New Roman" w:eastAsia="宋体" w:cs="Times New Roman"/>
                <w:kern w:val="2"/>
                <w:sz w:val="24"/>
                <w:szCs w:val="24"/>
                <w:lang w:val="en-US" w:eastAsia="zh-CN" w:bidi="ar-SA"/>
              </w:rPr>
            </w:pPr>
            <w:r>
              <w:rPr>
                <w:rFonts w:hint="eastAsia" w:cs="Times New Roman"/>
                <w:sz w:val="24"/>
                <w:lang w:val="en-US" w:eastAsia="zh-CN"/>
              </w:rPr>
              <w:t>已</w:t>
            </w:r>
            <w:r>
              <w:rPr>
                <w:rFonts w:hint="eastAsia" w:ascii="Times New Roman" w:hAnsi="Times New Roman" w:eastAsia="宋体" w:cs="Times New Roman"/>
                <w:sz w:val="24"/>
                <w:lang w:eastAsia="zh-CN"/>
              </w:rPr>
              <w:t>细化焚烧炉的使用情况及废钢瓶焚烧方式说明；</w:t>
            </w:r>
          </w:p>
        </w:tc>
        <w:tc>
          <w:tcPr>
            <w:tcW w:w="636" w:type="pct"/>
            <w:tcBorders>
              <w:tl2br w:val="nil"/>
              <w:tr2bl w:val="nil"/>
            </w:tcBorders>
            <w:vAlign w:val="center"/>
          </w:tcPr>
          <w:p w14:paraId="4D85860D">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P</w:t>
            </w:r>
            <w:r>
              <w:rPr>
                <w:rFonts w:hint="eastAsia" w:cs="Times New Roman"/>
                <w:sz w:val="24"/>
                <w:lang w:val="en-US" w:eastAsia="zh-CN"/>
              </w:rPr>
              <w:t>22</w:t>
            </w:r>
          </w:p>
        </w:tc>
      </w:tr>
      <w:tr w14:paraId="33ED2E1A">
        <w:tblPrEx>
          <w:tblBorders>
            <w:top w:val="single" w:color="auto" w:sz="12" w:space="0"/>
            <w:left w:val="single" w:color="auto" w:sz="12" w:space="0"/>
            <w:bottom w:val="single" w:color="auto" w:sz="12" w:space="0"/>
            <w:right w:val="single" w:color="auto" w:sz="12" w:space="0"/>
            <w:insideH w:val="single" w:color="auto" w:sz="6" w:space="0"/>
            <w:insideV w:val="single" w:color="auto" w:sz="2" w:space="0"/>
          </w:tblBorders>
          <w:tblCellMar>
            <w:top w:w="0" w:type="dxa"/>
            <w:left w:w="108" w:type="dxa"/>
            <w:bottom w:w="0" w:type="dxa"/>
            <w:right w:w="108" w:type="dxa"/>
          </w:tblCellMar>
        </w:tblPrEx>
        <w:trPr>
          <w:trHeight w:val="856" w:hRule="atLeast"/>
          <w:jc w:val="center"/>
        </w:trPr>
        <w:tc>
          <w:tcPr>
            <w:tcW w:w="374" w:type="pct"/>
            <w:vMerge w:val="continue"/>
            <w:tcBorders>
              <w:tl2br w:val="nil"/>
              <w:tr2bl w:val="nil"/>
            </w:tcBorders>
            <w:vAlign w:val="center"/>
          </w:tcPr>
          <w:p w14:paraId="0FB7E4B9">
            <w:pPr>
              <w:jc w:val="center"/>
              <w:rPr>
                <w:rFonts w:hint="eastAsia" w:ascii="Times New Roman" w:hAnsi="Times New Roman" w:eastAsia="宋体" w:cs="Times New Roman"/>
                <w:sz w:val="24"/>
              </w:rPr>
            </w:pPr>
          </w:p>
        </w:tc>
        <w:tc>
          <w:tcPr>
            <w:tcW w:w="1800" w:type="pct"/>
            <w:vMerge w:val="continue"/>
            <w:tcBorders>
              <w:tl2br w:val="nil"/>
              <w:tr2bl w:val="nil"/>
            </w:tcBorders>
            <w:vAlign w:val="center"/>
          </w:tcPr>
          <w:p w14:paraId="6BCBE032">
            <w:pPr>
              <w:jc w:val="center"/>
              <w:rPr>
                <w:rFonts w:hint="eastAsia" w:ascii="Times New Roman" w:hAnsi="Times New Roman" w:eastAsia="宋体" w:cs="Times New Roman"/>
                <w:sz w:val="24"/>
                <w:lang w:val="en-US" w:eastAsia="zh-CN"/>
              </w:rPr>
            </w:pPr>
          </w:p>
        </w:tc>
        <w:tc>
          <w:tcPr>
            <w:tcW w:w="2189" w:type="pct"/>
            <w:tcBorders>
              <w:tl2br w:val="nil"/>
              <w:tr2bl w:val="nil"/>
            </w:tcBorders>
            <w:shd w:val="clear" w:color="auto" w:fill="auto"/>
            <w:vAlign w:val="center"/>
          </w:tcPr>
          <w:p w14:paraId="39C2EE82">
            <w:pPr>
              <w:jc w:val="center"/>
              <w:rPr>
                <w:rFonts w:hint="default" w:ascii="Times New Roman" w:hAnsi="Times New Roman" w:eastAsia="宋体" w:cs="Times New Roman"/>
                <w:sz w:val="24"/>
                <w:lang w:val="en-US" w:eastAsia="zh-CN"/>
              </w:rPr>
            </w:pPr>
            <w:r>
              <w:rPr>
                <w:rFonts w:hint="eastAsia" w:cs="Times New Roman"/>
                <w:sz w:val="24"/>
                <w:lang w:val="en-US" w:eastAsia="zh-CN"/>
              </w:rPr>
              <w:t>已</w:t>
            </w:r>
            <w:r>
              <w:rPr>
                <w:rFonts w:hint="eastAsia" w:ascii="Times New Roman" w:hAnsi="Times New Roman" w:eastAsia="宋体" w:cs="Times New Roman"/>
                <w:sz w:val="24"/>
                <w:lang w:eastAsia="zh-CN"/>
              </w:rPr>
              <w:t>完善残液的收集暂存情况及环境风险Q值和可燃气体检测等环境风险防范措施</w:t>
            </w:r>
          </w:p>
        </w:tc>
        <w:tc>
          <w:tcPr>
            <w:tcW w:w="636" w:type="pct"/>
            <w:tcBorders>
              <w:tl2br w:val="nil"/>
              <w:tr2bl w:val="nil"/>
            </w:tcBorders>
            <w:vAlign w:val="center"/>
          </w:tcPr>
          <w:p w14:paraId="4A8AD4B0">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P</w:t>
            </w:r>
            <w:r>
              <w:rPr>
                <w:rFonts w:hint="eastAsia" w:cs="Times New Roman"/>
                <w:sz w:val="24"/>
                <w:lang w:val="en-US" w:eastAsia="zh-CN"/>
              </w:rPr>
              <w:t>18、52、56</w:t>
            </w:r>
          </w:p>
        </w:tc>
      </w:tr>
      <w:tr w14:paraId="6FF728E2">
        <w:tblPrEx>
          <w:tblBorders>
            <w:top w:val="single" w:color="auto" w:sz="12" w:space="0"/>
            <w:left w:val="single" w:color="auto" w:sz="12" w:space="0"/>
            <w:bottom w:val="single" w:color="auto" w:sz="12" w:space="0"/>
            <w:right w:val="single" w:color="auto" w:sz="12" w:space="0"/>
            <w:insideH w:val="single" w:color="auto" w:sz="6" w:space="0"/>
            <w:insideV w:val="single" w:color="auto" w:sz="2" w:space="0"/>
          </w:tblBorders>
          <w:tblCellMar>
            <w:top w:w="0" w:type="dxa"/>
            <w:left w:w="108" w:type="dxa"/>
            <w:bottom w:w="0" w:type="dxa"/>
            <w:right w:w="108" w:type="dxa"/>
          </w:tblCellMar>
        </w:tblPrEx>
        <w:trPr>
          <w:trHeight w:val="414" w:hRule="atLeast"/>
          <w:jc w:val="center"/>
        </w:trPr>
        <w:tc>
          <w:tcPr>
            <w:tcW w:w="374" w:type="pct"/>
            <w:vMerge w:val="restart"/>
            <w:tcBorders>
              <w:tl2br w:val="nil"/>
              <w:tr2bl w:val="nil"/>
            </w:tcBorders>
            <w:vAlign w:val="center"/>
          </w:tcPr>
          <w:p w14:paraId="503C31A2">
            <w:pPr>
              <w:jc w:val="center"/>
              <w:rPr>
                <w:rFonts w:ascii="Times New Roman" w:hAnsi="Times New Roman" w:eastAsia="宋体" w:cs="Times New Roman"/>
                <w:sz w:val="24"/>
              </w:rPr>
            </w:pPr>
            <w:r>
              <w:rPr>
                <w:rFonts w:hint="eastAsia" w:ascii="Times New Roman" w:hAnsi="Times New Roman" w:eastAsia="宋体" w:cs="Times New Roman"/>
                <w:sz w:val="24"/>
              </w:rPr>
              <w:t>5</w:t>
            </w:r>
          </w:p>
        </w:tc>
        <w:tc>
          <w:tcPr>
            <w:tcW w:w="1800" w:type="pct"/>
            <w:vMerge w:val="restart"/>
            <w:tcBorders>
              <w:tl2br w:val="nil"/>
              <w:tr2bl w:val="nil"/>
            </w:tcBorders>
            <w:vAlign w:val="center"/>
          </w:tcPr>
          <w:p w14:paraId="07F62338">
            <w:pPr>
              <w:jc w:val="center"/>
              <w:rPr>
                <w:rFonts w:ascii="Times New Roman" w:hAnsi="Times New Roman" w:eastAsia="宋体" w:cs="Times New Roman"/>
                <w:sz w:val="24"/>
              </w:rPr>
            </w:pPr>
            <w:r>
              <w:rPr>
                <w:rFonts w:hint="eastAsia" w:ascii="Times New Roman" w:hAnsi="Times New Roman" w:eastAsia="宋体" w:cs="Times New Roman"/>
                <w:sz w:val="24"/>
                <w:lang w:eastAsia="zh-CN"/>
              </w:rPr>
              <w:t>根据焚烧炉运行时间和功率，核实燃料消耗量；根据报废液化石油气钢瓶涂层的成分，说明涂层废气中是否产生二噁英；类比核实焚烧废气中是否产生挥发性有机物；结合现有项目污染源监测数据，核实焚烧废气源强及焚烧废气量和污染物排放浓度；根据废气温度等情况，强化废气处理措施的可行性分析。</w:t>
            </w:r>
          </w:p>
        </w:tc>
        <w:tc>
          <w:tcPr>
            <w:tcW w:w="2189" w:type="pct"/>
            <w:tcBorders>
              <w:tl2br w:val="nil"/>
              <w:tr2bl w:val="nil"/>
            </w:tcBorders>
            <w:shd w:val="clear" w:color="auto" w:fill="auto"/>
            <w:vAlign w:val="center"/>
          </w:tcPr>
          <w:p w14:paraId="6B48B0B1">
            <w:pPr>
              <w:jc w:val="center"/>
              <w:rPr>
                <w:rFonts w:ascii="Times New Roman" w:hAnsi="Times New Roman" w:eastAsia="宋体" w:cs="Times New Roman"/>
                <w:kern w:val="2"/>
                <w:sz w:val="24"/>
                <w:szCs w:val="24"/>
                <w:lang w:val="en-US" w:eastAsia="zh-CN" w:bidi="ar-SA"/>
              </w:rPr>
            </w:pPr>
            <w:r>
              <w:rPr>
                <w:rFonts w:hint="eastAsia" w:cs="Times New Roman"/>
                <w:sz w:val="24"/>
                <w:lang w:val="en-US" w:eastAsia="zh-CN"/>
              </w:rPr>
              <w:t>已</w:t>
            </w:r>
            <w:r>
              <w:rPr>
                <w:rFonts w:hint="eastAsia" w:ascii="Times New Roman" w:hAnsi="Times New Roman" w:eastAsia="宋体" w:cs="Times New Roman"/>
                <w:sz w:val="24"/>
                <w:lang w:eastAsia="zh-CN"/>
              </w:rPr>
              <w:t>根据焚烧炉运行时间和功率，核实燃料消耗量；</w:t>
            </w:r>
          </w:p>
        </w:tc>
        <w:tc>
          <w:tcPr>
            <w:tcW w:w="636" w:type="pct"/>
            <w:tcBorders>
              <w:tl2br w:val="nil"/>
              <w:tr2bl w:val="nil"/>
            </w:tcBorders>
            <w:vAlign w:val="center"/>
          </w:tcPr>
          <w:p w14:paraId="3EFDA108">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P</w:t>
            </w:r>
            <w:r>
              <w:rPr>
                <w:rFonts w:hint="eastAsia" w:cs="Times New Roman"/>
                <w:sz w:val="24"/>
                <w:lang w:val="en-US" w:eastAsia="zh-CN"/>
              </w:rPr>
              <w:t>19</w:t>
            </w:r>
          </w:p>
        </w:tc>
      </w:tr>
      <w:tr w14:paraId="574102C8">
        <w:tblPrEx>
          <w:tblBorders>
            <w:top w:val="single" w:color="auto" w:sz="12" w:space="0"/>
            <w:left w:val="single" w:color="auto" w:sz="12" w:space="0"/>
            <w:bottom w:val="single" w:color="auto" w:sz="12" w:space="0"/>
            <w:right w:val="single" w:color="auto" w:sz="12" w:space="0"/>
            <w:insideH w:val="single" w:color="auto" w:sz="6" w:space="0"/>
            <w:insideV w:val="single" w:color="auto" w:sz="2" w:space="0"/>
          </w:tblBorders>
          <w:tblCellMar>
            <w:top w:w="0" w:type="dxa"/>
            <w:left w:w="108" w:type="dxa"/>
            <w:bottom w:w="0" w:type="dxa"/>
            <w:right w:w="108" w:type="dxa"/>
          </w:tblCellMar>
        </w:tblPrEx>
        <w:trPr>
          <w:trHeight w:val="1002" w:hRule="atLeast"/>
          <w:jc w:val="center"/>
        </w:trPr>
        <w:tc>
          <w:tcPr>
            <w:tcW w:w="374" w:type="pct"/>
            <w:vMerge w:val="continue"/>
            <w:tcBorders>
              <w:tl2br w:val="nil"/>
              <w:tr2bl w:val="nil"/>
            </w:tcBorders>
            <w:vAlign w:val="center"/>
          </w:tcPr>
          <w:p w14:paraId="22898B18">
            <w:pPr>
              <w:jc w:val="center"/>
              <w:rPr>
                <w:rFonts w:hint="eastAsia" w:ascii="Times New Roman" w:hAnsi="Times New Roman" w:eastAsia="宋体" w:cs="Times New Roman"/>
                <w:sz w:val="24"/>
              </w:rPr>
            </w:pPr>
          </w:p>
        </w:tc>
        <w:tc>
          <w:tcPr>
            <w:tcW w:w="1800" w:type="pct"/>
            <w:vMerge w:val="continue"/>
            <w:tcBorders>
              <w:tl2br w:val="nil"/>
              <w:tr2bl w:val="nil"/>
            </w:tcBorders>
            <w:vAlign w:val="center"/>
          </w:tcPr>
          <w:p w14:paraId="13F6BAFA">
            <w:pPr>
              <w:jc w:val="center"/>
              <w:rPr>
                <w:rFonts w:hint="eastAsia" w:ascii="Times New Roman" w:hAnsi="Times New Roman" w:eastAsia="宋体" w:cs="Times New Roman"/>
                <w:sz w:val="24"/>
                <w:lang w:val="en-US" w:eastAsia="zh-CN"/>
              </w:rPr>
            </w:pPr>
          </w:p>
        </w:tc>
        <w:tc>
          <w:tcPr>
            <w:tcW w:w="2189" w:type="pct"/>
            <w:tcBorders>
              <w:bottom w:val="single" w:color="auto" w:sz="4" w:space="0"/>
              <w:tl2br w:val="nil"/>
              <w:tr2bl w:val="nil"/>
            </w:tcBorders>
            <w:shd w:val="clear" w:color="auto" w:fill="auto"/>
            <w:vAlign w:val="center"/>
          </w:tcPr>
          <w:p w14:paraId="638EDD7F">
            <w:pPr>
              <w:jc w:val="center"/>
              <w:rPr>
                <w:rFonts w:hint="eastAsia" w:ascii="Times New Roman" w:hAnsi="Times New Roman" w:eastAsia="宋体" w:cs="Times New Roman"/>
                <w:sz w:val="24"/>
                <w:lang w:val="en-US" w:eastAsia="zh-CN"/>
              </w:rPr>
            </w:pPr>
            <w:r>
              <w:rPr>
                <w:rFonts w:hint="eastAsia" w:cs="Times New Roman"/>
                <w:sz w:val="24"/>
                <w:lang w:val="en-US" w:eastAsia="zh-CN"/>
              </w:rPr>
              <w:t>已</w:t>
            </w:r>
            <w:r>
              <w:rPr>
                <w:rFonts w:hint="eastAsia" w:ascii="Times New Roman" w:hAnsi="Times New Roman" w:eastAsia="宋体" w:cs="Times New Roman"/>
                <w:sz w:val="24"/>
                <w:lang w:eastAsia="zh-CN"/>
              </w:rPr>
              <w:t>根据报废液化石油气钢瓶涂层的成分，说明涂层废气中是否产生二噁英；</w:t>
            </w:r>
            <w:r>
              <w:rPr>
                <w:rFonts w:hint="eastAsia" w:cs="Times New Roman"/>
                <w:sz w:val="24"/>
                <w:lang w:val="en-US" w:eastAsia="zh-CN"/>
              </w:rPr>
              <w:t>已</w:t>
            </w:r>
            <w:r>
              <w:rPr>
                <w:rFonts w:hint="eastAsia" w:ascii="Times New Roman" w:hAnsi="Times New Roman" w:eastAsia="宋体" w:cs="Times New Roman"/>
                <w:sz w:val="24"/>
                <w:lang w:eastAsia="zh-CN"/>
              </w:rPr>
              <w:t>类比核实焚烧废气中是否产生挥发性有机物；</w:t>
            </w:r>
            <w:r>
              <w:rPr>
                <w:rFonts w:hint="eastAsia" w:cs="Times New Roman"/>
                <w:sz w:val="24"/>
                <w:lang w:val="en-US" w:eastAsia="zh-CN"/>
              </w:rPr>
              <w:t>已补充</w:t>
            </w:r>
            <w:r>
              <w:rPr>
                <w:rFonts w:hint="eastAsia" w:ascii="Times New Roman" w:hAnsi="Times New Roman" w:eastAsia="宋体" w:cs="Times New Roman"/>
                <w:sz w:val="24"/>
                <w:lang w:eastAsia="zh-CN"/>
              </w:rPr>
              <w:t>项目污染源监测数据，</w:t>
            </w:r>
            <w:r>
              <w:rPr>
                <w:rFonts w:hint="eastAsia" w:cs="Times New Roman"/>
                <w:sz w:val="24"/>
                <w:lang w:val="en-US" w:eastAsia="zh-CN"/>
              </w:rPr>
              <w:t>并</w:t>
            </w:r>
            <w:r>
              <w:rPr>
                <w:rFonts w:hint="eastAsia" w:ascii="Times New Roman" w:hAnsi="Times New Roman" w:eastAsia="宋体" w:cs="Times New Roman"/>
                <w:sz w:val="24"/>
                <w:lang w:eastAsia="zh-CN"/>
              </w:rPr>
              <w:t>核实焚烧废气源强及焚烧废气量和污染物排放浓度；根据废气温度等情况，强化废气处理措施的可行性分析。</w:t>
            </w:r>
          </w:p>
        </w:tc>
        <w:tc>
          <w:tcPr>
            <w:tcW w:w="636" w:type="pct"/>
            <w:tcBorders>
              <w:bottom w:val="single" w:color="auto" w:sz="4" w:space="0"/>
              <w:tl2br w:val="nil"/>
              <w:tr2bl w:val="nil"/>
            </w:tcBorders>
            <w:vAlign w:val="center"/>
          </w:tcPr>
          <w:p w14:paraId="73D760F1">
            <w:pPr>
              <w:jc w:val="center"/>
              <w:rPr>
                <w:rFonts w:hint="eastAsia" w:cs="Times New Roman"/>
                <w:sz w:val="24"/>
                <w:lang w:val="en-US" w:eastAsia="zh-CN"/>
              </w:rPr>
            </w:pPr>
            <w:r>
              <w:rPr>
                <w:rFonts w:hint="eastAsia" w:ascii="Times New Roman" w:hAnsi="Times New Roman" w:eastAsia="宋体" w:cs="Times New Roman"/>
                <w:sz w:val="24"/>
                <w:lang w:val="en-US" w:eastAsia="zh-CN"/>
              </w:rPr>
              <w:t>P</w:t>
            </w:r>
            <w:r>
              <w:rPr>
                <w:rFonts w:hint="eastAsia" w:cs="Times New Roman"/>
                <w:sz w:val="24"/>
                <w:lang w:val="en-US" w:eastAsia="zh-CN"/>
              </w:rPr>
              <w:t>25-26、</w:t>
            </w:r>
          </w:p>
          <w:p w14:paraId="6A17B828">
            <w:pPr>
              <w:jc w:val="center"/>
              <w:rPr>
                <w:rFonts w:hint="default" w:ascii="Times New Roman" w:hAnsi="Times New Roman" w:eastAsia="宋体" w:cs="Times New Roman"/>
                <w:sz w:val="24"/>
                <w:lang w:val="en-US" w:eastAsia="zh-CN"/>
              </w:rPr>
            </w:pPr>
            <w:r>
              <w:rPr>
                <w:rFonts w:hint="eastAsia" w:cs="Times New Roman"/>
                <w:sz w:val="24"/>
                <w:lang w:val="en-US" w:eastAsia="zh-CN"/>
              </w:rPr>
              <w:t>34-39</w:t>
            </w:r>
          </w:p>
        </w:tc>
      </w:tr>
      <w:tr w14:paraId="439DD183">
        <w:tblPrEx>
          <w:tblBorders>
            <w:top w:val="single" w:color="auto" w:sz="12" w:space="0"/>
            <w:left w:val="single" w:color="auto" w:sz="12" w:space="0"/>
            <w:bottom w:val="single" w:color="auto" w:sz="12" w:space="0"/>
            <w:right w:val="single" w:color="auto" w:sz="12" w:space="0"/>
            <w:insideH w:val="single" w:color="auto" w:sz="6" w:space="0"/>
            <w:insideV w:val="single" w:color="auto" w:sz="2" w:space="0"/>
          </w:tblBorders>
          <w:tblCellMar>
            <w:top w:w="0" w:type="dxa"/>
            <w:left w:w="108" w:type="dxa"/>
            <w:bottom w:w="0" w:type="dxa"/>
            <w:right w:w="108" w:type="dxa"/>
          </w:tblCellMar>
        </w:tblPrEx>
        <w:trPr>
          <w:trHeight w:val="956" w:hRule="atLeast"/>
          <w:jc w:val="center"/>
        </w:trPr>
        <w:tc>
          <w:tcPr>
            <w:tcW w:w="374" w:type="pct"/>
            <w:tcBorders>
              <w:tl2br w:val="nil"/>
              <w:tr2bl w:val="nil"/>
            </w:tcBorders>
            <w:vAlign w:val="center"/>
          </w:tcPr>
          <w:p w14:paraId="60F243D8">
            <w:pPr>
              <w:jc w:val="center"/>
              <w:rPr>
                <w:rFonts w:ascii="Times New Roman" w:hAnsi="Times New Roman" w:eastAsia="宋体" w:cs="Times New Roman"/>
                <w:sz w:val="24"/>
              </w:rPr>
            </w:pPr>
            <w:r>
              <w:rPr>
                <w:rFonts w:hint="eastAsia" w:ascii="Times New Roman" w:hAnsi="Times New Roman" w:eastAsia="宋体" w:cs="Times New Roman"/>
                <w:sz w:val="24"/>
              </w:rPr>
              <w:t>6</w:t>
            </w:r>
          </w:p>
        </w:tc>
        <w:tc>
          <w:tcPr>
            <w:tcW w:w="1800" w:type="pct"/>
            <w:tcBorders>
              <w:tl2br w:val="nil"/>
              <w:tr2bl w:val="nil"/>
            </w:tcBorders>
            <w:vAlign w:val="center"/>
          </w:tcPr>
          <w:p w14:paraId="3BDD62CE">
            <w:pPr>
              <w:jc w:val="center"/>
              <w:rPr>
                <w:rFonts w:ascii="Times New Roman" w:hAnsi="Times New Roman" w:eastAsia="宋体" w:cs="Times New Roman"/>
                <w:sz w:val="24"/>
              </w:rPr>
            </w:pPr>
            <w:r>
              <w:rPr>
                <w:rFonts w:hint="eastAsia" w:ascii="Times New Roman" w:hAnsi="Times New Roman" w:eastAsia="宋体" w:cs="Times New Roman"/>
                <w:sz w:val="24"/>
                <w:lang w:eastAsia="zh-CN"/>
              </w:rPr>
              <w:t>根据核实的废液化石油气钢瓶涂料成分，核实除尘器收集的粉尘及焚烧炉渣的属性及处理处置要求。</w:t>
            </w:r>
          </w:p>
        </w:tc>
        <w:tc>
          <w:tcPr>
            <w:tcW w:w="2189" w:type="pct"/>
            <w:tcBorders>
              <w:tl2br w:val="nil"/>
              <w:tr2bl w:val="nil"/>
            </w:tcBorders>
            <w:shd w:val="clear" w:color="auto" w:fill="auto"/>
            <w:vAlign w:val="center"/>
          </w:tcPr>
          <w:p w14:paraId="57C386AC">
            <w:pPr>
              <w:jc w:val="center"/>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sz w:val="24"/>
                <w:lang w:val="en-US" w:eastAsia="zh-CN"/>
              </w:rPr>
              <w:t>已</w:t>
            </w:r>
            <w:r>
              <w:rPr>
                <w:rFonts w:hint="eastAsia" w:cs="Times New Roman"/>
                <w:sz w:val="24"/>
                <w:lang w:val="en-US" w:eastAsia="zh-CN"/>
              </w:rPr>
              <w:t>根据</w:t>
            </w:r>
            <w:r>
              <w:rPr>
                <w:rFonts w:hint="eastAsia" w:ascii="Times New Roman" w:hAnsi="Times New Roman" w:eastAsia="宋体" w:cs="Times New Roman"/>
                <w:sz w:val="24"/>
                <w:lang w:eastAsia="zh-CN"/>
              </w:rPr>
              <w:t>废液化石油气钢瓶涂料成分，核实除尘器收集的粉尘及焚烧炉渣的属性及处理处置要求。</w:t>
            </w:r>
          </w:p>
        </w:tc>
        <w:tc>
          <w:tcPr>
            <w:tcW w:w="636" w:type="pct"/>
            <w:tcBorders>
              <w:tl2br w:val="nil"/>
              <w:tr2bl w:val="nil"/>
            </w:tcBorders>
            <w:vAlign w:val="center"/>
          </w:tcPr>
          <w:p w14:paraId="36659A61">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P</w:t>
            </w:r>
            <w:r>
              <w:rPr>
                <w:rFonts w:hint="eastAsia" w:cs="Times New Roman"/>
                <w:sz w:val="24"/>
                <w:lang w:val="en-US" w:eastAsia="zh-CN"/>
              </w:rPr>
              <w:t>45</w:t>
            </w:r>
          </w:p>
        </w:tc>
      </w:tr>
      <w:tr w14:paraId="76DC5D5F">
        <w:tblPrEx>
          <w:tblBorders>
            <w:top w:val="single" w:color="auto" w:sz="12" w:space="0"/>
            <w:left w:val="single" w:color="auto" w:sz="12" w:space="0"/>
            <w:bottom w:val="single" w:color="auto" w:sz="12" w:space="0"/>
            <w:right w:val="single" w:color="auto" w:sz="12" w:space="0"/>
            <w:insideH w:val="single" w:color="auto" w:sz="6" w:space="0"/>
            <w:insideV w:val="single" w:color="auto" w:sz="2" w:space="0"/>
          </w:tblBorders>
          <w:tblCellMar>
            <w:top w:w="0" w:type="dxa"/>
            <w:left w:w="108" w:type="dxa"/>
            <w:bottom w:w="0" w:type="dxa"/>
            <w:right w:w="108" w:type="dxa"/>
          </w:tblCellMar>
        </w:tblPrEx>
        <w:trPr>
          <w:trHeight w:val="1614" w:hRule="atLeast"/>
          <w:jc w:val="center"/>
        </w:trPr>
        <w:tc>
          <w:tcPr>
            <w:tcW w:w="374" w:type="pct"/>
            <w:tcBorders>
              <w:tl2br w:val="nil"/>
              <w:tr2bl w:val="nil"/>
            </w:tcBorders>
            <w:vAlign w:val="center"/>
          </w:tcPr>
          <w:p w14:paraId="09A1260A">
            <w:pPr>
              <w:jc w:val="center"/>
              <w:rPr>
                <w:rFonts w:ascii="Times New Roman" w:hAnsi="Times New Roman" w:eastAsia="宋体" w:cs="Times New Roman"/>
                <w:sz w:val="24"/>
              </w:rPr>
            </w:pPr>
            <w:r>
              <w:rPr>
                <w:rFonts w:hint="eastAsia" w:ascii="Times New Roman" w:hAnsi="Times New Roman" w:eastAsia="宋体" w:cs="Times New Roman"/>
                <w:sz w:val="24"/>
              </w:rPr>
              <w:t>7</w:t>
            </w:r>
          </w:p>
        </w:tc>
        <w:tc>
          <w:tcPr>
            <w:tcW w:w="1800" w:type="pct"/>
            <w:tcBorders>
              <w:tl2br w:val="nil"/>
              <w:tr2bl w:val="nil"/>
            </w:tcBorders>
            <w:vAlign w:val="center"/>
          </w:tcPr>
          <w:p w14:paraId="2D40B069">
            <w:pPr>
              <w:jc w:val="center"/>
              <w:rPr>
                <w:rFonts w:ascii="Times New Roman" w:hAnsi="Times New Roman" w:eastAsia="宋体" w:cs="Times New Roman"/>
                <w:sz w:val="24"/>
              </w:rPr>
            </w:pPr>
            <w:r>
              <w:rPr>
                <w:rFonts w:hint="eastAsia" w:ascii="Times New Roman" w:hAnsi="Times New Roman" w:eastAsia="宋体" w:cs="Times New Roman"/>
                <w:sz w:val="24"/>
                <w:lang w:eastAsia="zh-CN"/>
              </w:rPr>
              <w:t>完善项目与《湖南省大气污染防治攻坚三年行动实施方案（2026—2028 年）》、《湖南省工业炉窑大气污染综合治理实施方案》等要求的符合性分析。</w:t>
            </w:r>
          </w:p>
        </w:tc>
        <w:tc>
          <w:tcPr>
            <w:tcW w:w="2189" w:type="pct"/>
            <w:tcBorders>
              <w:tl2br w:val="nil"/>
              <w:tr2bl w:val="nil"/>
            </w:tcBorders>
            <w:shd w:val="clear" w:color="auto" w:fill="auto"/>
            <w:vAlign w:val="center"/>
          </w:tcPr>
          <w:p w14:paraId="6C71338C">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sz w:val="24"/>
                <w:lang w:val="en-US" w:eastAsia="zh-CN"/>
              </w:rPr>
              <w:t>已</w:t>
            </w:r>
            <w:r>
              <w:rPr>
                <w:rFonts w:hint="eastAsia" w:ascii="Times New Roman" w:hAnsi="Times New Roman" w:eastAsia="宋体" w:cs="Times New Roman"/>
                <w:sz w:val="24"/>
                <w:lang w:eastAsia="zh-CN"/>
              </w:rPr>
              <w:t>完善项目与《湖南省大气污染防治攻坚三年行动实施方案（2026—2028 年）》、《湖南省工业炉窑大气污染综合治理实施方案》等要求的符合性分析。</w:t>
            </w:r>
          </w:p>
        </w:tc>
        <w:tc>
          <w:tcPr>
            <w:tcW w:w="636" w:type="pct"/>
            <w:tcBorders>
              <w:tl2br w:val="nil"/>
              <w:tr2bl w:val="nil"/>
            </w:tcBorders>
            <w:vAlign w:val="center"/>
          </w:tcPr>
          <w:p w14:paraId="5020031C">
            <w:pPr>
              <w:jc w:val="center"/>
              <w:rPr>
                <w:rFonts w:hint="default" w:ascii="Times New Roman" w:hAnsi="Times New Roman" w:eastAsia="宋体" w:cs="Times New Roman"/>
                <w:sz w:val="24"/>
                <w:lang w:val="en-US"/>
              </w:rPr>
            </w:pPr>
            <w:r>
              <w:rPr>
                <w:rFonts w:hint="eastAsia" w:ascii="Times New Roman" w:hAnsi="Times New Roman" w:eastAsia="宋体" w:cs="Times New Roman"/>
                <w:sz w:val="24"/>
                <w:lang w:val="en-US" w:eastAsia="zh-CN"/>
              </w:rPr>
              <w:t>P</w:t>
            </w:r>
            <w:r>
              <w:rPr>
                <w:rFonts w:hint="eastAsia" w:cs="Times New Roman"/>
                <w:sz w:val="24"/>
                <w:lang w:val="en-US" w:eastAsia="zh-CN"/>
              </w:rPr>
              <w:t>9-10</w:t>
            </w:r>
          </w:p>
        </w:tc>
      </w:tr>
    </w:tbl>
    <w:p w14:paraId="2988FDC3">
      <w:pPr>
        <w:jc w:val="both"/>
        <w:rPr>
          <w:rFonts w:hint="eastAsia" w:eastAsia="宋体"/>
          <w:color w:val="auto"/>
          <w:lang w:eastAsia="zh-CN"/>
        </w:rPr>
        <w:sectPr>
          <w:headerReference r:id="rId5" w:type="default"/>
          <w:footerReference r:id="rId6" w:type="default"/>
          <w:pgSz w:w="11906" w:h="16838"/>
          <w:pgMar w:top="567" w:right="567" w:bottom="567" w:left="567" w:header="170" w:footer="170" w:gutter="0"/>
          <w:pgBorders>
            <w:top w:val="none" w:sz="0" w:space="0"/>
            <w:left w:val="none" w:sz="0" w:space="0"/>
            <w:bottom w:val="none" w:sz="0" w:space="0"/>
            <w:right w:val="none" w:sz="0" w:space="0"/>
          </w:pgBorders>
          <w:cols w:space="720" w:num="1"/>
          <w:docGrid w:type="lines" w:linePitch="312" w:charSpace="0"/>
        </w:sectPr>
      </w:pPr>
    </w:p>
    <w:sdt>
      <w:sdtPr>
        <w:rPr>
          <w:rFonts w:ascii="宋体" w:hAnsi="宋体" w:eastAsia="宋体" w:cs="Times New Roman"/>
          <w:color w:val="auto"/>
          <w:kern w:val="2"/>
          <w:sz w:val="24"/>
          <w:szCs w:val="24"/>
          <w:lang w:val="en-US" w:eastAsia="zh-CN" w:bidi="ar-SA"/>
        </w:rPr>
        <w:id w:val="147452834"/>
        <w15:color w:val="DBDBDB"/>
        <w:docPartObj>
          <w:docPartGallery w:val="Table of Contents"/>
          <w:docPartUnique/>
        </w:docPartObj>
      </w:sdtPr>
      <w:sdtEndPr>
        <w:rPr>
          <w:rFonts w:ascii="宋体" w:hAnsi="宋体" w:eastAsia="宋体" w:cs="Times New Roman"/>
          <w:b w:val="0"/>
          <w:bCs w:val="0"/>
          <w:color w:val="auto"/>
          <w:kern w:val="2"/>
          <w:sz w:val="30"/>
          <w:szCs w:val="30"/>
          <w:lang w:val="en-US" w:eastAsia="zh-CN" w:bidi="ar-SA"/>
        </w:rPr>
      </w:sdtEndPr>
      <w:sdtContent>
        <w:p w14:paraId="3DB424F0">
          <w:pPr>
            <w:widowControl w:val="0"/>
            <w:bidi w:val="0"/>
            <w:spacing w:line="560" w:lineRule="exact"/>
            <w:ind w:firstLine="480" w:firstLineChars="200"/>
            <w:jc w:val="center"/>
            <w:rPr>
              <w:rFonts w:ascii="Times New Roman" w:hAnsi="Times New Roman" w:eastAsia="宋体" w:cs="Times New Roman"/>
              <w:b/>
              <w:bCs/>
              <w:color w:val="auto"/>
              <w:kern w:val="2"/>
              <w:sz w:val="30"/>
              <w:szCs w:val="30"/>
              <w:lang w:val="en-US" w:eastAsia="zh-CN" w:bidi="ar-SA"/>
            </w:rPr>
          </w:pPr>
          <w:r>
            <w:rPr>
              <w:rFonts w:ascii="Times New Roman" w:hAnsi="Times New Roman" w:eastAsia="宋体" w:cs="Times New Roman"/>
              <w:b/>
              <w:bCs/>
              <w:color w:val="auto"/>
              <w:kern w:val="2"/>
              <w:sz w:val="30"/>
              <w:szCs w:val="30"/>
              <w:lang w:val="en-US" w:eastAsia="zh-CN" w:bidi="ar-SA"/>
            </w:rPr>
            <w:t>目录</w:t>
          </w:r>
        </w:p>
        <w:p w14:paraId="74C4BCF4">
          <w:pPr>
            <w:spacing w:before="0" w:beforeLines="0" w:after="0" w:afterLines="0" w:line="360" w:lineRule="auto"/>
            <w:ind w:left="0" w:leftChars="0" w:right="0" w:rightChars="0" w:firstLine="0" w:firstLineChars="0"/>
            <w:jc w:val="center"/>
            <w:rPr>
              <w:rFonts w:ascii="Times New Roman" w:hAnsi="Times New Roman" w:cs="Times New Roman"/>
              <w:color w:val="auto"/>
              <w:sz w:val="24"/>
              <w:szCs w:val="24"/>
            </w:rPr>
          </w:pPr>
        </w:p>
        <w:p w14:paraId="090058D6">
          <w:pPr>
            <w:pStyle w:val="23"/>
            <w:tabs>
              <w:tab w:val="right" w:leader="dot" w:pos="8844"/>
            </w:tabs>
            <w:rPr>
              <w:sz w:val="24"/>
              <w:szCs w:val="32"/>
            </w:rPr>
          </w:pPr>
          <w:r>
            <w:rPr>
              <w:rFonts w:ascii="Times New Roman" w:hAnsi="Times New Roman" w:eastAsia="宋体" w:cs="Times New Roman"/>
              <w:b w:val="0"/>
              <w:bCs w:val="0"/>
              <w:color w:val="auto"/>
              <w:kern w:val="2"/>
              <w:sz w:val="48"/>
              <w:szCs w:val="48"/>
              <w:lang w:val="en-US" w:eastAsia="zh-CN" w:bidi="ar-SA"/>
            </w:rPr>
            <w:fldChar w:fldCharType="begin"/>
          </w:r>
          <w:r>
            <w:rPr>
              <w:rFonts w:ascii="Times New Roman" w:hAnsi="Times New Roman" w:eastAsia="宋体" w:cs="Times New Roman"/>
              <w:b w:val="0"/>
              <w:bCs w:val="0"/>
              <w:color w:val="auto"/>
              <w:kern w:val="2"/>
              <w:sz w:val="48"/>
              <w:szCs w:val="48"/>
              <w:lang w:val="en-US" w:eastAsia="zh-CN" w:bidi="ar-SA"/>
            </w:rPr>
            <w:instrText xml:space="preserve">TOC \o "1-1" \h \u </w:instrText>
          </w:r>
          <w:r>
            <w:rPr>
              <w:rFonts w:ascii="Times New Roman" w:hAnsi="Times New Roman" w:eastAsia="宋体" w:cs="Times New Roman"/>
              <w:b w:val="0"/>
              <w:bCs w:val="0"/>
              <w:color w:val="auto"/>
              <w:kern w:val="2"/>
              <w:sz w:val="48"/>
              <w:szCs w:val="48"/>
              <w:lang w:val="en-US" w:eastAsia="zh-CN" w:bidi="ar-SA"/>
            </w:rPr>
            <w:fldChar w:fldCharType="separate"/>
          </w:r>
          <w:r>
            <w:rPr>
              <w:rFonts w:ascii="Times New Roman" w:hAnsi="Times New Roman" w:eastAsia="宋体" w:cs="Times New Roman"/>
              <w:bCs w:val="0"/>
              <w:color w:val="auto"/>
              <w:kern w:val="2"/>
              <w:sz w:val="24"/>
              <w:szCs w:val="48"/>
              <w:lang w:val="en-US" w:eastAsia="zh-CN" w:bidi="ar-SA"/>
            </w:rPr>
            <w:fldChar w:fldCharType="begin"/>
          </w:r>
          <w:r>
            <w:rPr>
              <w:rFonts w:ascii="Times New Roman" w:hAnsi="Times New Roman" w:eastAsia="宋体" w:cs="Times New Roman"/>
              <w:bCs w:val="0"/>
              <w:kern w:val="2"/>
              <w:sz w:val="24"/>
              <w:szCs w:val="48"/>
              <w:lang w:val="en-US" w:eastAsia="zh-CN" w:bidi="ar-SA"/>
            </w:rPr>
            <w:instrText xml:space="preserve"> HYPERLINK \l _Toc11854 </w:instrText>
          </w:r>
          <w:r>
            <w:rPr>
              <w:rFonts w:ascii="Times New Roman" w:hAnsi="Times New Roman" w:eastAsia="宋体" w:cs="Times New Roman"/>
              <w:bCs w:val="0"/>
              <w:kern w:val="2"/>
              <w:sz w:val="24"/>
              <w:szCs w:val="48"/>
              <w:lang w:val="en-US" w:eastAsia="zh-CN" w:bidi="ar-SA"/>
            </w:rPr>
            <w:fldChar w:fldCharType="separate"/>
          </w:r>
          <w:r>
            <w:rPr>
              <w:rFonts w:ascii="Times New Roman" w:hAnsi="Times New Roman" w:eastAsia="黑体"/>
              <w:snapToGrid w:val="0"/>
              <w:sz w:val="24"/>
              <w:szCs w:val="36"/>
              <w:highlight w:val="none"/>
            </w:rPr>
            <w:t>一、建设项目基本情况</w:t>
          </w:r>
          <w:r>
            <w:rPr>
              <w:sz w:val="24"/>
              <w:szCs w:val="32"/>
            </w:rPr>
            <w:tab/>
          </w:r>
          <w:r>
            <w:rPr>
              <w:sz w:val="24"/>
              <w:szCs w:val="32"/>
            </w:rPr>
            <w:fldChar w:fldCharType="begin"/>
          </w:r>
          <w:r>
            <w:rPr>
              <w:sz w:val="24"/>
              <w:szCs w:val="32"/>
            </w:rPr>
            <w:instrText xml:space="preserve"> PAGEREF _Toc11854 \h </w:instrText>
          </w:r>
          <w:r>
            <w:rPr>
              <w:sz w:val="24"/>
              <w:szCs w:val="32"/>
            </w:rPr>
            <w:fldChar w:fldCharType="separate"/>
          </w:r>
          <w:r>
            <w:rPr>
              <w:sz w:val="24"/>
              <w:szCs w:val="32"/>
            </w:rPr>
            <w:t>2</w:t>
          </w:r>
          <w:r>
            <w:rPr>
              <w:sz w:val="24"/>
              <w:szCs w:val="32"/>
            </w:rPr>
            <w:fldChar w:fldCharType="end"/>
          </w:r>
          <w:r>
            <w:rPr>
              <w:rFonts w:ascii="Times New Roman" w:hAnsi="Times New Roman" w:eastAsia="宋体" w:cs="Times New Roman"/>
              <w:bCs w:val="0"/>
              <w:color w:val="auto"/>
              <w:kern w:val="2"/>
              <w:sz w:val="24"/>
              <w:szCs w:val="48"/>
              <w:lang w:val="en-US" w:eastAsia="zh-CN" w:bidi="ar-SA"/>
            </w:rPr>
            <w:fldChar w:fldCharType="end"/>
          </w:r>
        </w:p>
        <w:p w14:paraId="731497B1">
          <w:pPr>
            <w:pStyle w:val="23"/>
            <w:tabs>
              <w:tab w:val="right" w:leader="dot" w:pos="8844"/>
            </w:tabs>
            <w:rPr>
              <w:sz w:val="24"/>
              <w:szCs w:val="32"/>
            </w:rPr>
          </w:pPr>
          <w:r>
            <w:rPr>
              <w:rFonts w:ascii="Times New Roman" w:hAnsi="Times New Roman" w:cs="Times New Roman"/>
              <w:bCs w:val="0"/>
              <w:color w:val="auto"/>
              <w:sz w:val="24"/>
              <w:szCs w:val="48"/>
            </w:rPr>
            <w:fldChar w:fldCharType="begin"/>
          </w:r>
          <w:r>
            <w:rPr>
              <w:rFonts w:ascii="Times New Roman" w:hAnsi="Times New Roman" w:cs="Times New Roman"/>
              <w:bCs w:val="0"/>
              <w:sz w:val="24"/>
              <w:szCs w:val="48"/>
            </w:rPr>
            <w:instrText xml:space="preserve"> HYPERLINK \l _Toc3053 </w:instrText>
          </w:r>
          <w:r>
            <w:rPr>
              <w:rFonts w:ascii="Times New Roman" w:hAnsi="Times New Roman" w:cs="Times New Roman"/>
              <w:bCs w:val="0"/>
              <w:sz w:val="24"/>
              <w:szCs w:val="48"/>
            </w:rPr>
            <w:fldChar w:fldCharType="separate"/>
          </w:r>
          <w:r>
            <w:rPr>
              <w:rFonts w:ascii="Times New Roman" w:hAnsi="Times New Roman" w:eastAsia="黑体"/>
              <w:snapToGrid w:val="0"/>
              <w:sz w:val="24"/>
              <w:szCs w:val="36"/>
              <w:highlight w:val="none"/>
            </w:rPr>
            <w:t>二、建设项目工程分析</w:t>
          </w:r>
          <w:r>
            <w:rPr>
              <w:sz w:val="24"/>
              <w:szCs w:val="32"/>
            </w:rPr>
            <w:tab/>
          </w:r>
          <w:r>
            <w:rPr>
              <w:sz w:val="24"/>
              <w:szCs w:val="32"/>
            </w:rPr>
            <w:fldChar w:fldCharType="begin"/>
          </w:r>
          <w:r>
            <w:rPr>
              <w:sz w:val="24"/>
              <w:szCs w:val="32"/>
            </w:rPr>
            <w:instrText xml:space="preserve"> PAGEREF _Toc3053 \h </w:instrText>
          </w:r>
          <w:r>
            <w:rPr>
              <w:sz w:val="24"/>
              <w:szCs w:val="32"/>
            </w:rPr>
            <w:fldChar w:fldCharType="separate"/>
          </w:r>
          <w:r>
            <w:rPr>
              <w:sz w:val="24"/>
              <w:szCs w:val="32"/>
            </w:rPr>
            <w:t>2</w:t>
          </w:r>
          <w:r>
            <w:rPr>
              <w:sz w:val="24"/>
              <w:szCs w:val="32"/>
            </w:rPr>
            <w:fldChar w:fldCharType="end"/>
          </w:r>
          <w:r>
            <w:rPr>
              <w:rFonts w:ascii="Times New Roman" w:hAnsi="Times New Roman" w:cs="Times New Roman"/>
              <w:bCs w:val="0"/>
              <w:color w:val="auto"/>
              <w:sz w:val="24"/>
              <w:szCs w:val="48"/>
            </w:rPr>
            <w:fldChar w:fldCharType="end"/>
          </w:r>
        </w:p>
        <w:p w14:paraId="1DACEC01">
          <w:pPr>
            <w:pStyle w:val="23"/>
            <w:tabs>
              <w:tab w:val="right" w:leader="dot" w:pos="8844"/>
            </w:tabs>
            <w:rPr>
              <w:sz w:val="24"/>
              <w:szCs w:val="32"/>
            </w:rPr>
          </w:pPr>
          <w:r>
            <w:rPr>
              <w:rFonts w:ascii="Times New Roman" w:hAnsi="Times New Roman" w:cs="Times New Roman"/>
              <w:bCs w:val="0"/>
              <w:color w:val="auto"/>
              <w:sz w:val="24"/>
              <w:szCs w:val="48"/>
            </w:rPr>
            <w:fldChar w:fldCharType="begin"/>
          </w:r>
          <w:r>
            <w:rPr>
              <w:rFonts w:ascii="Times New Roman" w:hAnsi="Times New Roman" w:cs="Times New Roman"/>
              <w:bCs w:val="0"/>
              <w:sz w:val="24"/>
              <w:szCs w:val="48"/>
            </w:rPr>
            <w:instrText xml:space="preserve"> HYPERLINK \l _Toc23730 </w:instrText>
          </w:r>
          <w:r>
            <w:rPr>
              <w:rFonts w:ascii="Times New Roman" w:hAnsi="Times New Roman" w:cs="Times New Roman"/>
              <w:bCs w:val="0"/>
              <w:sz w:val="24"/>
              <w:szCs w:val="48"/>
            </w:rPr>
            <w:fldChar w:fldCharType="separate"/>
          </w:r>
          <w:r>
            <w:rPr>
              <w:rFonts w:ascii="Times New Roman" w:hAnsi="Times New Roman" w:eastAsia="黑体"/>
              <w:snapToGrid w:val="0"/>
              <w:sz w:val="24"/>
              <w:szCs w:val="36"/>
              <w:highlight w:val="none"/>
            </w:rPr>
            <w:t>三、区域环境质量现状、环境保护目标及评价标准</w:t>
          </w:r>
          <w:r>
            <w:rPr>
              <w:sz w:val="24"/>
              <w:szCs w:val="32"/>
            </w:rPr>
            <w:tab/>
          </w:r>
          <w:r>
            <w:rPr>
              <w:sz w:val="24"/>
              <w:szCs w:val="32"/>
            </w:rPr>
            <w:fldChar w:fldCharType="begin"/>
          </w:r>
          <w:r>
            <w:rPr>
              <w:sz w:val="24"/>
              <w:szCs w:val="32"/>
            </w:rPr>
            <w:instrText xml:space="preserve"> PAGEREF _Toc23730 \h </w:instrText>
          </w:r>
          <w:r>
            <w:rPr>
              <w:sz w:val="24"/>
              <w:szCs w:val="32"/>
            </w:rPr>
            <w:fldChar w:fldCharType="separate"/>
          </w:r>
          <w:r>
            <w:rPr>
              <w:sz w:val="24"/>
              <w:szCs w:val="32"/>
            </w:rPr>
            <w:t>28</w:t>
          </w:r>
          <w:r>
            <w:rPr>
              <w:sz w:val="24"/>
              <w:szCs w:val="32"/>
            </w:rPr>
            <w:fldChar w:fldCharType="end"/>
          </w:r>
          <w:r>
            <w:rPr>
              <w:rFonts w:ascii="Times New Roman" w:hAnsi="Times New Roman" w:cs="Times New Roman"/>
              <w:bCs w:val="0"/>
              <w:color w:val="auto"/>
              <w:sz w:val="24"/>
              <w:szCs w:val="48"/>
            </w:rPr>
            <w:fldChar w:fldCharType="end"/>
          </w:r>
        </w:p>
        <w:p w14:paraId="2BB4F5C4">
          <w:pPr>
            <w:pStyle w:val="23"/>
            <w:tabs>
              <w:tab w:val="right" w:leader="dot" w:pos="8844"/>
            </w:tabs>
            <w:rPr>
              <w:sz w:val="24"/>
              <w:szCs w:val="32"/>
            </w:rPr>
          </w:pPr>
          <w:r>
            <w:rPr>
              <w:rFonts w:ascii="Times New Roman" w:hAnsi="Times New Roman" w:cs="Times New Roman"/>
              <w:bCs w:val="0"/>
              <w:color w:val="auto"/>
              <w:sz w:val="24"/>
              <w:szCs w:val="48"/>
            </w:rPr>
            <w:fldChar w:fldCharType="begin"/>
          </w:r>
          <w:r>
            <w:rPr>
              <w:rFonts w:ascii="Times New Roman" w:hAnsi="Times New Roman" w:cs="Times New Roman"/>
              <w:bCs w:val="0"/>
              <w:sz w:val="24"/>
              <w:szCs w:val="48"/>
            </w:rPr>
            <w:instrText xml:space="preserve"> HYPERLINK \l _Toc16365 </w:instrText>
          </w:r>
          <w:r>
            <w:rPr>
              <w:rFonts w:ascii="Times New Roman" w:hAnsi="Times New Roman" w:cs="Times New Roman"/>
              <w:bCs w:val="0"/>
              <w:sz w:val="24"/>
              <w:szCs w:val="48"/>
            </w:rPr>
            <w:fldChar w:fldCharType="separate"/>
          </w:r>
          <w:r>
            <w:rPr>
              <w:rFonts w:ascii="Times New Roman" w:hAnsi="Times New Roman" w:eastAsia="黑体"/>
              <w:snapToGrid w:val="0"/>
              <w:sz w:val="24"/>
              <w:szCs w:val="36"/>
              <w:highlight w:val="none"/>
            </w:rPr>
            <w:t>四、主要环境影响和保护措施</w:t>
          </w:r>
          <w:r>
            <w:rPr>
              <w:sz w:val="24"/>
              <w:szCs w:val="32"/>
            </w:rPr>
            <w:tab/>
          </w:r>
          <w:r>
            <w:rPr>
              <w:sz w:val="24"/>
              <w:szCs w:val="32"/>
            </w:rPr>
            <w:fldChar w:fldCharType="begin"/>
          </w:r>
          <w:r>
            <w:rPr>
              <w:sz w:val="24"/>
              <w:szCs w:val="32"/>
            </w:rPr>
            <w:instrText xml:space="preserve"> PAGEREF _Toc16365 \h </w:instrText>
          </w:r>
          <w:r>
            <w:rPr>
              <w:sz w:val="24"/>
              <w:szCs w:val="32"/>
            </w:rPr>
            <w:fldChar w:fldCharType="separate"/>
          </w:r>
          <w:r>
            <w:rPr>
              <w:sz w:val="24"/>
              <w:szCs w:val="32"/>
            </w:rPr>
            <w:t>34</w:t>
          </w:r>
          <w:r>
            <w:rPr>
              <w:sz w:val="24"/>
              <w:szCs w:val="32"/>
            </w:rPr>
            <w:fldChar w:fldCharType="end"/>
          </w:r>
          <w:r>
            <w:rPr>
              <w:rFonts w:ascii="Times New Roman" w:hAnsi="Times New Roman" w:cs="Times New Roman"/>
              <w:bCs w:val="0"/>
              <w:color w:val="auto"/>
              <w:sz w:val="24"/>
              <w:szCs w:val="48"/>
            </w:rPr>
            <w:fldChar w:fldCharType="end"/>
          </w:r>
        </w:p>
        <w:p w14:paraId="262DAF7D">
          <w:pPr>
            <w:pStyle w:val="23"/>
            <w:tabs>
              <w:tab w:val="right" w:leader="dot" w:pos="8844"/>
            </w:tabs>
            <w:rPr>
              <w:sz w:val="24"/>
              <w:szCs w:val="32"/>
            </w:rPr>
          </w:pPr>
          <w:r>
            <w:rPr>
              <w:rFonts w:ascii="Times New Roman" w:hAnsi="Times New Roman" w:cs="Times New Roman"/>
              <w:bCs w:val="0"/>
              <w:color w:val="auto"/>
              <w:sz w:val="24"/>
              <w:szCs w:val="48"/>
            </w:rPr>
            <w:fldChar w:fldCharType="begin"/>
          </w:r>
          <w:r>
            <w:rPr>
              <w:rFonts w:ascii="Times New Roman" w:hAnsi="Times New Roman" w:cs="Times New Roman"/>
              <w:bCs w:val="0"/>
              <w:sz w:val="24"/>
              <w:szCs w:val="48"/>
            </w:rPr>
            <w:instrText xml:space="preserve"> HYPERLINK \l _Toc7756 </w:instrText>
          </w:r>
          <w:r>
            <w:rPr>
              <w:rFonts w:ascii="Times New Roman" w:hAnsi="Times New Roman" w:cs="Times New Roman"/>
              <w:bCs w:val="0"/>
              <w:sz w:val="24"/>
              <w:szCs w:val="48"/>
            </w:rPr>
            <w:fldChar w:fldCharType="separate"/>
          </w:r>
          <w:r>
            <w:rPr>
              <w:rFonts w:ascii="Times New Roman" w:hAnsi="Times New Roman" w:eastAsia="黑体"/>
              <w:snapToGrid w:val="0"/>
              <w:sz w:val="24"/>
              <w:szCs w:val="36"/>
              <w:highlight w:val="none"/>
            </w:rPr>
            <w:t>五、环境保护措施监督检查清单</w:t>
          </w:r>
          <w:r>
            <w:rPr>
              <w:sz w:val="24"/>
              <w:szCs w:val="32"/>
            </w:rPr>
            <w:tab/>
          </w:r>
          <w:r>
            <w:rPr>
              <w:sz w:val="24"/>
              <w:szCs w:val="32"/>
            </w:rPr>
            <w:fldChar w:fldCharType="begin"/>
          </w:r>
          <w:r>
            <w:rPr>
              <w:sz w:val="24"/>
              <w:szCs w:val="32"/>
            </w:rPr>
            <w:instrText xml:space="preserve"> PAGEREF _Toc7756 \h </w:instrText>
          </w:r>
          <w:r>
            <w:rPr>
              <w:sz w:val="24"/>
              <w:szCs w:val="32"/>
            </w:rPr>
            <w:fldChar w:fldCharType="separate"/>
          </w:r>
          <w:r>
            <w:rPr>
              <w:sz w:val="24"/>
              <w:szCs w:val="32"/>
            </w:rPr>
            <w:t>64</w:t>
          </w:r>
          <w:r>
            <w:rPr>
              <w:sz w:val="24"/>
              <w:szCs w:val="32"/>
            </w:rPr>
            <w:fldChar w:fldCharType="end"/>
          </w:r>
          <w:r>
            <w:rPr>
              <w:rFonts w:ascii="Times New Roman" w:hAnsi="Times New Roman" w:cs="Times New Roman"/>
              <w:bCs w:val="0"/>
              <w:color w:val="auto"/>
              <w:sz w:val="24"/>
              <w:szCs w:val="48"/>
            </w:rPr>
            <w:fldChar w:fldCharType="end"/>
          </w:r>
        </w:p>
        <w:p w14:paraId="547532F2">
          <w:pPr>
            <w:pStyle w:val="23"/>
            <w:tabs>
              <w:tab w:val="right" w:leader="dot" w:pos="8844"/>
            </w:tabs>
            <w:rPr>
              <w:sz w:val="24"/>
              <w:szCs w:val="32"/>
            </w:rPr>
          </w:pPr>
          <w:r>
            <w:rPr>
              <w:rFonts w:ascii="Times New Roman" w:hAnsi="Times New Roman" w:cs="Times New Roman"/>
              <w:bCs w:val="0"/>
              <w:color w:val="auto"/>
              <w:sz w:val="24"/>
              <w:szCs w:val="48"/>
            </w:rPr>
            <w:fldChar w:fldCharType="begin"/>
          </w:r>
          <w:r>
            <w:rPr>
              <w:rFonts w:ascii="Times New Roman" w:hAnsi="Times New Roman" w:cs="Times New Roman"/>
              <w:bCs w:val="0"/>
              <w:sz w:val="24"/>
              <w:szCs w:val="48"/>
            </w:rPr>
            <w:instrText xml:space="preserve"> HYPERLINK \l _Toc4331 </w:instrText>
          </w:r>
          <w:r>
            <w:rPr>
              <w:rFonts w:ascii="Times New Roman" w:hAnsi="Times New Roman" w:cs="Times New Roman"/>
              <w:bCs w:val="0"/>
              <w:sz w:val="24"/>
              <w:szCs w:val="48"/>
            </w:rPr>
            <w:fldChar w:fldCharType="separate"/>
          </w:r>
          <w:r>
            <w:rPr>
              <w:rFonts w:ascii="Times New Roman" w:hAnsi="Times New Roman" w:eastAsia="黑体"/>
              <w:snapToGrid w:val="0"/>
              <w:sz w:val="24"/>
              <w:szCs w:val="36"/>
              <w:highlight w:val="none"/>
            </w:rPr>
            <w:t>六、结论</w:t>
          </w:r>
          <w:r>
            <w:rPr>
              <w:sz w:val="24"/>
              <w:szCs w:val="32"/>
            </w:rPr>
            <w:tab/>
          </w:r>
          <w:r>
            <w:rPr>
              <w:sz w:val="24"/>
              <w:szCs w:val="32"/>
            </w:rPr>
            <w:fldChar w:fldCharType="begin"/>
          </w:r>
          <w:r>
            <w:rPr>
              <w:sz w:val="24"/>
              <w:szCs w:val="32"/>
            </w:rPr>
            <w:instrText xml:space="preserve"> PAGEREF _Toc4331 \h </w:instrText>
          </w:r>
          <w:r>
            <w:rPr>
              <w:sz w:val="24"/>
              <w:szCs w:val="32"/>
            </w:rPr>
            <w:fldChar w:fldCharType="separate"/>
          </w:r>
          <w:r>
            <w:rPr>
              <w:sz w:val="24"/>
              <w:szCs w:val="32"/>
            </w:rPr>
            <w:t>66</w:t>
          </w:r>
          <w:r>
            <w:rPr>
              <w:sz w:val="24"/>
              <w:szCs w:val="32"/>
            </w:rPr>
            <w:fldChar w:fldCharType="end"/>
          </w:r>
          <w:r>
            <w:rPr>
              <w:rFonts w:ascii="Times New Roman" w:hAnsi="Times New Roman" w:cs="Times New Roman"/>
              <w:bCs w:val="0"/>
              <w:color w:val="auto"/>
              <w:sz w:val="24"/>
              <w:szCs w:val="48"/>
            </w:rPr>
            <w:fldChar w:fldCharType="end"/>
          </w:r>
        </w:p>
        <w:p w14:paraId="7D593AB7">
          <w:pPr>
            <w:spacing w:line="360" w:lineRule="auto"/>
            <w:rPr>
              <w:rFonts w:ascii="Times New Roman" w:hAnsi="Times New Roman" w:cs="Times New Roman"/>
              <w:color w:val="auto"/>
            </w:rPr>
          </w:pPr>
          <w:r>
            <w:rPr>
              <w:rFonts w:ascii="Times New Roman" w:hAnsi="Times New Roman" w:cs="Times New Roman"/>
              <w:bCs w:val="0"/>
              <w:color w:val="auto"/>
              <w:sz w:val="24"/>
              <w:szCs w:val="48"/>
            </w:rPr>
            <w:fldChar w:fldCharType="end"/>
          </w:r>
        </w:p>
      </w:sdtContent>
    </w:sdt>
    <w:p w14:paraId="0D8494C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楷体_GB2312" w:cs="Times New Roman"/>
          <w:color w:val="auto"/>
          <w:kern w:val="2"/>
          <w:sz w:val="21"/>
          <w:szCs w:val="36"/>
          <w:highlight w:val="none"/>
          <w:u w:val="none" w:color="auto"/>
          <w:lang w:val="en-US" w:eastAsia="zh-CN" w:bidi="ar-SA"/>
        </w:rPr>
      </w:pPr>
      <w:r>
        <w:rPr>
          <w:rFonts w:hint="eastAsia" w:eastAsia="宋体"/>
          <w:b/>
          <w:bCs/>
          <w:color w:val="auto"/>
          <w:sz w:val="24"/>
          <w:szCs w:val="32"/>
          <w:highlight w:val="none"/>
          <w:u w:val="none" w:color="auto"/>
          <w:lang w:val="en-US" w:eastAsia="zh-CN"/>
        </w:rPr>
        <w:t>附件：</w:t>
      </w:r>
    </w:p>
    <w:p w14:paraId="11AAFE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附件1   环评委托书</w:t>
      </w:r>
    </w:p>
    <w:p w14:paraId="5C510F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 xml:space="preserve">附件2   </w:t>
      </w:r>
      <w:r>
        <w:rPr>
          <w:rFonts w:hint="eastAsia" w:cs="Times New Roman"/>
          <w:bCs/>
          <w:color w:val="auto"/>
          <w:sz w:val="24"/>
          <w:szCs w:val="24"/>
          <w:lang w:val="en-US" w:eastAsia="zh-CN"/>
        </w:rPr>
        <w:t>营业执照</w:t>
      </w:r>
    </w:p>
    <w:p w14:paraId="5F1E8C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附件3   发改备案</w:t>
      </w:r>
    </w:p>
    <w:p w14:paraId="7CF4A4C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附件</w:t>
      </w:r>
      <w:r>
        <w:rPr>
          <w:rFonts w:hint="eastAsia" w:cs="Times New Roman"/>
          <w:bCs/>
          <w:color w:val="auto"/>
          <w:sz w:val="24"/>
          <w:szCs w:val="24"/>
          <w:lang w:val="en-US" w:eastAsia="zh-CN"/>
        </w:rPr>
        <w:t>4</w:t>
      </w:r>
      <w:r>
        <w:rPr>
          <w:rFonts w:hint="eastAsia" w:ascii="Times New Roman" w:hAnsi="Times New Roman" w:eastAsia="宋体" w:cs="Times New Roman"/>
          <w:bCs/>
          <w:color w:val="auto"/>
          <w:sz w:val="24"/>
          <w:szCs w:val="24"/>
          <w:lang w:val="en-US" w:eastAsia="zh-CN"/>
        </w:rPr>
        <w:t xml:space="preserve">   </w:t>
      </w:r>
      <w:r>
        <w:rPr>
          <w:rFonts w:hint="eastAsia" w:cs="Times New Roman"/>
          <w:bCs/>
          <w:color w:val="auto"/>
          <w:sz w:val="24"/>
          <w:szCs w:val="24"/>
          <w:lang w:val="en-US" w:eastAsia="zh-CN"/>
        </w:rPr>
        <w:t>厂房</w:t>
      </w:r>
      <w:r>
        <w:rPr>
          <w:rFonts w:hint="eastAsia" w:ascii="Times New Roman" w:hAnsi="Times New Roman" w:eastAsia="宋体" w:cs="Times New Roman"/>
          <w:bCs/>
          <w:color w:val="auto"/>
          <w:sz w:val="24"/>
          <w:szCs w:val="24"/>
          <w:lang w:val="en-US" w:eastAsia="zh-CN"/>
        </w:rPr>
        <w:t>租赁合同</w:t>
      </w:r>
      <w:r>
        <w:rPr>
          <w:rFonts w:hint="eastAsia" w:cs="Times New Roman"/>
          <w:bCs/>
          <w:color w:val="auto"/>
          <w:sz w:val="24"/>
          <w:szCs w:val="24"/>
          <w:lang w:val="en-US" w:eastAsia="zh-CN"/>
        </w:rPr>
        <w:t>以及用地证明</w:t>
      </w:r>
    </w:p>
    <w:p w14:paraId="09921D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附件</w:t>
      </w:r>
      <w:r>
        <w:rPr>
          <w:rFonts w:hint="eastAsia" w:cs="Times New Roman"/>
          <w:bCs/>
          <w:color w:val="auto"/>
          <w:sz w:val="24"/>
          <w:szCs w:val="24"/>
          <w:lang w:val="en-US" w:eastAsia="zh-CN"/>
        </w:rPr>
        <w:t>5</w:t>
      </w:r>
      <w:r>
        <w:rPr>
          <w:rFonts w:hint="eastAsia" w:ascii="Times New Roman" w:hAnsi="Times New Roman" w:eastAsia="宋体" w:cs="Times New Roman"/>
          <w:bCs/>
          <w:color w:val="auto"/>
          <w:sz w:val="24"/>
          <w:szCs w:val="24"/>
          <w:lang w:val="en-US" w:eastAsia="zh-CN"/>
        </w:rPr>
        <w:t xml:space="preserve">   新墙镇政府及村委会意见</w:t>
      </w:r>
    </w:p>
    <w:p w14:paraId="68215D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附件</w:t>
      </w:r>
      <w:r>
        <w:rPr>
          <w:rFonts w:hint="eastAsia" w:cs="Times New Roman"/>
          <w:bCs/>
          <w:color w:val="auto"/>
          <w:sz w:val="24"/>
          <w:szCs w:val="24"/>
          <w:lang w:val="en-US" w:eastAsia="zh-CN"/>
        </w:rPr>
        <w:t>6</w:t>
      </w:r>
      <w:r>
        <w:rPr>
          <w:rFonts w:hint="eastAsia" w:ascii="Times New Roman" w:hAnsi="Times New Roman" w:eastAsia="宋体" w:cs="Times New Roman"/>
          <w:bCs/>
          <w:color w:val="auto"/>
          <w:sz w:val="24"/>
          <w:szCs w:val="24"/>
          <w:lang w:val="en-US" w:eastAsia="zh-CN"/>
        </w:rPr>
        <w:t xml:space="preserve">   </w:t>
      </w:r>
      <w:r>
        <w:rPr>
          <w:rFonts w:hint="eastAsia" w:cs="Times New Roman"/>
          <w:bCs/>
          <w:color w:val="auto"/>
          <w:sz w:val="24"/>
          <w:szCs w:val="24"/>
          <w:lang w:val="en-US" w:eastAsia="zh-CN"/>
        </w:rPr>
        <w:t>原有</w:t>
      </w:r>
      <w:r>
        <w:rPr>
          <w:rFonts w:hint="eastAsia" w:ascii="Times New Roman" w:hAnsi="Times New Roman" w:eastAsia="宋体" w:cs="Times New Roman"/>
          <w:bCs/>
          <w:color w:val="auto"/>
          <w:sz w:val="24"/>
          <w:szCs w:val="24"/>
          <w:lang w:val="en-US" w:eastAsia="zh-CN"/>
        </w:rPr>
        <w:t>项目环评批复</w:t>
      </w:r>
    </w:p>
    <w:p w14:paraId="09487F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附件</w:t>
      </w:r>
      <w:r>
        <w:rPr>
          <w:rFonts w:hint="eastAsia" w:cs="Times New Roman"/>
          <w:bCs/>
          <w:color w:val="auto"/>
          <w:sz w:val="24"/>
          <w:szCs w:val="24"/>
          <w:lang w:val="en-US" w:eastAsia="zh-CN"/>
        </w:rPr>
        <w:t>7</w:t>
      </w:r>
      <w:r>
        <w:rPr>
          <w:rFonts w:hint="eastAsia" w:ascii="Times New Roman" w:hAnsi="Times New Roman" w:eastAsia="宋体" w:cs="Times New Roman"/>
          <w:bCs/>
          <w:color w:val="auto"/>
          <w:sz w:val="24"/>
          <w:szCs w:val="24"/>
          <w:lang w:val="en-US" w:eastAsia="zh-CN"/>
        </w:rPr>
        <w:t xml:space="preserve">   危废处置协议</w:t>
      </w:r>
    </w:p>
    <w:p w14:paraId="6D9380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附件</w:t>
      </w:r>
      <w:r>
        <w:rPr>
          <w:rFonts w:hint="eastAsia" w:cs="Times New Roman"/>
          <w:bCs/>
          <w:color w:val="auto"/>
          <w:sz w:val="24"/>
          <w:szCs w:val="24"/>
          <w:lang w:val="en-US" w:eastAsia="zh-CN"/>
        </w:rPr>
        <w:t>8</w:t>
      </w:r>
      <w:r>
        <w:rPr>
          <w:rFonts w:hint="eastAsia" w:ascii="Times New Roman" w:hAnsi="Times New Roman" w:eastAsia="宋体" w:cs="Times New Roman"/>
          <w:bCs/>
          <w:color w:val="auto"/>
          <w:sz w:val="24"/>
          <w:szCs w:val="24"/>
          <w:lang w:val="en-US" w:eastAsia="zh-CN"/>
        </w:rPr>
        <w:t xml:space="preserve">   液化石油气产品质量检验单</w:t>
      </w:r>
    </w:p>
    <w:p w14:paraId="52E296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附件9   生物质颗粒检测报告</w:t>
      </w:r>
    </w:p>
    <w:p w14:paraId="5D78591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附件</w:t>
      </w:r>
      <w:r>
        <w:rPr>
          <w:rFonts w:hint="eastAsia" w:cs="Times New Roman"/>
          <w:bCs/>
          <w:color w:val="auto"/>
          <w:sz w:val="24"/>
          <w:szCs w:val="24"/>
          <w:lang w:val="en-US" w:eastAsia="zh-CN"/>
        </w:rPr>
        <w:t>10</w:t>
      </w:r>
      <w:r>
        <w:rPr>
          <w:rFonts w:hint="eastAsia" w:ascii="Times New Roman" w:hAnsi="Times New Roman" w:eastAsia="宋体" w:cs="Times New Roman"/>
          <w:bCs/>
          <w:color w:val="auto"/>
          <w:sz w:val="24"/>
          <w:szCs w:val="24"/>
          <w:lang w:val="en-US" w:eastAsia="zh-CN"/>
        </w:rPr>
        <w:t xml:space="preserve">   专家签到表</w:t>
      </w:r>
    </w:p>
    <w:p w14:paraId="374521E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附件11   专家审查意见</w:t>
      </w:r>
    </w:p>
    <w:p w14:paraId="1FDC50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color w:val="auto"/>
          <w:sz w:val="24"/>
          <w:szCs w:val="32"/>
          <w:highlight w:val="none"/>
          <w:u w:val="none" w:color="auto"/>
          <w:lang w:val="en-US" w:eastAsia="zh-CN"/>
        </w:rPr>
      </w:pPr>
    </w:p>
    <w:p w14:paraId="70B132E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32"/>
          <w:highlight w:val="none"/>
          <w:u w:val="none" w:color="auto"/>
          <w:lang w:val="en-US" w:eastAsia="zh-CN"/>
        </w:rPr>
      </w:pPr>
      <w:r>
        <w:rPr>
          <w:rFonts w:hint="eastAsia" w:ascii="Times New Roman" w:hAnsi="Times New Roman" w:eastAsia="宋体" w:cs="Times New Roman"/>
          <w:b/>
          <w:bCs/>
          <w:color w:val="auto"/>
          <w:sz w:val="24"/>
          <w:szCs w:val="32"/>
          <w:highlight w:val="none"/>
          <w:u w:val="none" w:color="auto"/>
          <w:lang w:val="en-US" w:eastAsia="zh-CN"/>
        </w:rPr>
        <w:t>附图：</w:t>
      </w:r>
    </w:p>
    <w:p w14:paraId="2C5B7D7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 xml:space="preserve">附图1   </w:t>
      </w:r>
      <w:r>
        <w:rPr>
          <w:rFonts w:hint="default" w:ascii="Times New Roman" w:hAnsi="Times New Roman" w:eastAsia="宋体" w:cs="Times New Roman"/>
          <w:bCs/>
          <w:color w:val="auto"/>
          <w:sz w:val="24"/>
          <w:szCs w:val="24"/>
          <w:lang w:val="en-US" w:eastAsia="zh-CN"/>
        </w:rPr>
        <w:t>项目所在地地理位置图</w:t>
      </w:r>
    </w:p>
    <w:p w14:paraId="397F307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附图</w:t>
      </w:r>
      <w:r>
        <w:rPr>
          <w:rFonts w:hint="eastAsia" w:ascii="Times New Roman" w:hAnsi="Times New Roman" w:eastAsia="宋体" w:cs="Times New Roman"/>
          <w:bCs/>
          <w:color w:val="auto"/>
          <w:sz w:val="24"/>
          <w:szCs w:val="24"/>
          <w:lang w:val="en-US" w:eastAsia="zh-CN"/>
        </w:rPr>
        <w:t xml:space="preserve">2   </w:t>
      </w:r>
      <w:r>
        <w:rPr>
          <w:rFonts w:hint="default" w:ascii="Times New Roman" w:hAnsi="Times New Roman" w:eastAsia="宋体" w:cs="Times New Roman"/>
          <w:bCs/>
          <w:color w:val="auto"/>
          <w:sz w:val="24"/>
          <w:szCs w:val="24"/>
          <w:lang w:val="en-US" w:eastAsia="zh-CN"/>
        </w:rPr>
        <w:t>项目</w:t>
      </w:r>
      <w:r>
        <w:rPr>
          <w:rFonts w:hint="eastAsia" w:ascii="Times New Roman" w:hAnsi="Times New Roman" w:eastAsia="宋体" w:cs="Times New Roman"/>
          <w:bCs/>
          <w:color w:val="auto"/>
          <w:sz w:val="24"/>
          <w:szCs w:val="24"/>
          <w:lang w:val="en-US" w:eastAsia="zh-CN"/>
        </w:rPr>
        <w:t>平面布置</w:t>
      </w:r>
      <w:r>
        <w:rPr>
          <w:rFonts w:hint="default" w:ascii="Times New Roman" w:hAnsi="Times New Roman" w:eastAsia="宋体" w:cs="Times New Roman"/>
          <w:bCs/>
          <w:color w:val="auto"/>
          <w:sz w:val="24"/>
          <w:szCs w:val="24"/>
          <w:lang w:val="en-US" w:eastAsia="zh-CN"/>
        </w:rPr>
        <w:t>图</w:t>
      </w:r>
    </w:p>
    <w:p w14:paraId="42484A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附图</w:t>
      </w:r>
      <w:r>
        <w:rPr>
          <w:rFonts w:hint="eastAsia" w:ascii="Times New Roman" w:hAnsi="Times New Roman" w:eastAsia="宋体" w:cs="Times New Roman"/>
          <w:bCs/>
          <w:color w:val="auto"/>
          <w:sz w:val="24"/>
          <w:szCs w:val="24"/>
          <w:lang w:val="en-US" w:eastAsia="zh-CN"/>
        </w:rPr>
        <w:t xml:space="preserve">3   </w:t>
      </w:r>
      <w:r>
        <w:rPr>
          <w:rFonts w:hint="eastAsia" w:cs="Times New Roman"/>
          <w:bCs/>
          <w:color w:val="auto"/>
          <w:sz w:val="24"/>
          <w:szCs w:val="24"/>
          <w:lang w:val="en-US" w:eastAsia="zh-CN"/>
        </w:rPr>
        <w:t>周边环境</w:t>
      </w:r>
      <w:r>
        <w:rPr>
          <w:rFonts w:hint="eastAsia" w:ascii="Times New Roman" w:hAnsi="Times New Roman" w:eastAsia="宋体" w:cs="Times New Roman"/>
          <w:bCs/>
          <w:color w:val="auto"/>
          <w:sz w:val="24"/>
          <w:szCs w:val="24"/>
          <w:lang w:val="en-US" w:eastAsia="zh-CN"/>
        </w:rPr>
        <w:t>保护目标图</w:t>
      </w:r>
    </w:p>
    <w:p w14:paraId="293D8D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附图</w:t>
      </w:r>
      <w:r>
        <w:rPr>
          <w:rFonts w:hint="eastAsia" w:ascii="Times New Roman" w:hAnsi="Times New Roman" w:eastAsia="宋体" w:cs="Times New Roman"/>
          <w:bCs/>
          <w:color w:val="auto"/>
          <w:sz w:val="24"/>
          <w:szCs w:val="24"/>
          <w:lang w:val="en-US" w:eastAsia="zh-CN"/>
        </w:rPr>
        <w:t xml:space="preserve">4   </w:t>
      </w:r>
      <w:r>
        <w:rPr>
          <w:rFonts w:hint="eastAsia" w:cs="Times New Roman"/>
          <w:bCs/>
          <w:color w:val="auto"/>
          <w:sz w:val="24"/>
          <w:szCs w:val="24"/>
          <w:lang w:val="en-US" w:eastAsia="zh-CN"/>
        </w:rPr>
        <w:t>“三区三线”</w:t>
      </w:r>
      <w:r>
        <w:rPr>
          <w:rFonts w:hint="eastAsia" w:ascii="Times New Roman" w:hAnsi="Times New Roman" w:eastAsia="宋体" w:cs="Times New Roman"/>
          <w:bCs/>
          <w:color w:val="auto"/>
          <w:sz w:val="24"/>
          <w:szCs w:val="24"/>
          <w:lang w:val="en-US" w:eastAsia="zh-CN"/>
        </w:rPr>
        <w:t>查询文件</w:t>
      </w:r>
    </w:p>
    <w:p w14:paraId="03C04C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附图5   岳阳县环境管控单元图</w:t>
      </w:r>
    </w:p>
    <w:p w14:paraId="29B016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 xml:space="preserve">附图6   </w:t>
      </w:r>
      <w:bookmarkStart w:id="6" w:name="_Toc2504_WPSOffice_Level1"/>
      <w:r>
        <w:rPr>
          <w:rFonts w:hint="eastAsia" w:ascii="Times New Roman" w:hAnsi="Times New Roman" w:eastAsia="宋体" w:cs="Times New Roman"/>
          <w:bCs/>
          <w:color w:val="auto"/>
          <w:sz w:val="24"/>
          <w:szCs w:val="24"/>
          <w:lang w:val="en-US" w:eastAsia="zh-CN"/>
        </w:rPr>
        <w:t>项目现场及周边现状照片</w:t>
      </w:r>
      <w:bookmarkEnd w:id="6"/>
    </w:p>
    <w:p w14:paraId="20E6B314">
      <w:pPr>
        <w:spacing w:line="360" w:lineRule="auto"/>
        <w:jc w:val="left"/>
        <w:rPr>
          <w:rFonts w:hint="eastAsia" w:cs="Times New Roman"/>
          <w:color w:val="auto"/>
          <w:highlight w:val="none"/>
          <w:u w:val="none" w:color="auto"/>
          <w:lang w:val="en-US" w:eastAsia="zh-CN"/>
        </w:rPr>
      </w:pPr>
    </w:p>
    <w:p w14:paraId="4A7546E6">
      <w:pPr>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br w:type="page"/>
      </w:r>
    </w:p>
    <w:bookmarkEnd w:id="1"/>
    <w:bookmarkEnd w:id="2"/>
    <w:p w14:paraId="47FCCF54">
      <w:pPr>
        <w:pStyle w:val="28"/>
        <w:keepNext w:val="0"/>
        <w:keepLines w:val="0"/>
        <w:pageBreakBefore w:val="0"/>
        <w:widowControl/>
        <w:kinsoku/>
        <w:wordWrap/>
        <w:overflowPunct/>
        <w:topLinePunct w:val="0"/>
        <w:autoSpaceDE/>
        <w:autoSpaceDN/>
        <w:bidi w:val="0"/>
        <w:adjustRightInd/>
        <w:snapToGrid/>
        <w:jc w:val="both"/>
        <w:textAlignment w:val="auto"/>
        <w:outlineLvl w:val="0"/>
        <w:rPr>
          <w:rFonts w:ascii="Times New Roman" w:hAnsi="Times New Roman" w:eastAsia="黑体"/>
          <w:snapToGrid w:val="0"/>
          <w:color w:val="auto"/>
          <w:sz w:val="30"/>
          <w:szCs w:val="30"/>
          <w:highlight w:val="none"/>
        </w:rPr>
      </w:pPr>
      <w:bookmarkStart w:id="7" w:name="_Toc11854"/>
      <w:bookmarkStart w:id="8" w:name="_Toc12388"/>
      <w:bookmarkStart w:id="9" w:name="_Toc23336_WPSOffice_Level1"/>
      <w:bookmarkStart w:id="10" w:name="_Toc3053"/>
      <w:r>
        <w:rPr>
          <w:rFonts w:ascii="Times New Roman" w:hAnsi="Times New Roman" w:eastAsia="黑体"/>
          <w:snapToGrid w:val="0"/>
          <w:color w:val="auto"/>
          <w:sz w:val="30"/>
          <w:szCs w:val="30"/>
          <w:highlight w:val="none"/>
        </w:rPr>
        <w:t>一、建设项目基本情况</w:t>
      </w:r>
      <w:bookmarkEnd w:id="7"/>
    </w:p>
    <w:tbl>
      <w:tblPr>
        <w:tblStyle w:val="33"/>
        <w:tblW w:w="887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867"/>
        <w:gridCol w:w="1908"/>
        <w:gridCol w:w="2316"/>
        <w:gridCol w:w="2779"/>
      </w:tblGrid>
      <w:tr w14:paraId="08C9CE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867" w:type="dxa"/>
            <w:noWrap w:val="0"/>
            <w:tcMar>
              <w:top w:w="16" w:type="dxa"/>
              <w:left w:w="16" w:type="dxa"/>
              <w:right w:w="16" w:type="dxa"/>
            </w:tcMar>
            <w:vAlign w:val="center"/>
          </w:tcPr>
          <w:p w14:paraId="3D981C52">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建设项目名称</w:t>
            </w:r>
          </w:p>
        </w:tc>
        <w:tc>
          <w:tcPr>
            <w:tcW w:w="7003" w:type="dxa"/>
            <w:gridSpan w:val="3"/>
            <w:noWrap w:val="0"/>
            <w:vAlign w:val="center"/>
          </w:tcPr>
          <w:p w14:paraId="6F92BDD5">
            <w:pPr>
              <w:adjustRightInd w:val="0"/>
              <w:snapToGrid w:val="0"/>
              <w:jc w:val="center"/>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年处置 12 万只报废液化石油气钢瓶项目（重大变动）</w:t>
            </w:r>
          </w:p>
        </w:tc>
      </w:tr>
      <w:tr w14:paraId="186B92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1867" w:type="dxa"/>
            <w:noWrap w:val="0"/>
            <w:tcMar>
              <w:top w:w="16" w:type="dxa"/>
              <w:left w:w="16" w:type="dxa"/>
              <w:right w:w="16" w:type="dxa"/>
            </w:tcMar>
            <w:vAlign w:val="center"/>
          </w:tcPr>
          <w:p w14:paraId="2230B74E">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项目代码</w:t>
            </w:r>
          </w:p>
        </w:tc>
        <w:tc>
          <w:tcPr>
            <w:tcW w:w="7003" w:type="dxa"/>
            <w:gridSpan w:val="3"/>
            <w:noWrap w:val="0"/>
            <w:vAlign w:val="center"/>
          </w:tcPr>
          <w:p w14:paraId="35E0914B">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2606-430621-04-01-628997</w:t>
            </w:r>
          </w:p>
        </w:tc>
      </w:tr>
      <w:tr w14:paraId="1116DF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867" w:type="dxa"/>
            <w:noWrap w:val="0"/>
            <w:tcMar>
              <w:top w:w="16" w:type="dxa"/>
              <w:left w:w="16" w:type="dxa"/>
              <w:right w:w="16" w:type="dxa"/>
            </w:tcMar>
            <w:vAlign w:val="center"/>
          </w:tcPr>
          <w:p w14:paraId="1C09487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建设单位联系人</w:t>
            </w:r>
          </w:p>
        </w:tc>
        <w:tc>
          <w:tcPr>
            <w:tcW w:w="1908" w:type="dxa"/>
            <w:shd w:val="clear" w:color="auto" w:fill="auto"/>
            <w:noWrap w:val="0"/>
            <w:vAlign w:val="center"/>
          </w:tcPr>
          <w:p w14:paraId="2AEB4D7A">
            <w:pPr>
              <w:adjustRightInd w:val="0"/>
              <w:snapToGrid w:val="0"/>
              <w:jc w:val="center"/>
              <w:rPr>
                <w:rFonts w:hint="default" w:ascii="Times New Roman" w:hAnsi="Times New Roman" w:eastAsia="宋体" w:cs="Times New Roman"/>
                <w:color w:val="auto"/>
                <w:kern w:val="21"/>
                <w:sz w:val="24"/>
                <w:szCs w:val="24"/>
                <w:u w:val="none"/>
                <w:lang w:val="en-US" w:eastAsia="zh-CN" w:bidi="ar-SA"/>
              </w:rPr>
            </w:pPr>
            <w:r>
              <w:rPr>
                <w:rFonts w:hint="eastAsia" w:cs="Times New Roman"/>
                <w:color w:val="auto"/>
                <w:kern w:val="21"/>
                <w:sz w:val="24"/>
                <w:szCs w:val="24"/>
                <w:u w:val="none"/>
                <w:lang w:val="en-US" w:eastAsia="zh-CN" w:bidi="ar-SA"/>
              </w:rPr>
              <w:t>赵*</w:t>
            </w:r>
          </w:p>
        </w:tc>
        <w:tc>
          <w:tcPr>
            <w:tcW w:w="2316" w:type="dxa"/>
            <w:shd w:val="clear" w:color="auto" w:fill="auto"/>
            <w:noWrap w:val="0"/>
            <w:vAlign w:val="center"/>
          </w:tcPr>
          <w:p w14:paraId="1FCC843C">
            <w:pPr>
              <w:adjustRightInd w:val="0"/>
              <w:snapToGrid w:val="0"/>
              <w:jc w:val="center"/>
              <w:rPr>
                <w:rFonts w:hint="default" w:ascii="Times New Roman" w:hAnsi="Times New Roman" w:eastAsia="宋体" w:cs="Times New Roman"/>
                <w:color w:val="auto"/>
                <w:kern w:val="21"/>
                <w:sz w:val="24"/>
                <w:szCs w:val="24"/>
                <w:u w:val="none"/>
                <w:lang w:val="en-US" w:eastAsia="zh-CN" w:bidi="ar-SA"/>
              </w:rPr>
            </w:pPr>
            <w:r>
              <w:rPr>
                <w:color w:val="auto"/>
                <w:kern w:val="21"/>
                <w:sz w:val="24"/>
                <w:u w:val="none"/>
              </w:rPr>
              <w:t>联系方式</w:t>
            </w:r>
          </w:p>
        </w:tc>
        <w:tc>
          <w:tcPr>
            <w:tcW w:w="2779" w:type="dxa"/>
            <w:shd w:val="clear" w:color="auto" w:fill="auto"/>
            <w:noWrap w:val="0"/>
            <w:vAlign w:val="center"/>
          </w:tcPr>
          <w:p w14:paraId="2A719F43">
            <w:pPr>
              <w:adjustRightInd w:val="0"/>
              <w:snapToGrid w:val="0"/>
              <w:jc w:val="center"/>
              <w:rPr>
                <w:rFonts w:hint="default" w:ascii="Times New Roman" w:hAnsi="Times New Roman" w:eastAsia="宋体" w:cs="Times New Roman"/>
                <w:color w:val="auto"/>
                <w:kern w:val="21"/>
                <w:sz w:val="24"/>
                <w:szCs w:val="24"/>
                <w:u w:val="none"/>
                <w:lang w:val="en-US" w:eastAsia="zh-CN" w:bidi="ar-SA"/>
              </w:rPr>
            </w:pPr>
            <w:r>
              <w:rPr>
                <w:rFonts w:hint="default" w:ascii="Times New Roman" w:hAnsi="Times New Roman" w:eastAsia="宋体" w:cs="Times New Roman"/>
                <w:color w:val="auto"/>
                <w:kern w:val="21"/>
                <w:sz w:val="24"/>
                <w:szCs w:val="24"/>
                <w:u w:val="none"/>
                <w:lang w:val="en-US" w:eastAsia="zh-CN" w:bidi="ar-SA"/>
              </w:rPr>
              <w:t>156</w:t>
            </w:r>
            <w:r>
              <w:rPr>
                <w:rFonts w:hint="eastAsia" w:cs="Times New Roman"/>
                <w:color w:val="auto"/>
                <w:kern w:val="21"/>
                <w:sz w:val="24"/>
                <w:szCs w:val="24"/>
                <w:u w:val="none"/>
                <w:lang w:val="en-US" w:eastAsia="zh-CN" w:bidi="ar-SA"/>
              </w:rPr>
              <w:t>****</w:t>
            </w:r>
            <w:bookmarkStart w:id="72" w:name="_GoBack"/>
            <w:bookmarkEnd w:id="72"/>
            <w:r>
              <w:rPr>
                <w:rFonts w:hint="default" w:ascii="Times New Roman" w:hAnsi="Times New Roman" w:eastAsia="宋体" w:cs="Times New Roman"/>
                <w:color w:val="auto"/>
                <w:kern w:val="21"/>
                <w:sz w:val="24"/>
                <w:szCs w:val="24"/>
                <w:u w:val="none"/>
                <w:lang w:val="en-US" w:eastAsia="zh-CN" w:bidi="ar-SA"/>
              </w:rPr>
              <w:t>3335</w:t>
            </w:r>
          </w:p>
        </w:tc>
      </w:tr>
      <w:tr w14:paraId="2B3E2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867" w:type="dxa"/>
            <w:noWrap w:val="0"/>
            <w:tcMar>
              <w:top w:w="16" w:type="dxa"/>
              <w:left w:w="16" w:type="dxa"/>
              <w:right w:w="16" w:type="dxa"/>
            </w:tcMar>
            <w:vAlign w:val="center"/>
          </w:tcPr>
          <w:p w14:paraId="63203C2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建设地点</w:t>
            </w:r>
          </w:p>
        </w:tc>
        <w:tc>
          <w:tcPr>
            <w:tcW w:w="7003" w:type="dxa"/>
            <w:gridSpan w:val="3"/>
            <w:noWrap w:val="0"/>
            <w:vAlign w:val="center"/>
          </w:tcPr>
          <w:p w14:paraId="10841DA2">
            <w:pPr>
              <w:adjustRightInd w:val="0"/>
              <w:snapToGrid w:val="0"/>
              <w:jc w:val="center"/>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岳阳县新墙镇燎原村沙河片二组</w:t>
            </w:r>
          </w:p>
        </w:tc>
      </w:tr>
      <w:tr w14:paraId="157B39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867" w:type="dxa"/>
            <w:noWrap w:val="0"/>
            <w:tcMar>
              <w:top w:w="16" w:type="dxa"/>
              <w:left w:w="16" w:type="dxa"/>
              <w:right w:w="16" w:type="dxa"/>
            </w:tcMar>
            <w:vAlign w:val="center"/>
          </w:tcPr>
          <w:p w14:paraId="35FFBA8D">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地理坐标</w:t>
            </w:r>
          </w:p>
        </w:tc>
        <w:tc>
          <w:tcPr>
            <w:tcW w:w="7003" w:type="dxa"/>
            <w:gridSpan w:val="3"/>
            <w:noWrap w:val="0"/>
            <w:vAlign w:val="center"/>
          </w:tcPr>
          <w:p w14:paraId="53AA184F">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经度11</w:t>
            </w: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lang w:val="en-US" w:eastAsia="zh-CN"/>
              </w:rPr>
              <w:t>度</w:t>
            </w:r>
            <w:r>
              <w:rPr>
                <w:rFonts w:hint="eastAsia" w:cs="Times New Roman"/>
                <w:color w:val="auto"/>
                <w:sz w:val="24"/>
                <w:highlight w:val="none"/>
                <w:lang w:val="en-US" w:eastAsia="zh-CN"/>
              </w:rPr>
              <w:t>10</w:t>
            </w:r>
            <w:r>
              <w:rPr>
                <w:rFonts w:hint="default" w:ascii="Times New Roman" w:hAnsi="Times New Roman" w:cs="Times New Roman"/>
                <w:color w:val="auto"/>
                <w:sz w:val="24"/>
                <w:highlight w:val="none"/>
                <w:lang w:val="en-US" w:eastAsia="zh-CN"/>
              </w:rPr>
              <w:t>分</w:t>
            </w:r>
            <w:r>
              <w:rPr>
                <w:rFonts w:hint="eastAsia" w:cs="Times New Roman"/>
                <w:color w:val="auto"/>
                <w:sz w:val="24"/>
                <w:highlight w:val="none"/>
                <w:lang w:val="en-US" w:eastAsia="zh-CN"/>
              </w:rPr>
              <w:t>11.584</w:t>
            </w:r>
            <w:r>
              <w:rPr>
                <w:rFonts w:hint="default" w:ascii="Times New Roman" w:hAnsi="Times New Roman" w:cs="Times New Roman"/>
                <w:color w:val="auto"/>
                <w:sz w:val="24"/>
                <w:highlight w:val="none"/>
                <w:lang w:val="en-US" w:eastAsia="zh-CN"/>
              </w:rPr>
              <w:t>秒，纬度</w:t>
            </w:r>
            <w:r>
              <w:rPr>
                <w:rFonts w:hint="default" w:ascii="Times New Roman" w:hAnsi="Times New Roman" w:cs="Times New Roman"/>
                <w:color w:val="auto"/>
                <w:sz w:val="24"/>
                <w:highlight w:val="none"/>
              </w:rPr>
              <w:t>29度</w:t>
            </w:r>
            <w:r>
              <w:rPr>
                <w:rFonts w:hint="eastAsia" w:cs="Times New Roman"/>
                <w:color w:val="auto"/>
                <w:sz w:val="24"/>
                <w:highlight w:val="none"/>
                <w:lang w:val="en-US" w:eastAsia="zh-CN"/>
              </w:rPr>
              <w:t>8</w:t>
            </w:r>
            <w:r>
              <w:rPr>
                <w:rFonts w:hint="default" w:ascii="Times New Roman" w:hAnsi="Times New Roman" w:cs="Times New Roman"/>
                <w:color w:val="auto"/>
                <w:sz w:val="24"/>
                <w:highlight w:val="none"/>
              </w:rPr>
              <w:t>分</w:t>
            </w:r>
            <w:r>
              <w:rPr>
                <w:rFonts w:hint="eastAsia" w:cs="Times New Roman"/>
                <w:color w:val="auto"/>
                <w:sz w:val="24"/>
                <w:highlight w:val="none"/>
                <w:lang w:val="en-US" w:eastAsia="zh-CN"/>
              </w:rPr>
              <w:t>19.550</w:t>
            </w:r>
            <w:r>
              <w:rPr>
                <w:rFonts w:hint="default" w:ascii="Times New Roman" w:hAnsi="Times New Roman" w:cs="Times New Roman"/>
                <w:color w:val="auto"/>
                <w:sz w:val="24"/>
                <w:highlight w:val="none"/>
              </w:rPr>
              <w:t>秒</w:t>
            </w:r>
          </w:p>
        </w:tc>
      </w:tr>
      <w:tr w14:paraId="3A82F8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1" w:hRule="atLeast"/>
          <w:jc w:val="center"/>
        </w:trPr>
        <w:tc>
          <w:tcPr>
            <w:tcW w:w="1867" w:type="dxa"/>
            <w:noWrap w:val="0"/>
            <w:tcMar>
              <w:top w:w="16" w:type="dxa"/>
              <w:left w:w="16" w:type="dxa"/>
              <w:right w:w="16" w:type="dxa"/>
            </w:tcMar>
            <w:vAlign w:val="center"/>
          </w:tcPr>
          <w:p w14:paraId="6D1E735E">
            <w:pPr>
              <w:adjustRightInd w:val="0"/>
              <w:snapToGrid w:val="0"/>
              <w:jc w:val="center"/>
              <w:rPr>
                <w:rFonts w:hint="default" w:ascii="Times New Roman" w:hAnsi="Times New Roman" w:cs="Times New Roman"/>
                <w:color w:val="auto"/>
                <w:sz w:val="24"/>
                <w:highlight w:val="none"/>
                <w:u w:val="single" w:color="auto"/>
              </w:rPr>
            </w:pPr>
            <w:r>
              <w:rPr>
                <w:rFonts w:hint="default" w:ascii="Times New Roman" w:hAnsi="Times New Roman" w:cs="Times New Roman"/>
                <w:color w:val="auto"/>
                <w:sz w:val="24"/>
                <w:highlight w:val="none"/>
                <w:u w:val="single" w:color="auto"/>
              </w:rPr>
              <w:t>国民经济</w:t>
            </w:r>
          </w:p>
          <w:p w14:paraId="6C069CDB">
            <w:pPr>
              <w:adjustRightInd w:val="0"/>
              <w:snapToGrid w:val="0"/>
              <w:jc w:val="center"/>
              <w:rPr>
                <w:rFonts w:hint="default" w:ascii="Times New Roman" w:hAnsi="Times New Roman" w:cs="Times New Roman"/>
                <w:color w:val="auto"/>
                <w:sz w:val="24"/>
                <w:highlight w:val="none"/>
                <w:u w:val="single" w:color="auto"/>
              </w:rPr>
            </w:pPr>
            <w:r>
              <w:rPr>
                <w:rFonts w:hint="default" w:ascii="Times New Roman" w:hAnsi="Times New Roman" w:cs="Times New Roman"/>
                <w:color w:val="auto"/>
                <w:sz w:val="24"/>
                <w:highlight w:val="none"/>
                <w:u w:val="single" w:color="auto"/>
              </w:rPr>
              <w:t>行业类别</w:t>
            </w:r>
          </w:p>
        </w:tc>
        <w:tc>
          <w:tcPr>
            <w:tcW w:w="1908" w:type="dxa"/>
            <w:shd w:val="clear" w:color="auto" w:fill="auto"/>
            <w:noWrap w:val="0"/>
            <w:vAlign w:val="center"/>
          </w:tcPr>
          <w:p w14:paraId="464A05A3">
            <w:pPr>
              <w:keepNext w:val="0"/>
              <w:keepLines w:val="0"/>
              <w:widowControl/>
              <w:suppressLineNumbers w:val="0"/>
              <w:jc w:val="center"/>
              <w:rPr>
                <w:rFonts w:hint="default" w:ascii="Times New Roman" w:hAnsi="Times New Roman" w:eastAsia="宋体" w:cs="Times New Roman"/>
                <w:color w:val="auto"/>
                <w:kern w:val="2"/>
                <w:sz w:val="24"/>
                <w:szCs w:val="24"/>
                <w:u w:val="single" w:color="auto"/>
                <w:lang w:val="en-US" w:eastAsia="zh-CN" w:bidi="ar-SA"/>
              </w:rPr>
            </w:pPr>
            <w:r>
              <w:rPr>
                <w:rFonts w:hint="default" w:ascii="Times New Roman" w:hAnsi="Times New Roman" w:eastAsia="宋体" w:cs="Times New Roman"/>
                <w:color w:val="auto"/>
                <w:sz w:val="24"/>
                <w:szCs w:val="24"/>
                <w:highlight w:val="none"/>
                <w:u w:val="single" w:color="auto"/>
                <w:lang w:val="en-US" w:eastAsia="zh-CN"/>
              </w:rPr>
              <w:t>C4210金属废料和碎屑加工处理</w:t>
            </w:r>
          </w:p>
        </w:tc>
        <w:tc>
          <w:tcPr>
            <w:tcW w:w="2316" w:type="dxa"/>
            <w:shd w:val="clear" w:color="auto" w:fill="auto"/>
            <w:noWrap w:val="0"/>
            <w:vAlign w:val="center"/>
          </w:tcPr>
          <w:p w14:paraId="523F7873">
            <w:pPr>
              <w:adjustRightInd w:val="0"/>
              <w:snapToGrid w:val="0"/>
              <w:jc w:val="center"/>
              <w:rPr>
                <w:rFonts w:hint="default" w:ascii="Times New Roman" w:hAnsi="Times New Roman" w:cs="Times New Roman"/>
                <w:color w:val="auto"/>
                <w:sz w:val="24"/>
                <w:szCs w:val="24"/>
                <w:highlight w:val="none"/>
                <w:u w:val="single" w:color="auto"/>
              </w:rPr>
            </w:pPr>
            <w:r>
              <w:rPr>
                <w:rFonts w:hint="default" w:ascii="Times New Roman" w:hAnsi="Times New Roman" w:cs="Times New Roman"/>
                <w:color w:val="auto"/>
                <w:sz w:val="24"/>
                <w:szCs w:val="24"/>
                <w:highlight w:val="none"/>
                <w:u w:val="single" w:color="auto"/>
              </w:rPr>
              <w:t>建设项目</w:t>
            </w:r>
          </w:p>
          <w:p w14:paraId="03C50FE5">
            <w:pPr>
              <w:adjustRightInd w:val="0"/>
              <w:snapToGrid w:val="0"/>
              <w:jc w:val="center"/>
              <w:rPr>
                <w:rFonts w:hint="default" w:ascii="Times New Roman" w:hAnsi="Times New Roman" w:eastAsia="宋体" w:cs="Times New Roman"/>
                <w:color w:val="auto"/>
                <w:kern w:val="21"/>
                <w:sz w:val="24"/>
                <w:szCs w:val="24"/>
                <w:u w:val="single" w:color="auto"/>
                <w:lang w:val="en-US" w:eastAsia="zh-CN" w:bidi="ar-SA"/>
              </w:rPr>
            </w:pPr>
            <w:r>
              <w:rPr>
                <w:rFonts w:hint="default" w:ascii="Times New Roman" w:hAnsi="Times New Roman" w:cs="Times New Roman"/>
                <w:color w:val="auto"/>
                <w:sz w:val="24"/>
                <w:szCs w:val="24"/>
                <w:highlight w:val="none"/>
                <w:u w:val="single" w:color="auto"/>
              </w:rPr>
              <w:t>行业类别</w:t>
            </w:r>
          </w:p>
        </w:tc>
        <w:tc>
          <w:tcPr>
            <w:tcW w:w="2779" w:type="dxa"/>
            <w:shd w:val="clear" w:color="auto" w:fill="auto"/>
            <w:noWrap w:val="0"/>
            <w:vAlign w:val="center"/>
          </w:tcPr>
          <w:p w14:paraId="4BD74C0D">
            <w:pPr>
              <w:adjustRightInd w:val="0"/>
              <w:snapToGrid w:val="0"/>
              <w:jc w:val="center"/>
              <w:rPr>
                <w:rFonts w:hint="default" w:ascii="Times New Roman" w:hAnsi="Times New Roman" w:eastAsia="宋体" w:cs="Times New Roman"/>
                <w:color w:val="auto"/>
                <w:kern w:val="2"/>
                <w:sz w:val="24"/>
                <w:szCs w:val="24"/>
                <w:u w:val="single" w:color="auto"/>
                <w:lang w:val="en-US" w:eastAsia="zh-CN" w:bidi="ar-SA"/>
              </w:rPr>
            </w:pPr>
            <w:r>
              <w:rPr>
                <w:rFonts w:hint="eastAsia" w:cs="Times New Roman"/>
                <w:color w:val="auto"/>
                <w:sz w:val="24"/>
                <w:szCs w:val="24"/>
                <w:highlight w:val="none"/>
                <w:u w:val="single" w:color="auto"/>
                <w:lang w:val="en-US" w:eastAsia="zh-CN"/>
              </w:rPr>
              <w:t>三十九、废弃资源综合利用业42-85.金属废料和碎屑加工处理421</w:t>
            </w:r>
          </w:p>
        </w:tc>
      </w:tr>
      <w:tr w14:paraId="4780CB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19" w:hRule="atLeast"/>
          <w:jc w:val="center"/>
        </w:trPr>
        <w:tc>
          <w:tcPr>
            <w:tcW w:w="1867" w:type="dxa"/>
            <w:noWrap w:val="0"/>
            <w:tcMar>
              <w:top w:w="16" w:type="dxa"/>
              <w:left w:w="16" w:type="dxa"/>
              <w:right w:w="16" w:type="dxa"/>
            </w:tcMar>
            <w:vAlign w:val="center"/>
          </w:tcPr>
          <w:p w14:paraId="28577330">
            <w:pPr>
              <w:adjustRightInd w:val="0"/>
              <w:snapToGrid w:val="0"/>
              <w:jc w:val="center"/>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建设性质</w:t>
            </w:r>
          </w:p>
        </w:tc>
        <w:tc>
          <w:tcPr>
            <w:tcW w:w="1908" w:type="dxa"/>
            <w:noWrap w:val="0"/>
            <w:vAlign w:val="center"/>
          </w:tcPr>
          <w:p w14:paraId="40229B3F">
            <w:pPr>
              <w:jc w:val="left"/>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sym w:font="Wingdings 2" w:char="0052"/>
            </w:r>
            <w:r>
              <w:rPr>
                <w:rFonts w:hint="default" w:ascii="Times New Roman" w:hAnsi="Times New Roman" w:cs="Times New Roman"/>
                <w:color w:val="auto"/>
                <w:sz w:val="24"/>
                <w:highlight w:val="none"/>
                <w:u w:val="none"/>
              </w:rPr>
              <w:t>新建（迁建）</w:t>
            </w:r>
          </w:p>
          <w:p w14:paraId="1666B73C">
            <w:pPr>
              <w:jc w:val="left"/>
              <w:rPr>
                <w:rFonts w:hint="default" w:ascii="Times New Roman" w:hAnsi="Times New Roman" w:cs="Times New Roman"/>
                <w:color w:val="auto"/>
                <w:sz w:val="24"/>
                <w:highlight w:val="none"/>
                <w:u w:val="none"/>
              </w:rPr>
            </w:pPr>
            <w:r>
              <w:rPr>
                <w:rFonts w:hint="eastAsia" w:cs="Times New Roman"/>
                <w:color w:val="auto"/>
                <w:sz w:val="24"/>
                <w:highlight w:val="none"/>
                <w:u w:val="none"/>
                <w:lang w:eastAsia="zh-CN"/>
              </w:rPr>
              <w:t>□</w:t>
            </w:r>
            <w:r>
              <w:rPr>
                <w:rFonts w:hint="default" w:ascii="Times New Roman" w:hAnsi="Times New Roman" w:cs="Times New Roman"/>
                <w:color w:val="auto"/>
                <w:sz w:val="24"/>
                <w:highlight w:val="none"/>
                <w:u w:val="none"/>
              </w:rPr>
              <w:t>改建</w:t>
            </w:r>
          </w:p>
          <w:p w14:paraId="7A18151A">
            <w:pPr>
              <w:jc w:val="left"/>
              <w:rPr>
                <w:rFonts w:hint="default" w:ascii="Times New Roman" w:hAnsi="Times New Roman" w:cs="Times New Roman"/>
                <w:color w:val="auto"/>
                <w:sz w:val="24"/>
                <w:highlight w:val="none"/>
                <w:u w:val="none"/>
              </w:rPr>
            </w:pPr>
            <w:r>
              <w:rPr>
                <w:rFonts w:hint="eastAsia" w:cs="Times New Roman"/>
                <w:color w:val="auto"/>
                <w:sz w:val="24"/>
                <w:highlight w:val="none"/>
                <w:u w:val="none"/>
                <w:lang w:eastAsia="zh-CN"/>
              </w:rPr>
              <w:t>□</w:t>
            </w:r>
            <w:r>
              <w:rPr>
                <w:rFonts w:hint="default" w:ascii="Times New Roman" w:hAnsi="Times New Roman" w:cs="Times New Roman"/>
                <w:color w:val="auto"/>
                <w:sz w:val="24"/>
                <w:highlight w:val="none"/>
                <w:u w:val="none"/>
              </w:rPr>
              <w:t>扩建</w:t>
            </w:r>
          </w:p>
          <w:p w14:paraId="1770BB21">
            <w:pPr>
              <w:jc w:val="left"/>
              <w:rPr>
                <w:rFonts w:hint="default" w:ascii="Times New Roman" w:hAnsi="Times New Roman" w:cs="Times New Roman"/>
                <w:color w:val="auto"/>
                <w:sz w:val="24"/>
                <w:highlight w:val="none"/>
                <w:u w:val="none"/>
              </w:rPr>
            </w:pPr>
            <w:r>
              <w:rPr>
                <w:rFonts w:hint="eastAsia" w:cs="Times New Roman"/>
                <w:color w:val="auto"/>
                <w:sz w:val="24"/>
                <w:highlight w:val="none"/>
                <w:u w:val="none"/>
                <w:lang w:eastAsia="zh-CN"/>
              </w:rPr>
              <w:t>□</w:t>
            </w:r>
            <w:r>
              <w:rPr>
                <w:rFonts w:hint="default" w:ascii="Times New Roman" w:hAnsi="Times New Roman" w:cs="Times New Roman"/>
                <w:color w:val="auto"/>
                <w:sz w:val="24"/>
                <w:highlight w:val="none"/>
                <w:u w:val="none"/>
              </w:rPr>
              <w:t>技术改造</w:t>
            </w:r>
          </w:p>
        </w:tc>
        <w:tc>
          <w:tcPr>
            <w:tcW w:w="2316" w:type="dxa"/>
            <w:noWrap w:val="0"/>
            <w:vAlign w:val="center"/>
          </w:tcPr>
          <w:p w14:paraId="20B79A36">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w:t>
            </w:r>
          </w:p>
          <w:p w14:paraId="49F2B05C">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申报情形</w:t>
            </w:r>
          </w:p>
        </w:tc>
        <w:tc>
          <w:tcPr>
            <w:tcW w:w="2779" w:type="dxa"/>
            <w:noWrap w:val="0"/>
            <w:vAlign w:val="center"/>
          </w:tcPr>
          <w:p w14:paraId="2E35B321">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 xml:space="preserve">首次申报项目             </w:t>
            </w:r>
          </w:p>
          <w:p w14:paraId="1C4E579C">
            <w:pPr>
              <w:jc w:val="left"/>
              <w:rPr>
                <w:rFonts w:hint="default" w:ascii="Times New Roman" w:hAnsi="Times New Roman"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cs="Times New Roman"/>
                <w:color w:val="auto"/>
                <w:sz w:val="24"/>
                <w:highlight w:val="none"/>
              </w:rPr>
              <w:t>不予批准后再次申报项目</w:t>
            </w:r>
          </w:p>
          <w:p w14:paraId="60B60ECE">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 xml:space="preserve">超五年重新审核项目     </w:t>
            </w:r>
          </w:p>
          <w:p w14:paraId="01AB377D">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52"/>
            </w:r>
            <w:r>
              <w:rPr>
                <w:rFonts w:hint="default" w:ascii="Times New Roman" w:hAnsi="Times New Roman" w:cs="Times New Roman"/>
                <w:color w:val="auto"/>
                <w:sz w:val="24"/>
                <w:highlight w:val="none"/>
              </w:rPr>
              <w:t>重大变动重新报批项目</w:t>
            </w:r>
          </w:p>
        </w:tc>
      </w:tr>
      <w:tr w14:paraId="70A90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02" w:hRule="atLeast"/>
          <w:jc w:val="center"/>
        </w:trPr>
        <w:tc>
          <w:tcPr>
            <w:tcW w:w="1867" w:type="dxa"/>
            <w:noWrap w:val="0"/>
            <w:tcMar>
              <w:top w:w="16" w:type="dxa"/>
              <w:left w:w="16" w:type="dxa"/>
              <w:right w:w="16" w:type="dxa"/>
            </w:tcMar>
            <w:vAlign w:val="center"/>
          </w:tcPr>
          <w:p w14:paraId="635EDB8F">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w:t>
            </w:r>
          </w:p>
          <w:p w14:paraId="4832DD9A">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备案）部门（选填）</w:t>
            </w:r>
          </w:p>
        </w:tc>
        <w:tc>
          <w:tcPr>
            <w:tcW w:w="1908" w:type="dxa"/>
            <w:noWrap w:val="0"/>
            <w:vAlign w:val="center"/>
          </w:tcPr>
          <w:p w14:paraId="6E7666A4">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岳阳县发展和改革局</w:t>
            </w:r>
          </w:p>
        </w:tc>
        <w:tc>
          <w:tcPr>
            <w:tcW w:w="2316" w:type="dxa"/>
            <w:noWrap w:val="0"/>
            <w:vAlign w:val="center"/>
          </w:tcPr>
          <w:p w14:paraId="7A16DF2E">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w:t>
            </w:r>
          </w:p>
          <w:p w14:paraId="45F43BC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备案）文号（选填）</w:t>
            </w:r>
          </w:p>
        </w:tc>
        <w:tc>
          <w:tcPr>
            <w:tcW w:w="2779" w:type="dxa"/>
            <w:noWrap w:val="0"/>
            <w:vAlign w:val="center"/>
          </w:tcPr>
          <w:p w14:paraId="6EC754DF">
            <w:pPr>
              <w:adjustRightInd w:val="0"/>
              <w:snapToGrid w:val="0"/>
              <w:jc w:val="center"/>
              <w:rPr>
                <w:rFonts w:hint="eastAsia" w:ascii="Times New Roman" w:hAnsi="Times New Roman" w:eastAsia="宋体" w:cs="Times New Roman"/>
                <w:color w:val="auto"/>
                <w:sz w:val="24"/>
                <w:highlight w:val="none"/>
                <w:lang w:eastAsia="zh-CN"/>
              </w:rPr>
            </w:pPr>
            <w:r>
              <w:rPr>
                <w:rFonts w:hint="eastAsia" w:cs="Times New Roman"/>
                <w:color w:val="auto"/>
                <w:sz w:val="24"/>
                <w:highlight w:val="none"/>
                <w:lang w:val="en-US" w:eastAsia="zh-CN"/>
              </w:rPr>
              <w:t>/</w:t>
            </w:r>
          </w:p>
        </w:tc>
      </w:tr>
      <w:tr w14:paraId="4A24B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867" w:type="dxa"/>
            <w:noWrap w:val="0"/>
            <w:tcMar>
              <w:top w:w="16" w:type="dxa"/>
              <w:left w:w="16" w:type="dxa"/>
              <w:right w:w="16" w:type="dxa"/>
            </w:tcMar>
            <w:vAlign w:val="center"/>
          </w:tcPr>
          <w:p w14:paraId="296AD9D2">
            <w:pPr>
              <w:adjustRightInd w:val="0"/>
              <w:snapToGrid w:val="0"/>
              <w:jc w:val="center"/>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总投资（万元）</w:t>
            </w:r>
          </w:p>
        </w:tc>
        <w:tc>
          <w:tcPr>
            <w:tcW w:w="1908" w:type="dxa"/>
            <w:noWrap w:val="0"/>
            <w:vAlign w:val="center"/>
          </w:tcPr>
          <w:p w14:paraId="11C20ABB">
            <w:pPr>
              <w:adjustRightInd w:val="0"/>
              <w:snapToGrid w:val="0"/>
              <w:jc w:val="center"/>
              <w:rPr>
                <w:rFonts w:hint="default" w:ascii="Times New Roman" w:hAnsi="Times New Roman" w:eastAsia="宋体" w:cs="Times New Roman"/>
                <w:color w:val="auto"/>
                <w:sz w:val="24"/>
                <w:highlight w:val="none"/>
                <w:u w:val="none"/>
                <w:lang w:val="en-US" w:eastAsia="zh-CN"/>
              </w:rPr>
            </w:pPr>
            <w:r>
              <w:rPr>
                <w:rFonts w:hint="eastAsia" w:cs="Times New Roman"/>
                <w:color w:val="auto"/>
                <w:sz w:val="24"/>
                <w:szCs w:val="24"/>
                <w:highlight w:val="none"/>
                <w:u w:val="none" w:color="auto"/>
                <w:lang w:val="en-US" w:eastAsia="zh-CN"/>
              </w:rPr>
              <w:t>160</w:t>
            </w:r>
          </w:p>
        </w:tc>
        <w:tc>
          <w:tcPr>
            <w:tcW w:w="2316" w:type="dxa"/>
            <w:noWrap w:val="0"/>
            <w:tcMar>
              <w:top w:w="16" w:type="dxa"/>
              <w:left w:w="16" w:type="dxa"/>
              <w:right w:w="16" w:type="dxa"/>
            </w:tcMar>
            <w:vAlign w:val="center"/>
          </w:tcPr>
          <w:p w14:paraId="7588A00B">
            <w:pPr>
              <w:adjustRightInd w:val="0"/>
              <w:snapToGrid w:val="0"/>
              <w:jc w:val="center"/>
              <w:rPr>
                <w:rFonts w:hint="default" w:cs="Times New Roman"/>
                <w:color w:val="auto"/>
                <w:sz w:val="24"/>
                <w:szCs w:val="24"/>
                <w:highlight w:val="none"/>
                <w:u w:val="none" w:color="auto"/>
                <w:lang w:val="en-US" w:eastAsia="zh-CN"/>
              </w:rPr>
            </w:pPr>
            <w:r>
              <w:rPr>
                <w:rFonts w:hint="default" w:cs="Times New Roman"/>
                <w:color w:val="auto"/>
                <w:sz w:val="24"/>
                <w:szCs w:val="24"/>
                <w:highlight w:val="none"/>
                <w:u w:val="none" w:color="auto"/>
                <w:lang w:val="en-US" w:eastAsia="zh-CN"/>
              </w:rPr>
              <w:t>环保投资</w:t>
            </w:r>
          </w:p>
          <w:p w14:paraId="3DA167E4">
            <w:pPr>
              <w:adjustRightInd w:val="0"/>
              <w:snapToGrid w:val="0"/>
              <w:jc w:val="center"/>
              <w:rPr>
                <w:rFonts w:hint="default" w:cs="Times New Roman"/>
                <w:color w:val="auto"/>
                <w:sz w:val="24"/>
                <w:szCs w:val="24"/>
                <w:highlight w:val="none"/>
                <w:u w:val="none" w:color="auto"/>
                <w:lang w:val="en-US" w:eastAsia="zh-CN"/>
              </w:rPr>
            </w:pPr>
            <w:r>
              <w:rPr>
                <w:rFonts w:hint="default" w:cs="Times New Roman"/>
                <w:color w:val="auto"/>
                <w:sz w:val="24"/>
                <w:szCs w:val="24"/>
                <w:highlight w:val="none"/>
                <w:u w:val="none" w:color="auto"/>
                <w:lang w:val="en-US" w:eastAsia="zh-CN"/>
              </w:rPr>
              <w:t>（万元）</w:t>
            </w:r>
          </w:p>
        </w:tc>
        <w:tc>
          <w:tcPr>
            <w:tcW w:w="2779" w:type="dxa"/>
            <w:noWrap w:val="0"/>
            <w:vAlign w:val="center"/>
          </w:tcPr>
          <w:p w14:paraId="7FB282AD">
            <w:pPr>
              <w:adjustRightInd w:val="0"/>
              <w:snapToGrid w:val="0"/>
              <w:jc w:val="center"/>
              <w:rPr>
                <w:rFonts w:hint="default" w:cs="Times New Roman"/>
                <w:color w:val="auto"/>
                <w:sz w:val="24"/>
                <w:szCs w:val="24"/>
                <w:highlight w:val="none"/>
                <w:u w:val="none" w:color="auto"/>
                <w:lang w:val="en-US" w:eastAsia="zh-CN"/>
              </w:rPr>
            </w:pPr>
            <w:r>
              <w:rPr>
                <w:rFonts w:hint="eastAsia" w:cs="Times New Roman"/>
                <w:color w:val="auto"/>
                <w:sz w:val="24"/>
                <w:szCs w:val="24"/>
                <w:highlight w:val="none"/>
                <w:u w:val="none" w:color="auto"/>
                <w:lang w:val="en-US" w:eastAsia="zh-CN"/>
              </w:rPr>
              <w:t>36</w:t>
            </w:r>
          </w:p>
        </w:tc>
      </w:tr>
      <w:tr w14:paraId="7D2F4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9" w:hRule="atLeast"/>
          <w:jc w:val="center"/>
        </w:trPr>
        <w:tc>
          <w:tcPr>
            <w:tcW w:w="1867" w:type="dxa"/>
            <w:noWrap w:val="0"/>
            <w:tcMar>
              <w:top w:w="16" w:type="dxa"/>
              <w:left w:w="16" w:type="dxa"/>
              <w:right w:w="16" w:type="dxa"/>
            </w:tcMar>
            <w:vAlign w:val="center"/>
          </w:tcPr>
          <w:p w14:paraId="2DED9D0A">
            <w:pPr>
              <w:adjustRightInd w:val="0"/>
              <w:snapToGrid w:val="0"/>
              <w:jc w:val="center"/>
              <w:rPr>
                <w:rFonts w:hint="default" w:cs="Times New Roman"/>
                <w:color w:val="auto"/>
                <w:sz w:val="24"/>
                <w:szCs w:val="24"/>
                <w:highlight w:val="none"/>
                <w:u w:val="none" w:color="auto"/>
                <w:lang w:val="en-US" w:eastAsia="zh-CN"/>
              </w:rPr>
            </w:pPr>
            <w:r>
              <w:rPr>
                <w:rFonts w:hint="default" w:cs="Times New Roman"/>
                <w:color w:val="auto"/>
                <w:sz w:val="24"/>
                <w:szCs w:val="24"/>
                <w:highlight w:val="none"/>
                <w:u w:val="none" w:color="auto"/>
                <w:lang w:val="en-US" w:eastAsia="zh-CN"/>
              </w:rPr>
              <w:t>环保投资占比（%）</w:t>
            </w:r>
          </w:p>
        </w:tc>
        <w:tc>
          <w:tcPr>
            <w:tcW w:w="1908" w:type="dxa"/>
            <w:noWrap w:val="0"/>
            <w:vAlign w:val="center"/>
          </w:tcPr>
          <w:p w14:paraId="17281CD6">
            <w:pPr>
              <w:adjustRightInd w:val="0"/>
              <w:snapToGrid w:val="0"/>
              <w:jc w:val="center"/>
              <w:rPr>
                <w:rFonts w:hint="default" w:cs="Times New Roman"/>
                <w:color w:val="auto"/>
                <w:sz w:val="24"/>
                <w:szCs w:val="24"/>
                <w:highlight w:val="none"/>
                <w:u w:val="none" w:color="auto"/>
                <w:lang w:val="en-US" w:eastAsia="zh-CN"/>
              </w:rPr>
            </w:pPr>
            <w:r>
              <w:rPr>
                <w:rFonts w:hint="eastAsia" w:cs="Times New Roman"/>
                <w:color w:val="auto"/>
                <w:sz w:val="24"/>
                <w:szCs w:val="24"/>
                <w:highlight w:val="none"/>
                <w:u w:val="none" w:color="auto"/>
                <w:lang w:val="en-US" w:eastAsia="zh-CN"/>
              </w:rPr>
              <w:t>22.5</w:t>
            </w:r>
          </w:p>
        </w:tc>
        <w:tc>
          <w:tcPr>
            <w:tcW w:w="2316" w:type="dxa"/>
            <w:noWrap w:val="0"/>
            <w:tcMar>
              <w:top w:w="16" w:type="dxa"/>
              <w:left w:w="16" w:type="dxa"/>
              <w:right w:w="16" w:type="dxa"/>
            </w:tcMar>
            <w:vAlign w:val="center"/>
          </w:tcPr>
          <w:p w14:paraId="08FB0B74">
            <w:pPr>
              <w:adjustRightInd w:val="0"/>
              <w:snapToGrid w:val="0"/>
              <w:jc w:val="center"/>
              <w:rPr>
                <w:rFonts w:hint="default" w:ascii="Times New Roman" w:hAnsi="Times New Roman" w:cs="Times New Roman"/>
                <w:color w:val="auto"/>
                <w:sz w:val="24"/>
                <w:highlight w:val="none"/>
                <w:u w:val="none"/>
              </w:rPr>
            </w:pPr>
            <w:r>
              <w:rPr>
                <w:rFonts w:hint="default" w:ascii="Times New Roman" w:hAnsi="Times New Roman" w:cs="Times New Roman"/>
                <w:color w:val="auto"/>
                <w:sz w:val="24"/>
                <w:szCs w:val="24"/>
                <w:highlight w:val="none"/>
                <w:u w:val="none" w:color="auto"/>
              </w:rPr>
              <w:t>施工工期</w:t>
            </w:r>
          </w:p>
        </w:tc>
        <w:tc>
          <w:tcPr>
            <w:tcW w:w="2779" w:type="dxa"/>
            <w:noWrap w:val="0"/>
            <w:vAlign w:val="center"/>
          </w:tcPr>
          <w:p w14:paraId="0CD51FD0">
            <w:pPr>
              <w:adjustRightInd w:val="0"/>
              <w:snapToGrid w:val="0"/>
              <w:ind w:left="210" w:leftChars="100"/>
              <w:jc w:val="center"/>
              <w:rPr>
                <w:rFonts w:hint="default" w:ascii="Times New Roman" w:hAnsi="Times New Roman" w:eastAsia="宋体" w:cs="Times New Roman"/>
                <w:color w:val="auto"/>
                <w:sz w:val="24"/>
                <w:highlight w:val="none"/>
                <w:u w:val="none"/>
                <w:lang w:val="en-US" w:eastAsia="zh-CN"/>
              </w:rPr>
            </w:pPr>
            <w:r>
              <w:rPr>
                <w:rFonts w:hint="eastAsia"/>
                <w:color w:val="auto"/>
                <w:highlight w:val="none"/>
                <w:u w:val="none" w:color="auto"/>
                <w:lang w:val="en-US" w:eastAsia="zh-CN"/>
              </w:rPr>
              <w:t>1个月</w:t>
            </w:r>
          </w:p>
        </w:tc>
      </w:tr>
      <w:tr w14:paraId="451E9F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867" w:type="dxa"/>
            <w:noWrap w:val="0"/>
            <w:tcMar>
              <w:top w:w="16" w:type="dxa"/>
              <w:left w:w="16" w:type="dxa"/>
              <w:right w:w="16" w:type="dxa"/>
            </w:tcMar>
            <w:vAlign w:val="center"/>
          </w:tcPr>
          <w:p w14:paraId="6AF68FD9">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是否开工建设</w:t>
            </w:r>
          </w:p>
        </w:tc>
        <w:tc>
          <w:tcPr>
            <w:tcW w:w="1908" w:type="dxa"/>
            <w:noWrap w:val="0"/>
            <w:vAlign w:val="center"/>
          </w:tcPr>
          <w:p w14:paraId="68E4A0C2">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52"/>
            </w:r>
            <w:r>
              <w:rPr>
                <w:rFonts w:hint="default" w:ascii="Times New Roman" w:hAnsi="Times New Roman" w:cs="Times New Roman"/>
                <w:color w:val="auto"/>
                <w:sz w:val="24"/>
                <w:highlight w:val="none"/>
              </w:rPr>
              <w:t>否</w:t>
            </w:r>
          </w:p>
          <w:p w14:paraId="261671AD">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是：</w:t>
            </w:r>
          </w:p>
        </w:tc>
        <w:tc>
          <w:tcPr>
            <w:tcW w:w="2316" w:type="dxa"/>
            <w:noWrap w:val="0"/>
            <w:tcMar>
              <w:top w:w="16" w:type="dxa"/>
              <w:left w:w="16" w:type="dxa"/>
              <w:right w:w="16" w:type="dxa"/>
            </w:tcMar>
            <w:vAlign w:val="center"/>
          </w:tcPr>
          <w:p w14:paraId="10F9A262">
            <w:pPr>
              <w:adjustRightInd w:val="0"/>
              <w:snapToGrid w:val="0"/>
              <w:jc w:val="center"/>
              <w:rPr>
                <w:rFonts w:hint="default" w:ascii="Times New Roman" w:hAnsi="Times New Roman" w:cs="Times New Roman"/>
                <w:color w:val="auto"/>
                <w:spacing w:val="-6"/>
                <w:sz w:val="24"/>
                <w:szCs w:val="24"/>
                <w:highlight w:val="none"/>
              </w:rPr>
            </w:pPr>
            <w:r>
              <w:rPr>
                <w:rFonts w:hint="default" w:ascii="Times New Roman" w:hAnsi="Times New Roman" w:cs="Times New Roman"/>
                <w:color w:val="auto"/>
                <w:spacing w:val="-6"/>
                <w:sz w:val="24"/>
                <w:szCs w:val="24"/>
                <w:highlight w:val="none"/>
              </w:rPr>
              <w:t>用地（用海）</w:t>
            </w:r>
          </w:p>
          <w:p w14:paraId="78692FEC">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pacing w:val="-6"/>
                <w:sz w:val="24"/>
                <w:szCs w:val="24"/>
                <w:highlight w:val="none"/>
              </w:rPr>
              <w:t>面积（m</w:t>
            </w:r>
            <w:r>
              <w:rPr>
                <w:rFonts w:hint="default" w:ascii="Times New Roman" w:hAnsi="Times New Roman" w:cs="Times New Roman"/>
                <w:color w:val="auto"/>
                <w:spacing w:val="-6"/>
                <w:sz w:val="24"/>
                <w:szCs w:val="24"/>
                <w:highlight w:val="none"/>
                <w:vertAlign w:val="superscript"/>
              </w:rPr>
              <w:t>2</w:t>
            </w:r>
            <w:r>
              <w:rPr>
                <w:rFonts w:hint="default" w:ascii="Times New Roman" w:hAnsi="Times New Roman" w:cs="Times New Roman"/>
                <w:color w:val="auto"/>
                <w:spacing w:val="-6"/>
                <w:sz w:val="24"/>
                <w:szCs w:val="24"/>
                <w:highlight w:val="none"/>
              </w:rPr>
              <w:t>）</w:t>
            </w:r>
          </w:p>
        </w:tc>
        <w:tc>
          <w:tcPr>
            <w:tcW w:w="2779" w:type="dxa"/>
            <w:noWrap w:val="0"/>
            <w:vAlign w:val="center"/>
          </w:tcPr>
          <w:p w14:paraId="5B51FF20">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olor w:val="auto"/>
                <w:sz w:val="24"/>
                <w:szCs w:val="24"/>
                <w:lang w:val="en-US" w:eastAsia="zh-CN"/>
              </w:rPr>
              <w:t>3240</w:t>
            </w:r>
          </w:p>
        </w:tc>
      </w:tr>
      <w:tr w14:paraId="7F6039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1867" w:type="dxa"/>
            <w:noWrap w:val="0"/>
            <w:vAlign w:val="center"/>
          </w:tcPr>
          <w:p w14:paraId="3499192B">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专项评价设置情况</w:t>
            </w:r>
          </w:p>
        </w:tc>
        <w:tc>
          <w:tcPr>
            <w:tcW w:w="7003" w:type="dxa"/>
            <w:gridSpan w:val="3"/>
            <w:noWrap w:val="0"/>
            <w:vAlign w:val="center"/>
          </w:tcPr>
          <w:p w14:paraId="73E2F7D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根据《建设项目环境影响报告表编制技术指南（污染影响类）》</w:t>
            </w:r>
            <w:r>
              <w:rPr>
                <w:rFonts w:hint="eastAsia" w:cs="Times New Roman"/>
                <w:color w:val="auto"/>
                <w:kern w:val="0"/>
                <w:sz w:val="24"/>
                <w:szCs w:val="24"/>
                <w:highlight w:val="none"/>
                <w:lang w:val="en-US" w:eastAsia="zh-CN" w:bidi="ar-SA"/>
              </w:rPr>
              <w:t>，建设项目产生的环境影响需要深入论证的，应按照环境影响评价相关技术导则开展专项评价工作。</w:t>
            </w:r>
            <w:r>
              <w:rPr>
                <w:rFonts w:hint="default" w:ascii="Times New Roman" w:hAnsi="Times New Roman" w:eastAsia="宋体" w:cs="Times New Roman"/>
                <w:color w:val="auto"/>
                <w:kern w:val="0"/>
                <w:sz w:val="24"/>
                <w:szCs w:val="24"/>
                <w:highlight w:val="none"/>
                <w:lang w:val="en-US" w:eastAsia="zh-CN" w:bidi="ar-SA"/>
              </w:rPr>
              <w:t>根据建设项目特点和涉及的环境敏感区类别，确定专项评价的类别，设置原则参照下表执行：</w:t>
            </w:r>
          </w:p>
          <w:p w14:paraId="7A233270">
            <w:pPr>
              <w:keepNext w:val="0"/>
              <w:keepLines w:val="0"/>
              <w:pageBreakBefore w:val="0"/>
              <w:widowControl w:val="0"/>
              <w:kinsoku/>
              <w:wordWrap/>
              <w:overflowPunct/>
              <w:topLinePunct w:val="0"/>
              <w:autoSpaceDE w:val="0"/>
              <w:autoSpaceDN w:val="0"/>
              <w:bidi w:val="0"/>
              <w:adjustRightInd w:val="0"/>
              <w:snapToGrid w:val="0"/>
              <w:spacing w:line="240" w:lineRule="auto"/>
              <w:ind w:firstLine="422" w:firstLineChars="20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表1-1</w:t>
            </w:r>
            <w:r>
              <w:rPr>
                <w:rFonts w:hint="eastAsia" w:cs="Times New Roman"/>
                <w:b/>
                <w:bCs/>
                <w:color w:val="auto"/>
                <w:kern w:val="0"/>
                <w:sz w:val="21"/>
                <w:szCs w:val="21"/>
                <w:highlight w:val="none"/>
                <w:lang w:val="en-US" w:eastAsia="zh-CN" w:bidi="ar-SA"/>
              </w:rPr>
              <w:t xml:space="preserve">   </w:t>
            </w:r>
            <w:r>
              <w:rPr>
                <w:rFonts w:hint="default" w:ascii="Times New Roman" w:hAnsi="Times New Roman" w:eastAsia="宋体" w:cs="Times New Roman"/>
                <w:b/>
                <w:bCs/>
                <w:color w:val="auto"/>
                <w:sz w:val="21"/>
                <w:szCs w:val="21"/>
                <w:highlight w:val="none"/>
                <w:u w:val="none"/>
                <w:lang w:val="en-US" w:eastAsia="zh-CN"/>
              </w:rPr>
              <w:t>专项评价设置原则表</w:t>
            </w:r>
          </w:p>
          <w:tbl>
            <w:tblPr>
              <w:tblStyle w:val="34"/>
              <w:tblW w:w="67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81"/>
              <w:gridCol w:w="2492"/>
              <w:gridCol w:w="2310"/>
              <w:gridCol w:w="974"/>
            </w:tblGrid>
            <w:tr w14:paraId="330BF6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81" w:type="dxa"/>
                  <w:tcBorders>
                    <w:tl2br w:val="nil"/>
                    <w:tr2bl w:val="nil"/>
                  </w:tcBorders>
                  <w:noWrap w:val="0"/>
                  <w:vAlign w:val="center"/>
                </w:tcPr>
                <w:p w14:paraId="5AA16740">
                  <w:pPr>
                    <w:pStyle w:val="11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b/>
                      <w:bCs/>
                      <w:color w:val="auto"/>
                      <w:spacing w:val="5"/>
                      <w:sz w:val="21"/>
                      <w:szCs w:val="21"/>
                      <w:highlight w:val="none"/>
                    </w:rPr>
                    <w:t>专项评价的类</w:t>
                  </w:r>
                  <w:r>
                    <w:rPr>
                      <w:rFonts w:hint="default" w:ascii="Times New Roman" w:hAnsi="Times New Roman" w:cs="Times New Roman"/>
                      <w:b/>
                      <w:bCs/>
                      <w:color w:val="auto"/>
                      <w:spacing w:val="-3"/>
                      <w:sz w:val="21"/>
                      <w:szCs w:val="21"/>
                      <w:highlight w:val="none"/>
                    </w:rPr>
                    <w:t>别</w:t>
                  </w:r>
                </w:p>
              </w:tc>
              <w:tc>
                <w:tcPr>
                  <w:tcW w:w="2492" w:type="dxa"/>
                  <w:tcBorders>
                    <w:tl2br w:val="nil"/>
                    <w:tr2bl w:val="nil"/>
                  </w:tcBorders>
                  <w:noWrap w:val="0"/>
                  <w:vAlign w:val="center"/>
                </w:tcPr>
                <w:p w14:paraId="6018D206">
                  <w:pPr>
                    <w:pStyle w:val="114"/>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b/>
                      <w:bCs/>
                      <w:color w:val="auto"/>
                      <w:spacing w:val="5"/>
                      <w:sz w:val="21"/>
                      <w:szCs w:val="21"/>
                      <w:highlight w:val="none"/>
                    </w:rPr>
                    <w:t>设置原则</w:t>
                  </w:r>
                </w:p>
              </w:tc>
              <w:tc>
                <w:tcPr>
                  <w:tcW w:w="2310" w:type="dxa"/>
                  <w:tcBorders>
                    <w:tl2br w:val="nil"/>
                    <w:tr2bl w:val="nil"/>
                  </w:tcBorders>
                  <w:noWrap w:val="0"/>
                  <w:vAlign w:val="center"/>
                </w:tcPr>
                <w:p w14:paraId="1E623D32">
                  <w:pPr>
                    <w:pStyle w:val="114"/>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b/>
                      <w:bCs/>
                      <w:color w:val="auto"/>
                      <w:spacing w:val="6"/>
                      <w:sz w:val="21"/>
                      <w:szCs w:val="21"/>
                      <w:highlight w:val="none"/>
                    </w:rPr>
                    <w:t>本项目情况</w:t>
                  </w:r>
                </w:p>
              </w:tc>
              <w:tc>
                <w:tcPr>
                  <w:tcW w:w="974" w:type="dxa"/>
                  <w:tcBorders>
                    <w:tl2br w:val="nil"/>
                    <w:tr2bl w:val="nil"/>
                  </w:tcBorders>
                  <w:noWrap w:val="0"/>
                  <w:vAlign w:val="center"/>
                </w:tcPr>
                <w:p w14:paraId="275D135A">
                  <w:pPr>
                    <w:pStyle w:val="11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b/>
                      <w:bCs/>
                      <w:color w:val="auto"/>
                      <w:spacing w:val="4"/>
                      <w:sz w:val="21"/>
                      <w:szCs w:val="21"/>
                      <w:highlight w:val="none"/>
                    </w:rPr>
                    <w:t>是否设</w:t>
                  </w:r>
                  <w:r>
                    <w:rPr>
                      <w:rFonts w:hint="default" w:ascii="Times New Roman" w:hAnsi="Times New Roman" w:cs="Times New Roman"/>
                      <w:b/>
                      <w:bCs/>
                      <w:color w:val="auto"/>
                      <w:spacing w:val="6"/>
                      <w:sz w:val="21"/>
                      <w:szCs w:val="21"/>
                      <w:highlight w:val="none"/>
                    </w:rPr>
                    <w:t>置专项</w:t>
                  </w:r>
                  <w:r>
                    <w:rPr>
                      <w:rFonts w:hint="default" w:ascii="Times New Roman" w:hAnsi="Times New Roman" w:cs="Times New Roman"/>
                      <w:b/>
                      <w:bCs/>
                      <w:color w:val="auto"/>
                      <w:spacing w:val="4"/>
                      <w:sz w:val="21"/>
                      <w:szCs w:val="21"/>
                      <w:highlight w:val="none"/>
                    </w:rPr>
                    <w:t>评价</w:t>
                  </w:r>
                </w:p>
              </w:tc>
            </w:tr>
            <w:tr w14:paraId="64675A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81" w:type="dxa"/>
                  <w:tcBorders>
                    <w:tl2br w:val="nil"/>
                    <w:tr2bl w:val="nil"/>
                  </w:tcBorders>
                  <w:noWrap w:val="0"/>
                  <w:vAlign w:val="center"/>
                </w:tcPr>
                <w:p w14:paraId="2D8E187E">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大气</w:t>
                  </w:r>
                </w:p>
              </w:tc>
              <w:tc>
                <w:tcPr>
                  <w:tcW w:w="2492" w:type="dxa"/>
                  <w:tcBorders>
                    <w:tl2br w:val="nil"/>
                    <w:tr2bl w:val="nil"/>
                  </w:tcBorders>
                  <w:noWrap w:val="0"/>
                  <w:vAlign w:val="center"/>
                </w:tcPr>
                <w:p w14:paraId="487FE1DE">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排放废气含有毒有害污染物、二噁英、苯并[a]芘、氰化物、氯气且厂界外500米范围内有环境空气保护目标的建设项目。</w:t>
                  </w:r>
                </w:p>
              </w:tc>
              <w:tc>
                <w:tcPr>
                  <w:tcW w:w="2310" w:type="dxa"/>
                  <w:tcBorders>
                    <w:tl2br w:val="nil"/>
                    <w:tr2bl w:val="nil"/>
                  </w:tcBorders>
                  <w:noWrap w:val="0"/>
                  <w:vAlign w:val="center"/>
                </w:tcPr>
                <w:p w14:paraId="6062FE63">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本项目废气污染物</w:t>
                  </w:r>
                  <w:r>
                    <w:rPr>
                      <w:rFonts w:hint="eastAsia" w:cs="Times New Roman"/>
                      <w:color w:val="auto"/>
                      <w:sz w:val="21"/>
                      <w:szCs w:val="21"/>
                      <w:highlight w:val="none"/>
                      <w:lang w:val="en-US" w:eastAsia="zh-CN"/>
                    </w:rPr>
                    <w:t>为非甲烷总烃、恶臭、颗粒物、SO</w:t>
                  </w:r>
                  <w:r>
                    <w:rPr>
                      <w:rFonts w:hint="eastAsia" w:cs="Times New Roman"/>
                      <w:color w:val="auto"/>
                      <w:sz w:val="21"/>
                      <w:szCs w:val="21"/>
                      <w:highlight w:val="none"/>
                      <w:vertAlign w:val="subscript"/>
                      <w:lang w:val="en-US" w:eastAsia="zh-CN"/>
                    </w:rPr>
                    <w:t>2</w:t>
                  </w:r>
                  <w:r>
                    <w:rPr>
                      <w:rFonts w:hint="eastAsia" w:cs="Times New Roman"/>
                      <w:color w:val="auto"/>
                      <w:sz w:val="21"/>
                      <w:szCs w:val="21"/>
                      <w:highlight w:val="none"/>
                      <w:lang w:val="en-US" w:eastAsia="zh-CN"/>
                    </w:rPr>
                    <w:t>、NOx，</w:t>
                  </w:r>
                  <w:r>
                    <w:rPr>
                      <w:rFonts w:hint="default" w:ascii="Times New Roman" w:hAnsi="Times New Roman" w:eastAsia="宋体" w:cs="Times New Roman"/>
                      <w:color w:val="auto"/>
                      <w:sz w:val="21"/>
                      <w:szCs w:val="21"/>
                      <w:highlight w:val="none"/>
                      <w:u w:val="single"/>
                      <w:lang w:val="en-US" w:eastAsia="zh-CN"/>
                    </w:rPr>
                    <w:t>报废液化石油气钢瓶外表面为纯环氧树脂粉末涂料，燃烧过程不</w:t>
                  </w:r>
                  <w:r>
                    <w:rPr>
                      <w:rFonts w:hint="eastAsia" w:cs="Times New Roman"/>
                      <w:color w:val="auto"/>
                      <w:sz w:val="21"/>
                      <w:szCs w:val="21"/>
                      <w:highlight w:val="none"/>
                      <w:u w:val="single"/>
                      <w:lang w:val="en-US" w:eastAsia="zh-CN"/>
                    </w:rPr>
                    <w:t>会产生</w:t>
                  </w:r>
                  <w:r>
                    <w:rPr>
                      <w:rFonts w:hint="default" w:ascii="Times New Roman" w:hAnsi="Times New Roman" w:eastAsia="宋体" w:cs="Times New Roman"/>
                      <w:color w:val="auto"/>
                      <w:sz w:val="21"/>
                      <w:szCs w:val="21"/>
                      <w:highlight w:val="none"/>
                      <w:u w:val="single"/>
                      <w:lang w:val="en-US" w:eastAsia="zh-CN"/>
                    </w:rPr>
                    <w:t>二噁英</w:t>
                  </w:r>
                  <w:r>
                    <w:rPr>
                      <w:rFonts w:hint="eastAsia" w:cs="Times New Roman"/>
                      <w:color w:val="auto"/>
                      <w:sz w:val="21"/>
                      <w:szCs w:val="21"/>
                      <w:highlight w:val="none"/>
                      <w:u w:val="single"/>
                      <w:lang w:val="en-US" w:eastAsia="zh-CN"/>
                    </w:rPr>
                    <w:t>等其他</w:t>
                  </w:r>
                  <w:r>
                    <w:rPr>
                      <w:rFonts w:hint="default" w:ascii="Times New Roman" w:hAnsi="Times New Roman" w:eastAsia="宋体" w:cs="Times New Roman"/>
                      <w:color w:val="auto"/>
                      <w:sz w:val="21"/>
                      <w:szCs w:val="21"/>
                      <w:highlight w:val="none"/>
                      <w:u w:val="single"/>
                      <w:lang w:val="en-US" w:eastAsia="zh-CN"/>
                    </w:rPr>
                    <w:t>有毒有害污染物。</w:t>
                  </w:r>
                </w:p>
              </w:tc>
              <w:tc>
                <w:tcPr>
                  <w:tcW w:w="974" w:type="dxa"/>
                  <w:tcBorders>
                    <w:tl2br w:val="nil"/>
                    <w:tr2bl w:val="nil"/>
                  </w:tcBorders>
                  <w:noWrap w:val="0"/>
                  <w:vAlign w:val="center"/>
                </w:tcPr>
                <w:p w14:paraId="2FF38FC7">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否</w:t>
                  </w:r>
                </w:p>
              </w:tc>
            </w:tr>
            <w:tr w14:paraId="19AFD2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81" w:type="dxa"/>
                  <w:tcBorders>
                    <w:tl2br w:val="nil"/>
                    <w:tr2bl w:val="nil"/>
                  </w:tcBorders>
                  <w:noWrap w:val="0"/>
                  <w:vAlign w:val="center"/>
                </w:tcPr>
                <w:p w14:paraId="00005583">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地表水</w:t>
                  </w:r>
                </w:p>
              </w:tc>
              <w:tc>
                <w:tcPr>
                  <w:tcW w:w="2492" w:type="dxa"/>
                  <w:tcBorders>
                    <w:tl2br w:val="nil"/>
                    <w:tr2bl w:val="nil"/>
                  </w:tcBorders>
                  <w:noWrap w:val="0"/>
                  <w:vAlign w:val="center"/>
                </w:tcPr>
                <w:p w14:paraId="6E1EB209">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新增工业废水直排建设项目（槽罐车外送污水处理厂的除外）；新增废水直排的污水集中处理厂</w:t>
                  </w:r>
                </w:p>
              </w:tc>
              <w:tc>
                <w:tcPr>
                  <w:tcW w:w="2310" w:type="dxa"/>
                  <w:tcBorders>
                    <w:tl2br w:val="nil"/>
                    <w:tr2bl w:val="nil"/>
                  </w:tcBorders>
                  <w:noWrap w:val="0"/>
                  <w:vAlign w:val="center"/>
                </w:tcPr>
                <w:p w14:paraId="2790C2FF">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r>
                    <w:rPr>
                      <w:rFonts w:hint="eastAsia" w:cs="Times New Roman"/>
                      <w:color w:val="auto"/>
                      <w:sz w:val="21"/>
                      <w:szCs w:val="21"/>
                      <w:highlight w:val="none"/>
                      <w:lang w:val="en-US" w:eastAsia="zh-CN"/>
                    </w:rPr>
                    <w:t>不属于</w:t>
                  </w:r>
                  <w:r>
                    <w:rPr>
                      <w:rFonts w:hint="default" w:ascii="Times New Roman" w:hAnsi="Times New Roman" w:eastAsia="宋体" w:cs="Times New Roman"/>
                      <w:color w:val="auto"/>
                      <w:sz w:val="21"/>
                      <w:szCs w:val="21"/>
                      <w:highlight w:val="none"/>
                      <w:lang w:val="en-US" w:eastAsia="zh-CN"/>
                    </w:rPr>
                    <w:t>新增工业废水直排项目</w:t>
                  </w:r>
                  <w:r>
                    <w:rPr>
                      <w:rFonts w:hint="eastAsia" w:ascii="Times New Roman" w:hAnsi="Times New Roman" w:eastAsia="宋体" w:cs="Times New Roman"/>
                      <w:color w:val="auto"/>
                      <w:sz w:val="21"/>
                      <w:szCs w:val="21"/>
                      <w:highlight w:val="none"/>
                      <w:lang w:val="en-US" w:eastAsia="zh-CN"/>
                    </w:rPr>
                    <w:t>、不属于集中处理厂</w:t>
                  </w:r>
                </w:p>
              </w:tc>
              <w:tc>
                <w:tcPr>
                  <w:tcW w:w="974" w:type="dxa"/>
                  <w:tcBorders>
                    <w:tl2br w:val="nil"/>
                    <w:tr2bl w:val="nil"/>
                  </w:tcBorders>
                  <w:noWrap w:val="0"/>
                  <w:vAlign w:val="center"/>
                </w:tcPr>
                <w:p w14:paraId="420B0881">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否</w:t>
                  </w:r>
                </w:p>
              </w:tc>
            </w:tr>
            <w:tr w14:paraId="6BE29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81" w:type="dxa"/>
                  <w:tcBorders>
                    <w:tl2br w:val="nil"/>
                    <w:tr2bl w:val="nil"/>
                  </w:tcBorders>
                  <w:noWrap w:val="0"/>
                  <w:vAlign w:val="center"/>
                </w:tcPr>
                <w:p w14:paraId="34FF3F54">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环境风险</w:t>
                  </w:r>
                </w:p>
              </w:tc>
              <w:tc>
                <w:tcPr>
                  <w:tcW w:w="2492" w:type="dxa"/>
                  <w:tcBorders>
                    <w:tl2br w:val="nil"/>
                    <w:tr2bl w:val="nil"/>
                  </w:tcBorders>
                  <w:noWrap w:val="0"/>
                  <w:vAlign w:val="center"/>
                </w:tcPr>
                <w:p w14:paraId="31A2C448">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有毒有害和易燃易爆危险物质存储量超过临界量的建设项目</w:t>
                  </w:r>
                </w:p>
              </w:tc>
              <w:tc>
                <w:tcPr>
                  <w:tcW w:w="2310" w:type="dxa"/>
                  <w:tcBorders>
                    <w:tl2br w:val="nil"/>
                    <w:tr2bl w:val="nil"/>
                  </w:tcBorders>
                  <w:noWrap w:val="0"/>
                  <w:vAlign w:val="center"/>
                </w:tcPr>
                <w:p w14:paraId="4FB5CCC5">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本项目有毒有害和易燃易爆危险物质存储量远低于临界量，项目Q＜1。</w:t>
                  </w:r>
                </w:p>
              </w:tc>
              <w:tc>
                <w:tcPr>
                  <w:tcW w:w="974" w:type="dxa"/>
                  <w:tcBorders>
                    <w:tl2br w:val="nil"/>
                    <w:tr2bl w:val="nil"/>
                  </w:tcBorders>
                  <w:noWrap w:val="0"/>
                  <w:vAlign w:val="center"/>
                </w:tcPr>
                <w:p w14:paraId="40915DF3">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否</w:t>
                  </w:r>
                </w:p>
              </w:tc>
            </w:tr>
            <w:tr w14:paraId="7B169F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81" w:type="dxa"/>
                  <w:tcBorders>
                    <w:tl2br w:val="nil"/>
                    <w:tr2bl w:val="nil"/>
                  </w:tcBorders>
                  <w:noWrap w:val="0"/>
                  <w:vAlign w:val="center"/>
                </w:tcPr>
                <w:p w14:paraId="6FA86498">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生态</w:t>
                  </w:r>
                </w:p>
              </w:tc>
              <w:tc>
                <w:tcPr>
                  <w:tcW w:w="2492" w:type="dxa"/>
                  <w:tcBorders>
                    <w:tl2br w:val="nil"/>
                    <w:tr2bl w:val="nil"/>
                  </w:tcBorders>
                  <w:noWrap w:val="0"/>
                  <w:vAlign w:val="center"/>
                </w:tcPr>
                <w:p w14:paraId="40BAA683">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取水口下游500米范围内有重要水生生物的自然产卵场、索饵场、越冬场和洄游通道的新增河道取水的污染类建设项目</w:t>
                  </w:r>
                </w:p>
              </w:tc>
              <w:tc>
                <w:tcPr>
                  <w:tcW w:w="2310" w:type="dxa"/>
                  <w:tcBorders>
                    <w:tl2br w:val="nil"/>
                    <w:tr2bl w:val="nil"/>
                  </w:tcBorders>
                  <w:noWrap w:val="0"/>
                  <w:vAlign w:val="center"/>
                </w:tcPr>
                <w:p w14:paraId="670EA2F5">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本项目非河道取水项目。</w:t>
                  </w:r>
                </w:p>
              </w:tc>
              <w:tc>
                <w:tcPr>
                  <w:tcW w:w="974" w:type="dxa"/>
                  <w:tcBorders>
                    <w:tl2br w:val="nil"/>
                    <w:tr2bl w:val="nil"/>
                  </w:tcBorders>
                  <w:noWrap w:val="0"/>
                  <w:vAlign w:val="center"/>
                </w:tcPr>
                <w:p w14:paraId="549BFD63">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否</w:t>
                  </w:r>
                </w:p>
              </w:tc>
            </w:tr>
            <w:tr w14:paraId="4A0DB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81" w:type="dxa"/>
                  <w:tcBorders>
                    <w:tl2br w:val="nil"/>
                    <w:tr2bl w:val="nil"/>
                  </w:tcBorders>
                  <w:noWrap w:val="0"/>
                  <w:vAlign w:val="center"/>
                </w:tcPr>
                <w:p w14:paraId="5D3CDA72">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海洋</w:t>
                  </w:r>
                </w:p>
              </w:tc>
              <w:tc>
                <w:tcPr>
                  <w:tcW w:w="2492" w:type="dxa"/>
                  <w:tcBorders>
                    <w:tl2br w:val="nil"/>
                    <w:tr2bl w:val="nil"/>
                  </w:tcBorders>
                  <w:noWrap w:val="0"/>
                  <w:vAlign w:val="center"/>
                </w:tcPr>
                <w:p w14:paraId="7F8E9266">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直接向海排放污染物的海洋工程建设项目</w:t>
                  </w:r>
                </w:p>
              </w:tc>
              <w:tc>
                <w:tcPr>
                  <w:tcW w:w="2310" w:type="dxa"/>
                  <w:tcBorders>
                    <w:tl2br w:val="nil"/>
                    <w:tr2bl w:val="nil"/>
                  </w:tcBorders>
                  <w:noWrap w:val="0"/>
                  <w:vAlign w:val="center"/>
                </w:tcPr>
                <w:p w14:paraId="2B2B9C6B">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本项目不属于海洋工程建设项目。</w:t>
                  </w:r>
                </w:p>
              </w:tc>
              <w:tc>
                <w:tcPr>
                  <w:tcW w:w="974" w:type="dxa"/>
                  <w:tcBorders>
                    <w:tl2br w:val="nil"/>
                    <w:tr2bl w:val="nil"/>
                  </w:tcBorders>
                  <w:noWrap w:val="0"/>
                  <w:vAlign w:val="center"/>
                </w:tcPr>
                <w:p w14:paraId="6BE7DA70">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否</w:t>
                  </w:r>
                </w:p>
              </w:tc>
            </w:tr>
          </w:tbl>
          <w:p w14:paraId="6FBBEA27">
            <w:pPr>
              <w:autoSpaceDE w:val="0"/>
              <w:autoSpaceDN w:val="0"/>
              <w:adjustRightInd w:val="0"/>
              <w:snapToGrid w:val="0"/>
              <w:spacing w:line="360" w:lineRule="auto"/>
              <w:ind w:firstLine="480" w:firstLineChars="200"/>
              <w:jc w:val="both"/>
              <w:rPr>
                <w:rFonts w:hint="default" w:ascii="Times New Roman" w:hAnsi="Times New Roman" w:cs="Times New Roman"/>
                <w:color w:val="auto"/>
                <w:kern w:val="0"/>
                <w:sz w:val="24"/>
                <w:highlight w:val="none"/>
              </w:rPr>
            </w:pPr>
            <w:r>
              <w:rPr>
                <w:rFonts w:hint="default" w:ascii="Times New Roman" w:hAnsi="Times New Roman" w:eastAsia="宋体" w:cs="Times New Roman"/>
                <w:b w:val="0"/>
                <w:bCs w:val="0"/>
                <w:color w:val="auto"/>
                <w:kern w:val="0"/>
                <w:sz w:val="24"/>
                <w:szCs w:val="24"/>
                <w:highlight w:val="none"/>
                <w:lang w:val="en-US" w:eastAsia="zh-CN" w:bidi="ar-SA"/>
              </w:rPr>
              <w:t>由上表可知，本项目无须设置专项评价。</w:t>
            </w:r>
          </w:p>
        </w:tc>
      </w:tr>
      <w:tr w14:paraId="7A370B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1867" w:type="dxa"/>
            <w:noWrap w:val="0"/>
            <w:vAlign w:val="center"/>
          </w:tcPr>
          <w:p w14:paraId="69D06243">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规划情况</w:t>
            </w:r>
          </w:p>
        </w:tc>
        <w:tc>
          <w:tcPr>
            <w:tcW w:w="7003" w:type="dxa"/>
            <w:gridSpan w:val="3"/>
            <w:noWrap w:val="0"/>
            <w:vAlign w:val="center"/>
          </w:tcPr>
          <w:p w14:paraId="6B5F0275">
            <w:pPr>
              <w:autoSpaceDE w:val="0"/>
              <w:autoSpaceDN w:val="0"/>
              <w:adjustRightInd w:val="0"/>
              <w:snapToGrid w:val="0"/>
              <w:spacing w:line="240" w:lineRule="auto"/>
              <w:jc w:val="center"/>
              <w:rPr>
                <w:rFonts w:hint="eastAsia" w:cs="Times New Roman"/>
                <w:color w:val="auto"/>
                <w:kern w:val="0"/>
                <w:sz w:val="24"/>
                <w:highlight w:val="none"/>
                <w:u w:val="none" w:color="auto"/>
                <w:lang w:val="en-US" w:eastAsia="zh-CN"/>
              </w:rPr>
            </w:pPr>
            <w:r>
              <w:rPr>
                <w:rFonts w:hint="eastAsia" w:cs="Times New Roman"/>
                <w:color w:val="auto"/>
                <w:kern w:val="0"/>
                <w:sz w:val="24"/>
                <w:highlight w:val="none"/>
                <w:u w:val="none" w:color="auto"/>
                <w:lang w:val="en-US" w:eastAsia="zh-CN"/>
              </w:rPr>
              <w:t>《岳阳县国土空间总体规划》（2021-2035）</w:t>
            </w:r>
          </w:p>
          <w:p w14:paraId="4935D6C5">
            <w:pPr>
              <w:autoSpaceDE w:val="0"/>
              <w:autoSpaceDN w:val="0"/>
              <w:adjustRightInd w:val="0"/>
              <w:snapToGrid w:val="0"/>
              <w:spacing w:line="240" w:lineRule="auto"/>
              <w:jc w:val="center"/>
              <w:rPr>
                <w:rFonts w:hint="default" w:ascii="Times New Roman" w:hAnsi="Times New Roman" w:cs="Times New Roman"/>
                <w:color w:val="auto"/>
                <w:kern w:val="0"/>
                <w:sz w:val="24"/>
                <w:highlight w:val="none"/>
                <w:u w:val="none"/>
                <w:lang w:val="en-US"/>
              </w:rPr>
            </w:pPr>
            <w:r>
              <w:rPr>
                <w:rFonts w:hint="eastAsia" w:cs="Times New Roman"/>
                <w:color w:val="auto"/>
                <w:kern w:val="0"/>
                <w:sz w:val="24"/>
                <w:highlight w:val="none"/>
                <w:u w:val="none" w:color="auto"/>
                <w:lang w:val="en-US" w:eastAsia="zh-CN"/>
              </w:rPr>
              <w:t>岳阳县人民政府2024年5月发布</w:t>
            </w:r>
          </w:p>
        </w:tc>
      </w:tr>
      <w:tr w14:paraId="27283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1867" w:type="dxa"/>
            <w:noWrap w:val="0"/>
            <w:vAlign w:val="center"/>
          </w:tcPr>
          <w:p w14:paraId="21E1501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规划环境影响</w:t>
            </w:r>
          </w:p>
          <w:p w14:paraId="18380978">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评价情况</w:t>
            </w:r>
          </w:p>
        </w:tc>
        <w:tc>
          <w:tcPr>
            <w:tcW w:w="7003" w:type="dxa"/>
            <w:gridSpan w:val="3"/>
            <w:noWrap w:val="0"/>
            <w:vAlign w:val="center"/>
          </w:tcPr>
          <w:p w14:paraId="0CC50D79">
            <w:pPr>
              <w:autoSpaceDE w:val="0"/>
              <w:autoSpaceDN w:val="0"/>
              <w:adjustRightInd w:val="0"/>
              <w:snapToGrid w:val="0"/>
              <w:spacing w:line="360" w:lineRule="auto"/>
              <w:jc w:val="center"/>
              <w:rPr>
                <w:rFonts w:hint="eastAsia" w:ascii="Times New Roman" w:hAnsi="Times New Roman" w:eastAsia="宋体" w:cs="Times New Roman"/>
                <w:color w:val="auto"/>
                <w:kern w:val="0"/>
                <w:sz w:val="24"/>
                <w:highlight w:val="none"/>
                <w:u w:val="none"/>
                <w:lang w:val="en-US" w:eastAsia="zh-CN"/>
              </w:rPr>
            </w:pPr>
            <w:r>
              <w:rPr>
                <w:rFonts w:hint="eastAsia" w:cs="Times New Roman"/>
                <w:color w:val="auto"/>
                <w:kern w:val="0"/>
                <w:sz w:val="24"/>
                <w:highlight w:val="none"/>
                <w:u w:val="none"/>
                <w:lang w:val="en-US" w:eastAsia="zh-CN"/>
              </w:rPr>
              <w:t>无</w:t>
            </w:r>
          </w:p>
        </w:tc>
      </w:tr>
      <w:tr w14:paraId="227CD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1867" w:type="dxa"/>
            <w:noWrap w:val="0"/>
            <w:vAlign w:val="center"/>
          </w:tcPr>
          <w:p w14:paraId="67205F6A">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规划及规划环境影响评价符合性分析</w:t>
            </w:r>
          </w:p>
        </w:tc>
        <w:tc>
          <w:tcPr>
            <w:tcW w:w="7003" w:type="dxa"/>
            <w:gridSpan w:val="3"/>
            <w:noWrap w:val="0"/>
            <w:vAlign w:val="center"/>
          </w:tcPr>
          <w:p w14:paraId="1D21D6BD">
            <w:pPr>
              <w:widowControl/>
              <w:spacing w:line="360" w:lineRule="auto"/>
              <w:rPr>
                <w:b/>
                <w:bCs/>
                <w:color w:val="auto"/>
                <w:sz w:val="24"/>
              </w:rPr>
            </w:pPr>
            <w:r>
              <w:rPr>
                <w:rFonts w:hint="eastAsia"/>
                <w:b/>
                <w:bCs/>
                <w:color w:val="auto"/>
                <w:sz w:val="24"/>
                <w:lang w:val="en-US" w:eastAsia="zh-CN"/>
              </w:rPr>
              <w:t>一</w:t>
            </w:r>
            <w:r>
              <w:rPr>
                <w:b/>
                <w:bCs/>
                <w:color w:val="auto"/>
                <w:sz w:val="24"/>
              </w:rPr>
              <w:t>、</w:t>
            </w:r>
            <w:r>
              <w:rPr>
                <w:rFonts w:hint="eastAsia"/>
                <w:b/>
                <w:bCs/>
                <w:color w:val="auto"/>
                <w:sz w:val="24"/>
                <w:lang w:val="en-US" w:eastAsia="zh-CN"/>
              </w:rPr>
              <w:t>项目与《岳阳县国土空间总体规划》（2021-2035）</w:t>
            </w:r>
            <w:r>
              <w:rPr>
                <w:b/>
                <w:bCs/>
                <w:color w:val="auto"/>
                <w:sz w:val="24"/>
              </w:rPr>
              <w:t>符合性分析</w:t>
            </w:r>
          </w:p>
          <w:p w14:paraId="2F2DF660">
            <w:pPr>
              <w:pStyle w:val="53"/>
              <w:ind w:firstLine="480"/>
              <w:jc w:val="both"/>
              <w:rPr>
                <w:rStyle w:val="136"/>
                <w:rFonts w:hint="eastAsia"/>
                <w:highlight w:val="none"/>
                <w:u w:val="none" w:color="auto"/>
                <w:lang w:val="en-US" w:eastAsia="zh-CN"/>
              </w:rPr>
            </w:pPr>
            <w:r>
              <w:rPr>
                <w:rStyle w:val="136"/>
                <w:rFonts w:hint="default" w:ascii="Times New Roman" w:hAnsi="Times New Roman" w:cs="Times New Roman"/>
                <w:highlight w:val="none"/>
                <w:u w:val="none" w:color="auto"/>
                <w:lang w:val="en-US" w:eastAsia="zh-CN"/>
              </w:rPr>
              <w:t>《岳阳县国土空间总体规划》（2021-2035）提出：大力发展循环经济、再生资源综合利用、固废资源化处置等绿色低碳产业，鼓励在乡镇存量工业点位布局资源回收、报废物资再生类配套项目，完善县域循环产业体系。</w:t>
            </w:r>
            <w:r>
              <w:rPr>
                <w:rStyle w:val="136"/>
                <w:rFonts w:hint="eastAsia" w:ascii="Times New Roman" w:hAnsi="Times New Roman" w:cs="Times New Roman"/>
                <w:highlight w:val="none"/>
                <w:u w:val="none" w:color="auto"/>
                <w:lang w:val="en-US" w:eastAsia="zh-CN"/>
              </w:rPr>
              <w:t>贯彻节约</w:t>
            </w:r>
            <w:r>
              <w:rPr>
                <w:rStyle w:val="136"/>
                <w:rFonts w:hint="default" w:ascii="Times New Roman" w:hAnsi="Times New Roman" w:cs="Times New Roman"/>
                <w:highlight w:val="none"/>
                <w:u w:val="none" w:color="auto"/>
                <w:lang w:val="en-US" w:eastAsia="zh-CN"/>
              </w:rPr>
              <w:t>集约用地政策，坚持严控增量、盘活存量，鼓励盘活城镇内</w:t>
            </w:r>
            <w:r>
              <w:rPr>
                <w:rStyle w:val="136"/>
                <w:rFonts w:hint="eastAsia"/>
                <w:highlight w:val="none"/>
                <w:u w:val="none" w:color="auto"/>
                <w:lang w:val="en-US" w:eastAsia="zh-CN"/>
              </w:rPr>
              <w:t>外闲置、低效工业厂房与存量建设用地，优先利用存量划拨、出让工业用地承载产业项目，建立新增用地与存量消化挂钩机制，推动存量用地转型升级，减少新增建设用地需求。</w:t>
            </w:r>
          </w:p>
          <w:p w14:paraId="4A11258C">
            <w:pPr>
              <w:pStyle w:val="53"/>
              <w:ind w:firstLine="480"/>
              <w:jc w:val="both"/>
              <w:rPr>
                <w:rFonts w:hint="default" w:ascii="Times New Roman" w:hAnsi="Times New Roman" w:eastAsia="宋体" w:cs="Times New Roman"/>
                <w:color w:val="auto"/>
                <w:sz w:val="24"/>
                <w:highlight w:val="none"/>
                <w:u w:val="none"/>
                <w:lang w:val="en-US" w:eastAsia="zh-CN"/>
              </w:rPr>
            </w:pPr>
            <w:r>
              <w:rPr>
                <w:rStyle w:val="136"/>
                <w:rFonts w:hint="default" w:ascii="Times New Roman" w:hAnsi="Times New Roman" w:cs="Times New Roman"/>
                <w:highlight w:val="none"/>
                <w:u w:val="none" w:color="auto"/>
                <w:lang w:val="en-US" w:eastAsia="zh-CN"/>
              </w:rPr>
              <w:t xml:space="preserve"> 本项目报废液化石油气钢瓶回收拆解、再生处置属于再生资源综合利用循环产业，是规划重点扶持的绿色低碳业态，项目落地能够完善县域报废特种设备资源化处置配套，符合产业发展布局导向。项目租赁新墙镇燎原村原王家方砖厂闲置钢筋棚厂房建设报废液化石油气钢瓶处置项目，用地 3240㎡，全程不新增建设用地、不占用农用地，项目仅在原有厂房红线内开展设备安装与生产线建设，不扩大用地范围、不向外拓展占地，完全</w:t>
            </w:r>
            <w:r>
              <w:rPr>
                <w:rStyle w:val="136"/>
                <w:rFonts w:hint="default" w:ascii="Times New Roman" w:hAnsi="Times New Roman" w:cs="Times New Roman"/>
                <w:highlight w:val="none"/>
                <w:u w:val="none" w:color="auto"/>
              </w:rPr>
              <w:t>符合</w:t>
            </w:r>
            <w:r>
              <w:rPr>
                <w:rStyle w:val="136"/>
                <w:rFonts w:hint="default" w:ascii="Times New Roman" w:hAnsi="Times New Roman" w:cs="Times New Roman"/>
                <w:highlight w:val="none"/>
                <w:u w:val="none" w:color="auto"/>
                <w:lang w:val="en-US" w:eastAsia="zh-CN"/>
              </w:rPr>
              <w:t>《岳阳县国土空间总体规划》（2021-2035）要求</w:t>
            </w:r>
            <w:r>
              <w:rPr>
                <w:rStyle w:val="136"/>
                <w:rFonts w:hint="default" w:ascii="Times New Roman" w:hAnsi="Times New Roman" w:cs="Times New Roman"/>
                <w:highlight w:val="none"/>
                <w:u w:val="none" w:color="auto"/>
              </w:rPr>
              <w:t>。</w:t>
            </w:r>
          </w:p>
        </w:tc>
      </w:tr>
      <w:tr w14:paraId="357E07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1" w:hRule="atLeast"/>
          <w:jc w:val="center"/>
        </w:trPr>
        <w:tc>
          <w:tcPr>
            <w:tcW w:w="1867" w:type="dxa"/>
            <w:noWrap w:val="0"/>
            <w:vAlign w:val="center"/>
          </w:tcPr>
          <w:p w14:paraId="02E251F5">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其他符合性分析</w:t>
            </w:r>
          </w:p>
        </w:tc>
        <w:tc>
          <w:tcPr>
            <w:tcW w:w="7003" w:type="dxa"/>
            <w:gridSpan w:val="3"/>
            <w:noWrap w:val="0"/>
            <w:vAlign w:val="center"/>
          </w:tcPr>
          <w:p w14:paraId="006828EA">
            <w:pPr>
              <w:spacing w:line="360" w:lineRule="auto"/>
              <w:rPr>
                <w:rFonts w:hint="default" w:ascii="Times New Roman" w:hAnsi="Times New Roman" w:cs="Times New Roman"/>
                <w:b/>
                <w:bCs/>
                <w:color w:val="auto"/>
                <w:sz w:val="24"/>
                <w:highlight w:val="none"/>
              </w:rPr>
            </w:pPr>
            <w:r>
              <w:rPr>
                <w:rFonts w:hint="eastAsia" w:cs="Times New Roman"/>
                <w:b/>
                <w:bCs/>
                <w:color w:val="auto"/>
                <w:sz w:val="24"/>
                <w:highlight w:val="none"/>
                <w:lang w:val="en-US" w:eastAsia="zh-CN"/>
              </w:rPr>
              <w:t>1、</w:t>
            </w:r>
            <w:r>
              <w:rPr>
                <w:rFonts w:hint="default" w:ascii="Times New Roman" w:hAnsi="Times New Roman" w:cs="Times New Roman"/>
                <w:b/>
                <w:bCs/>
                <w:color w:val="auto"/>
                <w:sz w:val="24"/>
                <w:highlight w:val="none"/>
              </w:rPr>
              <w:t>产业政策符合性分析</w:t>
            </w:r>
          </w:p>
          <w:p w14:paraId="704F09BA">
            <w:pPr>
              <w:adjustRightInd w:val="0"/>
              <w:snapToGrid w:val="0"/>
              <w:spacing w:line="360" w:lineRule="auto"/>
              <w:ind w:firstLine="480" w:firstLineChars="200"/>
              <w:rPr>
                <w:rFonts w:hint="eastAsia" w:cs="Times New Roman"/>
                <w:color w:val="auto"/>
                <w:sz w:val="24"/>
                <w:highlight w:val="none"/>
                <w:lang w:val="en-US" w:eastAsia="zh-CN"/>
              </w:rPr>
            </w:pPr>
            <w:r>
              <w:rPr>
                <w:rFonts w:hint="eastAsia" w:cs="Times New Roman"/>
                <w:color w:val="auto"/>
                <w:sz w:val="24"/>
                <w:highlight w:val="none"/>
                <w:lang w:val="en-US" w:eastAsia="zh-CN"/>
              </w:rPr>
              <w:t>本项目为“C4210金属废料和碎屑加工处理”，根据查询《产业结构调整指导目录（2024年本）》，本项目属于“鼓励类四十二环境与保护与资源节约综合利用 8废弃物循环利用”，不属于限制和淘汰类范围。</w:t>
            </w:r>
          </w:p>
          <w:p w14:paraId="2B0D3748">
            <w:pPr>
              <w:adjustRightInd w:val="0"/>
              <w:snapToGrid w:val="0"/>
              <w:spacing w:line="360" w:lineRule="auto"/>
              <w:ind w:firstLine="480" w:firstLineChars="200"/>
              <w:rPr>
                <w:rFonts w:hint="eastAsia" w:cs="Times New Roman"/>
                <w:color w:val="auto"/>
                <w:sz w:val="24"/>
                <w:highlight w:val="none"/>
                <w:lang w:val="en-US" w:eastAsia="zh-CN"/>
              </w:rPr>
            </w:pPr>
            <w:r>
              <w:rPr>
                <w:rFonts w:hint="eastAsia" w:cs="Times New Roman"/>
                <w:color w:val="auto"/>
                <w:sz w:val="24"/>
                <w:highlight w:val="none"/>
                <w:lang w:val="en-US" w:eastAsia="zh-CN"/>
              </w:rPr>
              <w:t>综上，项目建设符合国家和行业产业政策要求。</w:t>
            </w:r>
          </w:p>
          <w:p w14:paraId="5E3A78BD">
            <w:pPr>
              <w:spacing w:line="360" w:lineRule="auto"/>
              <w:rPr>
                <w:rFonts w:hint="default" w:ascii="Times New Roman" w:hAnsi="Times New Roman" w:cs="Times New Roman"/>
                <w:b/>
                <w:bCs/>
                <w:color w:val="auto"/>
                <w:sz w:val="24"/>
                <w:highlight w:val="none"/>
                <w:u w:val="none"/>
              </w:rPr>
            </w:pPr>
            <w:r>
              <w:rPr>
                <w:rFonts w:hint="eastAsia" w:cs="Times New Roman"/>
                <w:b/>
                <w:bCs/>
                <w:color w:val="auto"/>
                <w:sz w:val="24"/>
                <w:highlight w:val="none"/>
                <w:u w:val="none"/>
                <w:lang w:val="en-US" w:eastAsia="zh-CN"/>
              </w:rPr>
              <w:t>2、</w:t>
            </w:r>
            <w:r>
              <w:rPr>
                <w:rFonts w:hint="default" w:ascii="Times New Roman" w:hAnsi="Times New Roman" w:cs="Times New Roman"/>
                <w:b/>
                <w:bCs/>
                <w:color w:val="auto"/>
                <w:sz w:val="24"/>
                <w:highlight w:val="none"/>
                <w:u w:val="none"/>
              </w:rPr>
              <w:t>选址合理性分析</w:t>
            </w:r>
          </w:p>
          <w:p w14:paraId="1F5476AF">
            <w:pPr>
              <w:autoSpaceDE w:val="0"/>
              <w:autoSpaceDN w:val="0"/>
              <w:adjustRightInd w:val="0"/>
              <w:snapToGrid w:val="0"/>
              <w:spacing w:line="360" w:lineRule="auto"/>
              <w:ind w:firstLine="480"/>
              <w:rPr>
                <w:rFonts w:hint="default" w:ascii="Times New Roman" w:hAnsi="Times New Roman" w:cs="Times New Roman"/>
                <w:color w:val="auto"/>
              </w:rPr>
            </w:pPr>
            <w:r>
              <w:rPr>
                <w:rFonts w:hint="default" w:ascii="Times New Roman" w:hAnsi="Times New Roman" w:eastAsia="宋体" w:cs="Times New Roman"/>
                <w:color w:val="auto"/>
                <w:sz w:val="24"/>
                <w:highlight w:val="none"/>
                <w:lang w:val="en-US" w:eastAsia="zh-CN"/>
              </w:rPr>
              <w:t>本项目选址位于</w:t>
            </w:r>
            <w:r>
              <w:rPr>
                <w:rFonts w:hint="eastAsia" w:cs="Times New Roman"/>
                <w:color w:val="auto"/>
                <w:sz w:val="24"/>
                <w:highlight w:val="none"/>
                <w:lang w:val="en-US" w:eastAsia="zh-CN"/>
              </w:rPr>
              <w:t>岳阳县新墙镇燎原村沙河片二组</w:t>
            </w:r>
            <w:r>
              <w:rPr>
                <w:rFonts w:hint="default" w:ascii="Times New Roman" w:hAnsi="Times New Roman" w:eastAsia="宋体" w:cs="Times New Roman"/>
                <w:color w:val="auto"/>
                <w:sz w:val="24"/>
                <w:highlight w:val="none"/>
                <w:lang w:val="en-US" w:eastAsia="zh-CN"/>
              </w:rPr>
              <w:t>，</w:t>
            </w:r>
            <w:r>
              <w:rPr>
                <w:rFonts w:hint="eastAsia"/>
                <w:color w:val="auto"/>
                <w:kern w:val="21"/>
                <w:sz w:val="24"/>
                <w:lang w:val="en-US" w:eastAsia="zh-CN"/>
              </w:rPr>
              <w:t>租赁岳阳县万来新能源科技有限公司面积约3240m</w:t>
            </w:r>
            <w:r>
              <w:rPr>
                <w:rFonts w:hint="eastAsia"/>
                <w:color w:val="auto"/>
                <w:kern w:val="21"/>
                <w:sz w:val="24"/>
                <w:vertAlign w:val="superscript"/>
                <w:lang w:val="en-US" w:eastAsia="zh-CN"/>
              </w:rPr>
              <w:t>2</w:t>
            </w:r>
            <w:r>
              <w:rPr>
                <w:rFonts w:hint="eastAsia"/>
                <w:color w:val="auto"/>
                <w:kern w:val="21"/>
                <w:sz w:val="24"/>
                <w:lang w:val="en-US" w:eastAsia="zh-CN"/>
              </w:rPr>
              <w:t>已建钢筋棚厂房作为项目生产车间，</w:t>
            </w:r>
            <w:r>
              <w:rPr>
                <w:rFonts w:hint="eastAsia"/>
                <w:color w:val="auto"/>
                <w:kern w:val="21"/>
                <w:sz w:val="24"/>
                <w:u w:val="single"/>
                <w:lang w:val="en-US" w:eastAsia="zh-CN"/>
              </w:rPr>
              <w:t>该场地前身为岳阳县王家方页岩环保砖厂，用地性质为集体建设用地（租赁合同、用地证明详见附件4），</w:t>
            </w:r>
            <w:r>
              <w:rPr>
                <w:rFonts w:hint="eastAsia" w:eastAsia="宋体" w:cs="Times New Roman"/>
                <w:i w:val="0"/>
                <w:iCs w:val="0"/>
                <w:caps w:val="0"/>
                <w:color w:val="auto"/>
                <w:spacing w:val="0"/>
                <w:sz w:val="24"/>
                <w:szCs w:val="24"/>
                <w:lang w:val="en-US" w:eastAsia="zh-CN"/>
              </w:rPr>
              <w:t>根据项目选址意见表</w:t>
            </w:r>
            <w:r>
              <w:rPr>
                <w:rFonts w:hint="eastAsia" w:cs="Times New Roman"/>
                <w:i w:val="0"/>
                <w:iCs w:val="0"/>
                <w:caps w:val="0"/>
                <w:color w:val="auto"/>
                <w:spacing w:val="0"/>
                <w:sz w:val="24"/>
                <w:szCs w:val="24"/>
                <w:lang w:val="en-US" w:eastAsia="zh-CN"/>
              </w:rPr>
              <w:t>（</w:t>
            </w:r>
            <w:r>
              <w:rPr>
                <w:rFonts w:hint="eastAsia" w:eastAsia="宋体" w:cs="Times New Roman"/>
                <w:i w:val="0"/>
                <w:iCs w:val="0"/>
                <w:caps w:val="0"/>
                <w:color w:val="auto"/>
                <w:spacing w:val="0"/>
                <w:sz w:val="24"/>
                <w:szCs w:val="24"/>
                <w:lang w:val="en-US" w:eastAsia="zh-CN"/>
              </w:rPr>
              <w:t>附件5</w:t>
            </w:r>
            <w:r>
              <w:rPr>
                <w:rFonts w:hint="eastAsia" w:cs="Times New Roman"/>
                <w:i w:val="0"/>
                <w:iCs w:val="0"/>
                <w:caps w:val="0"/>
                <w:color w:val="auto"/>
                <w:spacing w:val="0"/>
                <w:sz w:val="24"/>
                <w:szCs w:val="24"/>
                <w:lang w:val="en-US" w:eastAsia="zh-CN"/>
              </w:rPr>
              <w:t>）</w:t>
            </w:r>
            <w:r>
              <w:rPr>
                <w:rFonts w:hint="eastAsia" w:eastAsia="宋体" w:cs="Times New Roman"/>
                <w:i w:val="0"/>
                <w:iCs w:val="0"/>
                <w:caps w:val="0"/>
                <w:color w:val="auto"/>
                <w:spacing w:val="0"/>
                <w:sz w:val="24"/>
                <w:szCs w:val="24"/>
                <w:lang w:val="en-US" w:eastAsia="zh-CN"/>
              </w:rPr>
              <w:t>可知，新墙镇政府及</w:t>
            </w:r>
            <w:r>
              <w:rPr>
                <w:rFonts w:hint="eastAsia" w:cs="Times New Roman"/>
                <w:i w:val="0"/>
                <w:iCs w:val="0"/>
                <w:caps w:val="0"/>
                <w:color w:val="auto"/>
                <w:spacing w:val="0"/>
                <w:sz w:val="24"/>
                <w:szCs w:val="24"/>
                <w:lang w:val="en-US" w:eastAsia="zh-CN"/>
              </w:rPr>
              <w:t>燎原村</w:t>
            </w:r>
            <w:r>
              <w:rPr>
                <w:rFonts w:hint="eastAsia" w:eastAsia="宋体" w:cs="Times New Roman"/>
                <w:i w:val="0"/>
                <w:iCs w:val="0"/>
                <w:caps w:val="0"/>
                <w:color w:val="auto"/>
                <w:spacing w:val="0"/>
                <w:sz w:val="24"/>
                <w:szCs w:val="24"/>
                <w:lang w:val="en-US" w:eastAsia="zh-CN"/>
              </w:rPr>
              <w:t>村委会</w:t>
            </w:r>
            <w:r>
              <w:rPr>
                <w:rFonts w:hint="eastAsia" w:cs="Times New Roman"/>
                <w:i w:val="0"/>
                <w:iCs w:val="0"/>
                <w:caps w:val="0"/>
                <w:color w:val="auto"/>
                <w:spacing w:val="0"/>
                <w:sz w:val="24"/>
                <w:szCs w:val="24"/>
                <w:lang w:val="en-US" w:eastAsia="zh-CN"/>
              </w:rPr>
              <w:t>已同意项目选址建设</w:t>
            </w:r>
            <w:r>
              <w:rPr>
                <w:rFonts w:hint="eastAsia"/>
                <w:color w:val="auto"/>
                <w:kern w:val="21"/>
                <w:sz w:val="24"/>
                <w:lang w:val="en-US" w:eastAsia="zh-CN"/>
              </w:rPr>
              <w:t>。</w:t>
            </w:r>
            <w:r>
              <w:rPr>
                <w:rFonts w:hint="default" w:ascii="Times New Roman" w:hAnsi="Times New Roman" w:eastAsia="宋体" w:cs="Times New Roman"/>
                <w:color w:val="auto"/>
                <w:sz w:val="24"/>
                <w:highlight w:val="none"/>
                <w:lang w:val="en-US" w:eastAsia="zh-CN"/>
              </w:rPr>
              <w:t>厂区所在区域市政配套设施完备，供水、供电、通信等基础配套均已全面覆盖，能够充分满足项目生产、生活及日常运营的各类需求；同时，项目出入交通直接依托已建成的成熟道路网络，对外交通便捷通畅，物流运输条件优越，整体区位优势十分突出。</w:t>
            </w:r>
            <w:r>
              <w:rPr>
                <w:rFonts w:hint="default" w:ascii="Times New Roman" w:hAnsi="Times New Roman" w:eastAsia="宋体" w:cs="Times New Roman"/>
                <w:color w:val="auto"/>
                <w:sz w:val="24"/>
                <w:highlight w:val="none"/>
                <w:u w:val="single"/>
                <w:lang w:val="en-US" w:eastAsia="zh-CN"/>
              </w:rPr>
              <w:t>经现场实地勘察，项目</w:t>
            </w:r>
            <w:r>
              <w:rPr>
                <w:rFonts w:hint="eastAsia" w:cs="Times New Roman"/>
                <w:color w:val="auto"/>
                <w:sz w:val="24"/>
                <w:highlight w:val="none"/>
                <w:u w:val="single"/>
                <w:lang w:val="en-US" w:eastAsia="zh-CN"/>
              </w:rPr>
              <w:t>所在区域为农村地区，周边居民、工业企业较少，最近居民为东南侧80m处散户</w:t>
            </w:r>
            <w:r>
              <w:rPr>
                <w:rFonts w:hint="default" w:ascii="Times New Roman" w:hAnsi="Times New Roman" w:eastAsia="宋体" w:cs="Times New Roman"/>
                <w:color w:val="auto"/>
                <w:sz w:val="24"/>
                <w:highlight w:val="none"/>
                <w:u w:val="single"/>
                <w:lang w:val="en-US" w:eastAsia="zh-CN"/>
              </w:rPr>
              <w:t>。</w:t>
            </w:r>
            <w:r>
              <w:rPr>
                <w:rFonts w:hint="default" w:ascii="Times New Roman" w:hAnsi="Times New Roman" w:eastAsia="宋体" w:cs="Times New Roman"/>
                <w:i w:val="0"/>
                <w:iCs w:val="0"/>
                <w:caps w:val="0"/>
                <w:color w:val="auto"/>
                <w:spacing w:val="0"/>
                <w:sz w:val="24"/>
                <w:szCs w:val="24"/>
                <w:u w:val="single"/>
                <w:lang w:val="en-US" w:eastAsia="zh-CN"/>
              </w:rPr>
              <w:t>经核查，</w:t>
            </w:r>
            <w:r>
              <w:rPr>
                <w:rFonts w:hint="default" w:ascii="Times New Roman" w:hAnsi="Times New Roman" w:eastAsia="Segoe UI Emoji" w:cs="Times New Roman"/>
                <w:i w:val="0"/>
                <w:iCs w:val="0"/>
                <w:caps w:val="0"/>
                <w:color w:val="auto"/>
                <w:spacing w:val="0"/>
                <w:sz w:val="24"/>
                <w:szCs w:val="24"/>
                <w:u w:val="single"/>
              </w:rPr>
              <w:t>项目所在区域500m范围内不存在自然保护区、风景名胜区、饮用水源保护区等特殊重要的生态环境敏感区域。</w:t>
            </w:r>
            <w:r>
              <w:rPr>
                <w:rFonts w:hint="default" w:ascii="Times New Roman" w:hAnsi="Times New Roman" w:eastAsia="Segoe UI Emoji" w:cs="Times New Roman"/>
                <w:i w:val="0"/>
                <w:iCs w:val="0"/>
                <w:caps w:val="0"/>
                <w:color w:val="auto"/>
                <w:spacing w:val="0"/>
                <w:sz w:val="24"/>
                <w:szCs w:val="24"/>
              </w:rPr>
              <w:t>在切实落实各项污染防治措施的前提下，能够确保各类污染物达标排放，</w:t>
            </w:r>
            <w:r>
              <w:rPr>
                <w:rFonts w:hint="eastAsia" w:cs="Times New Roman"/>
                <w:i w:val="0"/>
                <w:iCs w:val="0"/>
                <w:caps w:val="0"/>
                <w:color w:val="auto"/>
                <w:spacing w:val="0"/>
                <w:sz w:val="24"/>
                <w:szCs w:val="24"/>
                <w:lang w:val="en-US" w:eastAsia="zh-CN"/>
              </w:rPr>
              <w:t>建设单位</w:t>
            </w:r>
            <w:r>
              <w:rPr>
                <w:rFonts w:hint="default" w:ascii="Times New Roman" w:hAnsi="Times New Roman" w:eastAsia="Segoe UI Emoji" w:cs="Times New Roman"/>
                <w:i w:val="0"/>
                <w:iCs w:val="0"/>
                <w:caps w:val="0"/>
                <w:color w:val="auto"/>
                <w:spacing w:val="0"/>
                <w:sz w:val="24"/>
                <w:szCs w:val="24"/>
              </w:rPr>
              <w:t>采取本报告表提出的污染防治措施后，污染源对周边环境的影响亦较小。综上所述，本项目的选址基本可行。</w:t>
            </w:r>
          </w:p>
          <w:p w14:paraId="3375BDE4">
            <w:pPr>
              <w:adjustRightInd w:val="0"/>
              <w:snapToGrid w:val="0"/>
              <w:spacing w:line="360" w:lineRule="auto"/>
              <w:rPr>
                <w:rFonts w:hint="default" w:ascii="Times New Roman" w:hAnsi="Times New Roman" w:cs="Times New Roman"/>
                <w:b/>
                <w:color w:val="auto"/>
                <w:sz w:val="24"/>
                <w:highlight w:val="none"/>
              </w:rPr>
            </w:pPr>
            <w:r>
              <w:rPr>
                <w:rFonts w:hint="eastAsia" w:cs="Times New Roman"/>
                <w:b/>
                <w:color w:val="auto"/>
                <w:sz w:val="24"/>
                <w:highlight w:val="none"/>
                <w:lang w:val="en-US" w:eastAsia="zh-CN"/>
              </w:rPr>
              <w:t>3、</w:t>
            </w:r>
            <w:r>
              <w:rPr>
                <w:rFonts w:hint="default" w:ascii="Times New Roman" w:hAnsi="Times New Roman" w:cs="Times New Roman"/>
                <w:b/>
                <w:color w:val="auto"/>
                <w:sz w:val="24"/>
                <w:highlight w:val="none"/>
              </w:rPr>
              <w:t>与“</w:t>
            </w:r>
            <w:r>
              <w:rPr>
                <w:rFonts w:hint="default" w:ascii="Times New Roman" w:hAnsi="Times New Roman" w:cs="Times New Roman"/>
                <w:b/>
                <w:color w:val="auto"/>
                <w:sz w:val="24"/>
                <w:highlight w:val="none"/>
                <w:lang w:eastAsia="zh-CN"/>
              </w:rPr>
              <w:t>生态环境分区管控</w:t>
            </w:r>
            <w:r>
              <w:rPr>
                <w:rFonts w:hint="default" w:ascii="Times New Roman" w:hAnsi="Times New Roman" w:cs="Times New Roman"/>
                <w:b/>
                <w:color w:val="auto"/>
                <w:sz w:val="24"/>
                <w:highlight w:val="none"/>
              </w:rPr>
              <w:t>”相符性分析</w:t>
            </w:r>
          </w:p>
          <w:p w14:paraId="41225156">
            <w:pPr>
              <w:autoSpaceDE w:val="0"/>
              <w:autoSpaceDN w:val="0"/>
              <w:adjustRightInd w:val="0"/>
              <w:snapToGrid w:val="0"/>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与</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三区三线</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的</w:t>
            </w:r>
            <w:r>
              <w:rPr>
                <w:rFonts w:hint="eastAsia" w:cs="Times New Roman"/>
                <w:color w:val="auto"/>
                <w:sz w:val="24"/>
                <w:highlight w:val="none"/>
                <w:lang w:eastAsia="zh-CN"/>
              </w:rPr>
              <w:t>相符性分析</w:t>
            </w:r>
          </w:p>
          <w:p w14:paraId="661406C2">
            <w:pPr>
              <w:autoSpaceDE w:val="0"/>
              <w:autoSpaceDN w:val="0"/>
              <w:adjustRightInd w:val="0"/>
              <w:snapToGrid w:val="0"/>
              <w:spacing w:line="360" w:lineRule="auto"/>
              <w:ind w:firstLine="480"/>
              <w:rPr>
                <w:rFonts w:hint="default" w:ascii="Times New Roman" w:hAnsi="Times New Roman" w:cs="Times New Roman"/>
                <w:color w:val="auto"/>
                <w:sz w:val="24"/>
                <w:highlight w:val="none"/>
              </w:rPr>
            </w:pPr>
            <w:r>
              <w:rPr>
                <w:rFonts w:hint="eastAsia" w:cs="Times New Roman"/>
                <w:color w:val="auto"/>
                <w:sz w:val="24"/>
                <w:highlight w:val="none"/>
                <w:lang w:eastAsia="zh-CN"/>
              </w:rPr>
              <w:t>“</w:t>
            </w:r>
            <w:r>
              <w:rPr>
                <w:rFonts w:hint="default" w:ascii="Times New Roman" w:hAnsi="Times New Roman" w:cs="Times New Roman"/>
                <w:color w:val="auto"/>
                <w:sz w:val="24"/>
                <w:highlight w:val="none"/>
              </w:rPr>
              <w:t>三区三线</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中</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三区</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指城镇空间、农业空间、生态空间三种类型的国土空间，</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三线</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分别对应在城镇空间、农业空间、生态空间划定的城镇开发边界、永久基本农田、生态保护红线三条控制线。</w:t>
            </w:r>
            <w:r>
              <w:rPr>
                <w:rFonts w:hint="default" w:ascii="Times New Roman" w:hAnsi="Times New Roman" w:cs="Times New Roman"/>
                <w:color w:val="auto"/>
                <w:sz w:val="24"/>
                <w:highlight w:val="none"/>
                <w:lang w:val="en-US" w:eastAsia="zh-CN"/>
              </w:rPr>
              <w:t>根据查询湖南省自然资源厅的“三区三线”压覆查询图（附图</w:t>
            </w:r>
            <w:r>
              <w:rPr>
                <w:rFonts w:hint="eastAsia"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）可知，</w:t>
            </w:r>
            <w:r>
              <w:rPr>
                <w:rFonts w:hint="default" w:ascii="Times New Roman" w:hAnsi="Times New Roman" w:cs="Times New Roman"/>
                <w:color w:val="auto"/>
                <w:sz w:val="24"/>
                <w:highlight w:val="none"/>
              </w:rPr>
              <w:t>本项目用地不涉及生态保护红线和永久基本农田，位于城镇开发边界范围</w:t>
            </w:r>
            <w:r>
              <w:rPr>
                <w:rFonts w:hint="eastAsia" w:cs="Times New Roman"/>
                <w:color w:val="auto"/>
                <w:sz w:val="24"/>
                <w:highlight w:val="none"/>
                <w:lang w:val="en-US" w:eastAsia="zh-CN"/>
              </w:rPr>
              <w:t>外</w:t>
            </w:r>
            <w:r>
              <w:rPr>
                <w:rFonts w:hint="default" w:ascii="Times New Roman" w:hAnsi="Times New Roman" w:cs="Times New Roman"/>
                <w:color w:val="auto"/>
                <w:sz w:val="24"/>
                <w:highlight w:val="none"/>
              </w:rPr>
              <w:t>。经分析，本项目与“三区三线”管控要求相符，具备合法建设条件，具体分析如下：</w:t>
            </w:r>
          </w:p>
          <w:p w14:paraId="202414F1">
            <w:pPr>
              <w:autoSpaceDE w:val="0"/>
              <w:autoSpaceDN w:val="0"/>
              <w:adjustRightInd w:val="0"/>
              <w:snapToGrid w:val="0"/>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①与城镇开发边界的关系：功能匹配，建设合法</w:t>
            </w:r>
          </w:p>
          <w:p w14:paraId="2623E361">
            <w:pPr>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b w:val="0"/>
                <w:bCs w:val="0"/>
                <w:color w:val="auto"/>
                <w:sz w:val="24"/>
                <w:highlight w:val="none"/>
              </w:rPr>
            </w:pPr>
            <w:r>
              <w:rPr>
                <w:rFonts w:hint="default" w:ascii="Times New Roman" w:hAnsi="Times New Roman" w:cs="Times New Roman"/>
                <w:color w:val="auto"/>
                <w:sz w:val="24"/>
                <w:highlight w:val="none"/>
              </w:rPr>
              <w:t>城镇开发边界的核心是引导城镇集中建设、促进集约发展，并非禁止边界内的一切建设活动。</w:t>
            </w:r>
            <w:r>
              <w:rPr>
                <w:rFonts w:hint="default" w:ascii="Times New Roman" w:hAnsi="Times New Roman" w:cs="Times New Roman"/>
                <w:color w:val="auto"/>
                <w:sz w:val="24"/>
                <w:highlight w:val="none"/>
                <w:u w:val="none" w:color="auto"/>
                <w:lang w:val="en-US" w:eastAsia="zh-CN"/>
              </w:rPr>
              <w:t>本项目</w:t>
            </w:r>
            <w:r>
              <w:rPr>
                <w:rFonts w:hint="default" w:ascii="Times New Roman" w:hAnsi="Times New Roman" w:eastAsia="宋体" w:cs="Times New Roman"/>
                <w:b w:val="0"/>
                <w:bCs w:val="0"/>
                <w:color w:val="auto"/>
                <w:spacing w:val="0"/>
                <w:w w:val="100"/>
                <w:position w:val="0"/>
                <w:sz w:val="24"/>
                <w:szCs w:val="24"/>
                <w:highlight w:val="none"/>
                <w:u w:val="none" w:color="auto"/>
                <w:lang w:eastAsia="zh-CN"/>
              </w:rPr>
              <w:t>位于</w:t>
            </w:r>
            <w:r>
              <w:rPr>
                <w:rFonts w:hint="eastAsia"/>
                <w:color w:val="auto"/>
                <w:sz w:val="24"/>
                <w:szCs w:val="22"/>
                <w:u w:val="none" w:color="auto"/>
                <w:lang w:val="en-US" w:eastAsia="zh-CN"/>
              </w:rPr>
              <w:t>岳阳县新墙镇燎原村沙河片二组</w:t>
            </w:r>
            <w:r>
              <w:rPr>
                <w:rFonts w:hint="default" w:ascii="Times New Roman" w:hAnsi="Times New Roman" w:eastAsia="宋体" w:cs="Times New Roman"/>
                <w:b w:val="0"/>
                <w:bCs w:val="0"/>
                <w:color w:val="auto"/>
                <w:spacing w:val="0"/>
                <w:w w:val="100"/>
                <w:position w:val="0"/>
                <w:sz w:val="24"/>
                <w:szCs w:val="24"/>
                <w:highlight w:val="none"/>
                <w:u w:val="none" w:color="auto"/>
                <w:lang w:eastAsia="zh-CN"/>
              </w:rPr>
              <w:t>，</w:t>
            </w:r>
            <w:r>
              <w:rPr>
                <w:rFonts w:ascii="宋体" w:hAnsi="宋体" w:eastAsia="宋体" w:cs="宋体"/>
                <w:b w:val="0"/>
                <w:bCs w:val="0"/>
                <w:color w:val="auto"/>
                <w:sz w:val="24"/>
                <w:szCs w:val="24"/>
              </w:rPr>
              <w:t>用地位于城镇开发边界范围外，用地为现状</w:t>
            </w:r>
            <w:r>
              <w:rPr>
                <w:rFonts w:hint="eastAsia" w:ascii="宋体" w:hAnsi="宋体" w:eastAsia="宋体" w:cs="宋体"/>
                <w:b w:val="0"/>
                <w:bCs w:val="0"/>
                <w:color w:val="auto"/>
                <w:sz w:val="24"/>
                <w:szCs w:val="24"/>
                <w:lang w:val="en-US" w:eastAsia="zh-CN"/>
              </w:rPr>
              <w:t>为</w:t>
            </w:r>
            <w:r>
              <w:rPr>
                <w:rFonts w:ascii="宋体" w:hAnsi="宋体" w:eastAsia="宋体" w:cs="宋体"/>
                <w:b w:val="0"/>
                <w:bCs w:val="0"/>
                <w:color w:val="auto"/>
                <w:sz w:val="24"/>
                <w:szCs w:val="24"/>
              </w:rPr>
              <w:t>存量集体建设用地</w:t>
            </w:r>
            <w:r>
              <w:rPr>
                <w:rFonts w:hint="eastAsia" w:ascii="宋体" w:hAnsi="宋体" w:eastAsia="宋体" w:cs="宋体"/>
                <w:b w:val="0"/>
                <w:bCs w:val="0"/>
                <w:color w:val="auto"/>
                <w:sz w:val="24"/>
                <w:szCs w:val="24"/>
                <w:lang w:eastAsia="zh-CN"/>
              </w:rPr>
              <w:t>，</w:t>
            </w:r>
            <w:r>
              <w:rPr>
                <w:rFonts w:ascii="宋体" w:hAnsi="宋体" w:eastAsia="宋体" w:cs="宋体"/>
                <w:b w:val="0"/>
                <w:bCs w:val="0"/>
                <w:color w:val="auto"/>
                <w:sz w:val="24"/>
                <w:szCs w:val="24"/>
              </w:rPr>
              <w:t>依据《城镇开发边界管理办法（试行）》及湖南省城镇开发边界管控要求，城镇开发边界外</w:t>
            </w:r>
            <w:r>
              <w:rPr>
                <w:rStyle w:val="36"/>
                <w:rFonts w:ascii="宋体" w:hAnsi="宋体" w:eastAsia="宋体" w:cs="宋体"/>
                <w:b w:val="0"/>
                <w:bCs w:val="0"/>
                <w:color w:val="auto"/>
                <w:sz w:val="24"/>
                <w:szCs w:val="24"/>
              </w:rPr>
              <w:t>禁止开展城镇集中建设，禁止规划建设各类开发区、产业园区，禁止规划城镇商品住宅开发</w:t>
            </w:r>
            <w:r>
              <w:rPr>
                <w:rFonts w:ascii="宋体" w:hAnsi="宋体" w:eastAsia="宋体" w:cs="宋体"/>
                <w:b w:val="0"/>
                <w:bCs w:val="0"/>
                <w:color w:val="auto"/>
                <w:sz w:val="24"/>
                <w:szCs w:val="24"/>
              </w:rPr>
              <w:t>，</w:t>
            </w:r>
            <w:r>
              <w:rPr>
                <w:rFonts w:ascii="宋体" w:hAnsi="宋体" w:eastAsia="宋体" w:cs="宋体"/>
                <w:color w:val="auto"/>
                <w:sz w:val="24"/>
                <w:szCs w:val="24"/>
              </w:rPr>
              <w:t>项目不涉及开发区、产业园、商品住宅开发，不造成城镇无序向外扩张，</w:t>
            </w:r>
            <w:r>
              <w:rPr>
                <w:rFonts w:hint="eastAsia" w:ascii="宋体" w:hAnsi="宋体" w:eastAsia="宋体" w:cs="宋体"/>
                <w:color w:val="auto"/>
                <w:sz w:val="24"/>
                <w:szCs w:val="24"/>
                <w:lang w:val="en-US" w:eastAsia="zh-CN"/>
              </w:rPr>
              <w:t>因此</w:t>
            </w:r>
            <w:r>
              <w:rPr>
                <w:rFonts w:hint="eastAsia" w:cs="Times New Roman"/>
                <w:b w:val="0"/>
                <w:bCs w:val="0"/>
                <w:color w:val="auto"/>
                <w:spacing w:val="0"/>
                <w:w w:val="100"/>
                <w:position w:val="0"/>
                <w:sz w:val="24"/>
                <w:szCs w:val="24"/>
                <w:highlight w:val="none"/>
                <w:u w:val="none" w:color="auto"/>
                <w:lang w:val="en-US" w:eastAsia="zh-CN"/>
              </w:rPr>
              <w:t>与</w:t>
            </w:r>
            <w:r>
              <w:rPr>
                <w:rFonts w:hint="default" w:ascii="Times New Roman" w:hAnsi="Times New Roman" w:eastAsia="宋体" w:cs="Times New Roman"/>
                <w:b w:val="0"/>
                <w:bCs w:val="0"/>
                <w:color w:val="auto"/>
                <w:spacing w:val="0"/>
                <w:w w:val="100"/>
                <w:position w:val="0"/>
                <w:sz w:val="24"/>
                <w:szCs w:val="24"/>
                <w:highlight w:val="none"/>
                <w:u w:val="none" w:color="auto"/>
                <w:lang w:val="en-US" w:eastAsia="zh-CN"/>
              </w:rPr>
              <w:t>城镇开发边界的划定初衷与管理要求</w:t>
            </w:r>
            <w:r>
              <w:rPr>
                <w:rFonts w:hint="eastAsia" w:cs="Times New Roman"/>
                <w:b w:val="0"/>
                <w:bCs w:val="0"/>
                <w:color w:val="auto"/>
                <w:spacing w:val="0"/>
                <w:w w:val="100"/>
                <w:position w:val="0"/>
                <w:sz w:val="24"/>
                <w:szCs w:val="24"/>
                <w:highlight w:val="none"/>
                <w:u w:val="none" w:color="auto"/>
                <w:lang w:val="en-US" w:eastAsia="zh-CN"/>
              </w:rPr>
              <w:t>无</w:t>
            </w:r>
            <w:r>
              <w:rPr>
                <w:rFonts w:hint="default" w:ascii="Times New Roman" w:hAnsi="Times New Roman" w:eastAsia="宋体" w:cs="Times New Roman"/>
                <w:b w:val="0"/>
                <w:bCs w:val="0"/>
                <w:color w:val="auto"/>
                <w:spacing w:val="0"/>
                <w:w w:val="100"/>
                <w:position w:val="0"/>
                <w:sz w:val="24"/>
                <w:szCs w:val="24"/>
                <w:highlight w:val="none"/>
                <w:u w:val="none" w:color="auto"/>
                <w:lang w:val="en-US" w:eastAsia="zh-CN"/>
              </w:rPr>
              <w:t>冲突。</w:t>
            </w:r>
          </w:p>
          <w:p w14:paraId="05A85664">
            <w:pPr>
              <w:autoSpaceDE w:val="0"/>
              <w:autoSpaceDN w:val="0"/>
              <w:adjustRightInd w:val="0"/>
              <w:snapToGrid w:val="0"/>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②与生态保护红线及永久基本农田的关系</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无压覆，严守底线</w:t>
            </w:r>
          </w:p>
          <w:p w14:paraId="26324C49">
            <w:pPr>
              <w:autoSpaceDE w:val="0"/>
              <w:autoSpaceDN w:val="0"/>
              <w:adjustRightInd w:val="0"/>
              <w:snapToGrid w:val="0"/>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根据官方查询结果，本项目用地范围</w:t>
            </w:r>
            <w:r>
              <w:rPr>
                <w:rFonts w:hint="eastAsia" w:cs="Times New Roman"/>
                <w:color w:val="auto"/>
                <w:sz w:val="24"/>
                <w:highlight w:val="none"/>
                <w:lang w:val="en-US" w:eastAsia="zh-CN"/>
              </w:rPr>
              <w:t>未</w:t>
            </w:r>
            <w:r>
              <w:rPr>
                <w:rFonts w:hint="default" w:ascii="Times New Roman" w:hAnsi="Times New Roman" w:cs="Times New Roman"/>
                <w:color w:val="auto"/>
                <w:sz w:val="24"/>
                <w:highlight w:val="none"/>
              </w:rPr>
              <w:t>涉及生态保护红线和永久基本农田。项目建设与运营不会触碰这两条国家底线，符合最严格的国土空间保护政策。</w:t>
            </w:r>
          </w:p>
          <w:p w14:paraId="68A0855C">
            <w:pPr>
              <w:autoSpaceDE w:val="0"/>
              <w:autoSpaceDN w:val="0"/>
              <w:adjustRightInd w:val="0"/>
              <w:snapToGrid w:val="0"/>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）生态环境准入清单</w:t>
            </w:r>
          </w:p>
          <w:p w14:paraId="76D20911">
            <w:pPr>
              <w:autoSpaceDE w:val="0"/>
              <w:autoSpaceDN w:val="0"/>
              <w:adjustRightInd w:val="0"/>
              <w:snapToGrid w:val="0"/>
              <w:spacing w:line="360" w:lineRule="auto"/>
              <w:ind w:firstLine="480"/>
              <w:rPr>
                <w:rFonts w:hint="eastAsia" w:ascii="Times New Roman" w:hAnsi="Times New Roman" w:eastAsia="宋体" w:cs="Times New Roman"/>
                <w:color w:val="auto"/>
                <w:sz w:val="24"/>
                <w:highlight w:val="none"/>
                <w:lang w:eastAsia="zh-CN"/>
              </w:rPr>
            </w:pPr>
            <w:r>
              <w:rPr>
                <w:rFonts w:hint="eastAsia" w:ascii="Times New Roman" w:hAnsi="Times New Roman" w:cs="Times New Roman"/>
                <w:color w:val="auto"/>
                <w:sz w:val="24"/>
                <w:highlight w:val="none"/>
                <w:lang w:val="en-US" w:eastAsia="zh-CN"/>
              </w:rPr>
              <w:t>本项目位于岳阳县新墙镇燎原村沙河片二组。</w:t>
            </w:r>
            <w:r>
              <w:rPr>
                <w:rFonts w:hint="default" w:ascii="Times New Roman" w:hAnsi="Times New Roman" w:cs="Times New Roman"/>
                <w:color w:val="auto"/>
                <w:sz w:val="24"/>
                <w:highlight w:val="none"/>
              </w:rPr>
              <w:t>根据《岳阳市生态环境局关于发布岳阳市生态环境分区管控动态更新成果（2023年版）的通知》（岳环发〔2024〕14号）可知，新墙镇环境管控单元编码为ZH43062120003，属于重点管控单元，具体符合性分析详见下表</w:t>
            </w:r>
            <w:r>
              <w:rPr>
                <w:rFonts w:hint="eastAsia" w:cs="Times New Roman"/>
                <w:color w:val="auto"/>
                <w:sz w:val="24"/>
                <w:highlight w:val="none"/>
                <w:lang w:eastAsia="zh-CN"/>
              </w:rPr>
              <w:t>：</w:t>
            </w:r>
          </w:p>
          <w:p w14:paraId="10C8541A">
            <w:pPr>
              <w:spacing w:line="272" w:lineRule="auto"/>
              <w:jc w:val="center"/>
              <w:rPr>
                <w:rFonts w:hint="default" w:ascii="Times New Roman" w:hAnsi="Times New Roman" w:eastAsia="宋体" w:cs="Times New Roman"/>
                <w:b/>
                <w:color w:val="auto"/>
                <w:highlight w:val="none"/>
                <w:u w:val="none" w:color="auto"/>
              </w:rPr>
            </w:pPr>
            <w:r>
              <w:rPr>
                <w:rFonts w:hint="default" w:ascii="Times New Roman" w:hAnsi="Times New Roman" w:eastAsia="宋体" w:cs="Times New Roman"/>
                <w:b/>
                <w:color w:val="auto"/>
                <w:highlight w:val="none"/>
                <w:u w:val="none" w:color="auto"/>
              </w:rPr>
              <w:t>表</w:t>
            </w:r>
            <w:r>
              <w:rPr>
                <w:rFonts w:hint="default" w:ascii="Times New Roman" w:hAnsi="Times New Roman" w:eastAsia="宋体" w:cs="Times New Roman"/>
                <w:b/>
                <w:color w:val="auto"/>
                <w:highlight w:val="none"/>
                <w:u w:val="none" w:color="auto"/>
                <w:lang w:val="en-US" w:eastAsia="zh-CN"/>
              </w:rPr>
              <w:t>1-</w:t>
            </w:r>
            <w:r>
              <w:rPr>
                <w:rFonts w:hint="eastAsia" w:cs="Times New Roman"/>
                <w:b/>
                <w:color w:val="auto"/>
                <w:highlight w:val="none"/>
                <w:u w:val="none" w:color="auto"/>
                <w:lang w:val="en-US" w:eastAsia="zh-CN"/>
              </w:rPr>
              <w:t xml:space="preserve">2   </w:t>
            </w:r>
            <w:r>
              <w:rPr>
                <w:rFonts w:hint="default" w:ascii="Times New Roman" w:hAnsi="Times New Roman" w:eastAsia="宋体" w:cs="Times New Roman"/>
                <w:b/>
                <w:color w:val="auto"/>
                <w:highlight w:val="none"/>
                <w:u w:val="none" w:color="auto"/>
              </w:rPr>
              <w:t>与</w:t>
            </w:r>
            <w:r>
              <w:rPr>
                <w:rFonts w:hint="eastAsia" w:ascii="Times New Roman" w:hAnsi="Times New Roman" w:eastAsia="宋体" w:cs="Times New Roman"/>
                <w:b/>
                <w:color w:val="auto"/>
                <w:highlight w:val="none"/>
                <w:u w:val="none" w:color="auto"/>
                <w:lang w:eastAsia="zh-CN"/>
              </w:rPr>
              <w:t>（</w:t>
            </w:r>
            <w:r>
              <w:rPr>
                <w:rFonts w:hint="eastAsia" w:ascii="Times New Roman" w:hAnsi="Times New Roman" w:eastAsia="宋体" w:cs="Times New Roman"/>
                <w:b/>
                <w:color w:val="auto"/>
                <w:highlight w:val="none"/>
                <w:u w:val="none" w:color="auto"/>
                <w:lang w:val="en-US" w:eastAsia="zh-CN"/>
              </w:rPr>
              <w:t>岳环发〔2024〕14号</w:t>
            </w:r>
            <w:r>
              <w:rPr>
                <w:rFonts w:hint="eastAsia" w:ascii="Times New Roman" w:hAnsi="Times New Roman" w:eastAsia="宋体" w:cs="Times New Roman"/>
                <w:b/>
                <w:color w:val="auto"/>
                <w:highlight w:val="none"/>
                <w:u w:val="none" w:color="auto"/>
                <w:lang w:eastAsia="zh-CN"/>
              </w:rPr>
              <w:t>）</w:t>
            </w:r>
            <w:r>
              <w:rPr>
                <w:rFonts w:hint="default" w:ascii="Times New Roman" w:hAnsi="Times New Roman" w:eastAsia="宋体" w:cs="Times New Roman"/>
                <w:b/>
                <w:color w:val="auto"/>
                <w:highlight w:val="none"/>
                <w:u w:val="none" w:color="auto"/>
              </w:rPr>
              <w:t>符合性分析</w:t>
            </w:r>
          </w:p>
          <w:tbl>
            <w:tblPr>
              <w:tblStyle w:val="33"/>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1078"/>
              <w:gridCol w:w="685"/>
              <w:gridCol w:w="1004"/>
              <w:gridCol w:w="1879"/>
              <w:gridCol w:w="963"/>
            </w:tblGrid>
            <w:tr w14:paraId="7BE85A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7" w:type="pct"/>
                  <w:tcBorders>
                    <w:tl2br w:val="nil"/>
                    <w:tr2bl w:val="nil"/>
                  </w:tcBorders>
                  <w:noWrap w:val="0"/>
                  <w:vAlign w:val="center"/>
                </w:tcPr>
                <w:p w14:paraId="7AA3F25E">
                  <w:pPr>
                    <w:widowControl/>
                    <w:jc w:val="center"/>
                    <w:rPr>
                      <w:rFonts w:hint="default"/>
                      <w:b/>
                      <w:bCs/>
                      <w:color w:val="auto"/>
                      <w:highlight w:val="none"/>
                      <w:u w:val="none" w:color="auto"/>
                    </w:rPr>
                  </w:pPr>
                  <w:r>
                    <w:rPr>
                      <w:b/>
                      <w:color w:val="auto"/>
                      <w:kern w:val="0"/>
                      <w:szCs w:val="21"/>
                      <w:highlight w:val="none"/>
                      <w:u w:val="none" w:color="auto"/>
                    </w:rPr>
                    <w:t>环境管控单元编码</w:t>
                  </w:r>
                </w:p>
              </w:tc>
              <w:tc>
                <w:tcPr>
                  <w:tcW w:w="798" w:type="pct"/>
                  <w:tcBorders>
                    <w:tl2br w:val="nil"/>
                    <w:tr2bl w:val="nil"/>
                  </w:tcBorders>
                  <w:noWrap w:val="0"/>
                  <w:vAlign w:val="center"/>
                </w:tcPr>
                <w:p w14:paraId="193011C4">
                  <w:pPr>
                    <w:widowControl/>
                    <w:jc w:val="center"/>
                    <w:rPr>
                      <w:rFonts w:hint="default"/>
                      <w:b/>
                      <w:bCs/>
                      <w:color w:val="auto"/>
                      <w:highlight w:val="none"/>
                      <w:u w:val="none" w:color="auto"/>
                    </w:rPr>
                  </w:pPr>
                  <w:r>
                    <w:rPr>
                      <w:b/>
                      <w:color w:val="auto"/>
                      <w:kern w:val="0"/>
                      <w:szCs w:val="21"/>
                      <w:highlight w:val="none"/>
                      <w:u w:val="none" w:color="auto"/>
                    </w:rPr>
                    <w:t>单元名称</w:t>
                  </w:r>
                </w:p>
              </w:tc>
              <w:tc>
                <w:tcPr>
                  <w:tcW w:w="507" w:type="pct"/>
                  <w:tcBorders>
                    <w:tl2br w:val="nil"/>
                    <w:tr2bl w:val="nil"/>
                  </w:tcBorders>
                  <w:noWrap w:val="0"/>
                  <w:vAlign w:val="center"/>
                </w:tcPr>
                <w:p w14:paraId="590CDC94">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eastAsia" w:eastAsia="宋体"/>
                      <w:b/>
                      <w:bCs/>
                      <w:color w:val="auto"/>
                      <w:highlight w:val="none"/>
                      <w:u w:val="none" w:color="auto"/>
                      <w:lang w:eastAsia="zh-CN"/>
                    </w:rPr>
                  </w:pPr>
                  <w:r>
                    <w:rPr>
                      <w:b/>
                      <w:color w:val="auto"/>
                      <w:kern w:val="0"/>
                      <w:szCs w:val="21"/>
                      <w:highlight w:val="none"/>
                      <w:u w:val="none" w:color="auto"/>
                    </w:rPr>
                    <w:t>单元</w:t>
                  </w:r>
                  <w:r>
                    <w:rPr>
                      <w:rFonts w:hint="eastAsia"/>
                      <w:b/>
                      <w:color w:val="auto"/>
                      <w:kern w:val="0"/>
                      <w:szCs w:val="21"/>
                      <w:highlight w:val="none"/>
                      <w:u w:val="none" w:color="auto"/>
                      <w:lang w:val="en-US" w:eastAsia="zh-CN"/>
                    </w:rPr>
                    <w:t>分类</w:t>
                  </w:r>
                </w:p>
              </w:tc>
              <w:tc>
                <w:tcPr>
                  <w:tcW w:w="743" w:type="pct"/>
                  <w:tcBorders>
                    <w:tl2br w:val="nil"/>
                    <w:tr2bl w:val="nil"/>
                  </w:tcBorders>
                  <w:noWrap w:val="0"/>
                  <w:vAlign w:val="center"/>
                </w:tcPr>
                <w:p w14:paraId="4F6E6506">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cs="Times New Roman"/>
                      <w:b/>
                      <w:bCs/>
                      <w:color w:val="auto"/>
                      <w:sz w:val="21"/>
                      <w:szCs w:val="21"/>
                      <w:highlight w:val="none"/>
                      <w:u w:val="none" w:color="auto"/>
                      <w:lang w:val="en-US" w:eastAsia="zh-CN"/>
                    </w:rPr>
                  </w:pPr>
                  <w:r>
                    <w:rPr>
                      <w:b/>
                      <w:color w:val="auto"/>
                      <w:kern w:val="0"/>
                      <w:szCs w:val="21"/>
                      <w:highlight w:val="none"/>
                      <w:u w:val="none" w:color="auto"/>
                    </w:rPr>
                    <w:t>主体功能定位</w:t>
                  </w:r>
                </w:p>
              </w:tc>
              <w:tc>
                <w:tcPr>
                  <w:tcW w:w="2103" w:type="pct"/>
                  <w:gridSpan w:val="2"/>
                  <w:tcBorders>
                    <w:tl2br w:val="nil"/>
                    <w:tr2bl w:val="nil"/>
                  </w:tcBorders>
                  <w:noWrap w:val="0"/>
                  <w:vAlign w:val="center"/>
                </w:tcPr>
                <w:p w14:paraId="4583CAD1">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eastAsia" w:ascii="Times New Roman" w:hAnsi="Times New Roman" w:cs="Times New Roman"/>
                      <w:b/>
                      <w:bCs/>
                      <w:color w:val="auto"/>
                      <w:sz w:val="21"/>
                      <w:szCs w:val="21"/>
                      <w:highlight w:val="none"/>
                      <w:u w:val="none" w:color="auto"/>
                      <w:lang w:val="en-US" w:eastAsia="zh-CN"/>
                    </w:rPr>
                  </w:pPr>
                  <w:r>
                    <w:rPr>
                      <w:b/>
                      <w:color w:val="auto"/>
                      <w:kern w:val="0"/>
                      <w:szCs w:val="21"/>
                      <w:highlight w:val="none"/>
                      <w:u w:val="none" w:color="auto"/>
                    </w:rPr>
                    <w:t>经济产业布局</w:t>
                  </w:r>
                </w:p>
              </w:tc>
            </w:tr>
            <w:tr w14:paraId="4EE86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7" w:type="pct"/>
                  <w:tcBorders>
                    <w:tl2br w:val="nil"/>
                    <w:tr2bl w:val="nil"/>
                  </w:tcBorders>
                  <w:noWrap w:val="0"/>
                  <w:vAlign w:val="center"/>
                </w:tcPr>
                <w:p w14:paraId="2B0CF660">
                  <w:pPr>
                    <w:widowControl/>
                    <w:jc w:val="center"/>
                    <w:rPr>
                      <w:rFonts w:hint="default"/>
                      <w:b/>
                      <w:bCs/>
                      <w:color w:val="auto"/>
                      <w:highlight w:val="none"/>
                      <w:u w:val="none" w:color="auto"/>
                    </w:rPr>
                  </w:pPr>
                  <w:r>
                    <w:rPr>
                      <w:rFonts w:ascii="Times New Roman" w:hAnsi="Times New Roman" w:eastAsia="宋体" w:cs="Times New Roman"/>
                      <w:color w:val="auto"/>
                      <w:szCs w:val="21"/>
                      <w:highlight w:val="none"/>
                      <w:u w:val="none" w:color="auto"/>
                    </w:rPr>
                    <w:t>ZH43062120003</w:t>
                  </w:r>
                </w:p>
              </w:tc>
              <w:tc>
                <w:tcPr>
                  <w:tcW w:w="798" w:type="pct"/>
                  <w:tcBorders>
                    <w:tl2br w:val="nil"/>
                    <w:tr2bl w:val="nil"/>
                  </w:tcBorders>
                  <w:noWrap w:val="0"/>
                  <w:vAlign w:val="center"/>
                </w:tcPr>
                <w:p w14:paraId="62B2EC90">
                  <w:pPr>
                    <w:widowControl/>
                    <w:jc w:val="center"/>
                    <w:rPr>
                      <w:rFonts w:hint="default" w:eastAsia="宋体"/>
                      <w:b/>
                      <w:bCs/>
                      <w:color w:val="auto"/>
                      <w:highlight w:val="none"/>
                      <w:u w:val="none" w:color="auto"/>
                      <w:lang w:val="en-US" w:eastAsia="zh-CN"/>
                    </w:rPr>
                  </w:pPr>
                  <w:r>
                    <w:rPr>
                      <w:rFonts w:ascii="Times New Roman" w:hAnsi="Times New Roman" w:eastAsia="宋体" w:cs="Times New Roman"/>
                      <w:color w:val="auto"/>
                      <w:szCs w:val="21"/>
                      <w:highlight w:val="none"/>
                      <w:u w:val="none" w:color="auto"/>
                    </w:rPr>
                    <w:t>黄沙街镇/荣家湾镇/新开镇/</w:t>
                  </w:r>
                  <w:r>
                    <w:rPr>
                      <w:rFonts w:ascii="Times New Roman" w:hAnsi="Times New Roman" w:eastAsia="宋体" w:cs="Times New Roman"/>
                      <w:b/>
                      <w:bCs/>
                      <w:color w:val="auto"/>
                      <w:szCs w:val="21"/>
                      <w:highlight w:val="none"/>
                      <w:u w:val="none" w:color="auto"/>
                    </w:rPr>
                    <w:t>新墙镇</w:t>
                  </w:r>
                </w:p>
              </w:tc>
              <w:tc>
                <w:tcPr>
                  <w:tcW w:w="507" w:type="pct"/>
                  <w:tcBorders>
                    <w:tl2br w:val="nil"/>
                    <w:tr2bl w:val="nil"/>
                  </w:tcBorders>
                  <w:noWrap w:val="0"/>
                  <w:vAlign w:val="center"/>
                </w:tcPr>
                <w:p w14:paraId="56113CFA">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b/>
                      <w:bCs/>
                      <w:color w:val="auto"/>
                      <w:highlight w:val="none"/>
                      <w:u w:val="none" w:color="auto"/>
                    </w:rPr>
                  </w:pPr>
                  <w:r>
                    <w:rPr>
                      <w:rFonts w:ascii="Times New Roman" w:hAnsi="Times New Roman" w:eastAsia="宋体" w:cs="Times New Roman"/>
                      <w:color w:val="auto"/>
                      <w:szCs w:val="21"/>
                      <w:highlight w:val="none"/>
                      <w:u w:val="none" w:color="auto"/>
                    </w:rPr>
                    <w:t>重点管控单元</w:t>
                  </w:r>
                </w:p>
              </w:tc>
              <w:tc>
                <w:tcPr>
                  <w:tcW w:w="743" w:type="pct"/>
                  <w:tcBorders>
                    <w:tl2br w:val="nil"/>
                    <w:tr2bl w:val="nil"/>
                  </w:tcBorders>
                  <w:noWrap w:val="0"/>
                  <w:vAlign w:val="center"/>
                </w:tcPr>
                <w:p w14:paraId="384ACDB4">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cs="Times New Roman"/>
                      <w:b/>
                      <w:bCs/>
                      <w:color w:val="auto"/>
                      <w:sz w:val="21"/>
                      <w:szCs w:val="21"/>
                      <w:highlight w:val="none"/>
                      <w:u w:val="none" w:color="auto"/>
                      <w:lang w:val="en-US" w:eastAsia="zh-CN"/>
                    </w:rPr>
                  </w:pPr>
                  <w:r>
                    <w:rPr>
                      <w:rFonts w:ascii="Times New Roman" w:hAnsi="Times New Roman" w:eastAsia="宋体" w:cs="Times New Roman"/>
                      <w:color w:val="auto"/>
                      <w:szCs w:val="21"/>
                      <w:highlight w:val="none"/>
                      <w:u w:val="none" w:color="auto"/>
                    </w:rPr>
                    <w:t>城市化地区</w:t>
                  </w:r>
                </w:p>
              </w:tc>
              <w:tc>
                <w:tcPr>
                  <w:tcW w:w="2103" w:type="pct"/>
                  <w:gridSpan w:val="2"/>
                  <w:tcBorders>
                    <w:tl2br w:val="nil"/>
                    <w:tr2bl w:val="nil"/>
                  </w:tcBorders>
                  <w:noWrap w:val="0"/>
                  <w:vAlign w:val="center"/>
                </w:tcPr>
                <w:p w14:paraId="784D3AA3">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eastAsia" w:ascii="Times New Roman" w:hAnsi="Times New Roman" w:cs="Times New Roman"/>
                      <w:b/>
                      <w:bCs/>
                      <w:color w:val="auto"/>
                      <w:sz w:val="21"/>
                      <w:szCs w:val="21"/>
                      <w:highlight w:val="none"/>
                      <w:u w:val="none" w:color="auto"/>
                      <w:lang w:val="en-US" w:eastAsia="zh-CN"/>
                    </w:rPr>
                  </w:pPr>
                  <w:r>
                    <w:rPr>
                      <w:rFonts w:ascii="Times New Roman" w:hAnsi="Times New Roman" w:eastAsia="宋体" w:cs="Times New Roman"/>
                      <w:color w:val="auto"/>
                      <w:szCs w:val="21"/>
                      <w:highlight w:val="none"/>
                      <w:u w:val="none" w:color="auto"/>
                    </w:rPr>
                    <w:t>新墙镇：城郊服务型，重点发展特色农业种植、建材加工、工业陶瓷、商贸物流。</w:t>
                  </w:r>
                </w:p>
              </w:tc>
            </w:tr>
            <w:tr w14:paraId="46536B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7" w:type="pct"/>
                  <w:tcBorders>
                    <w:tl2br w:val="nil"/>
                    <w:tr2bl w:val="nil"/>
                  </w:tcBorders>
                  <w:noWrap w:val="0"/>
                  <w:vAlign w:val="center"/>
                </w:tcPr>
                <w:p w14:paraId="57B5E279">
                  <w:pPr>
                    <w:widowControl/>
                    <w:jc w:val="center"/>
                    <w:rPr>
                      <w:color w:val="auto"/>
                      <w:kern w:val="0"/>
                      <w:szCs w:val="21"/>
                      <w:highlight w:val="none"/>
                      <w:u w:val="none" w:color="auto"/>
                    </w:rPr>
                  </w:pPr>
                  <w:r>
                    <w:rPr>
                      <w:b/>
                      <w:color w:val="auto"/>
                      <w:szCs w:val="21"/>
                      <w:highlight w:val="none"/>
                      <w:u w:val="none" w:color="auto"/>
                    </w:rPr>
                    <w:t>管控维度</w:t>
                  </w:r>
                </w:p>
              </w:tc>
              <w:tc>
                <w:tcPr>
                  <w:tcW w:w="2048" w:type="pct"/>
                  <w:gridSpan w:val="3"/>
                  <w:tcBorders>
                    <w:tl2br w:val="nil"/>
                    <w:tr2bl w:val="nil"/>
                  </w:tcBorders>
                  <w:noWrap w:val="0"/>
                  <w:vAlign w:val="center"/>
                </w:tcPr>
                <w:p w14:paraId="61E60983">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eastAsia"/>
                      <w:color w:val="auto"/>
                      <w:kern w:val="0"/>
                      <w:szCs w:val="21"/>
                      <w:highlight w:val="none"/>
                      <w:u w:val="none" w:color="auto"/>
                    </w:rPr>
                  </w:pPr>
                  <w:r>
                    <w:rPr>
                      <w:b/>
                      <w:color w:val="auto"/>
                      <w:kern w:val="0"/>
                      <w:szCs w:val="21"/>
                      <w:highlight w:val="none"/>
                      <w:u w:val="none" w:color="auto"/>
                    </w:rPr>
                    <w:t>管控要求</w:t>
                  </w:r>
                </w:p>
              </w:tc>
              <w:tc>
                <w:tcPr>
                  <w:tcW w:w="1391" w:type="pct"/>
                  <w:tcBorders>
                    <w:tl2br w:val="nil"/>
                    <w:tr2bl w:val="nil"/>
                  </w:tcBorders>
                  <w:noWrap w:val="0"/>
                  <w:vAlign w:val="center"/>
                </w:tcPr>
                <w:p w14:paraId="0BE1E6F8">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eastAsia="宋体"/>
                      <w:b/>
                      <w:bCs/>
                      <w:color w:val="auto"/>
                      <w:kern w:val="0"/>
                      <w:szCs w:val="21"/>
                      <w:highlight w:val="none"/>
                      <w:u w:val="none" w:color="auto"/>
                      <w:lang w:val="en-US" w:eastAsia="zh-CN"/>
                    </w:rPr>
                  </w:pPr>
                  <w:r>
                    <w:rPr>
                      <w:rFonts w:hint="eastAsia"/>
                      <w:b/>
                      <w:bCs/>
                      <w:color w:val="auto"/>
                      <w:kern w:val="0"/>
                      <w:szCs w:val="21"/>
                      <w:highlight w:val="none"/>
                      <w:u w:val="none" w:color="auto"/>
                      <w:lang w:val="en-US" w:eastAsia="zh-CN"/>
                    </w:rPr>
                    <w:t>本项目情况</w:t>
                  </w:r>
                </w:p>
              </w:tc>
              <w:tc>
                <w:tcPr>
                  <w:tcW w:w="712" w:type="pct"/>
                  <w:tcBorders>
                    <w:tl2br w:val="nil"/>
                    <w:tr2bl w:val="nil"/>
                  </w:tcBorders>
                  <w:noWrap w:val="0"/>
                  <w:vAlign w:val="center"/>
                </w:tcPr>
                <w:p w14:paraId="20FA70D7">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eastAsia="宋体" w:cs="Times New Roman"/>
                      <w:b/>
                      <w:bCs/>
                      <w:color w:val="auto"/>
                      <w:highlight w:val="none"/>
                      <w:u w:val="none" w:color="auto"/>
                      <w:lang w:val="en-US" w:eastAsia="zh-CN"/>
                    </w:rPr>
                  </w:pPr>
                  <w:r>
                    <w:rPr>
                      <w:rFonts w:hint="eastAsia" w:ascii="Times New Roman" w:hAnsi="Times New Roman" w:eastAsia="宋体" w:cs="Times New Roman"/>
                      <w:b/>
                      <w:bCs/>
                      <w:color w:val="auto"/>
                      <w:highlight w:val="none"/>
                      <w:u w:val="none" w:color="auto"/>
                      <w:lang w:val="en-US" w:eastAsia="zh-CN"/>
                    </w:rPr>
                    <w:t>相符性</w:t>
                  </w:r>
                </w:p>
              </w:tc>
            </w:tr>
            <w:tr w14:paraId="6D252D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7" w:type="pct"/>
                  <w:tcBorders>
                    <w:tl2br w:val="nil"/>
                    <w:tr2bl w:val="nil"/>
                  </w:tcBorders>
                  <w:noWrap w:val="0"/>
                  <w:vAlign w:val="center"/>
                </w:tcPr>
                <w:p w14:paraId="0661F449">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color w:val="auto"/>
                      <w:highlight w:val="none"/>
                      <w:u w:val="none" w:color="auto"/>
                    </w:rPr>
                  </w:pPr>
                  <w:r>
                    <w:rPr>
                      <w:rFonts w:hint="default"/>
                      <w:color w:val="auto"/>
                      <w:highlight w:val="none"/>
                      <w:u w:val="none" w:color="auto"/>
                    </w:rPr>
                    <w:t>空间布局</w:t>
                  </w:r>
                </w:p>
                <w:p w14:paraId="193C18D8">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color w:val="auto"/>
                      <w:highlight w:val="none"/>
                      <w:u w:val="none" w:color="auto"/>
                    </w:rPr>
                  </w:pPr>
                  <w:r>
                    <w:rPr>
                      <w:rFonts w:hint="default"/>
                      <w:color w:val="auto"/>
                      <w:highlight w:val="none"/>
                      <w:u w:val="none" w:color="auto"/>
                    </w:rPr>
                    <w:t>约束</w:t>
                  </w:r>
                </w:p>
              </w:tc>
              <w:tc>
                <w:tcPr>
                  <w:tcW w:w="2048" w:type="pct"/>
                  <w:gridSpan w:val="3"/>
                  <w:tcBorders>
                    <w:tl2br w:val="nil"/>
                    <w:tr2bl w:val="nil"/>
                  </w:tcBorders>
                  <w:noWrap w:val="0"/>
                  <w:vAlign w:val="center"/>
                </w:tcPr>
                <w:p w14:paraId="0972502E">
                  <w:pPr>
                    <w:autoSpaceDE w:val="0"/>
                    <w:autoSpaceDN w:val="0"/>
                    <w:adjustRightInd w:val="0"/>
                    <w:snapToGrid w:val="0"/>
                    <w:rPr>
                      <w:rFonts w:ascii="Times New Roman" w:hAnsi="Times New Roman" w:eastAsia="宋体" w:cs="Times New Roman"/>
                      <w:color w:val="auto"/>
                      <w:szCs w:val="21"/>
                      <w:highlight w:val="none"/>
                      <w:u w:val="none" w:color="auto"/>
                    </w:rPr>
                  </w:pPr>
                  <w:r>
                    <w:rPr>
                      <w:rFonts w:ascii="Times New Roman" w:hAnsi="Times New Roman" w:eastAsia="宋体" w:cs="Times New Roman"/>
                      <w:color w:val="auto"/>
                      <w:szCs w:val="21"/>
                      <w:highlight w:val="none"/>
                      <w:u w:val="none" w:color="auto"/>
                    </w:rPr>
                    <w:t>（1.1）全面规范河流、湖泊、水库等天然水域的水产养殖行为，禁止天然水域投肥投饵养殖。禁止周边生活污水及畜禽粪直接排入水库，全面加强对人工水产养殖尾水排放的管控。岳阳县重点湖泊禁止网箱、网围、网栏等人工养殖。</w:t>
                  </w:r>
                </w:p>
                <w:p w14:paraId="5763C0DF">
                  <w:pPr>
                    <w:autoSpaceDE w:val="0"/>
                    <w:autoSpaceDN w:val="0"/>
                    <w:adjustRightInd w:val="0"/>
                    <w:snapToGrid w:val="0"/>
                    <w:rPr>
                      <w:rFonts w:ascii="Times New Roman" w:hAnsi="Times New Roman" w:eastAsia="宋体" w:cs="Times New Roman"/>
                      <w:color w:val="auto"/>
                      <w:szCs w:val="21"/>
                      <w:highlight w:val="none"/>
                      <w:u w:val="none" w:color="auto"/>
                    </w:rPr>
                  </w:pPr>
                  <w:r>
                    <w:rPr>
                      <w:rFonts w:ascii="Times New Roman" w:hAnsi="Times New Roman" w:eastAsia="宋体" w:cs="Times New Roman"/>
                      <w:color w:val="auto"/>
                      <w:szCs w:val="21"/>
                      <w:highlight w:val="none"/>
                      <w:u w:val="none" w:color="auto"/>
                    </w:rPr>
                    <w:t>（1.2）黄沙街镇、新墙镇围绕特色农产品的优势区建设，加强地方特色种质资源保护与利用，发展壮大葡萄、茶叶等特色优势产业。新墙镇、新开镇注重发展物流和机械加工。新开镇配套发展建材加工，禁止引入以废气排放量大的企业。推进辖区加工企业聚集发展，提高产业集约化、绿色化发展水平。限制布局废水量大、耗水量大的工业企业。</w:t>
                  </w:r>
                </w:p>
                <w:p w14:paraId="48562A01">
                  <w:pPr>
                    <w:autoSpaceDE w:val="0"/>
                    <w:autoSpaceDN w:val="0"/>
                    <w:adjustRightInd w:val="0"/>
                    <w:snapToGrid w:val="0"/>
                    <w:rPr>
                      <w:rFonts w:ascii="Times New Roman" w:hAnsi="Times New Roman" w:eastAsia="宋体" w:cs="Times New Roman"/>
                      <w:color w:val="auto"/>
                      <w:szCs w:val="21"/>
                      <w:highlight w:val="none"/>
                      <w:u w:val="none" w:color="auto"/>
                    </w:rPr>
                  </w:pPr>
                  <w:r>
                    <w:rPr>
                      <w:rFonts w:ascii="Times New Roman" w:hAnsi="Times New Roman" w:eastAsia="宋体" w:cs="Times New Roman"/>
                      <w:color w:val="auto"/>
                      <w:szCs w:val="21"/>
                      <w:highlight w:val="none"/>
                      <w:u w:val="none" w:color="auto"/>
                    </w:rPr>
                    <w:t>（1.3）畜禽养殖按照《湖南省畜禽规模养殖污染防治规定》相关内容实施，禁养区内畜禽养殖场立即关停退养，禁养区外沿江、河、湖、库、排（干）渠岸线500米内实施限养管理，禁止新增养殖场和扩大养殖规模，引导现有养殖场逐步退出。</w:t>
                  </w:r>
                </w:p>
                <w:p w14:paraId="15A8DE98">
                  <w:pPr>
                    <w:autoSpaceDE w:val="0"/>
                    <w:autoSpaceDN w:val="0"/>
                    <w:adjustRightInd w:val="0"/>
                    <w:snapToGrid w:val="0"/>
                    <w:rPr>
                      <w:rFonts w:hint="default" w:ascii="Times New Roman" w:hAnsi="Times New Roman" w:eastAsia="宋体" w:cs="Times New Roman"/>
                      <w:color w:val="auto"/>
                      <w:szCs w:val="21"/>
                      <w:highlight w:val="none"/>
                      <w:u w:val="none" w:color="auto"/>
                    </w:rPr>
                  </w:pPr>
                  <w:r>
                    <w:rPr>
                      <w:rFonts w:hint="eastAsia" w:ascii="Times New Roman" w:hAnsi="Times New Roman" w:eastAsia="宋体" w:cs="Times New Roman"/>
                      <w:color w:val="auto"/>
                      <w:szCs w:val="21"/>
                      <w:highlight w:val="none"/>
                      <w:u w:val="none" w:color="auto"/>
                      <w:lang w:val="en-US" w:eastAsia="zh-CN"/>
                    </w:rPr>
                    <w:t>（</w:t>
                  </w:r>
                  <w:r>
                    <w:rPr>
                      <w:rFonts w:hint="default" w:ascii="Times New Roman" w:hAnsi="Times New Roman" w:eastAsia="宋体" w:cs="Times New Roman"/>
                      <w:color w:val="auto"/>
                      <w:szCs w:val="21"/>
                      <w:highlight w:val="none"/>
                      <w:u w:val="none" w:color="auto"/>
                      <w:lang w:val="en-US" w:eastAsia="zh-CN"/>
                    </w:rPr>
                    <w:t>1.4</w:t>
                  </w:r>
                  <w:r>
                    <w:rPr>
                      <w:rFonts w:hint="eastAsia" w:ascii="Times New Roman" w:hAnsi="Times New Roman" w:eastAsia="宋体" w:cs="Times New Roman"/>
                      <w:color w:val="auto"/>
                      <w:szCs w:val="21"/>
                      <w:highlight w:val="none"/>
                      <w:u w:val="none" w:color="auto"/>
                      <w:lang w:val="en-US" w:eastAsia="zh-CN"/>
                    </w:rPr>
                    <w:t>）推进矿山植被生态恢复，矿山建设应落实《湖南省绿色矿山管理办法》要求。</w:t>
                  </w:r>
                </w:p>
              </w:tc>
              <w:tc>
                <w:tcPr>
                  <w:tcW w:w="1391" w:type="pct"/>
                  <w:tcBorders>
                    <w:tl2br w:val="nil"/>
                    <w:tr2bl w:val="nil"/>
                  </w:tcBorders>
                  <w:noWrap w:val="0"/>
                  <w:vAlign w:val="center"/>
                </w:tcPr>
                <w:p w14:paraId="261254FB">
                  <w:pPr>
                    <w:autoSpaceDE w:val="0"/>
                    <w:autoSpaceDN w:val="0"/>
                    <w:adjustRightInd w:val="0"/>
                    <w:snapToGrid w:val="0"/>
                    <w:rPr>
                      <w:rFonts w:hint="eastAsia" w:ascii="Times New Roman" w:hAnsi="Times New Roman" w:eastAsia="宋体" w:cs="Times New Roman"/>
                      <w:color w:val="auto"/>
                      <w:szCs w:val="21"/>
                      <w:highlight w:val="none"/>
                      <w:u w:val="none" w:color="auto"/>
                      <w:lang w:eastAsia="zh-CN"/>
                    </w:rPr>
                  </w:pPr>
                  <w:r>
                    <w:rPr>
                      <w:rFonts w:hint="eastAsia" w:ascii="Times New Roman" w:hAnsi="Times New Roman" w:eastAsia="宋体" w:cs="Times New Roman"/>
                      <w:color w:val="auto"/>
                      <w:szCs w:val="21"/>
                      <w:highlight w:val="none"/>
                      <w:u w:val="none" w:color="auto"/>
                      <w:lang w:val="en-US" w:eastAsia="zh-CN"/>
                    </w:rPr>
                    <w:t>（1.1）本项目为</w:t>
                  </w:r>
                  <w:r>
                    <w:rPr>
                      <w:rFonts w:hint="default" w:ascii="Times New Roman" w:hAnsi="Times New Roman" w:eastAsia="宋体" w:cs="Times New Roman"/>
                      <w:color w:val="auto"/>
                      <w:szCs w:val="21"/>
                      <w:highlight w:val="none"/>
                      <w:u w:val="none" w:color="auto"/>
                      <w:lang w:val="en-US" w:eastAsia="zh-CN"/>
                    </w:rPr>
                    <w:t>C4210金属废料和碎屑加工处理</w:t>
                  </w:r>
                  <w:r>
                    <w:rPr>
                      <w:rFonts w:hint="eastAsia" w:ascii="Times New Roman" w:hAnsi="Times New Roman" w:eastAsia="宋体" w:cs="Times New Roman"/>
                      <w:color w:val="auto"/>
                      <w:szCs w:val="21"/>
                      <w:highlight w:val="none"/>
                      <w:u w:val="none" w:color="auto"/>
                      <w:lang w:val="en-US" w:eastAsia="zh-CN"/>
                    </w:rPr>
                    <w:t>，不涉及水产养殖行为；</w:t>
                  </w:r>
                </w:p>
                <w:p w14:paraId="6DE313BB">
                  <w:pPr>
                    <w:autoSpaceDE w:val="0"/>
                    <w:autoSpaceDN w:val="0"/>
                    <w:adjustRightInd w:val="0"/>
                    <w:snapToGrid w:val="0"/>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eastAsia="宋体" w:cs="Times New Roman"/>
                      <w:color w:val="auto"/>
                      <w:szCs w:val="21"/>
                      <w:highlight w:val="none"/>
                      <w:u w:val="none" w:color="auto"/>
                      <w:lang w:eastAsia="zh-CN"/>
                    </w:rPr>
                    <w:t>（</w:t>
                  </w:r>
                  <w:r>
                    <w:rPr>
                      <w:rFonts w:hint="eastAsia" w:ascii="Times New Roman" w:hAnsi="Times New Roman" w:eastAsia="宋体" w:cs="Times New Roman"/>
                      <w:color w:val="auto"/>
                      <w:szCs w:val="21"/>
                      <w:highlight w:val="none"/>
                      <w:u w:val="none" w:color="auto"/>
                      <w:lang w:val="en-US" w:eastAsia="zh-CN"/>
                    </w:rPr>
                    <w:t>1.2</w:t>
                  </w:r>
                  <w:r>
                    <w:rPr>
                      <w:rFonts w:hint="eastAsia" w:ascii="Times New Roman" w:hAnsi="Times New Roman" w:eastAsia="宋体" w:cs="Times New Roman"/>
                      <w:color w:val="auto"/>
                      <w:szCs w:val="21"/>
                      <w:highlight w:val="none"/>
                      <w:u w:val="none" w:color="auto"/>
                      <w:lang w:eastAsia="zh-CN"/>
                    </w:rPr>
                    <w:t>）</w:t>
                  </w:r>
                  <w:r>
                    <w:rPr>
                      <w:rFonts w:hint="eastAsia" w:ascii="Times New Roman" w:hAnsi="Times New Roman" w:eastAsia="宋体" w:cs="Times New Roman"/>
                      <w:color w:val="auto"/>
                      <w:szCs w:val="21"/>
                      <w:highlight w:val="none"/>
                      <w:u w:val="none" w:color="auto"/>
                      <w:lang w:val="en-US" w:eastAsia="zh-CN"/>
                    </w:rPr>
                    <w:t>本项目不属于</w:t>
                  </w:r>
                  <w:r>
                    <w:rPr>
                      <w:rFonts w:hint="eastAsia" w:cs="Times New Roman"/>
                      <w:color w:val="auto"/>
                      <w:szCs w:val="21"/>
                      <w:highlight w:val="none"/>
                      <w:u w:val="none" w:color="auto"/>
                      <w:lang w:val="en-US" w:eastAsia="zh-CN"/>
                    </w:rPr>
                    <w:t>废气、</w:t>
                  </w:r>
                  <w:r>
                    <w:rPr>
                      <w:rFonts w:hint="eastAsia" w:ascii="Times New Roman" w:hAnsi="Times New Roman" w:eastAsia="宋体" w:cs="Times New Roman"/>
                      <w:color w:val="auto"/>
                      <w:szCs w:val="21"/>
                      <w:highlight w:val="none"/>
                      <w:u w:val="none" w:color="auto"/>
                      <w:lang w:val="en-US" w:eastAsia="zh-CN"/>
                    </w:rPr>
                    <w:t>废水</w:t>
                  </w:r>
                  <w:r>
                    <w:rPr>
                      <w:rFonts w:hint="eastAsia" w:cs="Times New Roman"/>
                      <w:color w:val="auto"/>
                      <w:szCs w:val="21"/>
                      <w:highlight w:val="none"/>
                      <w:u w:val="none" w:color="auto"/>
                      <w:lang w:val="en-US" w:eastAsia="zh-CN"/>
                    </w:rPr>
                    <w:t>排放量大</w:t>
                  </w:r>
                  <w:r>
                    <w:rPr>
                      <w:rFonts w:hint="eastAsia" w:ascii="Times New Roman" w:hAnsi="Times New Roman" w:eastAsia="宋体" w:cs="Times New Roman"/>
                      <w:color w:val="auto"/>
                      <w:szCs w:val="21"/>
                      <w:highlight w:val="none"/>
                      <w:u w:val="none" w:color="auto"/>
                      <w:lang w:val="en-US" w:eastAsia="zh-CN"/>
                    </w:rPr>
                    <w:t>、耗水量大的企业；</w:t>
                  </w:r>
                </w:p>
                <w:p w14:paraId="017CFA76">
                  <w:pPr>
                    <w:autoSpaceDE w:val="0"/>
                    <w:autoSpaceDN w:val="0"/>
                    <w:adjustRightInd w:val="0"/>
                    <w:snapToGrid w:val="0"/>
                    <w:rPr>
                      <w:rFonts w:hint="eastAsia" w:ascii="Times New Roman" w:hAnsi="Times New Roman" w:eastAsia="宋体" w:cs="Times New Roman"/>
                      <w:color w:val="auto"/>
                      <w:szCs w:val="21"/>
                      <w:highlight w:val="none"/>
                      <w:u w:val="none" w:color="auto"/>
                      <w:lang w:val="en-US" w:eastAsia="zh-CN"/>
                    </w:rPr>
                  </w:pPr>
                  <w:r>
                    <w:rPr>
                      <w:rFonts w:hint="eastAsia" w:ascii="Times New Roman" w:hAnsi="Times New Roman" w:eastAsia="宋体" w:cs="Times New Roman"/>
                      <w:color w:val="auto"/>
                      <w:szCs w:val="21"/>
                      <w:highlight w:val="none"/>
                      <w:u w:val="none" w:color="auto"/>
                      <w:lang w:val="en-US" w:eastAsia="zh-CN"/>
                    </w:rPr>
                    <w:t>（1.3）本项目不属于畜禽养殖类；</w:t>
                  </w:r>
                </w:p>
                <w:p w14:paraId="01BF9B6E">
                  <w:pPr>
                    <w:autoSpaceDE w:val="0"/>
                    <w:autoSpaceDN w:val="0"/>
                    <w:adjustRightInd w:val="0"/>
                    <w:snapToGrid w:val="0"/>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eastAsia="宋体" w:cs="Times New Roman"/>
                      <w:color w:val="auto"/>
                      <w:szCs w:val="21"/>
                      <w:highlight w:val="none"/>
                      <w:u w:val="none" w:color="auto"/>
                      <w:lang w:val="en-US" w:eastAsia="zh-CN"/>
                    </w:rPr>
                    <w:t>（1.4）本项目不涉及矿山建设；</w:t>
                  </w:r>
                </w:p>
              </w:tc>
              <w:tc>
                <w:tcPr>
                  <w:tcW w:w="712" w:type="pct"/>
                  <w:tcBorders>
                    <w:tl2br w:val="nil"/>
                    <w:tr2bl w:val="nil"/>
                  </w:tcBorders>
                  <w:noWrap w:val="0"/>
                  <w:vAlign w:val="center"/>
                </w:tcPr>
                <w:p w14:paraId="615950E0">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color w:val="auto"/>
                      <w:highlight w:val="none"/>
                      <w:u w:val="none" w:color="auto"/>
                    </w:rPr>
                  </w:pPr>
                  <w:r>
                    <w:rPr>
                      <w:rFonts w:hint="eastAsia"/>
                      <w:color w:val="auto"/>
                      <w:highlight w:val="none"/>
                      <w:u w:val="none" w:color="auto"/>
                      <w:lang w:val="en-US" w:eastAsia="zh-CN"/>
                    </w:rPr>
                    <w:t>相符</w:t>
                  </w:r>
                </w:p>
              </w:tc>
            </w:tr>
            <w:tr w14:paraId="70E9DD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7" w:type="pct"/>
                  <w:tcBorders>
                    <w:tl2br w:val="nil"/>
                    <w:tr2bl w:val="nil"/>
                  </w:tcBorders>
                  <w:noWrap w:val="0"/>
                  <w:vAlign w:val="center"/>
                </w:tcPr>
                <w:p w14:paraId="0415E13F">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color w:val="auto"/>
                      <w:highlight w:val="none"/>
                      <w:u w:val="none" w:color="auto"/>
                    </w:rPr>
                  </w:pPr>
                  <w:r>
                    <w:rPr>
                      <w:rFonts w:hint="default"/>
                      <w:color w:val="auto"/>
                      <w:highlight w:val="none"/>
                      <w:u w:val="none" w:color="auto"/>
                    </w:rPr>
                    <w:t>污染物排</w:t>
                  </w:r>
                </w:p>
                <w:p w14:paraId="17C3B369">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color w:val="auto"/>
                      <w:highlight w:val="none"/>
                      <w:u w:val="none" w:color="auto"/>
                    </w:rPr>
                  </w:pPr>
                  <w:r>
                    <w:rPr>
                      <w:rFonts w:hint="default"/>
                      <w:color w:val="auto"/>
                      <w:highlight w:val="none"/>
                      <w:u w:val="none" w:color="auto"/>
                    </w:rPr>
                    <w:t>放管控</w:t>
                  </w:r>
                </w:p>
              </w:tc>
              <w:tc>
                <w:tcPr>
                  <w:tcW w:w="2048" w:type="pct"/>
                  <w:gridSpan w:val="3"/>
                  <w:tcBorders>
                    <w:tl2br w:val="nil"/>
                    <w:tr2bl w:val="nil"/>
                  </w:tcBorders>
                  <w:noWrap w:val="0"/>
                  <w:vAlign w:val="center"/>
                </w:tcPr>
                <w:p w14:paraId="001165A6">
                  <w:pPr>
                    <w:autoSpaceDE w:val="0"/>
                    <w:autoSpaceDN w:val="0"/>
                    <w:adjustRightInd w:val="0"/>
                    <w:snapToGrid w:val="0"/>
                    <w:rPr>
                      <w:rFonts w:ascii="Times New Roman" w:hAnsi="Times New Roman" w:eastAsia="宋体" w:cs="Times New Roman"/>
                      <w:color w:val="auto"/>
                      <w:szCs w:val="21"/>
                      <w:highlight w:val="none"/>
                      <w:u w:val="none" w:color="auto"/>
                    </w:rPr>
                  </w:pPr>
                  <w:r>
                    <w:rPr>
                      <w:rFonts w:ascii="Times New Roman" w:hAnsi="Times New Roman" w:eastAsia="宋体" w:cs="Times New Roman"/>
                      <w:color w:val="auto"/>
                      <w:szCs w:val="21"/>
                      <w:highlight w:val="none"/>
                      <w:u w:val="none" w:color="auto"/>
                    </w:rPr>
                    <w:t>（2.1）废气：加强建筑施工工地扬尘污染控制，严格落实“六个100%”措施；强化建材等企业无组织排放管控及治理；持续推进敞开式汽修喷涂、油品储运销等过程中挥发性有机物的治理工作；提升秸秆综合利用，拓宽秸秆利用途径；严禁垃圾露天焚烧，加强餐饮油烟、露天烧烤监管。</w:t>
                  </w:r>
                </w:p>
                <w:p w14:paraId="7857597C">
                  <w:pPr>
                    <w:autoSpaceDE w:val="0"/>
                    <w:autoSpaceDN w:val="0"/>
                    <w:adjustRightInd w:val="0"/>
                    <w:snapToGrid w:val="0"/>
                    <w:rPr>
                      <w:rFonts w:ascii="Times New Roman" w:hAnsi="Times New Roman" w:eastAsia="宋体" w:cs="Times New Roman"/>
                      <w:color w:val="auto"/>
                      <w:szCs w:val="21"/>
                      <w:highlight w:val="none"/>
                      <w:u w:val="none" w:color="auto"/>
                    </w:rPr>
                  </w:pPr>
                  <w:r>
                    <w:rPr>
                      <w:rFonts w:ascii="Times New Roman" w:hAnsi="Times New Roman" w:eastAsia="宋体" w:cs="Times New Roman"/>
                      <w:color w:val="auto"/>
                      <w:szCs w:val="21"/>
                      <w:highlight w:val="none"/>
                      <w:u w:val="none" w:color="auto"/>
                    </w:rPr>
                    <w:t>（2.2）废水：进一步完善城镇生活污水收集管网，更新修复老旧破损管网，同步做到雨污分流，确保管网全覆盖、污水全收集；推进农村生活污水治理，推进农村户用厕所建设和改造，强化农户生活污水分类处理处置；加速农村黑臭水体整治，逐步消除农村较大面积黑臭水体。</w:t>
                  </w:r>
                </w:p>
                <w:p w14:paraId="3FB2F2F4">
                  <w:pPr>
                    <w:autoSpaceDE w:val="0"/>
                    <w:autoSpaceDN w:val="0"/>
                    <w:adjustRightInd w:val="0"/>
                    <w:snapToGrid w:val="0"/>
                    <w:rPr>
                      <w:rFonts w:ascii="Times New Roman" w:hAnsi="Times New Roman" w:eastAsia="宋体" w:cs="Times New Roman"/>
                      <w:color w:val="auto"/>
                      <w:szCs w:val="21"/>
                      <w:highlight w:val="none"/>
                      <w:u w:val="none" w:color="auto"/>
                    </w:rPr>
                  </w:pPr>
                  <w:r>
                    <w:rPr>
                      <w:rFonts w:ascii="Times New Roman" w:hAnsi="Times New Roman" w:eastAsia="宋体" w:cs="Times New Roman"/>
                      <w:color w:val="auto"/>
                      <w:szCs w:val="21"/>
                      <w:highlight w:val="none"/>
                      <w:u w:val="none" w:color="auto"/>
                    </w:rPr>
                    <w:t>（2.3）固体废物：加快推进农村生活垃圾源头分类减量，减少垃圾出村量；推进以种养结合为重点的畜禽养殖废弃物资源利用，推动畜禽规模养殖场粪污处理设施装备提档升级。</w:t>
                  </w:r>
                </w:p>
                <w:p w14:paraId="6F03155F">
                  <w:pPr>
                    <w:autoSpaceDE w:val="0"/>
                    <w:autoSpaceDN w:val="0"/>
                    <w:adjustRightInd w:val="0"/>
                    <w:snapToGrid w:val="0"/>
                    <w:rPr>
                      <w:rFonts w:hint="default" w:ascii="Times New Roman" w:hAnsi="Times New Roman" w:eastAsia="宋体" w:cs="Times New Roman"/>
                      <w:color w:val="auto"/>
                      <w:szCs w:val="21"/>
                      <w:highlight w:val="none"/>
                      <w:u w:val="none" w:color="auto"/>
                    </w:rPr>
                  </w:pPr>
                  <w:r>
                    <w:rPr>
                      <w:rFonts w:ascii="Times New Roman" w:hAnsi="Times New Roman" w:eastAsia="宋体" w:cs="Times New Roman"/>
                      <w:color w:val="auto"/>
                      <w:szCs w:val="21"/>
                      <w:highlight w:val="none"/>
                      <w:u w:val="none" w:color="auto"/>
                    </w:rPr>
                    <w:t>（2.4）农业面源：逐步推行有机肥代替化肥，推行绿肥种植、秸秆还田、粪污还田等措施，推进化肥农药减量增效。</w:t>
                  </w:r>
                </w:p>
              </w:tc>
              <w:tc>
                <w:tcPr>
                  <w:tcW w:w="1391" w:type="pct"/>
                  <w:tcBorders>
                    <w:tl2br w:val="nil"/>
                    <w:tr2bl w:val="nil"/>
                  </w:tcBorders>
                  <w:noWrap w:val="0"/>
                  <w:vAlign w:val="center"/>
                </w:tcPr>
                <w:p w14:paraId="64D98642">
                  <w:pPr>
                    <w:autoSpaceDE w:val="0"/>
                    <w:autoSpaceDN w:val="0"/>
                    <w:adjustRightInd w:val="0"/>
                    <w:snapToGrid w:val="0"/>
                    <w:rPr>
                      <w:rFonts w:hint="eastAsia" w:ascii="Times New Roman" w:hAnsi="Times New Roman" w:eastAsia="宋体" w:cs="Times New Roman"/>
                      <w:color w:val="auto"/>
                      <w:szCs w:val="21"/>
                      <w:highlight w:val="none"/>
                      <w:u w:val="none" w:color="auto"/>
                      <w:lang w:val="en-US" w:eastAsia="zh-CN"/>
                    </w:rPr>
                  </w:pPr>
                  <w:r>
                    <w:rPr>
                      <w:rFonts w:hint="eastAsia" w:ascii="Times New Roman" w:hAnsi="Times New Roman" w:eastAsia="宋体" w:cs="Times New Roman"/>
                      <w:color w:val="auto"/>
                      <w:szCs w:val="21"/>
                      <w:highlight w:val="none"/>
                      <w:u w:val="none" w:color="auto"/>
                      <w:lang w:eastAsia="zh-CN"/>
                    </w:rPr>
                    <w:t>（</w:t>
                  </w:r>
                  <w:r>
                    <w:rPr>
                      <w:rFonts w:hint="eastAsia" w:ascii="Times New Roman" w:hAnsi="Times New Roman" w:eastAsia="宋体" w:cs="Times New Roman"/>
                      <w:color w:val="auto"/>
                      <w:szCs w:val="21"/>
                      <w:highlight w:val="none"/>
                      <w:u w:val="none" w:color="auto"/>
                      <w:lang w:val="en-US" w:eastAsia="zh-CN"/>
                    </w:rPr>
                    <w:t>2.1</w:t>
                  </w:r>
                  <w:r>
                    <w:rPr>
                      <w:rFonts w:hint="eastAsia" w:ascii="Times New Roman" w:hAnsi="Times New Roman" w:eastAsia="宋体" w:cs="Times New Roman"/>
                      <w:color w:val="auto"/>
                      <w:szCs w:val="21"/>
                      <w:highlight w:val="none"/>
                      <w:u w:val="none" w:color="auto"/>
                      <w:lang w:eastAsia="zh-CN"/>
                    </w:rPr>
                    <w:t>）</w:t>
                  </w:r>
                  <w:r>
                    <w:rPr>
                      <w:rFonts w:hint="eastAsia" w:ascii="Times New Roman" w:hAnsi="Times New Roman" w:eastAsia="宋体" w:cs="Times New Roman"/>
                      <w:color w:val="auto"/>
                      <w:szCs w:val="21"/>
                      <w:highlight w:val="none"/>
                      <w:u w:val="none" w:color="auto"/>
                      <w:lang w:val="en-US" w:eastAsia="zh-CN"/>
                    </w:rPr>
                    <w:t>废气：本项目不涉及汽车维修喷漆、油品储存运输及销售等环节、不涉及秸秆的使用和处理；</w:t>
                  </w:r>
                </w:p>
                <w:p w14:paraId="2F1793EC">
                  <w:pPr>
                    <w:autoSpaceDE w:val="0"/>
                    <w:autoSpaceDN w:val="0"/>
                    <w:adjustRightInd w:val="0"/>
                    <w:snapToGrid w:val="0"/>
                    <w:rPr>
                      <w:rFonts w:hint="eastAsia" w:ascii="Times New Roman" w:hAnsi="Times New Roman" w:eastAsia="宋体" w:cs="Times New Roman"/>
                      <w:color w:val="auto"/>
                      <w:szCs w:val="21"/>
                      <w:highlight w:val="none"/>
                      <w:u w:val="none" w:color="auto"/>
                      <w:lang w:val="en-US" w:eastAsia="zh-CN"/>
                    </w:rPr>
                  </w:pPr>
                  <w:r>
                    <w:rPr>
                      <w:rFonts w:hint="eastAsia" w:ascii="Times New Roman" w:hAnsi="Times New Roman" w:eastAsia="宋体" w:cs="Times New Roman"/>
                      <w:color w:val="auto"/>
                      <w:szCs w:val="21"/>
                      <w:highlight w:val="none"/>
                      <w:u w:val="none" w:color="auto"/>
                      <w:lang w:val="en-US" w:eastAsia="zh-CN"/>
                    </w:rPr>
                    <w:t>（2.2）</w:t>
                  </w:r>
                  <w:r>
                    <w:rPr>
                      <w:rFonts w:hint="eastAsia" w:ascii="Times New Roman" w:hAnsi="Times New Roman" w:eastAsia="宋体" w:cs="Times New Roman"/>
                      <w:color w:val="auto"/>
                      <w:szCs w:val="21"/>
                      <w:highlight w:val="none"/>
                      <w:u w:val="none" w:color="auto"/>
                      <w:lang w:eastAsia="zh-CN"/>
                    </w:rPr>
                    <w:t>废水：</w:t>
                  </w:r>
                  <w:r>
                    <w:rPr>
                      <w:rFonts w:hint="eastAsia" w:ascii="Times New Roman" w:hAnsi="Times New Roman" w:eastAsia="宋体" w:cs="Times New Roman"/>
                      <w:color w:val="auto"/>
                      <w:szCs w:val="21"/>
                      <w:highlight w:val="none"/>
                      <w:u w:val="none" w:color="auto"/>
                      <w:lang w:val="en-US" w:eastAsia="zh-CN"/>
                    </w:rPr>
                    <w:t>本项目生活污水</w:t>
                  </w:r>
                  <w:r>
                    <w:rPr>
                      <w:rFonts w:hint="default" w:ascii="Times New Roman" w:hAnsi="Times New Roman" w:eastAsia="宋体" w:cs="Times New Roman"/>
                      <w:color w:val="auto"/>
                      <w:szCs w:val="21"/>
                      <w:highlight w:val="none"/>
                      <w:u w:val="none" w:color="auto"/>
                      <w:lang w:val="en-US" w:eastAsia="zh-CN"/>
                    </w:rPr>
                    <w:t>经</w:t>
                  </w:r>
                  <w:r>
                    <w:rPr>
                      <w:rFonts w:hint="eastAsia" w:ascii="Times New Roman" w:hAnsi="Times New Roman" w:eastAsia="宋体" w:cs="Times New Roman"/>
                      <w:color w:val="auto"/>
                      <w:szCs w:val="21"/>
                      <w:highlight w:val="none"/>
                      <w:u w:val="none" w:color="auto"/>
                      <w:lang w:val="en-US" w:eastAsia="zh-CN"/>
                    </w:rPr>
                    <w:t>三级化粪池</w:t>
                  </w:r>
                  <w:r>
                    <w:rPr>
                      <w:rFonts w:hint="default" w:ascii="Times New Roman" w:hAnsi="Times New Roman" w:eastAsia="宋体" w:cs="Times New Roman"/>
                      <w:color w:val="auto"/>
                      <w:szCs w:val="21"/>
                      <w:highlight w:val="none"/>
                      <w:u w:val="none" w:color="auto"/>
                      <w:lang w:val="en-US" w:eastAsia="zh-CN"/>
                    </w:rPr>
                    <w:t>处理后用作农肥</w:t>
                  </w:r>
                  <w:r>
                    <w:rPr>
                      <w:rFonts w:hint="eastAsia" w:cs="Times New Roman"/>
                      <w:color w:val="auto"/>
                      <w:szCs w:val="21"/>
                      <w:highlight w:val="none"/>
                      <w:u w:val="none" w:color="auto"/>
                      <w:lang w:val="en-US" w:eastAsia="zh-CN"/>
                    </w:rPr>
                    <w:t>，</w:t>
                  </w:r>
                  <w:r>
                    <w:rPr>
                      <w:rFonts w:hint="eastAsia" w:ascii="Times New Roman" w:hAnsi="Times New Roman" w:eastAsia="宋体" w:cs="Times New Roman"/>
                      <w:color w:val="auto"/>
                      <w:szCs w:val="21"/>
                      <w:highlight w:val="none"/>
                      <w:u w:val="none" w:color="auto"/>
                      <w:lang w:val="en-US" w:eastAsia="zh-CN"/>
                    </w:rPr>
                    <w:t>不直排地表水体</w:t>
                  </w:r>
                  <w:r>
                    <w:rPr>
                      <w:rFonts w:hint="eastAsia" w:cs="Times New Roman"/>
                      <w:color w:val="auto"/>
                      <w:szCs w:val="21"/>
                      <w:highlight w:val="none"/>
                      <w:u w:val="none" w:color="auto"/>
                      <w:lang w:val="en-US" w:eastAsia="zh-CN"/>
                    </w:rPr>
                    <w:t>。</w:t>
                  </w:r>
                </w:p>
                <w:p w14:paraId="544A2C25">
                  <w:pPr>
                    <w:autoSpaceDE w:val="0"/>
                    <w:autoSpaceDN w:val="0"/>
                    <w:adjustRightInd w:val="0"/>
                    <w:snapToGrid w:val="0"/>
                    <w:rPr>
                      <w:rFonts w:hint="eastAsia" w:ascii="Times New Roman" w:hAnsi="Times New Roman" w:eastAsia="宋体" w:cs="Times New Roman"/>
                      <w:color w:val="auto"/>
                      <w:szCs w:val="21"/>
                      <w:highlight w:val="none"/>
                      <w:u w:val="none" w:color="auto"/>
                      <w:lang w:val="en-US" w:eastAsia="zh-CN"/>
                    </w:rPr>
                  </w:pPr>
                  <w:r>
                    <w:rPr>
                      <w:rFonts w:hint="eastAsia" w:ascii="Times New Roman" w:hAnsi="Times New Roman" w:eastAsia="宋体" w:cs="Times New Roman"/>
                      <w:color w:val="auto"/>
                      <w:szCs w:val="21"/>
                      <w:highlight w:val="none"/>
                      <w:u w:val="none" w:color="auto"/>
                      <w:lang w:val="en-US" w:eastAsia="zh-CN"/>
                    </w:rPr>
                    <w:t>（2.3）</w:t>
                  </w:r>
                  <w:r>
                    <w:rPr>
                      <w:rFonts w:hint="eastAsia" w:ascii="Times New Roman" w:hAnsi="Times New Roman" w:eastAsia="宋体" w:cs="Times New Roman"/>
                      <w:color w:val="auto"/>
                      <w:szCs w:val="21"/>
                      <w:highlight w:val="none"/>
                      <w:u w:val="none" w:color="auto"/>
                      <w:lang w:eastAsia="zh-CN"/>
                    </w:rPr>
                    <w:t>固体废物：</w:t>
                  </w:r>
                  <w:r>
                    <w:rPr>
                      <w:rFonts w:hint="eastAsia" w:ascii="Times New Roman" w:hAnsi="Times New Roman" w:eastAsia="宋体" w:cs="Times New Roman"/>
                      <w:color w:val="auto"/>
                      <w:szCs w:val="21"/>
                      <w:highlight w:val="none"/>
                      <w:u w:val="none" w:color="auto"/>
                      <w:lang w:val="en-US" w:eastAsia="zh-CN"/>
                    </w:rPr>
                    <w:t>项目固体废物均分类收集后合理处置。</w:t>
                  </w:r>
                </w:p>
                <w:p w14:paraId="75226B83">
                  <w:pPr>
                    <w:autoSpaceDE w:val="0"/>
                    <w:autoSpaceDN w:val="0"/>
                    <w:adjustRightInd w:val="0"/>
                    <w:snapToGrid w:val="0"/>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eastAsia="宋体" w:cs="Times New Roman"/>
                      <w:color w:val="auto"/>
                      <w:szCs w:val="21"/>
                      <w:highlight w:val="none"/>
                      <w:u w:val="none" w:color="auto"/>
                      <w:lang w:val="en-US" w:eastAsia="zh-CN"/>
                    </w:rPr>
                    <w:t>（2.4）</w:t>
                  </w:r>
                  <w:r>
                    <w:rPr>
                      <w:rFonts w:hint="eastAsia" w:ascii="Times New Roman" w:hAnsi="Times New Roman" w:eastAsia="宋体" w:cs="Times New Roman"/>
                      <w:color w:val="auto"/>
                      <w:szCs w:val="21"/>
                      <w:highlight w:val="none"/>
                      <w:u w:val="none" w:color="auto"/>
                      <w:lang w:eastAsia="zh-CN"/>
                    </w:rPr>
                    <w:t>农业面源：</w:t>
                  </w:r>
                  <w:r>
                    <w:rPr>
                      <w:rFonts w:hint="eastAsia" w:ascii="Times New Roman" w:hAnsi="Times New Roman" w:eastAsia="宋体" w:cs="Times New Roman"/>
                      <w:color w:val="auto"/>
                      <w:szCs w:val="21"/>
                      <w:highlight w:val="none"/>
                      <w:u w:val="none" w:color="auto"/>
                      <w:lang w:val="en-US" w:eastAsia="zh-CN"/>
                    </w:rPr>
                    <w:t>本项目生活污水经三级化粪池处理后用作农肥，符合逐步推行有机肥代替化肥的农业面源污染控制策略。</w:t>
                  </w:r>
                </w:p>
              </w:tc>
              <w:tc>
                <w:tcPr>
                  <w:tcW w:w="712" w:type="pct"/>
                  <w:tcBorders>
                    <w:tl2br w:val="nil"/>
                    <w:tr2bl w:val="nil"/>
                  </w:tcBorders>
                  <w:noWrap w:val="0"/>
                  <w:vAlign w:val="center"/>
                </w:tcPr>
                <w:p w14:paraId="3245AF9D">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color w:val="auto"/>
                      <w:highlight w:val="none"/>
                      <w:u w:val="none" w:color="auto"/>
                    </w:rPr>
                  </w:pPr>
                  <w:r>
                    <w:rPr>
                      <w:rFonts w:hint="eastAsia"/>
                      <w:color w:val="auto"/>
                      <w:highlight w:val="none"/>
                      <w:u w:val="none" w:color="auto"/>
                      <w:lang w:val="en-US" w:eastAsia="zh-CN"/>
                    </w:rPr>
                    <w:t>相符</w:t>
                  </w:r>
                </w:p>
              </w:tc>
            </w:tr>
            <w:tr w14:paraId="1EEF7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7" w:type="pct"/>
                  <w:tcBorders>
                    <w:tl2br w:val="nil"/>
                    <w:tr2bl w:val="nil"/>
                  </w:tcBorders>
                  <w:noWrap w:val="0"/>
                  <w:vAlign w:val="center"/>
                </w:tcPr>
                <w:p w14:paraId="6CBA8B6F">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color w:val="auto"/>
                      <w:highlight w:val="none"/>
                      <w:u w:val="none" w:color="auto"/>
                    </w:rPr>
                  </w:pPr>
                  <w:r>
                    <w:rPr>
                      <w:rFonts w:hint="default"/>
                      <w:color w:val="auto"/>
                      <w:highlight w:val="none"/>
                      <w:u w:val="none" w:color="auto"/>
                    </w:rPr>
                    <w:t>环境风险</w:t>
                  </w:r>
                </w:p>
                <w:p w14:paraId="2C2DC170">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color w:val="auto"/>
                      <w:highlight w:val="none"/>
                      <w:u w:val="none" w:color="auto"/>
                    </w:rPr>
                  </w:pPr>
                  <w:r>
                    <w:rPr>
                      <w:rFonts w:hint="default"/>
                      <w:color w:val="auto"/>
                      <w:highlight w:val="none"/>
                      <w:u w:val="none" w:color="auto"/>
                    </w:rPr>
                    <w:t>防控</w:t>
                  </w:r>
                </w:p>
              </w:tc>
              <w:tc>
                <w:tcPr>
                  <w:tcW w:w="2048" w:type="pct"/>
                  <w:gridSpan w:val="3"/>
                  <w:tcBorders>
                    <w:tl2br w:val="nil"/>
                    <w:tr2bl w:val="nil"/>
                  </w:tcBorders>
                  <w:noWrap w:val="0"/>
                  <w:vAlign w:val="center"/>
                </w:tcPr>
                <w:p w14:paraId="1F40797C">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（3.1）积极应对重污染天气，对纳入应急减排项目清单的工业企业要制定“一厂一策”实施方案。</w:t>
                  </w:r>
                </w:p>
                <w:p w14:paraId="2C48DDC2">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（3.2）有效管控建设用地土壤污染风险。以用途变更为“一住两公”的地块为重点，依法开展土壤污染状况调查和风险评估。</w:t>
                  </w:r>
                </w:p>
                <w:p w14:paraId="78B8B3A6">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（3.3）推进农用地土壤污染防治和安全利用。严格涉镉等重金属行业大气、水污染物排放管控，全面排查整治涉镉等重金属关停企业及矿区历史遗留固体废物。</w:t>
                  </w:r>
                </w:p>
                <w:p w14:paraId="765A1058">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（3.4）加密重点断面水质监测，将断面水质管控作为河湖长制重点工作内容，纳入河湖长工作绩效考核。</w:t>
                  </w:r>
                </w:p>
                <w:p w14:paraId="5DE942F9">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3.5）建立涵盖基础信息、实时水量水质数据等在内的河湖库管理信息平台，河湖管护联合执法机制逐步形成，在东洞庭湖、新墙河、铁山水库等重要河湖干流及各乡镇主要支流建立基于水质水量考核的流域生态补偿机制。</w:t>
                  </w:r>
                </w:p>
              </w:tc>
              <w:tc>
                <w:tcPr>
                  <w:tcW w:w="1391" w:type="pct"/>
                  <w:tcBorders>
                    <w:tl2br w:val="nil"/>
                    <w:tr2bl w:val="nil"/>
                  </w:tcBorders>
                  <w:noWrap w:val="0"/>
                  <w:vAlign w:val="center"/>
                </w:tcPr>
                <w:p w14:paraId="0A0CDC72">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kern w:val="2"/>
                      <w:sz w:val="21"/>
                      <w:szCs w:val="21"/>
                      <w:highlight w:val="none"/>
                      <w:u w:val="none" w:color="auto"/>
                      <w:lang w:val="en-US" w:eastAsia="zh-CN" w:bidi="ar-SA"/>
                    </w:rPr>
                    <w:t>（3.1）本项目为C4210金属废料和碎屑加工处理，不在应急减排清单中；</w:t>
                  </w:r>
                </w:p>
                <w:p w14:paraId="3BB2CFD6">
                  <w:pPr>
                    <w:pStyle w:val="104"/>
                    <w:rPr>
                      <w:rFonts w:hint="default" w:ascii="Times New Roman" w:hAnsi="Times New Roman" w:eastAsia="宋体" w:cs="Times New Roman"/>
                      <w:b w:val="0"/>
                      <w:bCs/>
                      <w:color w:val="auto"/>
                      <w:kern w:val="2"/>
                      <w:sz w:val="21"/>
                      <w:szCs w:val="21"/>
                      <w:highlight w:val="none"/>
                      <w:u w:val="none" w:color="auto"/>
                      <w:lang w:val="en-US" w:eastAsia="zh-CN" w:bidi="ar-SA"/>
                    </w:rPr>
                  </w:pPr>
                  <w:r>
                    <w:rPr>
                      <w:rFonts w:hint="eastAsia" w:ascii="Times New Roman" w:hAnsi="Times New Roman" w:eastAsia="宋体" w:cs="Times New Roman"/>
                      <w:b w:val="0"/>
                      <w:bCs/>
                      <w:color w:val="auto"/>
                      <w:kern w:val="2"/>
                      <w:sz w:val="21"/>
                      <w:szCs w:val="21"/>
                      <w:highlight w:val="none"/>
                      <w:u w:val="none" w:color="auto"/>
                      <w:lang w:val="en-US" w:eastAsia="zh-CN" w:bidi="ar-SA"/>
                    </w:rPr>
                    <w:t>（3.2）本项目</w:t>
                  </w:r>
                  <w:r>
                    <w:rPr>
                      <w:rFonts w:hint="eastAsia" w:cs="Times New Roman"/>
                      <w:b w:val="0"/>
                      <w:bCs/>
                      <w:color w:val="auto"/>
                      <w:kern w:val="2"/>
                      <w:sz w:val="21"/>
                      <w:szCs w:val="21"/>
                      <w:highlight w:val="none"/>
                      <w:u w:val="none" w:color="auto"/>
                      <w:lang w:val="en-US" w:eastAsia="zh-CN" w:bidi="ar-SA"/>
                    </w:rPr>
                    <w:t>租赁新墙镇燎原村沙河片二组原王家方砖厂闲置钢筋棚厂房，</w:t>
                  </w:r>
                  <w:r>
                    <w:rPr>
                      <w:rFonts w:hint="eastAsia" w:ascii="Times New Roman" w:hAnsi="Times New Roman" w:eastAsia="宋体" w:cs="Times New Roman"/>
                      <w:b w:val="0"/>
                      <w:bCs/>
                      <w:color w:val="auto"/>
                      <w:kern w:val="2"/>
                      <w:sz w:val="21"/>
                      <w:szCs w:val="21"/>
                      <w:highlight w:val="none"/>
                      <w:u w:val="none" w:color="auto"/>
                      <w:lang w:val="en-US" w:eastAsia="zh-CN" w:bidi="ar-SA"/>
                    </w:rPr>
                    <w:t>施工期将</w:t>
                  </w:r>
                  <w:r>
                    <w:rPr>
                      <w:rFonts w:hint="eastAsia" w:cs="Times New Roman"/>
                      <w:b w:val="0"/>
                      <w:bCs/>
                      <w:color w:val="auto"/>
                      <w:kern w:val="2"/>
                      <w:sz w:val="21"/>
                      <w:szCs w:val="21"/>
                      <w:highlight w:val="none"/>
                      <w:u w:val="none" w:color="auto"/>
                      <w:lang w:val="en-US" w:eastAsia="zh-CN" w:bidi="ar-SA"/>
                    </w:rPr>
                    <w:t>对</w:t>
                  </w:r>
                  <w:r>
                    <w:rPr>
                      <w:rFonts w:hint="eastAsia" w:ascii="Times New Roman" w:hAnsi="Times New Roman" w:eastAsia="宋体" w:cs="Times New Roman"/>
                      <w:b w:val="0"/>
                      <w:bCs/>
                      <w:color w:val="auto"/>
                      <w:kern w:val="2"/>
                      <w:sz w:val="21"/>
                      <w:szCs w:val="21"/>
                      <w:highlight w:val="none"/>
                      <w:u w:val="none" w:color="auto"/>
                      <w:lang w:val="en-US" w:eastAsia="zh-CN" w:bidi="ar-SA"/>
                    </w:rPr>
                    <w:t>生产车间和仓库地面做好硬化，对土壤污染影响较小</w:t>
                  </w:r>
                  <w:r>
                    <w:rPr>
                      <w:rFonts w:hint="eastAsia" w:cs="Times New Roman"/>
                      <w:b w:val="0"/>
                      <w:bCs/>
                      <w:color w:val="auto"/>
                      <w:kern w:val="2"/>
                      <w:sz w:val="21"/>
                      <w:szCs w:val="21"/>
                      <w:highlight w:val="none"/>
                      <w:u w:val="none" w:color="auto"/>
                      <w:lang w:val="en-US" w:eastAsia="zh-CN" w:bidi="ar-SA"/>
                    </w:rPr>
                    <w:t>。</w:t>
                  </w:r>
                </w:p>
                <w:p w14:paraId="360C854F">
                  <w:pPr>
                    <w:pStyle w:val="104"/>
                    <w:rPr>
                      <w:rFonts w:ascii="Times New Roman" w:hAnsi="Times New Roman" w:eastAsia="宋体" w:cs="Times New Roman"/>
                      <w:b w:val="0"/>
                      <w:bCs/>
                      <w:color w:val="auto"/>
                      <w:kern w:val="2"/>
                      <w:sz w:val="21"/>
                      <w:szCs w:val="21"/>
                      <w:highlight w:val="none"/>
                      <w:u w:val="none" w:color="auto"/>
                      <w:lang w:val="en-US" w:eastAsia="zh-CN" w:bidi="ar-SA"/>
                    </w:rPr>
                  </w:pPr>
                  <w:r>
                    <w:rPr>
                      <w:rFonts w:hint="eastAsia" w:ascii="Times New Roman" w:hAnsi="Times New Roman" w:eastAsia="宋体" w:cs="Times New Roman"/>
                      <w:b w:val="0"/>
                      <w:bCs/>
                      <w:color w:val="auto"/>
                      <w:kern w:val="2"/>
                      <w:sz w:val="21"/>
                      <w:szCs w:val="21"/>
                      <w:highlight w:val="none"/>
                      <w:u w:val="none" w:color="auto"/>
                      <w:lang w:val="en-US" w:eastAsia="zh-CN" w:bidi="ar-SA"/>
                    </w:rPr>
                    <w:t>本项目不涉及3.3、3.4、3.5相关的内容。</w:t>
                  </w:r>
                </w:p>
                <w:p w14:paraId="3CEF860A">
                  <w:pPr>
                    <w:pStyle w:val="104"/>
                    <w:rPr>
                      <w:rFonts w:hint="default" w:ascii="Times New Roman" w:hAnsi="Times New Roman" w:eastAsia="宋体" w:cs="Times New Roman"/>
                      <w:color w:val="auto"/>
                      <w:kern w:val="2"/>
                      <w:sz w:val="21"/>
                      <w:szCs w:val="21"/>
                      <w:highlight w:val="none"/>
                      <w:u w:val="none" w:color="auto"/>
                      <w:lang w:val="en-US" w:eastAsia="zh-CN" w:bidi="ar-SA"/>
                    </w:rPr>
                  </w:pPr>
                </w:p>
              </w:tc>
              <w:tc>
                <w:tcPr>
                  <w:tcW w:w="712" w:type="pct"/>
                  <w:tcBorders>
                    <w:tl2br w:val="nil"/>
                    <w:tr2bl w:val="nil"/>
                  </w:tcBorders>
                  <w:noWrap w:val="0"/>
                  <w:vAlign w:val="center"/>
                </w:tcPr>
                <w:p w14:paraId="5121EF4F">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color w:val="auto"/>
                      <w:highlight w:val="none"/>
                      <w:u w:val="none" w:color="auto"/>
                    </w:rPr>
                  </w:pPr>
                  <w:r>
                    <w:rPr>
                      <w:rFonts w:hint="eastAsia"/>
                      <w:color w:val="auto"/>
                      <w:highlight w:val="none"/>
                      <w:u w:val="none" w:color="auto"/>
                      <w:lang w:val="en-US" w:eastAsia="zh-CN"/>
                    </w:rPr>
                    <w:t>相符</w:t>
                  </w:r>
                </w:p>
              </w:tc>
            </w:tr>
            <w:tr w14:paraId="47B260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7" w:type="pct"/>
                  <w:tcBorders>
                    <w:tl2br w:val="nil"/>
                    <w:tr2bl w:val="nil"/>
                  </w:tcBorders>
                  <w:noWrap w:val="0"/>
                  <w:vAlign w:val="center"/>
                </w:tcPr>
                <w:p w14:paraId="0CCD0F46">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color w:val="auto"/>
                      <w:highlight w:val="none"/>
                      <w:u w:val="none" w:color="auto"/>
                    </w:rPr>
                  </w:pPr>
                  <w:r>
                    <w:rPr>
                      <w:rFonts w:hint="default"/>
                      <w:color w:val="auto"/>
                      <w:highlight w:val="none"/>
                      <w:u w:val="none" w:color="auto"/>
                    </w:rPr>
                    <w:t>资源开发</w:t>
                  </w:r>
                </w:p>
                <w:p w14:paraId="361AEDD6">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color w:val="auto"/>
                      <w:highlight w:val="none"/>
                      <w:u w:val="none" w:color="auto"/>
                    </w:rPr>
                  </w:pPr>
                  <w:r>
                    <w:rPr>
                      <w:rFonts w:hint="default"/>
                      <w:color w:val="auto"/>
                      <w:highlight w:val="none"/>
                      <w:u w:val="none" w:color="auto"/>
                    </w:rPr>
                    <w:t>效率要求</w:t>
                  </w:r>
                </w:p>
              </w:tc>
              <w:tc>
                <w:tcPr>
                  <w:tcW w:w="2048" w:type="pct"/>
                  <w:gridSpan w:val="3"/>
                  <w:tcBorders>
                    <w:tl2br w:val="nil"/>
                    <w:tr2bl w:val="nil"/>
                  </w:tcBorders>
                  <w:noWrap w:val="0"/>
                  <w:vAlign w:val="center"/>
                </w:tcPr>
                <w:p w14:paraId="67647C7E">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（4.1）对取用水总量接近控制指标的地区，限制审批建设项目新增取水许可；已达到或超过控制指标的地区，暂停审批建设项目新增取水许可；划定全县地下水禁采区、限采区和地面沉降控制区范围。</w:t>
                  </w:r>
                </w:p>
                <w:p w14:paraId="0302EFBF">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（4.2）水资源：2025年，岳阳县用水总量4.07亿立方米，万元地区生产总值用水量比2020年下降21.53%，万元工业增加值用水量比2020年下降12.65%，农田灌溉水有效利用系数0.59。</w:t>
                  </w:r>
                </w:p>
                <w:p w14:paraId="46B1033D">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（4.3）能源：岳阳县“十四五”时期能耗强度降低基本目标16%，激励目标16.5%。</w:t>
                  </w:r>
                </w:p>
                <w:p w14:paraId="4A266595">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（4.4）土地资源：新墙镇：耕地保护目标35816.98亩，永久基本农田保护面积32079.85亩，生态保护红线面积203.29公顷，城镇开发边界规模479.55公顷，村庄建设用地665.55公顷。</w:t>
                  </w:r>
                </w:p>
              </w:tc>
              <w:tc>
                <w:tcPr>
                  <w:tcW w:w="1391" w:type="pct"/>
                  <w:tcBorders>
                    <w:tl2br w:val="nil"/>
                    <w:tr2bl w:val="nil"/>
                  </w:tcBorders>
                  <w:noWrap w:val="0"/>
                  <w:vAlign w:val="center"/>
                </w:tcPr>
                <w:p w14:paraId="30908149">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kern w:val="2"/>
                      <w:sz w:val="21"/>
                      <w:szCs w:val="21"/>
                      <w:highlight w:val="none"/>
                      <w:u w:val="none" w:color="auto"/>
                      <w:lang w:val="en-US" w:eastAsia="zh-CN" w:bidi="ar-SA"/>
                    </w:rPr>
                    <w:t>（4.1）本项目用水由市政供给，不属于已达到或已超标的地区；</w:t>
                  </w:r>
                </w:p>
                <w:p w14:paraId="1D978AF0">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kern w:val="2"/>
                      <w:sz w:val="21"/>
                      <w:szCs w:val="21"/>
                      <w:highlight w:val="none"/>
                      <w:u w:val="none" w:color="auto"/>
                      <w:lang w:val="en-US" w:eastAsia="zh-CN" w:bidi="ar-SA"/>
                    </w:rPr>
                    <w:t>（4.2）水资源：</w:t>
                  </w:r>
                  <w:r>
                    <w:rPr>
                      <w:rFonts w:hint="default" w:ascii="Times New Roman" w:hAnsi="Times New Roman" w:eastAsia="宋体" w:cs="Times New Roman"/>
                      <w:color w:val="auto"/>
                      <w:kern w:val="2"/>
                      <w:sz w:val="21"/>
                      <w:szCs w:val="21"/>
                      <w:highlight w:val="none"/>
                      <w:u w:val="none" w:color="auto"/>
                      <w:lang w:val="en-US" w:eastAsia="zh-CN" w:bidi="ar-SA"/>
                    </w:rPr>
                    <w:t>本项目</w:t>
                  </w:r>
                  <w:r>
                    <w:rPr>
                      <w:rFonts w:hint="eastAsia" w:ascii="Times New Roman" w:hAnsi="Times New Roman" w:cs="Times New Roman"/>
                      <w:color w:val="auto"/>
                      <w:kern w:val="2"/>
                      <w:sz w:val="21"/>
                      <w:szCs w:val="21"/>
                      <w:highlight w:val="none"/>
                      <w:u w:val="none" w:color="auto"/>
                      <w:lang w:val="en-US" w:eastAsia="zh-CN" w:bidi="ar-SA"/>
                    </w:rPr>
                    <w:t>生产过程无需使用水，仅需员工生活用水，</w:t>
                  </w:r>
                  <w:r>
                    <w:rPr>
                      <w:rFonts w:hint="eastAsia" w:ascii="Times New Roman" w:hAnsi="Times New Roman" w:eastAsia="宋体" w:cs="Times New Roman"/>
                      <w:color w:val="auto"/>
                      <w:kern w:val="2"/>
                      <w:sz w:val="21"/>
                      <w:szCs w:val="21"/>
                      <w:highlight w:val="none"/>
                      <w:u w:val="none" w:color="auto"/>
                      <w:lang w:val="en-US" w:eastAsia="zh-CN" w:bidi="ar-SA"/>
                    </w:rPr>
                    <w:t>用水量较少；</w:t>
                  </w:r>
                </w:p>
                <w:p w14:paraId="3E5737A7">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kern w:val="2"/>
                      <w:sz w:val="21"/>
                      <w:szCs w:val="21"/>
                      <w:highlight w:val="none"/>
                      <w:u w:val="none" w:color="auto"/>
                      <w:lang w:val="en-US" w:eastAsia="zh-CN" w:bidi="ar-SA"/>
                    </w:rPr>
                    <w:t>（4.3）能源：</w:t>
                  </w:r>
                  <w:r>
                    <w:rPr>
                      <w:rFonts w:hint="default" w:ascii="Times New Roman" w:hAnsi="Times New Roman" w:eastAsia="宋体" w:cs="Times New Roman"/>
                      <w:color w:val="auto"/>
                      <w:kern w:val="2"/>
                      <w:sz w:val="21"/>
                      <w:szCs w:val="21"/>
                      <w:highlight w:val="none"/>
                      <w:u w:val="none" w:color="auto"/>
                      <w:lang w:val="en-US" w:eastAsia="zh-CN" w:bidi="ar-SA"/>
                    </w:rPr>
                    <w:t>本项目</w:t>
                  </w:r>
                  <w:r>
                    <w:rPr>
                      <w:rFonts w:hint="eastAsia" w:ascii="Times New Roman" w:hAnsi="Times New Roman" w:eastAsia="宋体" w:cs="Times New Roman"/>
                      <w:color w:val="auto"/>
                      <w:kern w:val="2"/>
                      <w:sz w:val="21"/>
                      <w:szCs w:val="21"/>
                      <w:highlight w:val="none"/>
                      <w:u w:val="none" w:color="auto"/>
                      <w:lang w:val="en-US" w:eastAsia="zh-CN" w:bidi="ar-SA"/>
                    </w:rPr>
                    <w:t>能源主要为电能，用电量相对较小；</w:t>
                  </w:r>
                </w:p>
                <w:p w14:paraId="4B85D012">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kern w:val="2"/>
                      <w:sz w:val="21"/>
                      <w:szCs w:val="21"/>
                      <w:highlight w:val="none"/>
                      <w:u w:val="none" w:color="auto"/>
                      <w:lang w:val="en-US" w:eastAsia="zh-CN" w:bidi="ar-SA"/>
                    </w:rPr>
                    <w:t>（4.4）</w:t>
                  </w:r>
                  <w:r>
                    <w:rPr>
                      <w:rFonts w:hint="default" w:ascii="Times New Roman" w:hAnsi="Times New Roman" w:eastAsia="宋体" w:cs="Times New Roman"/>
                      <w:color w:val="auto"/>
                      <w:kern w:val="2"/>
                      <w:sz w:val="21"/>
                      <w:szCs w:val="21"/>
                      <w:highlight w:val="none"/>
                      <w:u w:val="none" w:color="auto"/>
                      <w:lang w:val="en-US" w:eastAsia="zh-CN" w:bidi="ar-SA"/>
                    </w:rPr>
                    <w:t>土地资源：</w:t>
                  </w:r>
                  <w:r>
                    <w:rPr>
                      <w:rFonts w:hint="eastAsia" w:ascii="Times New Roman" w:hAnsi="Times New Roman" w:eastAsia="宋体" w:cs="Times New Roman"/>
                      <w:color w:val="auto"/>
                      <w:kern w:val="2"/>
                      <w:sz w:val="21"/>
                      <w:szCs w:val="21"/>
                      <w:highlight w:val="none"/>
                      <w:u w:val="none" w:color="auto"/>
                      <w:lang w:val="en-US" w:eastAsia="zh-CN" w:bidi="ar-SA"/>
                    </w:rPr>
                    <w:t>本项目不涉及耕地保护范围。</w:t>
                  </w:r>
                </w:p>
              </w:tc>
              <w:tc>
                <w:tcPr>
                  <w:tcW w:w="712" w:type="pct"/>
                  <w:tcBorders>
                    <w:tl2br w:val="nil"/>
                    <w:tr2bl w:val="nil"/>
                  </w:tcBorders>
                  <w:noWrap w:val="0"/>
                  <w:vAlign w:val="center"/>
                </w:tcPr>
                <w:p w14:paraId="0AB6A253">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auto"/>
                    <w:rPr>
                      <w:rFonts w:hint="default"/>
                      <w:color w:val="auto"/>
                      <w:highlight w:val="none"/>
                      <w:u w:val="none" w:color="auto"/>
                    </w:rPr>
                  </w:pPr>
                  <w:r>
                    <w:rPr>
                      <w:rFonts w:hint="eastAsia"/>
                      <w:color w:val="auto"/>
                      <w:highlight w:val="none"/>
                      <w:u w:val="none" w:color="auto"/>
                      <w:lang w:val="en-US" w:eastAsia="zh-CN"/>
                    </w:rPr>
                    <w:t>相符</w:t>
                  </w:r>
                </w:p>
              </w:tc>
            </w:tr>
          </w:tbl>
          <w:p w14:paraId="023502A5">
            <w:pPr>
              <w:autoSpaceDE w:val="0"/>
              <w:autoSpaceDN w:val="0"/>
              <w:adjustRightInd w:val="0"/>
              <w:snapToGrid w:val="0"/>
              <w:spacing w:line="360" w:lineRule="auto"/>
              <w:ind w:firstLine="480"/>
              <w:rPr>
                <w:rFonts w:hint="default" w:ascii="Times New Roman" w:hAnsi="Times New Roman" w:eastAsia="宋体" w:cs="Times New Roman"/>
                <w:color w:val="auto"/>
                <w:spacing w:val="0"/>
                <w:kern w:val="0"/>
                <w:position w:val="0"/>
                <w:sz w:val="24"/>
                <w:szCs w:val="24"/>
                <w:highlight w:val="none"/>
                <w:u w:val="none"/>
                <w:lang w:val="en-US" w:eastAsia="zh-CN" w:bidi="ar-SA"/>
              </w:rPr>
            </w:pPr>
            <w:r>
              <w:rPr>
                <w:rFonts w:hint="default" w:ascii="Times New Roman" w:hAnsi="Times New Roman" w:eastAsia="宋体" w:cs="Times New Roman"/>
                <w:color w:val="auto"/>
                <w:sz w:val="24"/>
                <w:highlight w:val="none"/>
              </w:rPr>
              <w:t>综上所述，本项目符合</w:t>
            </w:r>
            <w:r>
              <w:rPr>
                <w:rFonts w:hint="eastAsia" w:ascii="Times New Roman" w:hAnsi="Times New Roman" w:eastAsia="宋体" w:cs="Times New Roman"/>
                <w:color w:val="auto"/>
                <w:sz w:val="24"/>
                <w:highlight w:val="none"/>
                <w:lang w:eastAsia="zh-CN"/>
              </w:rPr>
              <w:t>《岳阳市生态环境局关于发布岳阳市生态环境分区管控动态更新成果(2023年版)的通知》</w:t>
            </w:r>
            <w:r>
              <w:rPr>
                <w:rFonts w:hint="eastAsia" w:ascii="Times New Roman" w:hAnsi="Times New Roman" w:eastAsia="宋体" w:cs="Times New Roman"/>
                <w:color w:val="auto"/>
                <w:sz w:val="24"/>
                <w:highlight w:val="none"/>
                <w:lang w:val="en-US" w:eastAsia="zh-CN"/>
              </w:rPr>
              <w:t>文件中“</w:t>
            </w:r>
            <w:r>
              <w:rPr>
                <w:rFonts w:hint="default" w:ascii="Times New Roman" w:hAnsi="Times New Roman" w:eastAsia="宋体" w:cs="Times New Roman"/>
                <w:color w:val="auto"/>
                <w:sz w:val="24"/>
                <w:highlight w:val="none"/>
              </w:rPr>
              <w:t>岳阳县</w:t>
            </w:r>
            <w:r>
              <w:rPr>
                <w:rFonts w:hint="eastAsia" w:ascii="Times New Roman" w:hAnsi="Times New Roman" w:eastAsia="宋体" w:cs="Times New Roman"/>
                <w:color w:val="auto"/>
                <w:sz w:val="24"/>
                <w:highlight w:val="none"/>
                <w:lang w:val="en-US" w:eastAsia="zh-CN"/>
              </w:rPr>
              <w:t>新墙</w:t>
            </w:r>
            <w:r>
              <w:rPr>
                <w:rFonts w:hint="default" w:ascii="Times New Roman" w:hAnsi="Times New Roman" w:eastAsia="宋体" w:cs="Times New Roman"/>
                <w:color w:val="auto"/>
                <w:sz w:val="24"/>
                <w:highlight w:val="none"/>
              </w:rPr>
              <w:t>镇</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的相关要求。</w:t>
            </w:r>
          </w:p>
          <w:p w14:paraId="3E8C73F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b/>
                <w:bCs/>
                <w:color w:val="auto"/>
                <w:kern w:val="0"/>
                <w:sz w:val="24"/>
                <w:highlight w:val="none"/>
                <w:u w:val="none"/>
              </w:rPr>
            </w:pPr>
            <w:r>
              <w:rPr>
                <w:rFonts w:hint="eastAsia" w:cs="Times New Roman"/>
                <w:b/>
                <w:bCs/>
                <w:color w:val="auto"/>
                <w:kern w:val="0"/>
                <w:sz w:val="24"/>
                <w:highlight w:val="none"/>
                <w:u w:val="none"/>
                <w:lang w:val="en-US" w:eastAsia="zh-CN"/>
              </w:rPr>
              <w:t>4、</w:t>
            </w:r>
            <w:r>
              <w:rPr>
                <w:rFonts w:hint="default" w:ascii="Times New Roman" w:hAnsi="Times New Roman" w:cs="Times New Roman"/>
                <w:b/>
                <w:bCs/>
                <w:color w:val="auto"/>
                <w:kern w:val="0"/>
                <w:sz w:val="24"/>
                <w:highlight w:val="none"/>
                <w:u w:val="none"/>
              </w:rPr>
              <w:t>本项目与</w:t>
            </w:r>
            <w:bookmarkStart w:id="11" w:name="OLE_LINK117"/>
            <w:r>
              <w:rPr>
                <w:rStyle w:val="36"/>
                <w:rFonts w:hint="eastAsia" w:ascii="宋体" w:hAnsi="宋体" w:eastAsia="宋体" w:cs="宋体"/>
                <w:i w:val="0"/>
                <w:caps w:val="0"/>
                <w:color w:val="auto"/>
                <w:spacing w:val="0"/>
                <w:sz w:val="24"/>
                <w:szCs w:val="24"/>
                <w:highlight w:val="none"/>
                <w:shd w:val="clear" w:fill="FFFFFF"/>
              </w:rPr>
              <w:t>《湖南省空气质量持续改善行动计划实施方案》</w:t>
            </w:r>
            <w:bookmarkEnd w:id="11"/>
            <w:r>
              <w:rPr>
                <w:rStyle w:val="36"/>
                <w:rFonts w:hint="eastAsia" w:ascii="宋体" w:hAnsi="宋体" w:cs="宋体"/>
                <w:i w:val="0"/>
                <w:caps w:val="0"/>
                <w:color w:val="auto"/>
                <w:spacing w:val="0"/>
                <w:sz w:val="24"/>
                <w:szCs w:val="24"/>
                <w:highlight w:val="none"/>
                <w:shd w:val="clear" w:fill="FFFFFF"/>
                <w:lang w:eastAsia="zh-CN"/>
              </w:rPr>
              <w:t>（湘政办发〔2024〕33号）</w:t>
            </w:r>
            <w:r>
              <w:rPr>
                <w:rFonts w:hint="default" w:ascii="Times New Roman" w:hAnsi="Times New Roman" w:cs="Times New Roman"/>
                <w:b/>
                <w:bCs/>
                <w:color w:val="auto"/>
                <w:kern w:val="0"/>
                <w:sz w:val="24"/>
                <w:highlight w:val="none"/>
                <w:u w:val="none"/>
              </w:rPr>
              <w:t>符合性分析</w:t>
            </w:r>
          </w:p>
          <w:p w14:paraId="2A5044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关于印发《湖南省空气质量持续改善行动计划实施方案》的通知中提到：“（八）实施工业炉窑清洁能源替代。以使用高污染燃料的工业炉窑为重点，大力推进电能、天然气替代。新改扩建加热炉、热处理炉、干燥炉、熔化炉原则上采用清洁低碳能源。全省原则上不再新增燃料类煤气发生炉，逐步淘汰固定床间歇式煤气发生炉。”</w:t>
            </w:r>
          </w:p>
          <w:p w14:paraId="355917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本项目配套建设的2台焚烧炉，燃料采用生物质颗粒及钢瓶抽残回收的液化石油气残液</w:t>
            </w:r>
            <w:r>
              <w:rPr>
                <w:rFonts w:hint="eastAsia" w:cs="Times New Roman"/>
                <w:color w:val="auto"/>
                <w:sz w:val="24"/>
                <w:szCs w:val="24"/>
                <w:lang w:val="en-US" w:eastAsia="zh-CN"/>
              </w:rPr>
              <w:t>，未</w:t>
            </w:r>
            <w:r>
              <w:rPr>
                <w:rFonts w:hint="eastAsia" w:ascii="Times New Roman" w:hAnsi="Times New Roman" w:eastAsia="宋体" w:cs="Times New Roman"/>
                <w:color w:val="auto"/>
                <w:sz w:val="24"/>
                <w:szCs w:val="24"/>
                <w:lang w:val="en-US" w:eastAsia="zh-CN"/>
              </w:rPr>
              <w:t>使用《高污染燃料目录》规定的煤炭及其制品、重油、石油焦、固定床间歇式煤气发生炉煤气等高污染燃料，</w:t>
            </w:r>
            <w:r>
              <w:rPr>
                <w:rFonts w:hint="eastAsia" w:cs="Times New Roman"/>
                <w:color w:val="auto"/>
                <w:sz w:val="24"/>
                <w:szCs w:val="24"/>
                <w:lang w:val="en-US" w:eastAsia="zh-CN"/>
              </w:rPr>
              <w:t>项目</w:t>
            </w:r>
            <w:r>
              <w:rPr>
                <w:rFonts w:hint="eastAsia" w:ascii="Times New Roman" w:hAnsi="Times New Roman" w:eastAsia="宋体" w:cs="Times New Roman"/>
                <w:color w:val="auto"/>
                <w:sz w:val="24"/>
                <w:szCs w:val="24"/>
                <w:lang w:val="en-US" w:eastAsia="zh-CN"/>
              </w:rPr>
              <w:t>不新增煤气发生炉，因此，本项目符合《湖南省空气质量持续改善行动计划实施方案》中相关产业政策要求。</w:t>
            </w:r>
          </w:p>
          <w:p w14:paraId="4E4B95F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bCs/>
                <w:color w:val="auto"/>
                <w:sz w:val="24"/>
                <w:highlight w:val="none"/>
                <w:u w:val="none"/>
              </w:rPr>
            </w:pPr>
            <w:bookmarkStart w:id="12" w:name="OLE_LINK51"/>
            <w:r>
              <w:rPr>
                <w:rFonts w:hint="eastAsia" w:cs="Times New Roman"/>
                <w:b/>
                <w:bCs/>
                <w:color w:val="auto"/>
                <w:sz w:val="24"/>
                <w:szCs w:val="24"/>
                <w:lang w:val="en-US" w:eastAsia="zh-CN"/>
              </w:rPr>
              <w:t>5、</w:t>
            </w:r>
            <w:r>
              <w:rPr>
                <w:rFonts w:hint="eastAsia" w:ascii="Times New Roman" w:hAnsi="Times New Roman" w:cs="Times New Roman" w:eastAsiaTheme="minorEastAsia"/>
                <w:b/>
                <w:bCs/>
                <w:color w:val="auto"/>
                <w:sz w:val="24"/>
                <w:highlight w:val="none"/>
                <w:u w:val="none"/>
                <w:lang w:val="en-US" w:eastAsia="zh-CN"/>
              </w:rPr>
              <w:t>与《湖南省“两高”项目管理目录》(湘发改环资〔2021〕968号</w:t>
            </w:r>
            <w:r>
              <w:rPr>
                <w:rFonts w:hint="eastAsia" w:cs="Times New Roman" w:eastAsiaTheme="minorEastAsia"/>
                <w:b/>
                <w:bCs/>
                <w:color w:val="auto"/>
                <w:sz w:val="24"/>
                <w:highlight w:val="none"/>
                <w:u w:val="none"/>
                <w:lang w:val="en-US" w:eastAsia="zh-CN"/>
              </w:rPr>
              <w:t>）</w:t>
            </w:r>
            <w:r>
              <w:rPr>
                <w:rFonts w:hint="eastAsia" w:ascii="Times New Roman" w:hAnsi="Times New Roman" w:cs="Times New Roman" w:eastAsiaTheme="minorEastAsia"/>
                <w:b/>
                <w:bCs/>
                <w:color w:val="auto"/>
                <w:sz w:val="24"/>
                <w:highlight w:val="none"/>
                <w:u w:val="none"/>
                <w:lang w:val="en-US" w:eastAsia="zh-CN"/>
              </w:rPr>
              <w:t xml:space="preserve">符合性分析 </w:t>
            </w:r>
          </w:p>
          <w:bookmarkEnd w:id="12"/>
          <w:p w14:paraId="2C02AD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根据湖南省发展和改革委员会关于印发《湖南省“两高”项目管理目录》的通知（湘发改环资</w:t>
            </w:r>
            <w:r>
              <w:rPr>
                <w:rFonts w:hint="default" w:ascii="Times New Roman" w:hAnsi="Times New Roman" w:eastAsia="宋体" w:cs="Times New Roman"/>
                <w:color w:val="auto"/>
                <w:sz w:val="24"/>
                <w:szCs w:val="24"/>
                <w:lang w:val="en-US" w:eastAsia="zh-CN"/>
              </w:rPr>
              <w:t xml:space="preserve">{2021}968 </w:t>
            </w:r>
            <w:r>
              <w:rPr>
                <w:rFonts w:hint="eastAsia" w:ascii="Times New Roman" w:hAnsi="Times New Roman" w:eastAsia="宋体" w:cs="Times New Roman"/>
                <w:color w:val="auto"/>
                <w:sz w:val="24"/>
                <w:szCs w:val="24"/>
                <w:lang w:val="en-US" w:eastAsia="zh-CN"/>
              </w:rPr>
              <w:t>号）中，管理名录明确涉及石化、化工、煤化工、焦化、钢铁、建材、有色、煤电行业以及涉及煤及煤制造、石油焦、渣油、重油等高污染燃料使用工业炉窑、锅炉的为“两高”项目</w:t>
            </w:r>
            <w:r>
              <w:rPr>
                <w:rFonts w:hint="eastAsia" w:cs="Times New Roman"/>
                <w:color w:val="auto"/>
                <w:sz w:val="24"/>
                <w:szCs w:val="24"/>
                <w:lang w:val="en-US" w:eastAsia="zh-CN"/>
              </w:rPr>
              <w:t>。</w:t>
            </w:r>
          </w:p>
          <w:p w14:paraId="24A9BF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ascii="Times New Roman" w:hAnsi="Times New Roman" w:eastAsia="宋体" w:cs="Times New Roman"/>
                <w:color w:val="auto"/>
                <w:kern w:val="2"/>
                <w:sz w:val="24"/>
                <w:szCs w:val="24"/>
                <w:highlight w:val="none"/>
                <w:u w:val="none" w:color="auto"/>
                <w:shd w:val="clear" w:color="auto" w:fill="auto"/>
                <w:lang w:bidi="en-US"/>
              </w:rPr>
              <w:t>本项目主体行业不属于上述八大管控行业；项目配套 2 台焚烧炉，燃料为生物质颗粒、液化气残液，均不属于文件列明的煤及煤制品、石油焦、渣油、重油等高污染燃料。综上，本项目不在湖南省 “两高” 项目管理名录管控范围内，不属于 “两高” 项目。</w:t>
            </w:r>
          </w:p>
          <w:p w14:paraId="67E202A3">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default" w:cs="Times New Roman"/>
                <w:b/>
                <w:bCs/>
                <w:color w:val="auto"/>
                <w:sz w:val="24"/>
                <w:szCs w:val="24"/>
                <w:u w:val="single"/>
                <w:lang w:val="en-US" w:eastAsia="zh-CN"/>
              </w:rPr>
            </w:pPr>
            <w:r>
              <w:rPr>
                <w:rFonts w:hint="eastAsia" w:ascii="Times New Roman" w:hAnsi="Times New Roman" w:eastAsia="宋体" w:cs="Times New Roman"/>
                <w:b/>
                <w:bCs/>
                <w:color w:val="auto"/>
                <w:sz w:val="24"/>
                <w:szCs w:val="24"/>
                <w:u w:val="single"/>
                <w:lang w:val="en-US" w:eastAsia="zh-CN"/>
              </w:rPr>
              <w:t>6、</w:t>
            </w:r>
            <w:r>
              <w:rPr>
                <w:rFonts w:hint="eastAsia" w:cs="Times New Roman"/>
                <w:b/>
                <w:bCs/>
                <w:color w:val="auto"/>
                <w:sz w:val="24"/>
                <w:szCs w:val="24"/>
                <w:u w:val="single"/>
                <w:lang w:val="en-US" w:eastAsia="zh-CN"/>
              </w:rPr>
              <w:t>与</w:t>
            </w:r>
            <w:r>
              <w:rPr>
                <w:rFonts w:ascii="宋体" w:hAnsi="宋体" w:eastAsia="宋体" w:cs="宋体"/>
                <w:b/>
                <w:bCs/>
                <w:color w:val="auto"/>
                <w:kern w:val="0"/>
                <w:sz w:val="24"/>
                <w:szCs w:val="24"/>
                <w:u w:val="single"/>
                <w:lang w:val="en-US" w:eastAsia="zh-CN" w:bidi="ar"/>
              </w:rPr>
              <w:t>《湖南省大气污染防治攻坚三年行动实施方案（2026—2028 年）》</w:t>
            </w:r>
            <w:r>
              <w:rPr>
                <w:rFonts w:hint="eastAsia" w:ascii="宋体" w:hAnsi="宋体" w:cs="宋体"/>
                <w:b/>
                <w:bCs/>
                <w:color w:val="auto"/>
                <w:kern w:val="0"/>
                <w:sz w:val="24"/>
                <w:szCs w:val="24"/>
                <w:u w:val="single"/>
                <w:lang w:val="en-US" w:eastAsia="zh-CN" w:bidi="ar"/>
              </w:rPr>
              <w:t>符合性分析</w:t>
            </w:r>
          </w:p>
          <w:p w14:paraId="0A2038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u w:val="single"/>
                <w:lang w:val="en-US" w:eastAsia="zh-CN"/>
              </w:rPr>
            </w:pPr>
            <w:r>
              <w:rPr>
                <w:rFonts w:hint="eastAsia" w:ascii="Times New Roman" w:hAnsi="Times New Roman" w:eastAsia="宋体" w:cs="Times New Roman"/>
                <w:color w:val="auto"/>
                <w:sz w:val="24"/>
                <w:szCs w:val="24"/>
                <w:u w:val="single"/>
                <w:lang w:val="en-US" w:eastAsia="zh-CN"/>
              </w:rPr>
              <w:t>《湖南省大气污染防治攻坚三年行动实施方案（2026—2028 年）》</w:t>
            </w:r>
            <w:r>
              <w:rPr>
                <w:rFonts w:hint="eastAsia" w:cs="Times New Roman"/>
                <w:color w:val="auto"/>
                <w:sz w:val="24"/>
                <w:szCs w:val="24"/>
                <w:u w:val="single"/>
                <w:lang w:val="en-US" w:eastAsia="zh-CN"/>
              </w:rPr>
              <w:t>提出</w:t>
            </w:r>
            <w:r>
              <w:rPr>
                <w:rFonts w:hint="eastAsia" w:ascii="Times New Roman" w:hAnsi="Times New Roman" w:eastAsia="宋体" w:cs="Times New Roman"/>
                <w:color w:val="auto"/>
                <w:sz w:val="24"/>
                <w:szCs w:val="24"/>
                <w:u w:val="single"/>
                <w:lang w:val="en-US" w:eastAsia="zh-CN"/>
              </w:rPr>
              <w:t xml:space="preserve">：①以使用高污染燃料的工业炉窑为重点，大力推进电能、天然气等清洁低碳能源替代，全省原则上不再新增燃料类煤气发生炉；②全面推进工业炉窑深度治理，淘汰单级布袋等低效废气治理设施，提升颗粒物稳定去除效率；③强化涉 VOCs 工序全密闭收集管控，落实泄漏检测与修复（LDAR）制度，严控无组织有机废气、恶臭逸散；④大力扶持再生资源、废弃物循环利用类绿色低碳产业，严控 “两高” 新增项目；⑤全面开展厂区扬尘精细化管控，物料密闭堆放、厂区硬化清扫，削减无组织粉尘排放。 </w:t>
            </w:r>
          </w:p>
          <w:p w14:paraId="615E66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b/>
                <w:bCs/>
                <w:color w:val="auto"/>
                <w:sz w:val="24"/>
                <w:szCs w:val="24"/>
                <w:u w:val="single"/>
                <w:lang w:val="en-US" w:eastAsia="zh-CN"/>
              </w:rPr>
            </w:pPr>
            <w:r>
              <w:rPr>
                <w:rFonts w:hint="eastAsia" w:ascii="Times New Roman" w:hAnsi="Times New Roman" w:eastAsia="宋体" w:cs="Times New Roman"/>
                <w:color w:val="auto"/>
                <w:sz w:val="24"/>
                <w:szCs w:val="24"/>
                <w:u w:val="single"/>
                <w:lang w:val="en-US" w:eastAsia="zh-CN"/>
              </w:rPr>
              <w:t>本项目行业为C4210金属废料和碎屑加工处理，属于政策鼓励的废弃物循环利用产业，不属于“两高”管控行业；配套焚烧炉燃料采用自产液化气残液+生物质颗粒，未使用煤、重油等高污染燃料，不新增煤气发生炉，落实炉窑清洁能源替代要求；项目搬迁后淘汰原单级高温布袋除尘，升级“旋风除尘 + 高温布袋” 两级高效除尘工艺，完成低效治理设施升级改造，满足炉窑深度治理要求；抽残、拆阀涉VOC工序采用全密闭负压抽吸系统，管控无组织非甲烷总烃与恶臭；</w:t>
            </w:r>
            <w:r>
              <w:rPr>
                <w:rFonts w:hint="eastAsia" w:cs="Times New Roman"/>
                <w:color w:val="auto"/>
                <w:sz w:val="24"/>
                <w:szCs w:val="24"/>
                <w:u w:val="single"/>
                <w:lang w:val="en-US" w:eastAsia="zh-CN"/>
              </w:rPr>
              <w:t>项目与</w:t>
            </w:r>
            <w:r>
              <w:rPr>
                <w:rFonts w:hint="eastAsia" w:ascii="Times New Roman" w:hAnsi="Times New Roman" w:eastAsia="宋体" w:cs="Times New Roman"/>
                <w:color w:val="auto"/>
                <w:sz w:val="24"/>
                <w:szCs w:val="24"/>
                <w:u w:val="single"/>
                <w:lang w:val="en-US" w:eastAsia="zh-CN"/>
              </w:rPr>
              <w:t>湖南省大气污染防治攻坚三年行动实施方案（2026—2028 年）</w:t>
            </w:r>
            <w:r>
              <w:rPr>
                <w:rFonts w:hint="eastAsia" w:cs="Times New Roman"/>
                <w:color w:val="auto"/>
                <w:sz w:val="24"/>
                <w:szCs w:val="24"/>
                <w:u w:val="single"/>
                <w:lang w:val="en-US" w:eastAsia="zh-CN"/>
              </w:rPr>
              <w:t>要求相符。</w:t>
            </w:r>
          </w:p>
          <w:p w14:paraId="7BD3D519">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outlineLvl w:val="9"/>
              <w:rPr>
                <w:rFonts w:hint="default" w:ascii="Times New Roman" w:hAnsi="Times New Roman" w:eastAsia="宋体" w:cs="Times New Roman"/>
                <w:b/>
                <w:bCs/>
                <w:color w:val="auto"/>
                <w:sz w:val="24"/>
                <w:szCs w:val="24"/>
                <w:u w:val="single" w:color="auto"/>
                <w:lang w:val="en-US" w:eastAsia="zh-CN"/>
              </w:rPr>
            </w:pPr>
            <w:r>
              <w:rPr>
                <w:rFonts w:hint="eastAsia" w:cs="Times New Roman"/>
                <w:b/>
                <w:bCs/>
                <w:color w:val="auto"/>
                <w:sz w:val="24"/>
                <w:szCs w:val="24"/>
                <w:u w:val="single" w:color="auto"/>
                <w:lang w:val="en-US" w:eastAsia="zh-CN"/>
              </w:rPr>
              <w:t>7、</w:t>
            </w:r>
            <w:r>
              <w:rPr>
                <w:rFonts w:hint="eastAsia" w:ascii="Times New Roman" w:hAnsi="Times New Roman" w:eastAsia="宋体" w:cs="Times New Roman"/>
                <w:b/>
                <w:bCs/>
                <w:color w:val="auto"/>
                <w:sz w:val="24"/>
                <w:szCs w:val="24"/>
                <w:u w:val="single" w:color="auto"/>
                <w:lang w:val="en-US" w:eastAsia="zh-CN"/>
              </w:rPr>
              <w:t>与</w:t>
            </w:r>
            <w:r>
              <w:rPr>
                <w:rFonts w:hint="default" w:ascii="Times New Roman" w:hAnsi="Times New Roman" w:eastAsia="宋体" w:cs="Times New Roman"/>
                <w:b/>
                <w:bCs/>
                <w:color w:val="auto"/>
                <w:sz w:val="24"/>
                <w:szCs w:val="24"/>
                <w:u w:val="single" w:color="auto"/>
                <w:lang w:val="en-US" w:eastAsia="zh-CN"/>
              </w:rPr>
              <w:t>《湖南省工业炉窑大气污染综合治理实施方案》湘环发〔2020〕6号相符性分析</w:t>
            </w:r>
          </w:p>
          <w:p w14:paraId="1783DF78">
            <w:pPr>
              <w:pStyle w:val="63"/>
              <w:tabs>
                <w:tab w:val="left" w:pos="1021"/>
              </w:tabs>
              <w:bidi w:val="0"/>
              <w:jc w:val="center"/>
              <w:rPr>
                <w:rFonts w:hint="default" w:ascii="Times New Roman" w:hAnsi="Times New Roman" w:cs="Times New Roman"/>
                <w:b/>
                <w:bCs/>
                <w:color w:val="auto"/>
                <w:highlight w:val="none"/>
                <w:u w:val="single" w:color="auto"/>
              </w:rPr>
            </w:pPr>
            <w:r>
              <w:rPr>
                <w:rFonts w:hint="default" w:ascii="Times New Roman" w:hAnsi="Times New Roman" w:cs="Times New Roman"/>
                <w:b/>
                <w:bCs/>
                <w:color w:val="auto"/>
                <w:highlight w:val="none"/>
                <w:u w:val="single" w:color="auto"/>
                <w:lang w:val="en-US" w:eastAsia="zh-CN"/>
              </w:rPr>
              <w:t>表1-3  与</w:t>
            </w:r>
            <w:r>
              <w:rPr>
                <w:rFonts w:hint="default" w:ascii="Times New Roman" w:hAnsi="Times New Roman" w:cs="Times New Roman"/>
                <w:b/>
                <w:bCs/>
                <w:color w:val="auto"/>
                <w:highlight w:val="none"/>
                <w:u w:val="single" w:color="auto"/>
              </w:rPr>
              <w:t>湘环发〔2020〕6号相符性分析</w:t>
            </w:r>
          </w:p>
          <w:tbl>
            <w:tblPr>
              <w:tblStyle w:val="33"/>
              <w:tblW w:w="67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
              <w:gridCol w:w="3969"/>
              <w:gridCol w:w="1843"/>
              <w:gridCol w:w="509"/>
            </w:tblGrid>
            <w:tr w14:paraId="4056DE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1" w:type="dxa"/>
                  <w:noWrap w:val="0"/>
                  <w:vAlign w:val="center"/>
                </w:tcPr>
                <w:p w14:paraId="23019481">
                  <w:pPr>
                    <w:adjustRightInd w:val="0"/>
                    <w:snapToGrid w:val="0"/>
                    <w:jc w:val="center"/>
                    <w:rPr>
                      <w:rFonts w:ascii="Times New Roman" w:hAnsi="Times New Roman" w:eastAsia="宋体" w:cs="Times New Roman"/>
                      <w:b/>
                      <w:bCs/>
                      <w:color w:val="auto"/>
                      <w:szCs w:val="21"/>
                      <w:highlight w:val="none"/>
                      <w:u w:val="single" w:color="auto"/>
                    </w:rPr>
                  </w:pPr>
                  <w:r>
                    <w:rPr>
                      <w:rFonts w:ascii="Times New Roman" w:hAnsi="Times New Roman" w:eastAsia="宋体" w:cs="Times New Roman"/>
                      <w:b/>
                      <w:bCs/>
                      <w:color w:val="auto"/>
                      <w:szCs w:val="21"/>
                      <w:highlight w:val="none"/>
                      <w:u w:val="single" w:color="auto"/>
                    </w:rPr>
                    <w:t>序号</w:t>
                  </w:r>
                </w:p>
              </w:tc>
              <w:tc>
                <w:tcPr>
                  <w:tcW w:w="3969" w:type="dxa"/>
                  <w:noWrap w:val="0"/>
                  <w:vAlign w:val="center"/>
                </w:tcPr>
                <w:p w14:paraId="0CD69F6D">
                  <w:pPr>
                    <w:adjustRightInd w:val="0"/>
                    <w:snapToGrid w:val="0"/>
                    <w:jc w:val="center"/>
                    <w:rPr>
                      <w:rFonts w:ascii="Times New Roman" w:hAnsi="Times New Roman" w:eastAsia="宋体" w:cs="Times New Roman"/>
                      <w:b/>
                      <w:bCs/>
                      <w:color w:val="auto"/>
                      <w:szCs w:val="21"/>
                      <w:highlight w:val="none"/>
                      <w:u w:val="single" w:color="auto"/>
                    </w:rPr>
                  </w:pPr>
                  <w:r>
                    <w:rPr>
                      <w:rFonts w:ascii="Times New Roman" w:hAnsi="Times New Roman" w:eastAsia="宋体" w:cs="Times New Roman"/>
                      <w:b/>
                      <w:bCs/>
                      <w:color w:val="auto"/>
                      <w:szCs w:val="21"/>
                      <w:highlight w:val="none"/>
                      <w:u w:val="single" w:color="auto"/>
                    </w:rPr>
                    <w:t>规范条件</w:t>
                  </w:r>
                </w:p>
              </w:tc>
              <w:tc>
                <w:tcPr>
                  <w:tcW w:w="1843" w:type="dxa"/>
                  <w:noWrap w:val="0"/>
                  <w:vAlign w:val="center"/>
                </w:tcPr>
                <w:p w14:paraId="486BFBC1">
                  <w:pPr>
                    <w:adjustRightInd w:val="0"/>
                    <w:snapToGrid w:val="0"/>
                    <w:jc w:val="center"/>
                    <w:rPr>
                      <w:rFonts w:ascii="Times New Roman" w:hAnsi="Times New Roman" w:eastAsia="宋体" w:cs="Times New Roman"/>
                      <w:b/>
                      <w:bCs/>
                      <w:color w:val="auto"/>
                      <w:szCs w:val="21"/>
                      <w:highlight w:val="none"/>
                      <w:u w:val="single" w:color="auto"/>
                    </w:rPr>
                  </w:pPr>
                  <w:r>
                    <w:rPr>
                      <w:rFonts w:ascii="Times New Roman" w:hAnsi="Times New Roman" w:eastAsia="宋体" w:cs="Times New Roman"/>
                      <w:b/>
                      <w:bCs/>
                      <w:color w:val="auto"/>
                      <w:szCs w:val="21"/>
                      <w:highlight w:val="none"/>
                      <w:u w:val="single" w:color="auto"/>
                    </w:rPr>
                    <w:t>本项目建设内容</w:t>
                  </w:r>
                </w:p>
              </w:tc>
              <w:tc>
                <w:tcPr>
                  <w:tcW w:w="509" w:type="dxa"/>
                  <w:noWrap w:val="0"/>
                  <w:vAlign w:val="center"/>
                </w:tcPr>
                <w:p w14:paraId="10CCB760">
                  <w:pPr>
                    <w:adjustRightInd w:val="0"/>
                    <w:snapToGrid w:val="0"/>
                    <w:jc w:val="center"/>
                    <w:rPr>
                      <w:rFonts w:ascii="Times New Roman" w:hAnsi="Times New Roman" w:eastAsia="宋体" w:cs="Times New Roman"/>
                      <w:b/>
                      <w:bCs/>
                      <w:color w:val="auto"/>
                      <w:szCs w:val="21"/>
                      <w:highlight w:val="none"/>
                      <w:u w:val="single" w:color="auto"/>
                    </w:rPr>
                  </w:pPr>
                  <w:r>
                    <w:rPr>
                      <w:rFonts w:ascii="Times New Roman" w:hAnsi="Times New Roman" w:eastAsia="宋体" w:cs="Times New Roman"/>
                      <w:b/>
                      <w:bCs/>
                      <w:color w:val="auto"/>
                      <w:szCs w:val="21"/>
                      <w:highlight w:val="none"/>
                      <w:u w:val="single" w:color="auto"/>
                    </w:rPr>
                    <w:t>结论</w:t>
                  </w:r>
                </w:p>
              </w:tc>
            </w:tr>
            <w:tr w14:paraId="245B7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32" w:hRule="atLeast"/>
              </w:trPr>
              <w:tc>
                <w:tcPr>
                  <w:tcW w:w="451" w:type="dxa"/>
                  <w:noWrap w:val="0"/>
                  <w:vAlign w:val="center"/>
                </w:tcPr>
                <w:p w14:paraId="0711DB2F">
                  <w:pPr>
                    <w:adjustRightInd w:val="0"/>
                    <w:snapToGrid w:val="0"/>
                    <w:spacing w:before="1920" w:beforeLines="800" w:line="360" w:lineRule="auto"/>
                    <w:jc w:val="center"/>
                    <w:rPr>
                      <w:rFonts w:ascii="Times New Roman" w:hAnsi="Times New Roman" w:eastAsia="宋体" w:cs="Times New Roman"/>
                      <w:color w:val="auto"/>
                      <w:szCs w:val="21"/>
                      <w:highlight w:val="none"/>
                      <w:u w:val="single" w:color="auto"/>
                    </w:rPr>
                  </w:pPr>
                  <w:r>
                    <w:rPr>
                      <w:rFonts w:ascii="Times New Roman" w:hAnsi="Times New Roman" w:eastAsia="宋体" w:cs="Times New Roman"/>
                      <w:color w:val="auto"/>
                      <w:szCs w:val="21"/>
                      <w:highlight w:val="none"/>
                      <w:u w:val="single" w:color="auto"/>
                    </w:rPr>
                    <w:t>1</w:t>
                  </w:r>
                </w:p>
              </w:tc>
              <w:tc>
                <w:tcPr>
                  <w:tcW w:w="3969" w:type="dxa"/>
                  <w:noWrap w:val="0"/>
                  <w:vAlign w:val="center"/>
                </w:tcPr>
                <w:p w14:paraId="25585E00">
                  <w:pPr>
                    <w:adjustRightInd w:val="0"/>
                    <w:snapToGrid w:val="0"/>
                    <w:jc w:val="center"/>
                    <w:rPr>
                      <w:rFonts w:ascii="Times New Roman" w:hAnsi="Times New Roman" w:eastAsia="宋体" w:cs="Times New Roman"/>
                      <w:color w:val="auto"/>
                      <w:szCs w:val="21"/>
                      <w:highlight w:val="none"/>
                      <w:u w:val="single" w:color="auto"/>
                    </w:rPr>
                  </w:pPr>
                  <w:r>
                    <w:rPr>
                      <w:rFonts w:ascii="Times New Roman" w:hAnsi="Times New Roman" w:eastAsia="宋体" w:cs="Times New Roman"/>
                      <w:color w:val="auto"/>
                      <w:szCs w:val="21"/>
                      <w:highlight w:val="none"/>
                      <w:u w:val="single" w:color="auto"/>
                    </w:rPr>
                    <w:t>有组织排放控制要求。已有行业排放标准的工业</w:t>
                  </w:r>
                  <w:r>
                    <w:rPr>
                      <w:rFonts w:hint="eastAsia" w:cs="Times New Roman"/>
                      <w:color w:val="auto"/>
                      <w:szCs w:val="21"/>
                      <w:highlight w:val="none"/>
                      <w:u w:val="single" w:color="auto"/>
                      <w:lang w:val="en-US" w:eastAsia="zh-CN"/>
                    </w:rPr>
                    <w:t>炉窑</w:t>
                  </w:r>
                  <w:r>
                    <w:rPr>
                      <w:rFonts w:ascii="Times New Roman" w:hAnsi="Times New Roman" w:eastAsia="宋体" w:cs="Times New Roman"/>
                      <w:color w:val="auto"/>
                      <w:szCs w:val="21"/>
                      <w:highlight w:val="none"/>
                      <w:u w:val="single" w:color="auto"/>
                    </w:rPr>
                    <w:t>，严格按行业排放标准执行，已发放排污许可证的，应严格执行排污许可要求。暂未制订行业排放标准的</w:t>
                  </w:r>
                  <w:r>
                    <w:rPr>
                      <w:rFonts w:hint="eastAsia" w:cs="Times New Roman"/>
                      <w:color w:val="auto"/>
                      <w:szCs w:val="21"/>
                      <w:highlight w:val="none"/>
                      <w:u w:val="single" w:color="auto"/>
                      <w:lang w:eastAsia="zh-CN"/>
                    </w:rPr>
                    <w:t>工业炉窑</w:t>
                  </w:r>
                  <w:r>
                    <w:rPr>
                      <w:rFonts w:ascii="Times New Roman" w:hAnsi="Times New Roman" w:eastAsia="宋体" w:cs="Times New Roman"/>
                      <w:color w:val="auto"/>
                      <w:szCs w:val="21"/>
                      <w:highlight w:val="none"/>
                      <w:u w:val="single" w:color="auto"/>
                    </w:rPr>
                    <w:t>，待地方标准出台后执行，现阶段长沙市、株洲市、湘潭市以及常德市、岳阳市益阳市等传输通道城市按照颗粒物、二氧化硫、氮氧化物排放限值分别不高于30、200、300毫克/立方米实施改造，其中，日用玻璃、玻璃棉行业氮氧化物排放限值不高于400毫克/立方米</w:t>
                  </w:r>
                  <w:r>
                    <w:rPr>
                      <w:rFonts w:hint="eastAsia"/>
                      <w:color w:val="auto"/>
                      <w:u w:val="single" w:color="auto"/>
                      <w:lang w:eastAsia="zh-CN"/>
                    </w:rPr>
                    <w:t>，</w:t>
                  </w:r>
                  <w:r>
                    <w:rPr>
                      <w:rFonts w:ascii="Times New Roman" w:hAnsi="Times New Roman" w:eastAsia="宋体" w:cs="Times New Roman"/>
                      <w:color w:val="auto"/>
                      <w:szCs w:val="21"/>
                      <w:highlight w:val="none"/>
                      <w:u w:val="single" w:color="auto"/>
                    </w:rPr>
                    <w:t>水泥生产企业氮氧化物排放限值不高于100毫克/立方米，铸造行业烧结、高炉工序污染排放控制按照钢铁行业相关标准要求执行。</w:t>
                  </w:r>
                </w:p>
              </w:tc>
              <w:tc>
                <w:tcPr>
                  <w:tcW w:w="1843" w:type="dxa"/>
                  <w:noWrap w:val="0"/>
                  <w:vAlign w:val="center"/>
                </w:tcPr>
                <w:p w14:paraId="610FB619">
                  <w:pPr>
                    <w:adjustRightInd w:val="0"/>
                    <w:snapToGrid w:val="0"/>
                    <w:jc w:val="center"/>
                    <w:rPr>
                      <w:rFonts w:ascii="Times New Roman" w:hAnsi="Times New Roman" w:eastAsia="宋体" w:cs="Times New Roman"/>
                      <w:color w:val="auto"/>
                      <w:szCs w:val="21"/>
                      <w:highlight w:val="none"/>
                      <w:u w:val="single" w:color="auto"/>
                    </w:rPr>
                  </w:pPr>
                  <w:r>
                    <w:rPr>
                      <w:rFonts w:ascii="Times New Roman" w:hAnsi="Times New Roman" w:eastAsia="宋体" w:cs="Times New Roman"/>
                      <w:color w:val="auto"/>
                      <w:szCs w:val="21"/>
                      <w:highlight w:val="none"/>
                      <w:u w:val="single" w:color="auto"/>
                    </w:rPr>
                    <w:t>项目位于</w:t>
                  </w:r>
                  <w:r>
                    <w:rPr>
                      <w:rFonts w:hint="eastAsia" w:ascii="Times New Roman" w:hAnsi="Times New Roman" w:eastAsia="宋体" w:cs="Times New Roman"/>
                      <w:color w:val="auto"/>
                      <w:szCs w:val="21"/>
                      <w:highlight w:val="none"/>
                      <w:u w:val="single" w:color="auto"/>
                      <w:lang w:val="en-US" w:eastAsia="zh-CN"/>
                    </w:rPr>
                    <w:t>岳阳市岳阳县</w:t>
                  </w:r>
                  <w:r>
                    <w:rPr>
                      <w:rFonts w:hint="eastAsia" w:cs="Times New Roman"/>
                      <w:color w:val="auto"/>
                      <w:szCs w:val="21"/>
                      <w:highlight w:val="none"/>
                      <w:u w:val="single" w:color="auto"/>
                      <w:lang w:val="en-US" w:eastAsia="zh-CN"/>
                    </w:rPr>
                    <w:t>新墙镇</w:t>
                  </w:r>
                  <w:r>
                    <w:rPr>
                      <w:rFonts w:ascii="Times New Roman" w:hAnsi="Times New Roman" w:eastAsia="宋体" w:cs="Times New Roman"/>
                      <w:color w:val="auto"/>
                      <w:szCs w:val="21"/>
                      <w:highlight w:val="none"/>
                      <w:u w:val="single" w:color="auto"/>
                    </w:rPr>
                    <w:t>，</w:t>
                  </w:r>
                  <w:r>
                    <w:rPr>
                      <w:rFonts w:hint="eastAsia"/>
                      <w:color w:val="auto"/>
                      <w:u w:val="single" w:color="auto"/>
                      <w:lang w:val="en-US" w:eastAsia="zh-CN"/>
                    </w:rPr>
                    <w:t>根据核算，本项目</w:t>
                  </w:r>
                  <w:r>
                    <w:rPr>
                      <w:rFonts w:ascii="Times New Roman" w:hAnsi="Times New Roman" w:eastAsia="宋体" w:cs="Times New Roman"/>
                      <w:color w:val="auto"/>
                      <w:szCs w:val="21"/>
                      <w:highlight w:val="none"/>
                      <w:u w:val="single" w:color="auto"/>
                    </w:rPr>
                    <w:t>颗粒物、二氧化硫、氮氧化物排放</w:t>
                  </w:r>
                  <w:r>
                    <w:rPr>
                      <w:rFonts w:hint="eastAsia" w:cs="Times New Roman"/>
                      <w:color w:val="auto"/>
                      <w:szCs w:val="21"/>
                      <w:highlight w:val="none"/>
                      <w:u w:val="single" w:color="auto"/>
                      <w:lang w:val="en-US" w:eastAsia="zh-CN"/>
                    </w:rPr>
                    <w:t>浓度低于</w:t>
                  </w:r>
                  <w:r>
                    <w:rPr>
                      <w:rFonts w:ascii="Times New Roman" w:hAnsi="Times New Roman" w:eastAsia="宋体" w:cs="Times New Roman"/>
                      <w:color w:val="auto"/>
                      <w:szCs w:val="21"/>
                      <w:highlight w:val="none"/>
                      <w:u w:val="single" w:color="auto"/>
                    </w:rPr>
                    <w:t>30、200、300毫克/立方米。</w:t>
                  </w:r>
                </w:p>
              </w:tc>
              <w:tc>
                <w:tcPr>
                  <w:tcW w:w="509" w:type="dxa"/>
                  <w:noWrap w:val="0"/>
                  <w:vAlign w:val="center"/>
                </w:tcPr>
                <w:p w14:paraId="7AC099DB">
                  <w:pPr>
                    <w:pStyle w:val="63"/>
                    <w:tabs>
                      <w:tab w:val="left" w:pos="1021"/>
                    </w:tabs>
                    <w:bidi w:val="0"/>
                    <w:jc w:val="center"/>
                    <w:rPr>
                      <w:rFonts w:ascii="Times New Roman" w:hAnsi="Times New Roman" w:eastAsia="宋体" w:cs="Times New Roman"/>
                      <w:color w:val="auto"/>
                      <w:szCs w:val="21"/>
                      <w:highlight w:val="none"/>
                      <w:u w:val="single" w:color="auto"/>
                    </w:rPr>
                  </w:pPr>
                  <w:r>
                    <w:rPr>
                      <w:color w:val="auto"/>
                      <w:highlight w:val="none"/>
                      <w:u w:val="single" w:color="auto"/>
                    </w:rPr>
                    <w:t>符合</w:t>
                  </w:r>
                </w:p>
              </w:tc>
            </w:tr>
            <w:tr w14:paraId="5E9E4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51" w:type="dxa"/>
                  <w:noWrap w:val="0"/>
                  <w:vAlign w:val="center"/>
                </w:tcPr>
                <w:p w14:paraId="38F10556">
                  <w:pPr>
                    <w:adjustRightInd w:val="0"/>
                    <w:snapToGrid w:val="0"/>
                    <w:spacing w:before="1920" w:beforeLines="800" w:line="360" w:lineRule="auto"/>
                    <w:jc w:val="center"/>
                    <w:rPr>
                      <w:rFonts w:ascii="Times New Roman" w:hAnsi="Times New Roman" w:eastAsia="宋体" w:cs="Times New Roman"/>
                      <w:color w:val="auto"/>
                      <w:szCs w:val="21"/>
                      <w:highlight w:val="none"/>
                      <w:u w:val="single" w:color="auto"/>
                    </w:rPr>
                  </w:pPr>
                  <w:r>
                    <w:rPr>
                      <w:rFonts w:ascii="Times New Roman" w:hAnsi="Times New Roman" w:eastAsia="宋体" w:cs="Times New Roman"/>
                      <w:color w:val="auto"/>
                      <w:szCs w:val="21"/>
                      <w:highlight w:val="none"/>
                      <w:u w:val="single" w:color="auto"/>
                    </w:rPr>
                    <w:t>2</w:t>
                  </w:r>
                </w:p>
              </w:tc>
              <w:tc>
                <w:tcPr>
                  <w:tcW w:w="3969" w:type="dxa"/>
                  <w:noWrap w:val="0"/>
                  <w:vAlign w:val="center"/>
                </w:tcPr>
                <w:p w14:paraId="39E4DA40">
                  <w:pPr>
                    <w:adjustRightInd w:val="0"/>
                    <w:snapToGrid w:val="0"/>
                    <w:jc w:val="center"/>
                    <w:rPr>
                      <w:rFonts w:ascii="Times New Roman" w:hAnsi="Times New Roman" w:eastAsia="宋体" w:cs="Times New Roman"/>
                      <w:color w:val="auto"/>
                      <w:szCs w:val="21"/>
                      <w:highlight w:val="none"/>
                      <w:u w:val="single" w:color="auto"/>
                    </w:rPr>
                  </w:pPr>
                  <w:r>
                    <w:rPr>
                      <w:rFonts w:ascii="Times New Roman" w:hAnsi="Times New Roman" w:eastAsia="宋体" w:cs="Times New Roman"/>
                      <w:color w:val="auto"/>
                      <w:szCs w:val="21"/>
                      <w:highlight w:val="none"/>
                      <w:u w:val="single" w:color="auto"/>
                    </w:rPr>
                    <w:t>无组织排放控制要求。严格控制工业炉窑生产过程及相关物料储存、输送等无组织排放，在保障生产安全的前提下，采取密闭、封闭等有效措施，有效提高废气收集率，产尘点及车间不得有可见烟粉尘外逸。生产工艺产尘点（装置）应采取密闭、封闭或设置集气罩等措施。煤粉、粉煤灰、石灰、除尘灰、脱硫灰等粉状物料应密闭或封闭储存，采用密闭皮带、封闭通廊、管状带式输送机或密闭车厢、真空罐车、气力输送等方式输送。粒状块状物料应采用入棚入仓或建设防风抑尘网等方式进行储存，粒状物料采用密闭、封闭等方式输送。物料输送过程中产尘点应采取有效抑尘措施。</w:t>
                  </w:r>
                </w:p>
              </w:tc>
              <w:tc>
                <w:tcPr>
                  <w:tcW w:w="1843" w:type="dxa"/>
                  <w:noWrap w:val="0"/>
                  <w:vAlign w:val="center"/>
                </w:tcPr>
                <w:p w14:paraId="696B41B3">
                  <w:pPr>
                    <w:adjustRightInd w:val="0"/>
                    <w:snapToGrid w:val="0"/>
                    <w:jc w:val="center"/>
                    <w:rPr>
                      <w:rFonts w:ascii="Times New Roman" w:hAnsi="Times New Roman" w:eastAsia="宋体" w:cs="Times New Roman"/>
                      <w:color w:val="auto"/>
                      <w:szCs w:val="21"/>
                      <w:highlight w:val="none"/>
                      <w:u w:val="single" w:color="auto"/>
                    </w:rPr>
                  </w:pPr>
                  <w:r>
                    <w:rPr>
                      <w:rFonts w:hint="eastAsia" w:ascii="Times New Roman" w:hAnsi="Times New Roman" w:eastAsia="宋体" w:cs="Times New Roman"/>
                      <w:color w:val="auto"/>
                      <w:szCs w:val="21"/>
                      <w:highlight w:val="none"/>
                      <w:u w:val="single" w:color="auto"/>
                    </w:rPr>
                    <w:t>本项目</w:t>
                  </w:r>
                  <w:r>
                    <w:rPr>
                      <w:rFonts w:hint="eastAsia" w:cs="Times New Roman"/>
                      <w:color w:val="auto"/>
                      <w:szCs w:val="21"/>
                      <w:highlight w:val="none"/>
                      <w:u w:val="single" w:color="auto"/>
                      <w:lang w:val="en-US" w:eastAsia="zh-CN"/>
                    </w:rPr>
                    <w:t>设置</w:t>
                  </w:r>
                  <w:r>
                    <w:rPr>
                      <w:rFonts w:hint="eastAsia" w:ascii="Times New Roman" w:hAnsi="Times New Roman" w:cs="Times New Roman"/>
                      <w:color w:val="auto"/>
                      <w:szCs w:val="21"/>
                      <w:highlight w:val="none"/>
                      <w:u w:val="single" w:color="auto"/>
                      <w:lang w:val="en-US" w:eastAsia="zh-CN"/>
                    </w:rPr>
                    <w:t>2</w:t>
                  </w:r>
                  <w:r>
                    <w:rPr>
                      <w:rFonts w:hint="eastAsia" w:ascii="Times New Roman" w:hAnsi="Times New Roman" w:eastAsia="宋体" w:cs="Times New Roman"/>
                      <w:color w:val="auto"/>
                      <w:szCs w:val="21"/>
                      <w:highlight w:val="none"/>
                      <w:u w:val="single" w:color="auto"/>
                    </w:rPr>
                    <w:t>台</w:t>
                  </w:r>
                  <w:r>
                    <w:rPr>
                      <w:rFonts w:hint="eastAsia" w:ascii="Times New Roman" w:hAnsi="Times New Roman" w:cs="Times New Roman"/>
                      <w:color w:val="auto"/>
                      <w:szCs w:val="21"/>
                      <w:highlight w:val="none"/>
                      <w:u w:val="single" w:color="auto"/>
                      <w:lang w:val="en-US" w:eastAsia="zh-CN"/>
                    </w:rPr>
                    <w:t>焚烧</w:t>
                  </w:r>
                  <w:r>
                    <w:rPr>
                      <w:rFonts w:hint="eastAsia" w:ascii="Times New Roman" w:hAnsi="Times New Roman" w:eastAsia="宋体" w:cs="Times New Roman"/>
                      <w:color w:val="auto"/>
                      <w:szCs w:val="21"/>
                      <w:highlight w:val="none"/>
                      <w:u w:val="single" w:color="auto"/>
                    </w:rPr>
                    <w:t>炉，</w:t>
                  </w:r>
                  <w:r>
                    <w:rPr>
                      <w:rFonts w:hint="eastAsia" w:cs="Times New Roman"/>
                      <w:color w:val="auto"/>
                      <w:szCs w:val="21"/>
                      <w:highlight w:val="none"/>
                      <w:u w:val="single" w:color="auto"/>
                      <w:lang w:val="en-US" w:eastAsia="zh-CN"/>
                    </w:rPr>
                    <w:t>焚烧废气</w:t>
                  </w:r>
                  <w:r>
                    <w:rPr>
                      <w:rFonts w:hint="eastAsia"/>
                      <w:color w:val="auto"/>
                      <w:u w:val="single" w:color="auto"/>
                      <w:lang w:val="en-US" w:eastAsia="zh-CN"/>
                    </w:rPr>
                    <w:t>经</w:t>
                  </w:r>
                  <w:r>
                    <w:rPr>
                      <w:color w:val="auto"/>
                      <w:u w:val="single" w:color="auto"/>
                    </w:rPr>
                    <w:t>配套</w:t>
                  </w:r>
                  <w:r>
                    <w:rPr>
                      <w:rFonts w:hint="eastAsia"/>
                      <w:color w:val="auto"/>
                      <w:u w:val="single" w:color="auto"/>
                      <w:lang w:val="en-US" w:eastAsia="zh-CN"/>
                    </w:rPr>
                    <w:t>的</w:t>
                  </w:r>
                  <w:r>
                    <w:rPr>
                      <w:rFonts w:hint="eastAsia"/>
                      <w:color w:val="auto"/>
                      <w:u w:val="single" w:color="auto"/>
                      <w:lang w:eastAsia="zh-CN"/>
                    </w:rPr>
                    <w:t>“旋风除尘+高温布袋除尘”组合工艺</w:t>
                  </w:r>
                  <w:r>
                    <w:rPr>
                      <w:rFonts w:hint="eastAsia"/>
                      <w:color w:val="auto"/>
                      <w:u w:val="single" w:color="auto"/>
                      <w:lang w:val="en-US" w:eastAsia="zh-CN"/>
                    </w:rPr>
                    <w:t>处理后废气可达标排放</w:t>
                  </w:r>
                  <w:r>
                    <w:rPr>
                      <w:rFonts w:hint="eastAsia"/>
                      <w:color w:val="auto"/>
                      <w:u w:val="single" w:color="auto"/>
                      <w:lang w:eastAsia="zh-CN"/>
                    </w:rPr>
                    <w:t>，</w:t>
                  </w:r>
                  <w:r>
                    <w:rPr>
                      <w:rFonts w:hint="eastAsia"/>
                      <w:color w:val="auto"/>
                      <w:u w:val="single" w:color="auto"/>
                      <w:lang w:val="en-US" w:eastAsia="zh-CN"/>
                    </w:rPr>
                    <w:t>燃烧以生物质为主要材料，抽残液为辅料，生物质为密闭袋装，</w:t>
                  </w:r>
                  <w:r>
                    <w:rPr>
                      <w:rFonts w:hint="eastAsia" w:ascii="Times New Roman" w:hAnsi="Times New Roman" w:eastAsia="宋体" w:cs="Times New Roman"/>
                      <w:color w:val="auto"/>
                      <w:szCs w:val="21"/>
                      <w:highlight w:val="none"/>
                      <w:u w:val="single" w:color="auto"/>
                    </w:rPr>
                    <w:t>储存、输送等过程采取密闭作业</w:t>
                  </w:r>
                </w:p>
              </w:tc>
              <w:tc>
                <w:tcPr>
                  <w:tcW w:w="509" w:type="dxa"/>
                  <w:noWrap w:val="0"/>
                  <w:vAlign w:val="center"/>
                </w:tcPr>
                <w:p w14:paraId="7A76B31A">
                  <w:pPr>
                    <w:pStyle w:val="63"/>
                    <w:tabs>
                      <w:tab w:val="left" w:pos="1021"/>
                    </w:tabs>
                    <w:bidi w:val="0"/>
                    <w:jc w:val="center"/>
                    <w:rPr>
                      <w:rFonts w:ascii="Times New Roman" w:hAnsi="Times New Roman" w:eastAsia="宋体" w:cs="Times New Roman"/>
                      <w:color w:val="auto"/>
                      <w:szCs w:val="21"/>
                      <w:highlight w:val="none"/>
                      <w:u w:val="single" w:color="auto"/>
                    </w:rPr>
                  </w:pPr>
                  <w:r>
                    <w:rPr>
                      <w:color w:val="auto"/>
                      <w:highlight w:val="none"/>
                      <w:u w:val="single" w:color="auto"/>
                    </w:rPr>
                    <w:t>符合</w:t>
                  </w:r>
                </w:p>
              </w:tc>
            </w:tr>
          </w:tbl>
          <w:p w14:paraId="6EF992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u w:val="single" w:color="auto"/>
                <w:lang w:val="en-US" w:eastAsia="zh-CN"/>
              </w:rPr>
            </w:pPr>
            <w:r>
              <w:rPr>
                <w:rFonts w:hint="eastAsia" w:ascii="Times New Roman" w:hAnsi="Times New Roman" w:eastAsia="宋体" w:cs="Times New Roman"/>
                <w:color w:val="auto"/>
                <w:sz w:val="24"/>
                <w:szCs w:val="24"/>
                <w:u w:val="single" w:color="auto"/>
                <w:lang w:val="en-US" w:eastAsia="zh-CN"/>
              </w:rPr>
              <w:t>综上所述，本项目与《湖南省工业炉窑大气污染综合治理实施方案》（湘环发〔2020〕6号）相符。</w:t>
            </w:r>
          </w:p>
          <w:p w14:paraId="6EB620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8</w:t>
            </w:r>
            <w:r>
              <w:rPr>
                <w:rFonts w:hint="eastAsia" w:ascii="Times New Roman" w:hAnsi="Times New Roman" w:eastAsia="宋体" w:cs="Times New Roman"/>
                <w:b/>
                <w:bCs/>
                <w:color w:val="auto"/>
                <w:sz w:val="24"/>
                <w:szCs w:val="24"/>
                <w:lang w:val="en-US" w:eastAsia="zh-CN"/>
              </w:rPr>
              <w:t>、</w:t>
            </w:r>
            <w:r>
              <w:rPr>
                <w:rFonts w:hint="default" w:ascii="Times New Roman" w:hAnsi="Times New Roman" w:eastAsia="宋体" w:cs="Times New Roman"/>
                <w:b/>
                <w:bCs/>
                <w:color w:val="auto"/>
                <w:sz w:val="24"/>
                <w:szCs w:val="24"/>
                <w:lang w:val="en-US" w:eastAsia="zh-CN"/>
              </w:rPr>
              <w:t>与</w:t>
            </w:r>
            <w:r>
              <w:rPr>
                <w:rFonts w:hint="eastAsia" w:ascii="Times New Roman" w:hAnsi="Times New Roman" w:eastAsia="宋体" w:cs="Times New Roman"/>
                <w:b/>
                <w:bCs/>
                <w:color w:val="auto"/>
                <w:sz w:val="24"/>
                <w:szCs w:val="24"/>
                <w:lang w:val="en-US" w:eastAsia="zh-CN"/>
              </w:rPr>
              <w:t>《工业炉窑大气污染综合治理方案》（环大气〔2019〕56号）</w:t>
            </w:r>
            <w:r>
              <w:rPr>
                <w:rFonts w:hint="default" w:ascii="Times New Roman" w:hAnsi="Times New Roman" w:eastAsia="宋体" w:cs="Times New Roman"/>
                <w:b/>
                <w:bCs/>
                <w:color w:val="auto"/>
                <w:sz w:val="24"/>
                <w:szCs w:val="24"/>
                <w:lang w:val="en-US" w:eastAsia="zh-CN"/>
              </w:rPr>
              <w:t>的相符性分析</w:t>
            </w:r>
          </w:p>
          <w:p w14:paraId="01F63046">
            <w:pPr>
              <w:pStyle w:val="63"/>
              <w:tabs>
                <w:tab w:val="left" w:pos="1021"/>
              </w:tabs>
              <w:bidi w:val="0"/>
              <w:jc w:val="center"/>
              <w:rPr>
                <w:rFonts w:hint="eastAsia"/>
                <w:b/>
                <w:bCs/>
                <w:color w:val="auto"/>
                <w:u w:val="none" w:color="auto"/>
                <w:lang w:val="en-US" w:eastAsia="zh-CN"/>
              </w:rPr>
            </w:pPr>
            <w:r>
              <w:rPr>
                <w:rFonts w:hint="default" w:ascii="Times New Roman" w:hAnsi="Times New Roman" w:cs="Times New Roman"/>
                <w:b/>
                <w:bCs/>
                <w:color w:val="auto"/>
                <w:u w:val="none" w:color="auto"/>
                <w:lang w:val="en-US" w:eastAsia="zh-CN"/>
              </w:rPr>
              <w:t>表1-4   与（环大气〔2019〕56号）符合性分析</w:t>
            </w:r>
          </w:p>
          <w:tbl>
            <w:tblPr>
              <w:tblStyle w:val="34"/>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228"/>
              <w:gridCol w:w="1942"/>
              <w:gridCol w:w="1015"/>
            </w:tblGrid>
            <w:tr w14:paraId="389E3A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587" w:type="dxa"/>
                  <w:tcBorders>
                    <w:tl2br w:val="nil"/>
                    <w:tr2bl w:val="nil"/>
                  </w:tcBorders>
                  <w:vAlign w:val="center"/>
                </w:tcPr>
                <w:p w14:paraId="166DAB33">
                  <w:pPr>
                    <w:pStyle w:val="63"/>
                    <w:tabs>
                      <w:tab w:val="left" w:pos="1021"/>
                    </w:tabs>
                    <w:bidi w:val="0"/>
                    <w:jc w:val="center"/>
                    <w:rPr>
                      <w:rFonts w:hint="default"/>
                      <w:b/>
                      <w:bCs/>
                      <w:color w:val="auto"/>
                      <w:u w:val="none" w:color="auto"/>
                      <w:lang w:val="en-US" w:eastAsia="zh-CN"/>
                    </w:rPr>
                  </w:pPr>
                  <w:r>
                    <w:rPr>
                      <w:rFonts w:hint="eastAsia"/>
                      <w:b/>
                      <w:bCs/>
                      <w:color w:val="auto"/>
                      <w:u w:val="none" w:color="auto"/>
                      <w:lang w:val="en-US" w:eastAsia="zh-CN"/>
                    </w:rPr>
                    <w:t>序号</w:t>
                  </w:r>
                </w:p>
              </w:tc>
              <w:tc>
                <w:tcPr>
                  <w:tcW w:w="3228" w:type="dxa"/>
                  <w:tcBorders>
                    <w:tl2br w:val="nil"/>
                    <w:tr2bl w:val="nil"/>
                  </w:tcBorders>
                  <w:vAlign w:val="center"/>
                </w:tcPr>
                <w:p w14:paraId="6A0B5A8D">
                  <w:pPr>
                    <w:pStyle w:val="63"/>
                    <w:tabs>
                      <w:tab w:val="left" w:pos="1021"/>
                    </w:tabs>
                    <w:bidi w:val="0"/>
                    <w:jc w:val="center"/>
                    <w:rPr>
                      <w:rFonts w:hint="default"/>
                      <w:b/>
                      <w:bCs/>
                      <w:color w:val="auto"/>
                      <w:u w:val="none" w:color="auto"/>
                      <w:lang w:val="en-US" w:eastAsia="zh-CN"/>
                    </w:rPr>
                  </w:pPr>
                  <w:r>
                    <w:rPr>
                      <w:rFonts w:hint="eastAsia"/>
                      <w:b/>
                      <w:bCs/>
                      <w:color w:val="auto"/>
                      <w:u w:val="none" w:color="auto"/>
                      <w:lang w:val="en-US" w:eastAsia="zh-CN"/>
                    </w:rPr>
                    <w:t>文件要求</w:t>
                  </w:r>
                </w:p>
              </w:tc>
              <w:tc>
                <w:tcPr>
                  <w:tcW w:w="1942" w:type="dxa"/>
                  <w:tcBorders>
                    <w:tl2br w:val="nil"/>
                    <w:tr2bl w:val="nil"/>
                  </w:tcBorders>
                  <w:vAlign w:val="center"/>
                </w:tcPr>
                <w:p w14:paraId="005650E5">
                  <w:pPr>
                    <w:pStyle w:val="63"/>
                    <w:tabs>
                      <w:tab w:val="left" w:pos="1021"/>
                    </w:tabs>
                    <w:bidi w:val="0"/>
                    <w:jc w:val="center"/>
                    <w:rPr>
                      <w:rFonts w:hint="default"/>
                      <w:b/>
                      <w:bCs/>
                      <w:color w:val="auto"/>
                      <w:u w:val="none" w:color="auto"/>
                      <w:lang w:val="en-US" w:eastAsia="zh-CN"/>
                    </w:rPr>
                  </w:pPr>
                  <w:r>
                    <w:rPr>
                      <w:rFonts w:hint="eastAsia"/>
                      <w:b/>
                      <w:bCs/>
                      <w:color w:val="auto"/>
                      <w:u w:val="none" w:color="auto"/>
                      <w:lang w:val="en-US" w:eastAsia="zh-CN"/>
                    </w:rPr>
                    <w:t>项目情况</w:t>
                  </w:r>
                </w:p>
              </w:tc>
              <w:tc>
                <w:tcPr>
                  <w:tcW w:w="1015" w:type="dxa"/>
                  <w:tcBorders>
                    <w:tl2br w:val="nil"/>
                    <w:tr2bl w:val="nil"/>
                  </w:tcBorders>
                  <w:vAlign w:val="center"/>
                </w:tcPr>
                <w:p w14:paraId="1E8A992B">
                  <w:pPr>
                    <w:pStyle w:val="63"/>
                    <w:tabs>
                      <w:tab w:val="left" w:pos="1021"/>
                    </w:tabs>
                    <w:bidi w:val="0"/>
                    <w:jc w:val="center"/>
                    <w:rPr>
                      <w:rFonts w:hint="default"/>
                      <w:b/>
                      <w:bCs/>
                      <w:color w:val="auto"/>
                      <w:u w:val="none" w:color="auto"/>
                      <w:lang w:val="en-US" w:eastAsia="zh-CN"/>
                    </w:rPr>
                  </w:pPr>
                  <w:r>
                    <w:rPr>
                      <w:rFonts w:hint="eastAsia"/>
                      <w:b/>
                      <w:bCs/>
                      <w:color w:val="auto"/>
                      <w:u w:val="none" w:color="auto"/>
                      <w:lang w:val="en-US" w:eastAsia="zh-CN"/>
                    </w:rPr>
                    <w:t>相符性</w:t>
                  </w:r>
                </w:p>
              </w:tc>
            </w:tr>
            <w:tr w14:paraId="6B4719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87" w:type="dxa"/>
                  <w:tcBorders>
                    <w:tl2br w:val="nil"/>
                    <w:tr2bl w:val="nil"/>
                  </w:tcBorders>
                  <w:vAlign w:val="center"/>
                </w:tcPr>
                <w:p w14:paraId="57415DE7">
                  <w:pPr>
                    <w:pStyle w:val="63"/>
                    <w:tabs>
                      <w:tab w:val="left" w:pos="1021"/>
                    </w:tabs>
                    <w:bidi w:val="0"/>
                    <w:jc w:val="center"/>
                    <w:rPr>
                      <w:rFonts w:hint="default"/>
                      <w:color w:val="auto"/>
                      <w:u w:val="none" w:color="auto"/>
                      <w:lang w:val="en-US" w:eastAsia="zh-CN"/>
                    </w:rPr>
                  </w:pPr>
                  <w:r>
                    <w:rPr>
                      <w:rFonts w:hint="eastAsia"/>
                      <w:color w:val="auto"/>
                      <w:u w:val="none" w:color="auto"/>
                      <w:lang w:val="en-US" w:eastAsia="zh-CN"/>
                    </w:rPr>
                    <w:t>1</w:t>
                  </w:r>
                </w:p>
              </w:tc>
              <w:tc>
                <w:tcPr>
                  <w:tcW w:w="3228" w:type="dxa"/>
                  <w:tcBorders>
                    <w:tl2br w:val="nil"/>
                    <w:tr2bl w:val="nil"/>
                  </w:tcBorders>
                  <w:vAlign w:val="center"/>
                </w:tcPr>
                <w:p w14:paraId="14ED8767">
                  <w:pPr>
                    <w:pStyle w:val="63"/>
                    <w:tabs>
                      <w:tab w:val="left" w:pos="1021"/>
                    </w:tabs>
                    <w:bidi w:val="0"/>
                    <w:jc w:val="center"/>
                    <w:rPr>
                      <w:rFonts w:hint="default"/>
                      <w:color w:val="auto"/>
                      <w:u w:val="none" w:color="auto"/>
                      <w:lang w:val="en-US" w:eastAsia="zh-CN"/>
                    </w:rPr>
                  </w:pPr>
                  <w:r>
                    <w:rPr>
                      <w:color w:val="auto"/>
                      <w:u w:val="none" w:color="auto"/>
                    </w:rPr>
                    <w:t>加大落后产能和不达标工业炉窑淘汰力度。分行业清理《产业结构调整指导目录》淘汰类工业炉窑。天津、河北、山西、江苏、山东等地要按时完成各地已出台的钢铁、焦化、化工等行业产业结构调整任务。鼓励各地制定更加严格的环保标准，进一步促进产业结构调整。对热效率低下、敞开未封闭，装备简易落后、自动化程度低，无组织排放突出，以及无治理设施或治理设施工艺落后等严重污染环境的工业炉窑，依法责令停业关闭。</w:t>
                  </w:r>
                </w:p>
              </w:tc>
              <w:tc>
                <w:tcPr>
                  <w:tcW w:w="1942" w:type="dxa"/>
                  <w:tcBorders>
                    <w:tl2br w:val="nil"/>
                    <w:tr2bl w:val="nil"/>
                  </w:tcBorders>
                  <w:vAlign w:val="center"/>
                </w:tcPr>
                <w:p w14:paraId="7888C261">
                  <w:pPr>
                    <w:pStyle w:val="63"/>
                    <w:tabs>
                      <w:tab w:val="left" w:pos="1021"/>
                    </w:tabs>
                    <w:bidi w:val="0"/>
                    <w:jc w:val="center"/>
                    <w:rPr>
                      <w:rFonts w:hint="eastAsia"/>
                      <w:color w:val="auto"/>
                      <w:u w:val="none" w:color="auto"/>
                      <w:lang w:val="en-US" w:eastAsia="zh-CN"/>
                    </w:rPr>
                  </w:pPr>
                  <w:r>
                    <w:rPr>
                      <w:color w:val="auto"/>
                      <w:u w:val="none" w:color="auto"/>
                    </w:rPr>
                    <w:t>本项目</w:t>
                  </w:r>
                  <w:r>
                    <w:rPr>
                      <w:rFonts w:hint="eastAsia"/>
                      <w:color w:val="auto"/>
                      <w:u w:val="none" w:color="auto"/>
                      <w:lang w:eastAsia="zh-CN"/>
                    </w:rPr>
                    <w:t>焚烧炉</w:t>
                  </w:r>
                  <w:r>
                    <w:rPr>
                      <w:color w:val="auto"/>
                      <w:u w:val="none" w:color="auto"/>
                    </w:rPr>
                    <w:t>不属于</w:t>
                  </w:r>
                  <w:r>
                    <w:rPr>
                      <w:rFonts w:hint="eastAsia"/>
                      <w:color w:val="auto"/>
                      <w:u w:val="none" w:color="auto"/>
                      <w:lang w:eastAsia="zh-CN"/>
                    </w:rPr>
                    <w:t>《产业结构调整指导目录（2024年）》</w:t>
                  </w:r>
                  <w:r>
                    <w:rPr>
                      <w:color w:val="auto"/>
                      <w:u w:val="none" w:color="auto"/>
                    </w:rPr>
                    <w:t>淘汰类工业炉窑</w:t>
                  </w:r>
                  <w:r>
                    <w:rPr>
                      <w:rFonts w:hint="eastAsia"/>
                      <w:color w:val="auto"/>
                      <w:u w:val="none" w:color="auto"/>
                      <w:lang w:eastAsia="zh-CN"/>
                    </w:rPr>
                    <w:t>；</w:t>
                  </w:r>
                  <w:r>
                    <w:rPr>
                      <w:rFonts w:hint="eastAsia"/>
                      <w:color w:val="auto"/>
                      <w:u w:val="none" w:color="auto"/>
                      <w:lang w:val="en-US" w:eastAsia="zh-CN"/>
                    </w:rPr>
                    <w:t>本</w:t>
                  </w:r>
                  <w:r>
                    <w:rPr>
                      <w:color w:val="auto"/>
                      <w:u w:val="none" w:color="auto"/>
                    </w:rPr>
                    <w:t>项目</w:t>
                  </w:r>
                  <w:r>
                    <w:rPr>
                      <w:rFonts w:hint="eastAsia"/>
                      <w:color w:val="auto"/>
                      <w:u w:val="none" w:color="auto"/>
                      <w:lang w:eastAsia="zh-CN"/>
                    </w:rPr>
                    <w:t>所在地</w:t>
                  </w:r>
                  <w:r>
                    <w:rPr>
                      <w:color w:val="auto"/>
                      <w:u w:val="none" w:color="auto"/>
                    </w:rPr>
                    <w:t>不</w:t>
                  </w:r>
                  <w:r>
                    <w:rPr>
                      <w:rFonts w:hint="eastAsia"/>
                      <w:color w:val="auto"/>
                      <w:u w:val="none" w:color="auto"/>
                      <w:lang w:eastAsia="zh-CN"/>
                    </w:rPr>
                    <w:t>属于</w:t>
                  </w:r>
                  <w:r>
                    <w:rPr>
                      <w:color w:val="auto"/>
                      <w:u w:val="none" w:color="auto"/>
                    </w:rPr>
                    <w:t>重点区域</w:t>
                  </w:r>
                  <w:r>
                    <w:rPr>
                      <w:rFonts w:hint="eastAsia"/>
                      <w:color w:val="auto"/>
                      <w:u w:val="none" w:color="auto"/>
                      <w:lang w:eastAsia="zh-CN"/>
                    </w:rPr>
                    <w:t>；</w:t>
                  </w:r>
                  <w:r>
                    <w:rPr>
                      <w:color w:val="auto"/>
                      <w:u w:val="none" w:color="auto"/>
                    </w:rPr>
                    <w:t>项目</w:t>
                  </w:r>
                  <w:r>
                    <w:rPr>
                      <w:rFonts w:hint="eastAsia"/>
                      <w:color w:val="auto"/>
                      <w:u w:val="none" w:color="auto"/>
                      <w:lang w:val="en-US" w:eastAsia="zh-CN"/>
                    </w:rPr>
                    <w:t>焚烧</w:t>
                  </w:r>
                  <w:r>
                    <w:rPr>
                      <w:color w:val="auto"/>
                      <w:u w:val="none" w:color="auto"/>
                    </w:rPr>
                    <w:t>炉采用</w:t>
                  </w:r>
                  <w:r>
                    <w:rPr>
                      <w:rFonts w:hint="eastAsia"/>
                      <w:color w:val="auto"/>
                      <w:u w:val="none" w:color="auto"/>
                      <w:lang w:val="en-US" w:eastAsia="zh-CN"/>
                    </w:rPr>
                    <w:t>生物质颗粒和残液</w:t>
                  </w:r>
                  <w:r>
                    <w:rPr>
                      <w:color w:val="auto"/>
                      <w:u w:val="none" w:color="auto"/>
                    </w:rPr>
                    <w:t>作燃料，</w:t>
                  </w:r>
                  <w:r>
                    <w:rPr>
                      <w:rFonts w:hint="eastAsia"/>
                      <w:color w:val="auto"/>
                      <w:u w:val="none" w:color="auto"/>
                      <w:lang w:val="en-US" w:eastAsia="zh-CN"/>
                    </w:rPr>
                    <w:t>经</w:t>
                  </w:r>
                  <w:r>
                    <w:rPr>
                      <w:color w:val="auto"/>
                      <w:u w:val="none" w:color="auto"/>
                    </w:rPr>
                    <w:t>配套</w:t>
                  </w:r>
                  <w:r>
                    <w:rPr>
                      <w:rFonts w:hint="eastAsia"/>
                      <w:color w:val="auto"/>
                      <w:lang w:val="en-US" w:eastAsia="zh-CN"/>
                    </w:rPr>
                    <w:t>的</w:t>
                  </w:r>
                  <w:r>
                    <w:rPr>
                      <w:rFonts w:hint="eastAsia"/>
                      <w:color w:val="auto"/>
                      <w:u w:val="none" w:color="auto"/>
                      <w:lang w:eastAsia="zh-CN"/>
                    </w:rPr>
                    <w:t>“旋风除尘+高温布袋除尘”组合工艺</w:t>
                  </w:r>
                  <w:r>
                    <w:rPr>
                      <w:rFonts w:hint="eastAsia"/>
                      <w:color w:val="auto"/>
                      <w:u w:val="none" w:color="auto"/>
                      <w:lang w:val="en-US" w:eastAsia="zh-CN"/>
                    </w:rPr>
                    <w:t>处理后废气可达标排放</w:t>
                  </w:r>
                  <w:r>
                    <w:rPr>
                      <w:color w:val="auto"/>
                      <w:u w:val="none" w:color="auto"/>
                    </w:rPr>
                    <w:t>。</w:t>
                  </w:r>
                </w:p>
              </w:tc>
              <w:tc>
                <w:tcPr>
                  <w:tcW w:w="1015" w:type="dxa"/>
                  <w:tcBorders>
                    <w:tl2br w:val="nil"/>
                    <w:tr2bl w:val="nil"/>
                  </w:tcBorders>
                  <w:vAlign w:val="center"/>
                </w:tcPr>
                <w:p w14:paraId="034720CB">
                  <w:pPr>
                    <w:pStyle w:val="63"/>
                    <w:tabs>
                      <w:tab w:val="left" w:pos="1021"/>
                    </w:tabs>
                    <w:bidi w:val="0"/>
                    <w:jc w:val="center"/>
                    <w:rPr>
                      <w:rFonts w:hint="default"/>
                      <w:color w:val="auto"/>
                      <w:u w:val="none" w:color="auto"/>
                      <w:lang w:val="en-US" w:eastAsia="zh-CN"/>
                    </w:rPr>
                  </w:pPr>
                  <w:r>
                    <w:rPr>
                      <w:rFonts w:hint="eastAsia"/>
                      <w:color w:val="auto"/>
                      <w:u w:val="none" w:color="auto"/>
                      <w:lang w:val="en-US" w:eastAsia="zh-CN"/>
                    </w:rPr>
                    <w:t>相符</w:t>
                  </w:r>
                </w:p>
              </w:tc>
            </w:tr>
            <w:tr w14:paraId="34C20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87" w:type="dxa"/>
                  <w:tcBorders>
                    <w:tl2br w:val="nil"/>
                    <w:tr2bl w:val="nil"/>
                  </w:tcBorders>
                  <w:vAlign w:val="center"/>
                </w:tcPr>
                <w:p w14:paraId="65EFC11C">
                  <w:pPr>
                    <w:pStyle w:val="63"/>
                    <w:tabs>
                      <w:tab w:val="left" w:pos="1021"/>
                    </w:tabs>
                    <w:bidi w:val="0"/>
                    <w:jc w:val="center"/>
                    <w:rPr>
                      <w:rFonts w:hint="default"/>
                      <w:color w:val="auto"/>
                      <w:u w:val="none" w:color="auto"/>
                      <w:lang w:val="en-US" w:eastAsia="zh-CN"/>
                    </w:rPr>
                  </w:pPr>
                  <w:r>
                    <w:rPr>
                      <w:rFonts w:hint="eastAsia"/>
                      <w:color w:val="auto"/>
                      <w:u w:val="none" w:color="auto"/>
                      <w:lang w:val="en-US" w:eastAsia="zh-CN"/>
                    </w:rPr>
                    <w:t>2</w:t>
                  </w:r>
                </w:p>
              </w:tc>
              <w:tc>
                <w:tcPr>
                  <w:tcW w:w="3228" w:type="dxa"/>
                  <w:tcBorders>
                    <w:tl2br w:val="nil"/>
                    <w:tr2bl w:val="nil"/>
                  </w:tcBorders>
                  <w:vAlign w:val="center"/>
                </w:tcPr>
                <w:p w14:paraId="22FD61FC">
                  <w:pPr>
                    <w:pStyle w:val="63"/>
                    <w:tabs>
                      <w:tab w:val="left" w:pos="1021"/>
                    </w:tabs>
                    <w:bidi w:val="0"/>
                    <w:jc w:val="center"/>
                    <w:rPr>
                      <w:rFonts w:hint="default"/>
                      <w:color w:val="auto"/>
                      <w:u w:val="none" w:color="auto"/>
                      <w:lang w:val="en-US" w:eastAsia="zh-CN"/>
                    </w:rPr>
                  </w:pPr>
                  <w:r>
                    <w:rPr>
                      <w:color w:val="auto"/>
                      <w:u w:val="none" w:color="auto"/>
                    </w:rPr>
                    <w:t>加快燃料清洁低碳化替代。对以煤、石油焦、渣油、重油等为燃料的工业炉窑，加快使用清洁低碳能源以及利用工厂余热、电厂热力等进行替代。重点区域禁止掺烧高硫石油焦（硫含量大于3%）。玻璃行业全面禁止掺烧高硫石油焦。</w:t>
                  </w:r>
                </w:p>
              </w:tc>
              <w:tc>
                <w:tcPr>
                  <w:tcW w:w="1942" w:type="dxa"/>
                  <w:tcBorders>
                    <w:tl2br w:val="nil"/>
                    <w:tr2bl w:val="nil"/>
                  </w:tcBorders>
                  <w:vAlign w:val="center"/>
                </w:tcPr>
                <w:p w14:paraId="6653BB45">
                  <w:pPr>
                    <w:pStyle w:val="63"/>
                    <w:tabs>
                      <w:tab w:val="left" w:pos="1021"/>
                    </w:tabs>
                    <w:bidi w:val="0"/>
                    <w:jc w:val="center"/>
                    <w:rPr>
                      <w:rFonts w:hint="default"/>
                      <w:color w:val="auto"/>
                      <w:u w:val="none" w:color="auto"/>
                      <w:lang w:val="en-US" w:eastAsia="zh-CN"/>
                    </w:rPr>
                  </w:pPr>
                  <w:r>
                    <w:rPr>
                      <w:rFonts w:hint="eastAsia"/>
                      <w:color w:val="auto"/>
                      <w:u w:val="none" w:color="auto"/>
                      <w:lang w:val="en-US" w:eastAsia="zh-CN"/>
                    </w:rPr>
                    <w:t>本项目拟使用生物质颗粒和液化气抽残液作燃料。</w:t>
                  </w:r>
                </w:p>
              </w:tc>
              <w:tc>
                <w:tcPr>
                  <w:tcW w:w="1015" w:type="dxa"/>
                  <w:tcBorders>
                    <w:tl2br w:val="nil"/>
                    <w:tr2bl w:val="nil"/>
                  </w:tcBorders>
                  <w:vAlign w:val="center"/>
                </w:tcPr>
                <w:p w14:paraId="47CF3453">
                  <w:pPr>
                    <w:pStyle w:val="63"/>
                    <w:tabs>
                      <w:tab w:val="left" w:pos="1021"/>
                    </w:tabs>
                    <w:bidi w:val="0"/>
                    <w:jc w:val="center"/>
                    <w:rPr>
                      <w:rFonts w:hint="default"/>
                      <w:color w:val="auto"/>
                      <w:u w:val="none" w:color="auto"/>
                      <w:lang w:val="en-US" w:eastAsia="zh-CN"/>
                    </w:rPr>
                  </w:pPr>
                  <w:r>
                    <w:rPr>
                      <w:rFonts w:hint="eastAsia"/>
                      <w:color w:val="auto"/>
                      <w:u w:val="none" w:color="auto"/>
                      <w:lang w:val="en-US" w:eastAsia="zh-CN"/>
                    </w:rPr>
                    <w:t>相符</w:t>
                  </w:r>
                </w:p>
              </w:tc>
            </w:tr>
            <w:tr w14:paraId="768FC0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87" w:type="dxa"/>
                  <w:tcBorders>
                    <w:tl2br w:val="nil"/>
                    <w:tr2bl w:val="nil"/>
                  </w:tcBorders>
                  <w:vAlign w:val="center"/>
                </w:tcPr>
                <w:p w14:paraId="3B78C4DE">
                  <w:pPr>
                    <w:pStyle w:val="63"/>
                    <w:tabs>
                      <w:tab w:val="left" w:pos="1021"/>
                    </w:tabs>
                    <w:bidi w:val="0"/>
                    <w:jc w:val="center"/>
                    <w:rPr>
                      <w:rFonts w:hint="default"/>
                      <w:color w:val="auto"/>
                      <w:u w:val="none" w:color="auto"/>
                      <w:lang w:val="en-US" w:eastAsia="zh-CN"/>
                    </w:rPr>
                  </w:pPr>
                  <w:r>
                    <w:rPr>
                      <w:rFonts w:hint="eastAsia"/>
                      <w:color w:val="auto"/>
                      <w:u w:val="none" w:color="auto"/>
                      <w:lang w:val="en-US" w:eastAsia="zh-CN"/>
                    </w:rPr>
                    <w:t>3</w:t>
                  </w:r>
                </w:p>
              </w:tc>
              <w:tc>
                <w:tcPr>
                  <w:tcW w:w="3228" w:type="dxa"/>
                  <w:tcBorders>
                    <w:tl2br w:val="nil"/>
                    <w:tr2bl w:val="nil"/>
                  </w:tcBorders>
                  <w:vAlign w:val="center"/>
                </w:tcPr>
                <w:p w14:paraId="62C843FD">
                  <w:pPr>
                    <w:pStyle w:val="63"/>
                    <w:tabs>
                      <w:tab w:val="left" w:pos="1021"/>
                    </w:tabs>
                    <w:bidi w:val="0"/>
                    <w:jc w:val="center"/>
                    <w:rPr>
                      <w:rFonts w:hint="default"/>
                      <w:color w:val="auto"/>
                      <w:u w:val="none" w:color="auto"/>
                      <w:lang w:val="en-US" w:eastAsia="zh-CN"/>
                    </w:rPr>
                  </w:pPr>
                  <w:r>
                    <w:rPr>
                      <w:color w:val="auto"/>
                      <w:u w:val="none" w:color="auto"/>
                    </w:rPr>
                    <w:t>实施污染深度治理。推进工业炉窑全面达标排放。已有行业排放标准的工业炉窑，严格执行行业排放标准相关规定，配套建设高效脱硫脱硝除尘设施，确保稳定达标排放。已制定更严格地方排放标准的，按地方标准执行</w:t>
                  </w:r>
                </w:p>
              </w:tc>
              <w:tc>
                <w:tcPr>
                  <w:tcW w:w="1942" w:type="dxa"/>
                  <w:tcBorders>
                    <w:tl2br w:val="nil"/>
                    <w:tr2bl w:val="nil"/>
                  </w:tcBorders>
                  <w:vAlign w:val="center"/>
                </w:tcPr>
                <w:p w14:paraId="14FDD4A1">
                  <w:pPr>
                    <w:pStyle w:val="63"/>
                    <w:tabs>
                      <w:tab w:val="left" w:pos="1021"/>
                    </w:tabs>
                    <w:bidi w:val="0"/>
                    <w:jc w:val="center"/>
                    <w:rPr>
                      <w:rFonts w:hint="default"/>
                      <w:color w:val="auto"/>
                      <w:u w:val="none" w:color="auto"/>
                      <w:lang w:val="en-US" w:eastAsia="zh-CN"/>
                    </w:rPr>
                  </w:pPr>
                  <w:r>
                    <w:rPr>
                      <w:color w:val="auto"/>
                      <w:u w:val="none" w:color="auto"/>
                    </w:rPr>
                    <w:t>本项目</w:t>
                  </w:r>
                  <w:r>
                    <w:rPr>
                      <w:rFonts w:hint="eastAsia"/>
                      <w:color w:val="auto"/>
                      <w:u w:val="none" w:color="auto"/>
                      <w:lang w:val="en-US" w:eastAsia="zh-CN"/>
                    </w:rPr>
                    <w:t>采用焚烧炉对钢瓶进行焚烧，焚烧炉采用生物质颗粒和残液作燃料，经配套的“旋风除尘+高温布袋除尘”组合工艺处理后废气可达标排放。</w:t>
                  </w:r>
                </w:p>
              </w:tc>
              <w:tc>
                <w:tcPr>
                  <w:tcW w:w="1015" w:type="dxa"/>
                  <w:tcBorders>
                    <w:tl2br w:val="nil"/>
                    <w:tr2bl w:val="nil"/>
                  </w:tcBorders>
                  <w:vAlign w:val="center"/>
                </w:tcPr>
                <w:p w14:paraId="785C0E37">
                  <w:pPr>
                    <w:pStyle w:val="63"/>
                    <w:tabs>
                      <w:tab w:val="left" w:pos="1021"/>
                    </w:tabs>
                    <w:bidi w:val="0"/>
                    <w:jc w:val="center"/>
                    <w:rPr>
                      <w:rFonts w:hint="default"/>
                      <w:color w:val="auto"/>
                      <w:u w:val="none" w:color="auto"/>
                      <w:lang w:val="en-US" w:eastAsia="zh-CN"/>
                    </w:rPr>
                  </w:pPr>
                  <w:r>
                    <w:rPr>
                      <w:rFonts w:hint="eastAsia"/>
                      <w:color w:val="auto"/>
                      <w:u w:val="none" w:color="auto"/>
                      <w:lang w:val="en-US" w:eastAsia="zh-CN"/>
                    </w:rPr>
                    <w:t>相符</w:t>
                  </w:r>
                </w:p>
              </w:tc>
            </w:tr>
            <w:tr w14:paraId="00FB62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87" w:type="dxa"/>
                  <w:tcBorders>
                    <w:tl2br w:val="nil"/>
                    <w:tr2bl w:val="nil"/>
                  </w:tcBorders>
                  <w:vAlign w:val="center"/>
                </w:tcPr>
                <w:p w14:paraId="2A723DEB">
                  <w:pPr>
                    <w:pStyle w:val="63"/>
                    <w:tabs>
                      <w:tab w:val="left" w:pos="1021"/>
                    </w:tabs>
                    <w:bidi w:val="0"/>
                    <w:jc w:val="center"/>
                    <w:rPr>
                      <w:rFonts w:hint="default"/>
                      <w:color w:val="auto"/>
                      <w:u w:val="none" w:color="auto"/>
                      <w:lang w:val="en-US" w:eastAsia="zh-CN"/>
                    </w:rPr>
                  </w:pPr>
                  <w:r>
                    <w:rPr>
                      <w:rFonts w:hint="eastAsia"/>
                      <w:color w:val="auto"/>
                      <w:u w:val="none" w:color="auto"/>
                      <w:lang w:val="en-US" w:eastAsia="zh-CN"/>
                    </w:rPr>
                    <w:t>4</w:t>
                  </w:r>
                </w:p>
              </w:tc>
              <w:tc>
                <w:tcPr>
                  <w:tcW w:w="3228" w:type="dxa"/>
                  <w:tcBorders>
                    <w:tl2br w:val="nil"/>
                    <w:tr2bl w:val="nil"/>
                  </w:tcBorders>
                  <w:vAlign w:val="center"/>
                </w:tcPr>
                <w:p w14:paraId="66F78227">
                  <w:pPr>
                    <w:pStyle w:val="63"/>
                    <w:tabs>
                      <w:tab w:val="left" w:pos="1021"/>
                    </w:tabs>
                    <w:bidi w:val="0"/>
                    <w:jc w:val="center"/>
                    <w:rPr>
                      <w:rFonts w:hint="default"/>
                      <w:color w:val="auto"/>
                      <w:u w:val="none" w:color="auto"/>
                      <w:lang w:val="en-US" w:eastAsia="zh-CN"/>
                    </w:rPr>
                  </w:pPr>
                  <w:r>
                    <w:rPr>
                      <w:color w:val="auto"/>
                      <w:u w:val="none" w:color="auto"/>
                    </w:rPr>
                    <w:t>全面加强无组织排放管理。严格控制工业炉窑生产工艺过程及相关物料储存、输送等无组织排放，在保障生产安全的前提下，采取密闭、封闭等有效措施，有效提高废气收集率，产尘点及车间不得有可见烟粉尘外逸。生产工艺产尘点（装置）应采取密闭、封闭或设置集气罩等措施。煤粉、粉煤灰、石灰、除尘灰、脱硫灰等粉状物料应密闭或封闭储存，采用密闭皮带、封闭通廊、管状带式输送机或密闭车厢、真空罐车、气力输送等方式输送。粒状、块状物料应采用入棚入仓或建设防风抑尘网等方式进行储存，粒状物料采用密闭、封闭等方式输送。物料输送过程中产尘点应采取有效抑尘措施。</w:t>
                  </w:r>
                </w:p>
              </w:tc>
              <w:tc>
                <w:tcPr>
                  <w:tcW w:w="1942" w:type="dxa"/>
                  <w:tcBorders>
                    <w:tl2br w:val="nil"/>
                    <w:tr2bl w:val="nil"/>
                  </w:tcBorders>
                  <w:vAlign w:val="center"/>
                </w:tcPr>
                <w:p w14:paraId="16D4FCAB">
                  <w:pPr>
                    <w:pStyle w:val="63"/>
                    <w:tabs>
                      <w:tab w:val="left" w:pos="1021"/>
                    </w:tabs>
                    <w:bidi w:val="0"/>
                    <w:jc w:val="center"/>
                    <w:rPr>
                      <w:rFonts w:hint="default"/>
                      <w:color w:val="auto"/>
                      <w:u w:val="none" w:color="auto"/>
                      <w:lang w:val="en-US" w:eastAsia="zh-CN"/>
                    </w:rPr>
                  </w:pPr>
                  <w:r>
                    <w:rPr>
                      <w:color w:val="auto"/>
                      <w:u w:val="none" w:color="auto"/>
                    </w:rPr>
                    <w:t>本项目</w:t>
                  </w:r>
                  <w:r>
                    <w:rPr>
                      <w:rFonts w:hint="eastAsia"/>
                      <w:color w:val="auto"/>
                      <w:u w:val="none" w:color="auto"/>
                      <w:lang w:val="en-US" w:eastAsia="zh-CN"/>
                    </w:rPr>
                    <w:t>抽残液过程采用密闭</w:t>
                  </w:r>
                  <w:r>
                    <w:rPr>
                      <w:color w:val="auto"/>
                      <w:u w:val="none" w:color="auto"/>
                    </w:rPr>
                    <w:t>管道</w:t>
                  </w:r>
                  <w:r>
                    <w:rPr>
                      <w:rFonts w:hint="eastAsia"/>
                      <w:color w:val="auto"/>
                      <w:u w:val="none" w:color="auto"/>
                      <w:lang w:val="en-US" w:eastAsia="zh-CN"/>
                    </w:rPr>
                    <w:t>回收装置</w:t>
                  </w:r>
                  <w:r>
                    <w:rPr>
                      <w:color w:val="auto"/>
                      <w:u w:val="none" w:color="auto"/>
                    </w:rPr>
                    <w:t>；</w:t>
                  </w:r>
                  <w:r>
                    <w:rPr>
                      <w:rFonts w:hint="eastAsia"/>
                      <w:color w:val="auto"/>
                      <w:u w:val="none" w:color="auto"/>
                      <w:lang w:val="en-US" w:eastAsia="zh-CN"/>
                    </w:rPr>
                    <w:t>生物质</w:t>
                  </w:r>
                  <w:r>
                    <w:rPr>
                      <w:color w:val="auto"/>
                      <w:u w:val="none" w:color="auto"/>
                    </w:rPr>
                    <w:t>原料</w:t>
                  </w:r>
                  <w:r>
                    <w:rPr>
                      <w:rFonts w:hint="eastAsia"/>
                      <w:color w:val="auto"/>
                      <w:u w:val="none" w:color="auto"/>
                      <w:lang w:val="en-US" w:eastAsia="zh-CN"/>
                    </w:rPr>
                    <w:t>采用密闭袋装</w:t>
                  </w:r>
                  <w:r>
                    <w:rPr>
                      <w:color w:val="auto"/>
                      <w:u w:val="none" w:color="auto"/>
                    </w:rPr>
                    <w:t>储存在原料车间内</w:t>
                  </w:r>
                  <w:r>
                    <w:rPr>
                      <w:rFonts w:hint="eastAsia"/>
                      <w:color w:val="auto"/>
                      <w:u w:val="none" w:color="auto"/>
                      <w:lang w:eastAsia="zh-CN"/>
                    </w:rPr>
                    <w:t>，</w:t>
                  </w:r>
                  <w:r>
                    <w:rPr>
                      <w:color w:val="auto"/>
                      <w:u w:val="none" w:color="auto"/>
                    </w:rPr>
                    <w:t>可有效控制粉尘无组织排放。</w:t>
                  </w:r>
                </w:p>
              </w:tc>
              <w:tc>
                <w:tcPr>
                  <w:tcW w:w="1015" w:type="dxa"/>
                  <w:tcBorders>
                    <w:tl2br w:val="nil"/>
                    <w:tr2bl w:val="nil"/>
                  </w:tcBorders>
                  <w:vAlign w:val="center"/>
                </w:tcPr>
                <w:p w14:paraId="1CE3B1B0">
                  <w:pPr>
                    <w:pStyle w:val="63"/>
                    <w:tabs>
                      <w:tab w:val="left" w:pos="1021"/>
                    </w:tabs>
                    <w:bidi w:val="0"/>
                    <w:jc w:val="center"/>
                    <w:rPr>
                      <w:rFonts w:hint="default"/>
                      <w:color w:val="auto"/>
                      <w:u w:val="none" w:color="auto"/>
                      <w:lang w:val="en-US" w:eastAsia="zh-CN"/>
                    </w:rPr>
                  </w:pPr>
                  <w:r>
                    <w:rPr>
                      <w:rFonts w:hint="eastAsia"/>
                      <w:color w:val="auto"/>
                      <w:u w:val="none" w:color="auto"/>
                      <w:lang w:val="en-US" w:eastAsia="zh-CN"/>
                    </w:rPr>
                    <w:t>相符</w:t>
                  </w:r>
                </w:p>
              </w:tc>
            </w:tr>
            <w:tr w14:paraId="4DC667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87" w:type="dxa"/>
                  <w:tcBorders>
                    <w:tl2br w:val="nil"/>
                    <w:tr2bl w:val="nil"/>
                  </w:tcBorders>
                  <w:vAlign w:val="center"/>
                </w:tcPr>
                <w:p w14:paraId="021138D6">
                  <w:pPr>
                    <w:pStyle w:val="63"/>
                    <w:tabs>
                      <w:tab w:val="left" w:pos="1021"/>
                    </w:tabs>
                    <w:bidi w:val="0"/>
                    <w:jc w:val="center"/>
                    <w:rPr>
                      <w:rFonts w:hint="default"/>
                      <w:color w:val="auto"/>
                      <w:u w:val="none" w:color="auto"/>
                      <w:lang w:val="en-US" w:eastAsia="zh-CN"/>
                    </w:rPr>
                  </w:pPr>
                  <w:r>
                    <w:rPr>
                      <w:rFonts w:hint="eastAsia"/>
                      <w:color w:val="auto"/>
                      <w:u w:val="none" w:color="auto"/>
                      <w:lang w:val="en-US" w:eastAsia="zh-CN"/>
                    </w:rPr>
                    <w:t>5</w:t>
                  </w:r>
                </w:p>
              </w:tc>
              <w:tc>
                <w:tcPr>
                  <w:tcW w:w="3228" w:type="dxa"/>
                  <w:tcBorders>
                    <w:tl2br w:val="nil"/>
                    <w:tr2bl w:val="nil"/>
                  </w:tcBorders>
                  <w:vAlign w:val="center"/>
                </w:tcPr>
                <w:p w14:paraId="6B0294FE">
                  <w:pPr>
                    <w:pStyle w:val="63"/>
                    <w:tabs>
                      <w:tab w:val="left" w:pos="1021"/>
                    </w:tabs>
                    <w:bidi w:val="0"/>
                    <w:jc w:val="center"/>
                    <w:rPr>
                      <w:color w:val="auto"/>
                      <w:u w:val="none" w:color="auto"/>
                    </w:rPr>
                  </w:pPr>
                  <w:r>
                    <w:rPr>
                      <w:color w:val="auto"/>
                      <w:u w:val="none" w:color="auto"/>
                    </w:rPr>
                    <w:t>新建涉工业炉窑的建设项目，原则上要入园区，配套建设高效环保治理设施。重点区域严格控制涉工业炉窑建设项目，严禁新增钢铁、焦化、电解铝、铸造、水泥和平板玻璃等产能；严格执行钢铁、水泥、平板玻璃等行业产能置换实施办法；原则上禁止新建燃料类煤气发生炉（园区现有企业统一建设的清洁煤制气中心除外）</w:t>
                  </w:r>
                </w:p>
              </w:tc>
              <w:tc>
                <w:tcPr>
                  <w:tcW w:w="1942" w:type="dxa"/>
                  <w:tcBorders>
                    <w:tl2br w:val="nil"/>
                    <w:tr2bl w:val="nil"/>
                  </w:tcBorders>
                  <w:vAlign w:val="center"/>
                </w:tcPr>
                <w:p w14:paraId="00006D74">
                  <w:pPr>
                    <w:pStyle w:val="63"/>
                    <w:tabs>
                      <w:tab w:val="left" w:pos="1021"/>
                    </w:tabs>
                    <w:bidi w:val="0"/>
                    <w:jc w:val="center"/>
                    <w:rPr>
                      <w:rFonts w:hint="eastAsia" w:eastAsia="宋体"/>
                      <w:color w:val="auto"/>
                      <w:u w:val="none" w:color="auto"/>
                      <w:lang w:val="en-US" w:eastAsia="zh-CN"/>
                    </w:rPr>
                  </w:pPr>
                  <w:r>
                    <w:rPr>
                      <w:rFonts w:hint="eastAsia" w:eastAsia="宋体"/>
                      <w:color w:val="auto"/>
                      <w:u w:val="none" w:color="auto"/>
                      <w:lang w:val="en-US" w:eastAsia="zh-CN"/>
                    </w:rPr>
                    <w:t>本项目配套2台钢瓶残液焚烧炉，虽选址不在工业园区内，但项目同步配套</w:t>
                  </w:r>
                  <w:r>
                    <w:rPr>
                      <w:rFonts w:hint="eastAsia"/>
                      <w:color w:val="auto"/>
                      <w:u w:val="none" w:color="auto"/>
                      <w:lang w:val="en-US" w:eastAsia="zh-CN"/>
                    </w:rPr>
                    <w:t>旋风除尘+高温布袋除尘</w:t>
                  </w:r>
                  <w:r>
                    <w:rPr>
                      <w:rFonts w:hint="eastAsia" w:eastAsia="宋体"/>
                      <w:color w:val="auto"/>
                      <w:u w:val="none" w:color="auto"/>
                      <w:lang w:val="en-US" w:eastAsia="zh-CN"/>
                    </w:rPr>
                    <w:t>废气治理设施，颗粒物、SO、NOₓ等各类污染物排放浓度均可稳定满足国家及地方工业炉窑污染物排放标准要求； 本项目为报废液化石油气钢瓶拆解搬迁项目，不属于政策列明严禁新增产能的钢铁、焦化、电解铝、铸造、水泥、平板玻璃行业</w:t>
                  </w:r>
                  <w:r>
                    <w:rPr>
                      <w:rFonts w:hint="eastAsia"/>
                      <w:color w:val="auto"/>
                      <w:u w:val="none" w:color="auto"/>
                      <w:lang w:val="en-US" w:eastAsia="zh-CN"/>
                    </w:rPr>
                    <w:t>。</w:t>
                  </w:r>
                </w:p>
              </w:tc>
              <w:tc>
                <w:tcPr>
                  <w:tcW w:w="1015" w:type="dxa"/>
                  <w:tcBorders>
                    <w:tl2br w:val="nil"/>
                    <w:tr2bl w:val="nil"/>
                  </w:tcBorders>
                  <w:vAlign w:val="center"/>
                </w:tcPr>
                <w:p w14:paraId="073735BE">
                  <w:pPr>
                    <w:pStyle w:val="63"/>
                    <w:tabs>
                      <w:tab w:val="left" w:pos="1021"/>
                    </w:tabs>
                    <w:bidi w:val="0"/>
                    <w:jc w:val="center"/>
                    <w:rPr>
                      <w:rFonts w:hint="eastAsia"/>
                      <w:color w:val="auto"/>
                      <w:u w:val="none" w:color="auto"/>
                      <w:lang w:val="en-US" w:eastAsia="zh-CN"/>
                    </w:rPr>
                  </w:pPr>
                  <w:r>
                    <w:rPr>
                      <w:rFonts w:hint="eastAsia"/>
                      <w:color w:val="auto"/>
                      <w:u w:val="none" w:color="auto"/>
                      <w:lang w:val="en-US" w:eastAsia="zh-CN"/>
                    </w:rPr>
                    <w:t>相符</w:t>
                  </w:r>
                </w:p>
              </w:tc>
            </w:tr>
          </w:tbl>
          <w:p w14:paraId="3CD93B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Segoe UI" w:hAnsi="Segoe UI" w:eastAsia="宋体" w:cs="Segoe UI"/>
                <w:i w:val="0"/>
                <w:iCs w:val="0"/>
                <w:caps w:val="0"/>
                <w:color w:val="auto"/>
                <w:spacing w:val="0"/>
                <w:sz w:val="24"/>
                <w:szCs w:val="24"/>
                <w:u w:val="none" w:color="auto"/>
                <w:shd w:val="clear" w:fill="FFFFFF"/>
                <w:lang w:eastAsia="zh-CN"/>
              </w:rPr>
            </w:pPr>
            <w:r>
              <w:rPr>
                <w:rFonts w:hint="eastAsia" w:ascii="Times New Roman" w:hAnsi="Times New Roman" w:eastAsia="宋体" w:cs="Times New Roman"/>
                <w:color w:val="auto"/>
                <w:kern w:val="2"/>
                <w:sz w:val="24"/>
                <w:szCs w:val="24"/>
                <w:highlight w:val="none"/>
                <w:u w:val="none" w:color="auto"/>
                <w:shd w:val="clear" w:color="auto" w:fill="auto"/>
                <w:lang w:val="en-US" w:eastAsia="zh-CN" w:bidi="en-US"/>
              </w:rPr>
              <w:t>根据上表可知</w:t>
            </w:r>
            <w:r>
              <w:rPr>
                <w:rFonts w:hint="default" w:ascii="Times New Roman" w:hAnsi="Times New Roman" w:eastAsia="宋体" w:cs="Times New Roman"/>
                <w:color w:val="auto"/>
                <w:kern w:val="2"/>
                <w:sz w:val="24"/>
                <w:szCs w:val="24"/>
                <w:highlight w:val="none"/>
                <w:u w:val="none" w:color="auto"/>
                <w:shd w:val="clear" w:color="auto" w:fill="auto"/>
                <w:lang w:val="en-US" w:eastAsia="zh-CN" w:bidi="en-US"/>
              </w:rPr>
              <w:t>，</w:t>
            </w:r>
            <w:r>
              <w:rPr>
                <w:rFonts w:ascii="Segoe UI" w:hAnsi="Segoe UI" w:eastAsia="Segoe UI" w:cs="Segoe UI"/>
                <w:i w:val="0"/>
                <w:iCs w:val="0"/>
                <w:caps w:val="0"/>
                <w:color w:val="auto"/>
                <w:spacing w:val="0"/>
                <w:sz w:val="24"/>
                <w:szCs w:val="24"/>
                <w:u w:val="none" w:color="auto"/>
                <w:shd w:val="clear" w:fill="FFFFFF"/>
              </w:rPr>
              <w:t>本项目符合《工业炉窑大气污染综合治理方案》</w:t>
            </w:r>
            <w:r>
              <w:rPr>
                <w:rFonts w:hint="eastAsia" w:ascii="Segoe UI" w:hAnsi="Segoe UI" w:eastAsia="宋体" w:cs="Segoe UI"/>
                <w:i w:val="0"/>
                <w:iCs w:val="0"/>
                <w:caps w:val="0"/>
                <w:color w:val="auto"/>
                <w:spacing w:val="0"/>
                <w:sz w:val="24"/>
                <w:szCs w:val="24"/>
                <w:u w:val="none" w:color="auto"/>
                <w:shd w:val="clear" w:fill="FFFFFF"/>
                <w:lang w:val="en-US" w:eastAsia="zh-CN"/>
              </w:rPr>
              <w:t>中</w:t>
            </w:r>
            <w:r>
              <w:rPr>
                <w:rFonts w:ascii="Segoe UI" w:hAnsi="Segoe UI" w:eastAsia="Segoe UI" w:cs="Segoe UI"/>
                <w:i w:val="0"/>
                <w:iCs w:val="0"/>
                <w:caps w:val="0"/>
                <w:color w:val="auto"/>
                <w:spacing w:val="0"/>
                <w:sz w:val="24"/>
                <w:szCs w:val="24"/>
                <w:u w:val="none" w:color="auto"/>
                <w:shd w:val="clear" w:fill="FFFFFF"/>
              </w:rPr>
              <w:t>相关要求</w:t>
            </w:r>
            <w:r>
              <w:rPr>
                <w:rFonts w:hint="eastAsia" w:ascii="Segoe UI" w:hAnsi="Segoe UI" w:eastAsia="宋体" w:cs="Segoe UI"/>
                <w:i w:val="0"/>
                <w:iCs w:val="0"/>
                <w:caps w:val="0"/>
                <w:color w:val="auto"/>
                <w:spacing w:val="0"/>
                <w:sz w:val="24"/>
                <w:szCs w:val="24"/>
                <w:u w:val="none" w:color="auto"/>
                <w:shd w:val="clear" w:fill="FFFFFF"/>
                <w:lang w:eastAsia="zh-CN"/>
              </w:rPr>
              <w:t>。</w:t>
            </w:r>
          </w:p>
          <w:p w14:paraId="7F34DB8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kern w:val="2"/>
                <w:sz w:val="24"/>
                <w:szCs w:val="24"/>
                <w:highlight w:val="none"/>
                <w:u w:val="none" w:color="auto"/>
                <w:shd w:val="clear" w:color="auto" w:fill="auto"/>
                <w:lang w:val="en-US" w:eastAsia="zh-CN" w:bidi="en-US"/>
              </w:rPr>
            </w:pPr>
            <w:r>
              <w:rPr>
                <w:rFonts w:hint="eastAsia" w:cs="Times New Roman"/>
                <w:b/>
                <w:bCs/>
                <w:color w:val="auto"/>
                <w:kern w:val="2"/>
                <w:sz w:val="24"/>
                <w:szCs w:val="24"/>
                <w:highlight w:val="none"/>
                <w:u w:val="none" w:color="auto"/>
                <w:shd w:val="clear" w:color="auto" w:fill="auto"/>
                <w:lang w:val="en-US" w:eastAsia="zh-CN" w:bidi="en-US"/>
              </w:rPr>
              <w:t>9</w:t>
            </w:r>
            <w:r>
              <w:rPr>
                <w:rFonts w:hint="eastAsia" w:ascii="Times New Roman" w:hAnsi="Times New Roman" w:eastAsia="宋体" w:cs="Times New Roman"/>
                <w:b/>
                <w:bCs/>
                <w:color w:val="auto"/>
                <w:kern w:val="2"/>
                <w:sz w:val="24"/>
                <w:szCs w:val="24"/>
                <w:highlight w:val="none"/>
                <w:u w:val="none" w:color="auto"/>
                <w:shd w:val="clear" w:color="auto" w:fill="auto"/>
                <w:lang w:val="en-US" w:eastAsia="zh-CN" w:bidi="en-US"/>
              </w:rPr>
              <w:t>、与《</w:t>
            </w:r>
            <w:r>
              <w:rPr>
                <w:rFonts w:hint="default" w:ascii="Times New Roman" w:hAnsi="Times New Roman" w:eastAsia="宋体" w:cs="Times New Roman"/>
                <w:b/>
                <w:bCs/>
                <w:color w:val="auto"/>
                <w:kern w:val="2"/>
                <w:sz w:val="24"/>
                <w:szCs w:val="24"/>
                <w:highlight w:val="none"/>
                <w:u w:val="none" w:color="auto"/>
                <w:shd w:val="clear" w:color="auto" w:fill="auto"/>
                <w:lang w:val="en-US" w:eastAsia="zh-CN" w:bidi="en-US"/>
              </w:rPr>
              <w:t>湖南省长江经济带发展负面清单实施细则</w:t>
            </w:r>
            <w:r>
              <w:rPr>
                <w:rFonts w:hint="eastAsia" w:ascii="Times New Roman" w:hAnsi="Times New Roman" w:eastAsia="宋体" w:cs="Times New Roman"/>
                <w:b/>
                <w:bCs/>
                <w:color w:val="auto"/>
                <w:kern w:val="2"/>
                <w:sz w:val="24"/>
                <w:szCs w:val="24"/>
                <w:highlight w:val="none"/>
                <w:u w:val="none" w:color="auto"/>
                <w:shd w:val="clear" w:color="auto" w:fill="auto"/>
                <w:lang w:val="en-US" w:eastAsia="zh-CN" w:bidi="en-US"/>
              </w:rPr>
              <w:t>（试行，2022版）》</w:t>
            </w:r>
            <w:r>
              <w:rPr>
                <w:rFonts w:hint="default" w:ascii="Times New Roman" w:hAnsi="Times New Roman" w:eastAsia="宋体" w:cs="Times New Roman"/>
                <w:b/>
                <w:bCs/>
                <w:color w:val="auto"/>
                <w:kern w:val="2"/>
                <w:sz w:val="24"/>
                <w:szCs w:val="24"/>
                <w:highlight w:val="none"/>
                <w:u w:val="none" w:color="auto"/>
                <w:shd w:val="clear" w:color="auto" w:fill="auto"/>
                <w:lang w:val="en-US" w:eastAsia="zh-CN" w:bidi="en-US"/>
              </w:rPr>
              <w:t>分析</w:t>
            </w:r>
          </w:p>
          <w:p w14:paraId="73E0E55D">
            <w:pPr>
              <w:pStyle w:val="63"/>
              <w:tabs>
                <w:tab w:val="left" w:pos="1021"/>
              </w:tabs>
              <w:bidi w:val="0"/>
              <w:jc w:val="center"/>
              <w:rPr>
                <w:rFonts w:hint="default" w:ascii="Times New Roman" w:hAnsi="Times New Roman"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表1-5  与</w:t>
            </w:r>
            <w:r>
              <w:rPr>
                <w:rFonts w:hint="eastAsia" w:ascii="Times New Roman" w:hAnsi="Times New Roman" w:cs="Times New Roman"/>
                <w:b/>
                <w:bCs/>
                <w:color w:val="auto"/>
                <w:highlight w:val="none"/>
                <w:u w:val="none" w:color="auto"/>
                <w:lang w:val="en-US" w:eastAsia="zh-CN"/>
              </w:rPr>
              <w:t>《湖南省长江经济带发展负面清单实施细则(试行，2022年版)》</w:t>
            </w:r>
            <w:r>
              <w:rPr>
                <w:rFonts w:hint="default" w:ascii="Times New Roman" w:hAnsi="Times New Roman" w:cs="Times New Roman"/>
                <w:b/>
                <w:bCs/>
                <w:color w:val="auto"/>
                <w:highlight w:val="none"/>
                <w:u w:val="none" w:color="auto"/>
                <w:lang w:val="en-US" w:eastAsia="zh-CN"/>
              </w:rPr>
              <w:t>符合性分析</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6"/>
              <w:gridCol w:w="3609"/>
              <w:gridCol w:w="2609"/>
            </w:tblGrid>
            <w:tr w14:paraId="28CA3D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3DEC7AC9">
                  <w:pPr>
                    <w:pStyle w:val="63"/>
                    <w:tabs>
                      <w:tab w:val="left" w:pos="1021"/>
                    </w:tabs>
                    <w:bidi w:val="0"/>
                    <w:jc w:val="center"/>
                    <w:rPr>
                      <w:rFonts w:hint="default"/>
                      <w:b/>
                      <w:bCs/>
                      <w:color w:val="auto"/>
                      <w:sz w:val="21"/>
                      <w:szCs w:val="21"/>
                      <w:highlight w:val="none"/>
                      <w:u w:val="none" w:color="auto"/>
                      <w:lang w:val="en-US" w:eastAsia="zh-CN"/>
                    </w:rPr>
                  </w:pPr>
                  <w:r>
                    <w:rPr>
                      <w:rFonts w:hint="eastAsia"/>
                      <w:b/>
                      <w:bCs/>
                      <w:color w:val="auto"/>
                      <w:sz w:val="21"/>
                      <w:szCs w:val="21"/>
                      <w:highlight w:val="none"/>
                      <w:u w:val="none" w:color="auto"/>
                      <w:lang w:val="en-US" w:eastAsia="zh-CN"/>
                    </w:rPr>
                    <w:t>序号</w:t>
                  </w:r>
                </w:p>
              </w:tc>
              <w:tc>
                <w:tcPr>
                  <w:tcW w:w="2671" w:type="pct"/>
                  <w:tcBorders>
                    <w:tl2br w:val="nil"/>
                    <w:tr2bl w:val="nil"/>
                  </w:tcBorders>
                  <w:vAlign w:val="center"/>
                </w:tcPr>
                <w:p w14:paraId="2F877B8E">
                  <w:pPr>
                    <w:pStyle w:val="63"/>
                    <w:tabs>
                      <w:tab w:val="left" w:pos="1021"/>
                    </w:tabs>
                    <w:bidi w:val="0"/>
                    <w:jc w:val="center"/>
                    <w:rPr>
                      <w:rFonts w:hint="default"/>
                      <w:b/>
                      <w:bCs/>
                      <w:color w:val="auto"/>
                      <w:sz w:val="21"/>
                      <w:szCs w:val="21"/>
                      <w:highlight w:val="none"/>
                      <w:u w:val="none" w:color="auto"/>
                      <w:lang w:val="en-US" w:eastAsia="zh-CN"/>
                    </w:rPr>
                  </w:pPr>
                  <w:r>
                    <w:rPr>
                      <w:rFonts w:hint="eastAsia"/>
                      <w:b/>
                      <w:bCs/>
                      <w:color w:val="auto"/>
                      <w:sz w:val="21"/>
                      <w:szCs w:val="21"/>
                      <w:highlight w:val="none"/>
                      <w:u w:val="none" w:color="auto"/>
                      <w:lang w:val="en-US" w:eastAsia="zh-CN"/>
                    </w:rPr>
                    <w:t>具体要求</w:t>
                  </w:r>
                </w:p>
              </w:tc>
              <w:tc>
                <w:tcPr>
                  <w:tcW w:w="1931" w:type="pct"/>
                  <w:tcBorders>
                    <w:tl2br w:val="nil"/>
                    <w:tr2bl w:val="nil"/>
                  </w:tcBorders>
                  <w:vAlign w:val="center"/>
                </w:tcPr>
                <w:p w14:paraId="191C9EFA">
                  <w:pPr>
                    <w:pStyle w:val="63"/>
                    <w:tabs>
                      <w:tab w:val="left" w:pos="1021"/>
                    </w:tabs>
                    <w:bidi w:val="0"/>
                    <w:jc w:val="center"/>
                    <w:rPr>
                      <w:rFonts w:hint="default"/>
                      <w:b/>
                      <w:bCs/>
                      <w:color w:val="auto"/>
                      <w:sz w:val="21"/>
                      <w:szCs w:val="21"/>
                      <w:highlight w:val="none"/>
                      <w:u w:val="none" w:color="auto"/>
                      <w:lang w:val="en-US" w:eastAsia="zh-CN"/>
                    </w:rPr>
                  </w:pPr>
                  <w:r>
                    <w:rPr>
                      <w:rFonts w:hint="eastAsia"/>
                      <w:b/>
                      <w:bCs/>
                      <w:color w:val="auto"/>
                      <w:sz w:val="21"/>
                      <w:szCs w:val="21"/>
                      <w:highlight w:val="none"/>
                      <w:u w:val="none" w:color="auto"/>
                      <w:lang w:val="en-US" w:eastAsia="zh-CN"/>
                    </w:rPr>
                    <w:t>本项目情况</w:t>
                  </w:r>
                </w:p>
              </w:tc>
            </w:tr>
            <w:tr w14:paraId="22C85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35500F92">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w:t>
                  </w:r>
                </w:p>
              </w:tc>
              <w:tc>
                <w:tcPr>
                  <w:tcW w:w="2671" w:type="pct"/>
                  <w:tcBorders>
                    <w:tl2br w:val="nil"/>
                    <w:tr2bl w:val="nil"/>
                  </w:tcBorders>
                  <w:vAlign w:val="center"/>
                </w:tcPr>
                <w:p w14:paraId="3D64E412">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干线过江通道布局规划(2020-2035年)》</w:t>
                  </w:r>
                  <w:r>
                    <w:rPr>
                      <w:rFonts w:hint="eastAsia" w:ascii="Times New Roman" w:hAnsi="Times New Roman" w:eastAsia="宋体" w:cs="Times New Roman"/>
                      <w:color w:val="auto"/>
                      <w:sz w:val="21"/>
                      <w:szCs w:val="21"/>
                      <w:highlight w:val="none"/>
                      <w:u w:val="none" w:color="auto"/>
                      <w:lang w:val="en-US" w:eastAsia="zh-CN"/>
                    </w:rPr>
                    <w:t>地过</w:t>
                  </w:r>
                  <w:r>
                    <w:rPr>
                      <w:rFonts w:hint="default" w:ascii="Times New Roman" w:hAnsi="Times New Roman" w:eastAsia="宋体" w:cs="Times New Roman"/>
                      <w:color w:val="auto"/>
                      <w:sz w:val="21"/>
                      <w:szCs w:val="21"/>
                      <w:highlight w:val="none"/>
                      <w:u w:val="none" w:color="auto"/>
                      <w:lang w:val="en-US" w:eastAsia="zh-CN"/>
                    </w:rPr>
                    <w:t>长江通道项目</w:t>
                  </w:r>
                  <w:r>
                    <w:rPr>
                      <w:rFonts w:hint="eastAsia" w:ascii="Times New Roman" w:hAnsi="Times New Roman" w:eastAsia="宋体" w:cs="Times New Roman"/>
                      <w:color w:val="auto"/>
                      <w:sz w:val="21"/>
                      <w:szCs w:val="21"/>
                      <w:highlight w:val="none"/>
                      <w:u w:val="none" w:color="auto"/>
                      <w:lang w:val="en-US" w:eastAsia="zh-CN"/>
                    </w:rPr>
                    <w:t>。</w:t>
                  </w:r>
                </w:p>
              </w:tc>
              <w:tc>
                <w:tcPr>
                  <w:tcW w:w="1931" w:type="pct"/>
                  <w:tcBorders>
                    <w:tl2br w:val="nil"/>
                    <w:tr2bl w:val="nil"/>
                  </w:tcBorders>
                  <w:vAlign w:val="center"/>
                </w:tcPr>
                <w:p w14:paraId="06A8D054">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本项目为C4210金属废料和碎屑加工处理项目，不涉及港口码头建设。</w:t>
                  </w:r>
                </w:p>
              </w:tc>
            </w:tr>
            <w:tr w14:paraId="14A2C2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06FCE2AD">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w:t>
                  </w:r>
                </w:p>
              </w:tc>
              <w:tc>
                <w:tcPr>
                  <w:tcW w:w="2671" w:type="pct"/>
                  <w:tcBorders>
                    <w:tl2br w:val="nil"/>
                    <w:tr2bl w:val="nil"/>
                  </w:tcBorders>
                  <w:vAlign w:val="center"/>
                </w:tcPr>
                <w:p w14:paraId="72C5BFF8">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禁止在自然保护区核心区、缓冲区的岸线和河段范围内投资建设以下项目:(一)高尔夫球场开发、房地产开发、索道建设、会所建设等项目;(光伏发电、风力发电、火力发电建设项目;社会资金进行商业性探矿勘查，以及不属于国家紧缺矿种资源的基础地质调查和矿产远景调查等公益性工作的设施建设;(四)野生动物驯养繁殖，展览基地建设项目;(五)污染环境、破坏自然资源或自然景观的建设设施</w:t>
                  </w:r>
                  <w:r>
                    <w:rPr>
                      <w:rFonts w:hint="eastAsia" w:ascii="Times New Roman" w:hAnsi="Times New Roman" w:eastAsia="宋体" w:cs="Times New Roman"/>
                      <w:color w:val="auto"/>
                      <w:sz w:val="21"/>
                      <w:szCs w:val="21"/>
                      <w:highlight w:val="none"/>
                      <w:u w:val="none" w:color="auto"/>
                      <w:lang w:val="en-US" w:eastAsia="zh-CN"/>
                    </w:rPr>
                    <w:t>；</w:t>
                  </w:r>
                  <w:r>
                    <w:rPr>
                      <w:rFonts w:hint="default" w:ascii="Times New Roman" w:hAnsi="Times New Roman" w:eastAsia="宋体" w:cs="Times New Roman"/>
                      <w:color w:val="auto"/>
                      <w:sz w:val="21"/>
                      <w:szCs w:val="21"/>
                      <w:highlight w:val="none"/>
                      <w:u w:val="none" w:color="auto"/>
                      <w:lang w:val="en-US" w:eastAsia="zh-CN"/>
                    </w:rPr>
                    <w:t>(六)对自然保护区主要保护对象产生重大影响、改变自然生态系统完整性、原真性、破坏自然景观的设施</w:t>
                  </w:r>
                  <w:r>
                    <w:rPr>
                      <w:rFonts w:hint="eastAsia" w:ascii="Times New Roman" w:hAnsi="Times New Roman" w:eastAsia="宋体" w:cs="Times New Roman"/>
                      <w:color w:val="auto"/>
                      <w:sz w:val="21"/>
                      <w:szCs w:val="21"/>
                      <w:highlight w:val="none"/>
                      <w:u w:val="none" w:color="auto"/>
                      <w:lang w:val="en-US" w:eastAsia="zh-CN"/>
                    </w:rPr>
                    <w:t>；</w:t>
                  </w:r>
                  <w:r>
                    <w:rPr>
                      <w:rFonts w:hint="default" w:ascii="Times New Roman" w:hAnsi="Times New Roman" w:eastAsia="宋体" w:cs="Times New Roman"/>
                      <w:color w:val="auto"/>
                      <w:sz w:val="21"/>
                      <w:szCs w:val="21"/>
                      <w:highlight w:val="none"/>
                      <w:u w:val="none" w:color="auto"/>
                      <w:lang w:val="en-US" w:eastAsia="zh-CN"/>
                    </w:rPr>
                    <w:t>(七)其他不符合自然保护区主体功能定位和国家禁止的设施。</w:t>
                  </w:r>
                </w:p>
              </w:tc>
              <w:tc>
                <w:tcPr>
                  <w:tcW w:w="1931" w:type="pct"/>
                  <w:tcBorders>
                    <w:tl2br w:val="nil"/>
                    <w:tr2bl w:val="nil"/>
                  </w:tcBorders>
                  <w:vAlign w:val="center"/>
                </w:tcPr>
                <w:p w14:paraId="3411FBF3">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本项目不属于左侧项目类型；所在区域不涉及自然保护区等敏感区。</w:t>
                  </w:r>
                </w:p>
              </w:tc>
            </w:tr>
            <w:tr w14:paraId="2708C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1372E7B2">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3</w:t>
                  </w:r>
                </w:p>
              </w:tc>
              <w:tc>
                <w:tcPr>
                  <w:tcW w:w="2671" w:type="pct"/>
                  <w:tcBorders>
                    <w:tl2br w:val="nil"/>
                    <w:tr2bl w:val="nil"/>
                  </w:tcBorders>
                  <w:vAlign w:val="center"/>
                </w:tcPr>
                <w:p w14:paraId="78F9677A">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机场、铁路、公路、水利、航运、围堰等公益性基础设施的选址选线应多方案优化比选，尽量避让相关自然保护区域、野生动物迁徙洄游通道;无法避让的，应当采取修建野生动物通道、过鱼设施等措施，消除或者减少对野生动物的不利影响</w:t>
                  </w:r>
                  <w:r>
                    <w:rPr>
                      <w:rFonts w:hint="eastAsia" w:ascii="Times New Roman" w:hAnsi="Times New Roman" w:eastAsia="宋体" w:cs="Times New Roman"/>
                      <w:color w:val="auto"/>
                      <w:sz w:val="21"/>
                      <w:szCs w:val="21"/>
                      <w:highlight w:val="none"/>
                      <w:u w:val="none" w:color="auto"/>
                      <w:lang w:val="en-US" w:eastAsia="zh-CN"/>
                    </w:rPr>
                    <w:t>。</w:t>
                  </w:r>
                </w:p>
              </w:tc>
              <w:tc>
                <w:tcPr>
                  <w:tcW w:w="1931" w:type="pct"/>
                  <w:tcBorders>
                    <w:tl2br w:val="nil"/>
                    <w:tr2bl w:val="nil"/>
                  </w:tcBorders>
                  <w:vAlign w:val="center"/>
                </w:tcPr>
                <w:p w14:paraId="7F7151DD">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本</w:t>
                  </w:r>
                  <w:r>
                    <w:rPr>
                      <w:rFonts w:hint="eastAsia" w:ascii="Times New Roman" w:hAnsi="Times New Roman" w:eastAsia="宋体" w:cs="Times New Roman"/>
                      <w:color w:val="auto"/>
                      <w:sz w:val="21"/>
                      <w:szCs w:val="21"/>
                      <w:highlight w:val="none"/>
                      <w:u w:val="none" w:color="auto"/>
                      <w:lang w:val="en-US" w:eastAsia="zh-CN"/>
                    </w:rPr>
                    <w:t>项目</w:t>
                  </w:r>
                  <w:r>
                    <w:rPr>
                      <w:rFonts w:hint="default" w:ascii="Times New Roman" w:hAnsi="Times New Roman" w:eastAsia="宋体" w:cs="Times New Roman"/>
                      <w:color w:val="auto"/>
                      <w:sz w:val="21"/>
                      <w:szCs w:val="21"/>
                      <w:highlight w:val="none"/>
                      <w:u w:val="none" w:color="auto"/>
                      <w:lang w:val="en-US" w:eastAsia="zh-CN"/>
                    </w:rPr>
                    <w:t>不涉及机场、铁路、公路、水利、航运、围堰等公益性基础设施建设</w:t>
                  </w:r>
                  <w:r>
                    <w:rPr>
                      <w:rFonts w:hint="eastAsia" w:ascii="Times New Roman" w:hAnsi="Times New Roman" w:eastAsia="宋体" w:cs="Times New Roman"/>
                      <w:color w:val="auto"/>
                      <w:sz w:val="21"/>
                      <w:szCs w:val="21"/>
                      <w:highlight w:val="none"/>
                      <w:u w:val="none" w:color="auto"/>
                      <w:lang w:val="en-US" w:eastAsia="zh-CN"/>
                    </w:rPr>
                    <w:t>。</w:t>
                  </w:r>
                </w:p>
              </w:tc>
            </w:tr>
            <w:tr w14:paraId="29706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3818A1B0">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4</w:t>
                  </w:r>
                </w:p>
              </w:tc>
              <w:tc>
                <w:tcPr>
                  <w:tcW w:w="2671" w:type="pct"/>
                  <w:tcBorders>
                    <w:tl2br w:val="nil"/>
                    <w:tr2bl w:val="nil"/>
                  </w:tcBorders>
                  <w:vAlign w:val="center"/>
                </w:tcPr>
                <w:p w14:paraId="148F2B3B">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禁止违反风景名胜区规划，在风景名胜区内设立各类开发区和在核心景区内建设宾馆、招待所、培训中心、疗养院以及与风景名胜资源保护无关的其他建筑物</w:t>
                  </w:r>
                  <w:r>
                    <w:rPr>
                      <w:rFonts w:hint="eastAsia" w:ascii="Times New Roman" w:hAnsi="Times New Roman" w:eastAsia="宋体" w:cs="Times New Roman"/>
                      <w:color w:val="auto"/>
                      <w:sz w:val="21"/>
                      <w:szCs w:val="21"/>
                      <w:highlight w:val="none"/>
                      <w:u w:val="none" w:color="auto"/>
                      <w:lang w:val="en-US" w:eastAsia="zh-CN"/>
                    </w:rPr>
                    <w:t>；</w:t>
                  </w:r>
                  <w:r>
                    <w:rPr>
                      <w:rFonts w:hint="default" w:ascii="Times New Roman" w:hAnsi="Times New Roman" w:eastAsia="宋体" w:cs="Times New Roman"/>
                      <w:color w:val="auto"/>
                      <w:sz w:val="21"/>
                      <w:szCs w:val="21"/>
                      <w:highlight w:val="none"/>
                      <w:u w:val="none" w:color="auto"/>
                      <w:lang w:val="en-US" w:eastAsia="zh-CN"/>
                    </w:rPr>
                    <w:t>已经建设的，应当按照风景名胜区规划，逐步迁出。</w:t>
                  </w:r>
                </w:p>
              </w:tc>
              <w:tc>
                <w:tcPr>
                  <w:tcW w:w="1931" w:type="pct"/>
                  <w:tcBorders>
                    <w:tl2br w:val="nil"/>
                    <w:tr2bl w:val="nil"/>
                  </w:tcBorders>
                  <w:vAlign w:val="center"/>
                </w:tcPr>
                <w:p w14:paraId="3D08697B">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本项目不属于风景名胜区的</w:t>
                  </w:r>
                  <w:r>
                    <w:rPr>
                      <w:rFonts w:hint="eastAsia" w:ascii="Times New Roman" w:hAnsi="Times New Roman" w:eastAsia="宋体" w:cs="Times New Roman"/>
                      <w:color w:val="auto"/>
                      <w:sz w:val="21"/>
                      <w:szCs w:val="21"/>
                      <w:highlight w:val="none"/>
                      <w:u w:val="none" w:color="auto"/>
                      <w:lang w:val="en-US" w:eastAsia="zh-CN"/>
                    </w:rPr>
                    <w:t>范畴</w:t>
                  </w:r>
                  <w:r>
                    <w:rPr>
                      <w:rFonts w:hint="default" w:ascii="Times New Roman" w:hAnsi="Times New Roman" w:eastAsia="宋体" w:cs="Times New Roman"/>
                      <w:color w:val="auto"/>
                      <w:sz w:val="21"/>
                      <w:szCs w:val="21"/>
                      <w:highlight w:val="none"/>
                      <w:u w:val="none" w:color="auto"/>
                      <w:lang w:val="en-US" w:eastAsia="zh-CN"/>
                    </w:rPr>
                    <w:t>。</w:t>
                  </w:r>
                </w:p>
              </w:tc>
            </w:tr>
            <w:tr w14:paraId="754F9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56C073A2">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5</w:t>
                  </w:r>
                </w:p>
              </w:tc>
              <w:tc>
                <w:tcPr>
                  <w:tcW w:w="2671" w:type="pct"/>
                  <w:tcBorders>
                    <w:tl2br w:val="nil"/>
                    <w:tr2bl w:val="nil"/>
                  </w:tcBorders>
                  <w:vAlign w:val="center"/>
                </w:tcPr>
                <w:p w14:paraId="3AF78C32">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饮用水水源一级保护区内禁止新建、改建、扩建与供水设施和保护水源无关的建设项目，以及网箱养殖、畜禽养殖、旅游等可能污染饮用水水体的投资建设项目;禁止向水域排放污水，已设置的排污口必须拆除;不得设置与供水需要无关的码头，禁止停靠船舶;禁止堆置和存放工业废渣、城市垃圾、粪便和其他废弃物;禁止设置油库;禁止使用含磷洗涤用品。</w:t>
                  </w:r>
                </w:p>
              </w:tc>
              <w:tc>
                <w:tcPr>
                  <w:tcW w:w="1931" w:type="pct"/>
                  <w:vMerge w:val="restart"/>
                  <w:tcBorders>
                    <w:tl2br w:val="nil"/>
                    <w:tr2bl w:val="nil"/>
                  </w:tcBorders>
                  <w:vAlign w:val="center"/>
                </w:tcPr>
                <w:p w14:paraId="64C9039B">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本项目生活污水经</w:t>
                  </w:r>
                  <w:r>
                    <w:rPr>
                      <w:rFonts w:hint="eastAsia" w:ascii="Times New Roman" w:hAnsi="Times New Roman" w:eastAsia="宋体" w:cs="Times New Roman"/>
                      <w:color w:val="auto"/>
                      <w:sz w:val="21"/>
                      <w:szCs w:val="21"/>
                      <w:highlight w:val="none"/>
                      <w:u w:val="none" w:color="auto"/>
                      <w:lang w:val="en-US" w:eastAsia="zh-CN"/>
                    </w:rPr>
                    <w:t>三级化粪池</w:t>
                  </w:r>
                  <w:r>
                    <w:rPr>
                      <w:rFonts w:hint="default" w:ascii="Times New Roman" w:hAnsi="Times New Roman" w:eastAsia="宋体" w:cs="Times New Roman"/>
                      <w:color w:val="auto"/>
                      <w:sz w:val="21"/>
                      <w:szCs w:val="21"/>
                      <w:highlight w:val="none"/>
                      <w:u w:val="none" w:color="auto"/>
                      <w:lang w:val="en-US" w:eastAsia="zh-CN"/>
                    </w:rPr>
                    <w:t>处理后用作农肥</w:t>
                  </w:r>
                  <w:r>
                    <w:rPr>
                      <w:rFonts w:hint="eastAsia" w:ascii="Times New Roman" w:hAnsi="Times New Roman" w:eastAsia="宋体" w:cs="Times New Roman"/>
                      <w:color w:val="auto"/>
                      <w:sz w:val="21"/>
                      <w:szCs w:val="21"/>
                      <w:highlight w:val="none"/>
                      <w:u w:val="none" w:color="auto"/>
                      <w:lang w:val="en-US" w:eastAsia="zh-CN"/>
                    </w:rPr>
                    <w:t>，</w:t>
                  </w:r>
                  <w:r>
                    <w:rPr>
                      <w:rFonts w:hint="default" w:ascii="Times New Roman" w:hAnsi="Times New Roman" w:eastAsia="宋体" w:cs="Times New Roman"/>
                      <w:color w:val="auto"/>
                      <w:sz w:val="21"/>
                      <w:szCs w:val="21"/>
                      <w:highlight w:val="none"/>
                      <w:u w:val="none" w:color="auto"/>
                      <w:lang w:val="en-US" w:eastAsia="zh-CN"/>
                    </w:rPr>
                    <w:t>不外排</w:t>
                  </w:r>
                  <w:r>
                    <w:rPr>
                      <w:rFonts w:hint="eastAsia" w:ascii="Times New Roman" w:hAnsi="Times New Roman" w:eastAsia="宋体" w:cs="Times New Roman"/>
                      <w:color w:val="auto"/>
                      <w:sz w:val="21"/>
                      <w:szCs w:val="21"/>
                      <w:highlight w:val="none"/>
                      <w:u w:val="none" w:color="auto"/>
                      <w:lang w:val="en-US" w:eastAsia="zh-CN"/>
                    </w:rPr>
                    <w:t>。本项目所在区域不涉及饮用水水源保护区、</w:t>
                  </w:r>
                  <w:r>
                    <w:rPr>
                      <w:rFonts w:hint="default" w:ascii="Times New Roman" w:hAnsi="Times New Roman" w:eastAsia="宋体" w:cs="Times New Roman"/>
                      <w:color w:val="auto"/>
                      <w:sz w:val="21"/>
                      <w:szCs w:val="21"/>
                      <w:highlight w:val="none"/>
                      <w:u w:val="none" w:color="auto"/>
                      <w:lang w:val="en-US" w:eastAsia="zh-CN"/>
                    </w:rPr>
                    <w:t>水产种质资源保护区</w:t>
                  </w:r>
                  <w:r>
                    <w:rPr>
                      <w:rFonts w:hint="eastAsia" w:ascii="Times New Roman" w:hAnsi="Times New Roman" w:eastAsia="宋体" w:cs="Times New Roman"/>
                      <w:color w:val="auto"/>
                      <w:sz w:val="21"/>
                      <w:szCs w:val="21"/>
                      <w:highlight w:val="none"/>
                      <w:u w:val="none" w:color="auto"/>
                      <w:lang w:val="en-US" w:eastAsia="zh-CN"/>
                    </w:rPr>
                    <w:t>。</w:t>
                  </w:r>
                </w:p>
              </w:tc>
            </w:tr>
            <w:tr w14:paraId="137290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3716D49C">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6</w:t>
                  </w:r>
                </w:p>
              </w:tc>
              <w:tc>
                <w:tcPr>
                  <w:tcW w:w="2671" w:type="pct"/>
                  <w:tcBorders>
                    <w:tl2br w:val="nil"/>
                    <w:tr2bl w:val="nil"/>
                  </w:tcBorders>
                  <w:vAlign w:val="center"/>
                </w:tcPr>
                <w:p w14:paraId="67ED9095">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饮用水水源二级保护区内禁止新建、改建、扩建向水体排放污染物的投资建设项目。原有排污口依法拆除或关闭。禁止设立装卸垃圾、粪便、油类和有毒物品的码头。</w:t>
                  </w:r>
                </w:p>
              </w:tc>
              <w:tc>
                <w:tcPr>
                  <w:tcW w:w="1931" w:type="pct"/>
                  <w:vMerge w:val="continue"/>
                  <w:tcBorders>
                    <w:tl2br w:val="nil"/>
                    <w:tr2bl w:val="nil"/>
                  </w:tcBorders>
                  <w:vAlign w:val="center"/>
                </w:tcPr>
                <w:p w14:paraId="0D0E22AA">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p>
              </w:tc>
            </w:tr>
            <w:tr w14:paraId="1E8D88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00B0DF49">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7</w:t>
                  </w:r>
                </w:p>
              </w:tc>
              <w:tc>
                <w:tcPr>
                  <w:tcW w:w="2671" w:type="pct"/>
                  <w:tcBorders>
                    <w:tl2br w:val="nil"/>
                    <w:tr2bl w:val="nil"/>
                  </w:tcBorders>
                  <w:vAlign w:val="center"/>
                </w:tcPr>
                <w:p w14:paraId="28D92280">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禁止在水产种质资源保护区的岸线和河段范围内新建排污口、实施非法围垦河道和围湖造田造地等投资建设项目</w:t>
                  </w:r>
                </w:p>
              </w:tc>
              <w:tc>
                <w:tcPr>
                  <w:tcW w:w="1931" w:type="pct"/>
                  <w:vMerge w:val="continue"/>
                  <w:tcBorders>
                    <w:tl2br w:val="nil"/>
                    <w:tr2bl w:val="nil"/>
                  </w:tcBorders>
                  <w:vAlign w:val="center"/>
                </w:tcPr>
                <w:p w14:paraId="5A5C0B85">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p>
              </w:tc>
            </w:tr>
            <w:tr w14:paraId="182C75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6F339FE2">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8</w:t>
                  </w:r>
                </w:p>
              </w:tc>
              <w:tc>
                <w:tcPr>
                  <w:tcW w:w="2671" w:type="pct"/>
                  <w:tcBorders>
                    <w:tl2br w:val="nil"/>
                    <w:tr2bl w:val="nil"/>
                  </w:tcBorders>
                  <w:vAlign w:val="center"/>
                </w:tcPr>
                <w:p w14:paraId="6C2178B5">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除《中华人民共和国防洪法》规定的紧急防汛期采取的紧急措施外，禁止在国家湿地公园的岸线和河段范围内挖沙、采矿，以及以下不符合主体功能定位的行为和活动:(一)开(围)垦、填埋或者排干湿地。(二)截断湿地水源。(三)倾倒有毒有害物质、废弃物、垃圾。(四)从事房地产、度假村、高尔夫球场、风力发电、光伏发电等任何不符合主体功能定位的建设项目和开发活动。(五)破坏野生动物栖息地和迁徙通道、鱼类洄游通道滥采滥捕野生动植物。(六)引入外来物种。(七)擅自放牧、捕捞、取土、取水、排污、放生。(八)其他破坏湿地及其生态功能的活动</w:t>
                  </w:r>
                </w:p>
              </w:tc>
              <w:tc>
                <w:tcPr>
                  <w:tcW w:w="1931" w:type="pct"/>
                  <w:tcBorders>
                    <w:tl2br w:val="nil"/>
                    <w:tr2bl w:val="nil"/>
                  </w:tcBorders>
                  <w:vAlign w:val="center"/>
                </w:tcPr>
                <w:p w14:paraId="506290C8">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本项目为不涉及左侧所列行为和活动。</w:t>
                  </w:r>
                </w:p>
              </w:tc>
            </w:tr>
            <w:tr w14:paraId="3C89CC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13D0339D">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9</w:t>
                  </w:r>
                </w:p>
              </w:tc>
              <w:tc>
                <w:tcPr>
                  <w:tcW w:w="2671" w:type="pct"/>
                  <w:tcBorders>
                    <w:tl2br w:val="nil"/>
                    <w:tr2bl w:val="nil"/>
                  </w:tcBorders>
                  <w:vAlign w:val="center"/>
                </w:tcPr>
                <w:p w14:paraId="38AD9087">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填湖造地、围湖造田及非法围垦河道，禁止非法建设矮围围网、填埋湿地等侵占河湖水域或者违法利用、占用河湖岸线的行为。</w:t>
                  </w:r>
                </w:p>
              </w:tc>
              <w:tc>
                <w:tcPr>
                  <w:tcW w:w="1931" w:type="pct"/>
                  <w:tcBorders>
                    <w:tl2br w:val="nil"/>
                    <w:tr2bl w:val="nil"/>
                  </w:tcBorders>
                  <w:vAlign w:val="center"/>
                </w:tcPr>
                <w:p w14:paraId="40611BF1">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本项目不占用长江流域河湖岸线，不涉及填湖造地、围湖造田及非法围垦河道等行为。</w:t>
                  </w:r>
                </w:p>
              </w:tc>
            </w:tr>
            <w:tr w14:paraId="6D7136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26983934">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10</w:t>
                  </w:r>
                </w:p>
              </w:tc>
              <w:tc>
                <w:tcPr>
                  <w:tcW w:w="2671" w:type="pct"/>
                  <w:tcBorders>
                    <w:tl2br w:val="nil"/>
                    <w:tr2bl w:val="nil"/>
                  </w:tcBorders>
                  <w:vAlign w:val="center"/>
                </w:tcPr>
                <w:p w14:paraId="5997D853">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禁止在《全国重要江河湖泊水功能区划》划定的河段及湖泊保护区、保留区内投资建设不利于水资源及自然生态保护的项目。</w:t>
                  </w:r>
                </w:p>
              </w:tc>
              <w:tc>
                <w:tcPr>
                  <w:tcW w:w="1931" w:type="pct"/>
                  <w:tcBorders>
                    <w:tl2br w:val="nil"/>
                    <w:tr2bl w:val="nil"/>
                  </w:tcBorders>
                  <w:vAlign w:val="center"/>
                </w:tcPr>
                <w:p w14:paraId="6FA844F5">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本项目无废水外排</w:t>
                  </w:r>
                  <w:r>
                    <w:rPr>
                      <w:rFonts w:hint="eastAsia" w:ascii="Times New Roman" w:hAnsi="Times New Roman" w:eastAsia="宋体" w:cs="Times New Roman"/>
                      <w:color w:val="auto"/>
                      <w:sz w:val="21"/>
                      <w:szCs w:val="21"/>
                      <w:highlight w:val="none"/>
                      <w:u w:val="none" w:color="auto"/>
                      <w:lang w:val="en-US" w:eastAsia="zh-CN"/>
                    </w:rPr>
                    <w:t>且</w:t>
                  </w:r>
                  <w:r>
                    <w:rPr>
                      <w:rFonts w:hint="default" w:ascii="Times New Roman" w:hAnsi="Times New Roman" w:eastAsia="宋体" w:cs="Times New Roman"/>
                      <w:color w:val="auto"/>
                      <w:sz w:val="21"/>
                      <w:szCs w:val="21"/>
                      <w:highlight w:val="none"/>
                      <w:u w:val="none" w:color="auto"/>
                      <w:lang w:val="en-US" w:eastAsia="zh-CN"/>
                    </w:rPr>
                    <w:t>不属于不利于水资源及自然生态保护的项目。</w:t>
                  </w:r>
                </w:p>
              </w:tc>
            </w:tr>
            <w:tr w14:paraId="4966CB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42692C87">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11</w:t>
                  </w:r>
                </w:p>
              </w:tc>
              <w:tc>
                <w:tcPr>
                  <w:tcW w:w="2671" w:type="pct"/>
                  <w:tcBorders>
                    <w:tl2br w:val="nil"/>
                    <w:tr2bl w:val="nil"/>
                  </w:tcBorders>
                  <w:vAlign w:val="center"/>
                </w:tcPr>
                <w:p w14:paraId="33576AEA">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禁止未经许可在长江</w:t>
                  </w:r>
                  <w:r>
                    <w:rPr>
                      <w:rFonts w:hint="eastAsia" w:ascii="Times New Roman" w:hAnsi="Times New Roman" w:eastAsia="宋体" w:cs="Times New Roman"/>
                      <w:color w:val="auto"/>
                      <w:sz w:val="21"/>
                      <w:szCs w:val="21"/>
                      <w:highlight w:val="none"/>
                      <w:u w:val="none" w:color="auto"/>
                      <w:lang w:val="en-US" w:eastAsia="zh-CN"/>
                    </w:rPr>
                    <w:t>干</w:t>
                  </w:r>
                  <w:r>
                    <w:rPr>
                      <w:rFonts w:hint="default" w:ascii="Times New Roman" w:hAnsi="Times New Roman" w:eastAsia="宋体" w:cs="Times New Roman"/>
                      <w:color w:val="auto"/>
                      <w:sz w:val="21"/>
                      <w:szCs w:val="21"/>
                      <w:highlight w:val="none"/>
                      <w:u w:val="none" w:color="auto"/>
                      <w:lang w:val="en-US" w:eastAsia="zh-CN"/>
                    </w:rPr>
                    <w:t>支流及湖泊新设、改设或扩大排污口。</w:t>
                  </w:r>
                </w:p>
              </w:tc>
              <w:tc>
                <w:tcPr>
                  <w:tcW w:w="1931" w:type="pct"/>
                  <w:tcBorders>
                    <w:tl2br w:val="nil"/>
                    <w:tr2bl w:val="nil"/>
                  </w:tcBorders>
                  <w:vAlign w:val="center"/>
                </w:tcPr>
                <w:p w14:paraId="0769BE87">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本项目</w:t>
                  </w:r>
                  <w:r>
                    <w:rPr>
                      <w:rFonts w:hint="default" w:ascii="Times New Roman" w:hAnsi="Times New Roman" w:eastAsia="宋体" w:cs="Times New Roman"/>
                      <w:color w:val="auto"/>
                      <w:sz w:val="21"/>
                      <w:szCs w:val="21"/>
                      <w:highlight w:val="none"/>
                      <w:u w:val="none" w:color="auto"/>
                      <w:lang w:val="en-US" w:eastAsia="zh-CN"/>
                    </w:rPr>
                    <w:t>无生产废水</w:t>
                  </w:r>
                  <w:r>
                    <w:rPr>
                      <w:rFonts w:hint="eastAsia" w:ascii="Times New Roman" w:hAnsi="Times New Roman" w:eastAsia="宋体" w:cs="Times New Roman"/>
                      <w:color w:val="auto"/>
                      <w:sz w:val="21"/>
                      <w:szCs w:val="21"/>
                      <w:highlight w:val="none"/>
                      <w:u w:val="none" w:color="auto"/>
                      <w:lang w:val="en-US" w:eastAsia="zh-CN"/>
                    </w:rPr>
                    <w:t>外排</w:t>
                  </w:r>
                  <w:r>
                    <w:rPr>
                      <w:rFonts w:hint="default" w:ascii="Times New Roman" w:hAnsi="Times New Roman" w:eastAsia="宋体" w:cs="Times New Roman"/>
                      <w:color w:val="auto"/>
                      <w:sz w:val="21"/>
                      <w:szCs w:val="21"/>
                      <w:highlight w:val="none"/>
                      <w:u w:val="none" w:color="auto"/>
                      <w:lang w:val="en-US" w:eastAsia="zh-CN"/>
                    </w:rPr>
                    <w:t>，生活污水经三级化粪池处理后用作农肥，不外排地表水体</w:t>
                  </w:r>
                </w:p>
              </w:tc>
            </w:tr>
            <w:tr w14:paraId="69D4E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7CF1CF05">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12</w:t>
                  </w:r>
                </w:p>
              </w:tc>
              <w:tc>
                <w:tcPr>
                  <w:tcW w:w="2671" w:type="pct"/>
                  <w:tcBorders>
                    <w:tl2br w:val="nil"/>
                    <w:tr2bl w:val="nil"/>
                  </w:tcBorders>
                  <w:vAlign w:val="center"/>
                </w:tcPr>
                <w:p w14:paraId="55896A12">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禁止在洞庭湖、湘江、资江、沅江、澧水干流和45个水生生物保护区开展生产性捕捞。在相关自然保护区域和禁猎(渔)区、禁猎(渔)期内，禁止猎捕以及其他妨碍野生动物生息繁衍的活动，但法律法规另有规定的除外。</w:t>
                  </w:r>
                </w:p>
              </w:tc>
              <w:tc>
                <w:tcPr>
                  <w:tcW w:w="1931" w:type="pct"/>
                  <w:tcBorders>
                    <w:tl2br w:val="nil"/>
                    <w:tr2bl w:val="nil"/>
                  </w:tcBorders>
                  <w:vAlign w:val="center"/>
                </w:tcPr>
                <w:p w14:paraId="57E0B07A">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本项目不涉及在水生生物保护区开展生产性捕捞工作。</w:t>
                  </w:r>
                </w:p>
              </w:tc>
            </w:tr>
            <w:tr w14:paraId="05D36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77BB22DB">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13</w:t>
                  </w:r>
                </w:p>
              </w:tc>
              <w:tc>
                <w:tcPr>
                  <w:tcW w:w="2671" w:type="pct"/>
                  <w:tcBorders>
                    <w:tl2br w:val="nil"/>
                    <w:tr2bl w:val="nil"/>
                  </w:tcBorders>
                  <w:vAlign w:val="center"/>
                </w:tcPr>
                <w:p w14:paraId="64205DBC">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禁止在长江湖南段和洞庭湖、湘江、资江、沅江、澧水干流岸线一公里范围内新建、扩建化工园区和化工项目。禁止在长江湖南段岸线三公里范围内和湘江、资江、沅江、澧水岸线一公里范围内新建、改建、扩建尾矿库、冶炼渣库和磷石库，以提升安全、生态环境保护水平为目的的改建除外。</w:t>
                  </w:r>
                </w:p>
              </w:tc>
              <w:tc>
                <w:tcPr>
                  <w:tcW w:w="1931" w:type="pct"/>
                  <w:tcBorders>
                    <w:tl2br w:val="nil"/>
                    <w:tr2bl w:val="nil"/>
                  </w:tcBorders>
                  <w:vAlign w:val="center"/>
                </w:tcPr>
                <w:p w14:paraId="2D0F2979">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本项目不属于化工项</w:t>
                  </w:r>
                  <w:r>
                    <w:rPr>
                      <w:rFonts w:hint="eastAsia" w:ascii="Times New Roman" w:hAnsi="Times New Roman" w:eastAsia="宋体" w:cs="Times New Roman"/>
                      <w:color w:val="auto"/>
                      <w:sz w:val="21"/>
                      <w:szCs w:val="21"/>
                      <w:highlight w:val="none"/>
                      <w:u w:val="none" w:color="auto"/>
                      <w:lang w:val="en-US" w:eastAsia="zh-CN"/>
                    </w:rPr>
                    <w:t>目</w:t>
                  </w:r>
                  <w:r>
                    <w:rPr>
                      <w:rFonts w:hint="default" w:ascii="Times New Roman" w:hAnsi="Times New Roman" w:eastAsia="宋体" w:cs="Times New Roman"/>
                      <w:color w:val="auto"/>
                      <w:sz w:val="21"/>
                      <w:szCs w:val="21"/>
                      <w:highlight w:val="none"/>
                      <w:u w:val="none" w:color="auto"/>
                      <w:lang w:val="en-US" w:eastAsia="zh-CN"/>
                    </w:rPr>
                    <w:t>。</w:t>
                  </w:r>
                </w:p>
              </w:tc>
            </w:tr>
            <w:tr w14:paraId="47AAF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5FFEF26C">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14</w:t>
                  </w:r>
                </w:p>
              </w:tc>
              <w:tc>
                <w:tcPr>
                  <w:tcW w:w="2671" w:type="pct"/>
                  <w:tcBorders>
                    <w:tl2br w:val="nil"/>
                    <w:tr2bl w:val="nil"/>
                  </w:tcBorders>
                  <w:vAlign w:val="center"/>
                </w:tcPr>
                <w:p w14:paraId="61853664">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禁止在合规园区外新建、扩建钢铁、石化、化工、焦化、建材、有色、制浆造纸等高污染项目。高污染项目严格按照生态环境部《环境保护综合名录(2021年版)》有关要求执行。</w:t>
                  </w:r>
                </w:p>
              </w:tc>
              <w:tc>
                <w:tcPr>
                  <w:tcW w:w="1931" w:type="pct"/>
                  <w:vMerge w:val="restart"/>
                  <w:tcBorders>
                    <w:tl2br w:val="nil"/>
                    <w:tr2bl w:val="nil"/>
                  </w:tcBorders>
                  <w:vAlign w:val="center"/>
                </w:tcPr>
                <w:p w14:paraId="1155FB95">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本项目国民经济行业类别为“C4210金属废料和碎屑加工处理”</w:t>
                  </w:r>
                  <w:r>
                    <w:rPr>
                      <w:rFonts w:hint="eastAsia" w:ascii="Times New Roman" w:hAnsi="Times New Roman" w:eastAsia="宋体" w:cs="Times New Roman"/>
                      <w:color w:val="auto"/>
                      <w:sz w:val="21"/>
                      <w:szCs w:val="21"/>
                      <w:highlight w:val="none"/>
                      <w:u w:val="none" w:color="auto"/>
                      <w:lang w:val="en-US" w:eastAsia="zh-CN"/>
                    </w:rPr>
                    <w:t>；</w:t>
                  </w:r>
                  <w:r>
                    <w:rPr>
                      <w:rFonts w:hint="default" w:ascii="Times New Roman" w:hAnsi="Times New Roman" w:eastAsia="宋体" w:cs="Times New Roman"/>
                      <w:color w:val="auto"/>
                      <w:sz w:val="21"/>
                      <w:szCs w:val="21"/>
                      <w:highlight w:val="none"/>
                      <w:u w:val="none" w:color="auto"/>
                      <w:lang w:val="en-US" w:eastAsia="zh-CN"/>
                    </w:rPr>
                    <w:t>对照《湖南省“两高”项目管理目录》</w:t>
                  </w:r>
                  <w:r>
                    <w:rPr>
                      <w:rFonts w:hint="eastAsia" w:ascii="Times New Roman" w:hAnsi="Times New Roman" w:eastAsia="宋体" w:cs="Times New Roman"/>
                      <w:color w:val="auto"/>
                      <w:sz w:val="21"/>
                      <w:szCs w:val="21"/>
                      <w:highlight w:val="none"/>
                      <w:u w:val="none" w:color="auto"/>
                      <w:lang w:val="en-US" w:eastAsia="zh-CN"/>
                    </w:rPr>
                    <w:t>可知</w:t>
                  </w:r>
                  <w:r>
                    <w:rPr>
                      <w:rFonts w:hint="default" w:ascii="Times New Roman" w:hAnsi="Times New Roman" w:eastAsia="宋体" w:cs="Times New Roman"/>
                      <w:color w:val="auto"/>
                      <w:sz w:val="21"/>
                      <w:szCs w:val="21"/>
                      <w:highlight w:val="none"/>
                      <w:u w:val="none" w:color="auto"/>
                      <w:lang w:val="en-US" w:eastAsia="zh-CN"/>
                    </w:rPr>
                    <w:t>，本项目不属于“两高”项目的范畴;同时，本项目不属于石化、现代煤化工项目。</w:t>
                  </w:r>
                </w:p>
              </w:tc>
            </w:tr>
            <w:tr w14:paraId="38721A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5AA89FB5">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15</w:t>
                  </w:r>
                </w:p>
              </w:tc>
              <w:tc>
                <w:tcPr>
                  <w:tcW w:w="2671" w:type="pct"/>
                  <w:tcBorders>
                    <w:tl2br w:val="nil"/>
                    <w:tr2bl w:val="nil"/>
                  </w:tcBorders>
                  <w:vAlign w:val="center"/>
                </w:tcPr>
                <w:p w14:paraId="0B8E7895">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禁止新建、扩建不符合国家石化、现代煤化工等产业布局规划的项目。未通过认定的化工园区，不得新建、改扩建化工项目(安全、环保、节能和智能化改造项目除外)。</w:t>
                  </w:r>
                </w:p>
              </w:tc>
              <w:tc>
                <w:tcPr>
                  <w:tcW w:w="1931" w:type="pct"/>
                  <w:vMerge w:val="continue"/>
                  <w:tcBorders>
                    <w:tl2br w:val="nil"/>
                    <w:tr2bl w:val="nil"/>
                  </w:tcBorders>
                  <w:vAlign w:val="center"/>
                </w:tcPr>
                <w:p w14:paraId="2FA5D41F">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p>
              </w:tc>
            </w:tr>
            <w:tr w14:paraId="1848B4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7" w:type="pct"/>
                  <w:tcBorders>
                    <w:tl2br w:val="nil"/>
                    <w:tr2bl w:val="nil"/>
                  </w:tcBorders>
                  <w:vAlign w:val="center"/>
                </w:tcPr>
                <w:p w14:paraId="12BB4E2A">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16</w:t>
                  </w:r>
                </w:p>
              </w:tc>
              <w:tc>
                <w:tcPr>
                  <w:tcW w:w="2671" w:type="pct"/>
                  <w:tcBorders>
                    <w:tl2br w:val="nil"/>
                    <w:tr2bl w:val="nil"/>
                  </w:tcBorders>
                  <w:vAlign w:val="center"/>
                </w:tcPr>
                <w:p w14:paraId="6A17B6AA">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1931" w:type="pct"/>
                  <w:tcBorders>
                    <w:tl2br w:val="nil"/>
                    <w:tr2bl w:val="nil"/>
                  </w:tcBorders>
                  <w:vAlign w:val="center"/>
                </w:tcPr>
                <w:p w14:paraId="5E44895B">
                  <w:pPr>
                    <w:pStyle w:val="63"/>
                    <w:tabs>
                      <w:tab w:val="left" w:pos="1021"/>
                    </w:tabs>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根据《产业结构调整指导目录（2024年本）》中有关规定，本项目属于鼓励类</w:t>
                  </w:r>
                  <w:r>
                    <w:rPr>
                      <w:rFonts w:hint="eastAsia" w:ascii="Times New Roman" w:hAnsi="Times New Roman" w:eastAsia="宋体" w:cs="Times New Roman"/>
                      <w:color w:val="auto"/>
                      <w:sz w:val="21"/>
                      <w:szCs w:val="21"/>
                      <w:highlight w:val="none"/>
                      <w:u w:val="none" w:color="auto"/>
                      <w:lang w:val="en-US" w:eastAsia="zh-CN"/>
                    </w:rPr>
                    <w:t>，不属于</w:t>
                  </w:r>
                  <w:r>
                    <w:rPr>
                      <w:rFonts w:hint="default" w:ascii="Times New Roman" w:hAnsi="Times New Roman" w:eastAsia="宋体" w:cs="Times New Roman"/>
                      <w:color w:val="auto"/>
                      <w:sz w:val="21"/>
                      <w:szCs w:val="21"/>
                      <w:highlight w:val="none"/>
                      <w:u w:val="none" w:color="auto"/>
                      <w:lang w:val="en-US" w:eastAsia="zh-CN"/>
                    </w:rPr>
                    <w:t>限制类和禁止类、淘汰类范围</w:t>
                  </w:r>
                  <w:r>
                    <w:rPr>
                      <w:rFonts w:hint="eastAsia" w:ascii="Times New Roman" w:hAnsi="Times New Roman" w:eastAsia="宋体" w:cs="Times New Roman"/>
                      <w:color w:val="auto"/>
                      <w:sz w:val="21"/>
                      <w:szCs w:val="21"/>
                      <w:highlight w:val="none"/>
                      <w:u w:val="none" w:color="auto"/>
                      <w:lang w:val="en-US" w:eastAsia="zh-CN"/>
                    </w:rPr>
                    <w:t>。</w:t>
                  </w:r>
                </w:p>
              </w:tc>
            </w:tr>
          </w:tbl>
          <w:p w14:paraId="2564AE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Segoe UI" w:hAnsi="Segoe UI" w:eastAsia="宋体" w:cs="Segoe UI"/>
                <w:i w:val="0"/>
                <w:iCs w:val="0"/>
                <w:caps w:val="0"/>
                <w:color w:val="auto"/>
                <w:spacing w:val="0"/>
                <w:sz w:val="24"/>
                <w:szCs w:val="24"/>
                <w:u w:val="single" w:color="auto"/>
                <w:shd w:val="clear" w:fill="FFFFFF"/>
                <w:lang w:val="en-US" w:eastAsia="zh-CN"/>
              </w:rPr>
            </w:pPr>
            <w:r>
              <w:rPr>
                <w:rFonts w:hint="eastAsia" w:ascii="Times New Roman" w:hAnsi="Times New Roman" w:eastAsia="宋体" w:cs="Times New Roman"/>
                <w:color w:val="auto"/>
                <w:kern w:val="2"/>
                <w:sz w:val="24"/>
                <w:szCs w:val="24"/>
                <w:highlight w:val="none"/>
                <w:u w:val="none" w:color="auto"/>
                <w:shd w:val="clear" w:color="auto" w:fill="auto"/>
                <w:lang w:val="en-US" w:eastAsia="zh-CN" w:bidi="en-US"/>
              </w:rPr>
              <w:t>根据上表可知，本项目符合区域发展规划，不属于高耗能、高排放项目符合《湖南省长江经济带发展负面清单实施细则(试行，2022年版)》有关规定。</w:t>
            </w:r>
          </w:p>
        </w:tc>
      </w:tr>
    </w:tbl>
    <w:p w14:paraId="10BEA982">
      <w:pPr>
        <w:spacing w:line="360" w:lineRule="auto"/>
        <w:outlineLvl w:val="9"/>
        <w:rPr>
          <w:rFonts w:eastAsia="黑体"/>
          <w:color w:val="auto"/>
          <w:sz w:val="30"/>
          <w:highlight w:val="none"/>
        </w:rPr>
        <w:sectPr>
          <w:pgSz w:w="11906" w:h="16838"/>
          <w:pgMar w:top="1134" w:right="1531" w:bottom="1134"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3018ADB0">
      <w:pPr>
        <w:pStyle w:val="28"/>
        <w:keepNext w:val="0"/>
        <w:keepLines w:val="0"/>
        <w:pageBreakBefore w:val="0"/>
        <w:widowControl/>
        <w:kinsoku/>
        <w:wordWrap/>
        <w:overflowPunct/>
        <w:topLinePunct w:val="0"/>
        <w:autoSpaceDE/>
        <w:autoSpaceDN/>
        <w:bidi w:val="0"/>
        <w:adjustRightInd/>
        <w:snapToGrid/>
        <w:jc w:val="center"/>
        <w:textAlignment w:val="auto"/>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二、</w:t>
      </w:r>
      <w:bookmarkStart w:id="13" w:name="OLE_LINK157"/>
      <w:r>
        <w:rPr>
          <w:rFonts w:ascii="Times New Roman" w:hAnsi="Times New Roman" w:eastAsia="黑体"/>
          <w:snapToGrid w:val="0"/>
          <w:color w:val="auto"/>
          <w:sz w:val="30"/>
          <w:szCs w:val="30"/>
          <w:highlight w:val="none"/>
        </w:rPr>
        <w:t>建设项目工程分析</w:t>
      </w:r>
      <w:bookmarkEnd w:id="8"/>
      <w:bookmarkEnd w:id="9"/>
      <w:bookmarkEnd w:id="10"/>
      <w:bookmarkEnd w:id="13"/>
    </w:p>
    <w:tbl>
      <w:tblPr>
        <w:tblStyle w:val="33"/>
        <w:tblW w:w="90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8634"/>
      </w:tblGrid>
      <w:tr w14:paraId="2BCC39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82" w:hRule="atLeast"/>
          <w:jc w:val="center"/>
        </w:trPr>
        <w:tc>
          <w:tcPr>
            <w:tcW w:w="329" w:type="dxa"/>
            <w:noWrap w:val="0"/>
            <w:vAlign w:val="center"/>
          </w:tcPr>
          <w:p w14:paraId="1E4BFE76">
            <w:pPr>
              <w:pStyle w:val="28"/>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建设内容</w:t>
            </w:r>
          </w:p>
        </w:tc>
        <w:tc>
          <w:tcPr>
            <w:tcW w:w="8731" w:type="dxa"/>
            <w:noWrap w:val="0"/>
            <w:vAlign w:val="top"/>
          </w:tcPr>
          <w:p w14:paraId="17B3FBB6">
            <w:pPr>
              <w:autoSpaceDE w:val="0"/>
              <w:autoSpaceDN w:val="0"/>
              <w:adjustRightInd w:val="0"/>
              <w:spacing w:line="360" w:lineRule="auto"/>
              <w:jc w:val="left"/>
              <w:rPr>
                <w:rFonts w:hint="default" w:ascii="Times New Roman" w:hAnsi="Times New Roman" w:cs="Times New Roman"/>
                <w:b/>
                <w:color w:val="auto"/>
                <w:sz w:val="24"/>
                <w:highlight w:val="none"/>
                <w:u w:val="none"/>
              </w:rPr>
            </w:pPr>
            <w:r>
              <w:rPr>
                <w:rFonts w:hint="default" w:ascii="Times New Roman" w:hAnsi="Times New Roman" w:cs="Times New Roman"/>
                <w:b/>
                <w:color w:val="auto"/>
                <w:sz w:val="24"/>
                <w:highlight w:val="none"/>
                <w:u w:val="none"/>
              </w:rPr>
              <w:t>1、项目由来</w:t>
            </w:r>
          </w:p>
          <w:p w14:paraId="5E2C5E1E">
            <w:pPr>
              <w:spacing w:line="360" w:lineRule="auto"/>
              <w:ind w:firstLine="480" w:firstLineChars="200"/>
              <w:rPr>
                <w:rFonts w:hint="eastAsia"/>
                <w:color w:val="auto"/>
                <w:kern w:val="21"/>
                <w:sz w:val="24"/>
                <w:u w:val="single"/>
                <w:lang w:val="en-US" w:eastAsia="zh-CN"/>
              </w:rPr>
            </w:pPr>
            <w:bookmarkStart w:id="14" w:name="OLE_LINK5"/>
            <w:r>
              <w:rPr>
                <w:rFonts w:hint="eastAsia"/>
                <w:color w:val="auto"/>
                <w:kern w:val="21"/>
                <w:sz w:val="24"/>
                <w:u w:val="single"/>
                <w:lang w:val="en-US" w:eastAsia="zh-CN"/>
              </w:rPr>
              <w:t>岳阳县长富钢瓶检测厂是一家专业从事压力容器检验检测、燃气钢瓶置换、报废处置等配套服务的企业。在钢瓶报废处置行业中，超期服役的液化石油气钢瓶内部普遍残留微量液化气残液，若残液随意倾倒、违规处置，极易引发火灾、爆炸等重大安全事故；若报废钢瓶未经合规处置重新流入市场，将直接威胁社会公共安全与人民群众生命财产安全。为规范报废钢瓶处置流程、筑牢安全生产防线、补齐区域特种设备安全处置短板，2025年，岳阳县长富钢瓶检测厂正式设立新墙分厂，同年9月租赁湖南省湘阳食品有限公司工业用地，建设“年处置 12 万只报废液化石油气钢瓶项目”，该项目已于2026年1月13日取得环境影响报告表审批意见（岳县环评【2026】1号），于2026年1月开工建设，生产设备已安装完成，尚未正式投入运营，未开展排污、应急及竣工验收等相关工作。</w:t>
            </w:r>
          </w:p>
          <w:p w14:paraId="4310B7E3">
            <w:pPr>
              <w:spacing w:line="360" w:lineRule="auto"/>
              <w:ind w:firstLine="480" w:firstLineChars="200"/>
              <w:rPr>
                <w:rFonts w:hint="eastAsia"/>
                <w:color w:val="auto"/>
                <w:kern w:val="21"/>
                <w:sz w:val="24"/>
                <w:u w:val="single"/>
                <w:lang w:val="en-US" w:eastAsia="zh-CN"/>
              </w:rPr>
            </w:pPr>
            <w:r>
              <w:rPr>
                <w:rFonts w:hint="eastAsia"/>
                <w:color w:val="auto"/>
                <w:kern w:val="21"/>
                <w:sz w:val="24"/>
                <w:u w:val="single"/>
                <w:lang w:val="en-US" w:eastAsia="zh-CN"/>
              </w:rPr>
              <w:t>现因原出租方湖南省湘阳食品有限公司自身经营战略调整，拟重新规划厂区产业布局，不再对外出租场地，无法继续履行原有厂房租赁协议，导致原选址地块无法继续用于项目生产运营。为保障项目合法合规推进、避免项目停滞，企业经多方实地踏勘、比对筛选、最终确定重新选址落地。本次拟新选址为岳阳县新墙镇燎原村沙河片二组，租赁岳阳县万来新能源科技有限公司面积约3240m</w:t>
            </w:r>
            <w:r>
              <w:rPr>
                <w:rFonts w:hint="eastAsia"/>
                <w:color w:val="auto"/>
                <w:kern w:val="21"/>
                <w:sz w:val="24"/>
                <w:u w:val="single"/>
                <w:vertAlign w:val="superscript"/>
                <w:lang w:val="en-US" w:eastAsia="zh-CN"/>
              </w:rPr>
              <w:t>2</w:t>
            </w:r>
            <w:r>
              <w:rPr>
                <w:rFonts w:hint="eastAsia"/>
                <w:color w:val="auto"/>
                <w:kern w:val="21"/>
                <w:sz w:val="24"/>
                <w:u w:val="single"/>
                <w:lang w:val="en-US" w:eastAsia="zh-CN"/>
              </w:rPr>
              <w:t>闲置钢筋棚厂房作为项目生产车间，该场地前身为岳阳县王家方页岩环保砖厂，用地性质为集体建设用地，</w:t>
            </w:r>
            <w:r>
              <w:rPr>
                <w:rFonts w:hint="eastAsia" w:eastAsia="宋体" w:cs="Times New Roman"/>
                <w:i w:val="0"/>
                <w:iCs w:val="0"/>
                <w:caps w:val="0"/>
                <w:color w:val="auto"/>
                <w:spacing w:val="0"/>
                <w:sz w:val="24"/>
                <w:szCs w:val="24"/>
                <w:u w:val="single"/>
                <w:lang w:val="en-US" w:eastAsia="zh-CN"/>
              </w:rPr>
              <w:t>根据项目选址意见表（附件5）可知，新墙镇政府及</w:t>
            </w:r>
            <w:r>
              <w:rPr>
                <w:rFonts w:hint="eastAsia" w:cs="Times New Roman"/>
                <w:i w:val="0"/>
                <w:iCs w:val="0"/>
                <w:caps w:val="0"/>
                <w:color w:val="auto"/>
                <w:spacing w:val="0"/>
                <w:sz w:val="24"/>
                <w:szCs w:val="24"/>
                <w:u w:val="single"/>
                <w:lang w:val="en-US" w:eastAsia="zh-CN"/>
              </w:rPr>
              <w:t>燎原村</w:t>
            </w:r>
            <w:r>
              <w:rPr>
                <w:rFonts w:hint="eastAsia" w:eastAsia="宋体" w:cs="Times New Roman"/>
                <w:i w:val="0"/>
                <w:iCs w:val="0"/>
                <w:caps w:val="0"/>
                <w:color w:val="auto"/>
                <w:spacing w:val="0"/>
                <w:sz w:val="24"/>
                <w:szCs w:val="24"/>
                <w:u w:val="single"/>
                <w:lang w:val="en-US" w:eastAsia="zh-CN"/>
              </w:rPr>
              <w:t>村委会</w:t>
            </w:r>
            <w:r>
              <w:rPr>
                <w:rFonts w:hint="eastAsia" w:cs="Times New Roman"/>
                <w:i w:val="0"/>
                <w:iCs w:val="0"/>
                <w:caps w:val="0"/>
                <w:color w:val="auto"/>
                <w:spacing w:val="0"/>
                <w:sz w:val="24"/>
                <w:szCs w:val="24"/>
                <w:u w:val="single"/>
                <w:lang w:val="en-US" w:eastAsia="zh-CN"/>
              </w:rPr>
              <w:t>已同意项目选址建设</w:t>
            </w:r>
            <w:r>
              <w:rPr>
                <w:rFonts w:hint="eastAsia"/>
                <w:color w:val="auto"/>
                <w:kern w:val="21"/>
                <w:sz w:val="24"/>
                <w:u w:val="single"/>
                <w:lang w:val="en-US" w:eastAsia="zh-CN"/>
              </w:rPr>
              <w:t>。</w:t>
            </w:r>
          </w:p>
          <w:p w14:paraId="1E79A987">
            <w:pPr>
              <w:spacing w:line="360" w:lineRule="auto"/>
              <w:ind w:firstLine="480" w:firstLineChars="200"/>
              <w:rPr>
                <w:rFonts w:hint="eastAsia"/>
                <w:color w:val="auto"/>
                <w:kern w:val="21"/>
                <w:sz w:val="24"/>
                <w:szCs w:val="24"/>
                <w:u w:val="single"/>
                <w:lang w:val="en-US" w:eastAsia="zh-CN"/>
              </w:rPr>
            </w:pPr>
            <w:r>
              <w:rPr>
                <w:rFonts w:hint="eastAsia"/>
                <w:color w:val="auto"/>
                <w:kern w:val="21"/>
                <w:sz w:val="24"/>
                <w:szCs w:val="24"/>
                <w:u w:val="single"/>
                <w:lang w:val="en-US" w:eastAsia="zh-CN"/>
              </w:rPr>
              <w:t>项目搬迁后建设内容保持不变，仍为年处置12万只报废液化石油气钢瓶生产线，新厂区将配套建设生产区、原料堆放区、成品存放区及环保治理配套设施，同时将原厂区的抽残机、焚烧炉、裁剪机等全套设备整体搬迁至新租赁厂区，项目生产工艺、原料使用情况、生产规模与原环评保持一致</w:t>
            </w:r>
            <w:r>
              <w:rPr>
                <w:rFonts w:hint="eastAsia"/>
                <w:color w:val="auto"/>
                <w:sz w:val="24"/>
                <w:szCs w:val="24"/>
                <w:u w:val="single"/>
                <w:lang w:eastAsia="zh-CN"/>
              </w:rPr>
              <w:t>，</w:t>
            </w:r>
            <w:r>
              <w:rPr>
                <w:rFonts w:hint="eastAsia"/>
                <w:color w:val="auto"/>
                <w:sz w:val="24"/>
                <w:szCs w:val="24"/>
                <w:u w:val="single"/>
                <w:lang w:val="en-US" w:eastAsia="zh-CN"/>
              </w:rPr>
              <w:t>项目已于2026年4月26日取得岳阳县企业投资项目备案证明（项目代码：2606-430621-04-01-628997）</w:t>
            </w:r>
            <w:r>
              <w:rPr>
                <w:rFonts w:hint="eastAsia"/>
                <w:color w:val="auto"/>
                <w:kern w:val="21"/>
                <w:sz w:val="24"/>
                <w:szCs w:val="24"/>
                <w:u w:val="single"/>
                <w:lang w:val="en-US" w:eastAsia="zh-CN"/>
              </w:rPr>
              <w:t>。</w:t>
            </w:r>
          </w:p>
          <w:bookmarkEnd w:id="14"/>
          <w:p w14:paraId="01EA1A93">
            <w:pPr>
              <w:spacing w:line="360" w:lineRule="auto"/>
              <w:ind w:firstLine="480" w:firstLineChars="200"/>
              <w:rPr>
                <w:rFonts w:hint="eastAsia"/>
                <w:color w:val="auto"/>
                <w:sz w:val="24"/>
                <w:u w:val="single"/>
                <w:lang w:val="en-US" w:eastAsia="zh-CN"/>
              </w:rPr>
            </w:pPr>
            <w:r>
              <w:rPr>
                <w:rFonts w:hint="eastAsia"/>
                <w:color w:val="auto"/>
                <w:sz w:val="24"/>
                <w:u w:val="single"/>
                <w:lang w:val="en-US" w:eastAsia="zh-CN"/>
              </w:rPr>
              <w:t>对照《污染影响类建设项目重大变动清单（试行）》（环办环评函〔2020〕688号）相关规定，本项目涉及清单中“5.重新选址”情形，判定为建设项目重大变动。依据《中华人民共和国环境保护法》《中华人民共和国环境影响评价法》《建设项目环境保护管理条例》相关要求，建设项目环境影响报告书、环境影响报告表获批后，若项目性质、规模、地点、生产工艺或污染防治、生态保护措施发生重大变动，建设单位必须重新报批项目环境影响评价文件，因此本项目需依法重新开展环境影响评价报批工作。</w:t>
            </w:r>
          </w:p>
          <w:p w14:paraId="354560EB">
            <w:pPr>
              <w:spacing w:line="360" w:lineRule="auto"/>
              <w:ind w:firstLine="480" w:firstLineChars="200"/>
              <w:rPr>
                <w:rFonts w:hint="default" w:ascii="Times New Roman" w:hAnsi="Times New Roman" w:cs="Times New Roman"/>
                <w:color w:val="auto"/>
                <w:sz w:val="24"/>
                <w:highlight w:val="none"/>
                <w:u w:val="single"/>
              </w:rPr>
            </w:pPr>
            <w:r>
              <w:rPr>
                <w:rFonts w:hint="eastAsia"/>
                <w:color w:val="auto"/>
                <w:sz w:val="24"/>
                <w:lang w:val="en-US" w:eastAsia="zh-CN"/>
              </w:rPr>
              <w:t>根据《建设项目环境影响评价分类管理名录》，本项目属于三十九、废弃资源综合利用业42大类中85项金属废料和碎屑加工处理421子类的废钢加工项目，需编制环境影响报告表。基于上述规定，岳阳县长富钢瓶检测厂新墙分厂委托湖南京帝环保科技研究院有限公司承接本项目环境影响评价编制工作</w:t>
            </w:r>
            <w:r>
              <w:rPr>
                <w:rFonts w:hint="eastAsia"/>
                <w:color w:val="auto"/>
                <w:sz w:val="24"/>
              </w:rPr>
              <w:t>。</w:t>
            </w:r>
            <w:r>
              <w:rPr>
                <w:rFonts w:hint="default" w:ascii="Times New Roman" w:hAnsi="Times New Roman" w:cs="Times New Roman"/>
                <w:color w:val="auto"/>
                <w:sz w:val="24"/>
                <w:szCs w:val="22"/>
                <w:highlight w:val="none"/>
                <w:u w:val="none"/>
              </w:rPr>
              <w:t>在经过现场勘察、资料调研、环境现状资料收集等基础上，根据环评导则及报告表编制指南文件，编制完成了该项目的环境影响报告表，现提交主管部门审查、审批。</w:t>
            </w:r>
          </w:p>
          <w:p w14:paraId="036A3C13">
            <w:pPr>
              <w:numPr>
                <w:ilvl w:val="0"/>
                <w:numId w:val="3"/>
              </w:num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项目</w:t>
            </w:r>
            <w:r>
              <w:rPr>
                <w:rFonts w:hint="default" w:ascii="Times New Roman" w:hAnsi="Times New Roman" w:cs="Times New Roman"/>
                <w:b/>
                <w:color w:val="auto"/>
                <w:sz w:val="24"/>
                <w:highlight w:val="none"/>
                <w:lang w:val="en-US" w:eastAsia="zh-CN"/>
              </w:rPr>
              <w:t>基本情况</w:t>
            </w:r>
          </w:p>
          <w:p w14:paraId="16CDB6E5">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基本情况变化具体如下：</w:t>
            </w:r>
          </w:p>
          <w:p w14:paraId="1542BBA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olor w:val="auto"/>
                <w:lang w:val="en-US" w:eastAsia="zh-CN"/>
              </w:rPr>
            </w:pPr>
            <w:r>
              <w:rPr>
                <w:rFonts w:hint="default" w:ascii="Times New Roman" w:hAnsi="Times New Roman" w:eastAsia="宋体" w:cs="Times New Roman"/>
                <w:b/>
                <w:bCs/>
                <w:color w:val="auto"/>
                <w:sz w:val="21"/>
                <w:szCs w:val="21"/>
                <w:highlight w:val="none"/>
                <w:u w:val="none" w:color="auto"/>
                <w:lang w:val="en-US" w:eastAsia="zh-CN" w:bidi="ar-SA"/>
              </w:rPr>
              <w:t>表</w:t>
            </w:r>
            <w:r>
              <w:rPr>
                <w:rFonts w:hint="eastAsia" w:cs="Times New Roman"/>
                <w:b/>
                <w:bCs/>
                <w:color w:val="auto"/>
                <w:sz w:val="21"/>
                <w:szCs w:val="21"/>
                <w:highlight w:val="none"/>
                <w:u w:val="none" w:color="auto"/>
                <w:lang w:val="en-US" w:eastAsia="zh-CN" w:bidi="ar-SA"/>
              </w:rPr>
              <w:t>2</w:t>
            </w:r>
            <w:r>
              <w:rPr>
                <w:rFonts w:hint="default" w:ascii="Times New Roman" w:hAnsi="Times New Roman" w:eastAsia="宋体" w:cs="Times New Roman"/>
                <w:b/>
                <w:bCs/>
                <w:color w:val="auto"/>
                <w:sz w:val="21"/>
                <w:szCs w:val="21"/>
                <w:highlight w:val="none"/>
                <w:u w:val="none" w:color="auto"/>
                <w:lang w:val="en-US" w:eastAsia="zh-CN" w:bidi="ar-SA"/>
              </w:rPr>
              <w:t xml:space="preserve">-1   </w:t>
            </w:r>
            <w:r>
              <w:rPr>
                <w:rFonts w:hint="eastAsia" w:ascii="Times New Roman" w:hAnsi="Times New Roman" w:eastAsia="宋体" w:cs="Times New Roman"/>
                <w:b/>
                <w:bCs/>
                <w:color w:val="auto"/>
                <w:sz w:val="21"/>
                <w:szCs w:val="21"/>
                <w:highlight w:val="none"/>
                <w:u w:val="none" w:color="auto"/>
                <w:lang w:val="en-US" w:eastAsia="zh-CN" w:bidi="ar-SA"/>
              </w:rPr>
              <w:t>基本情况变动</w:t>
            </w:r>
            <w:r>
              <w:rPr>
                <w:rFonts w:hint="default" w:ascii="Times New Roman" w:hAnsi="Times New Roman" w:eastAsia="宋体" w:cs="Times New Roman"/>
                <w:b/>
                <w:bCs/>
                <w:color w:val="auto"/>
                <w:sz w:val="21"/>
                <w:szCs w:val="21"/>
                <w:highlight w:val="none"/>
                <w:u w:val="none" w:color="auto"/>
                <w:lang w:val="en-US" w:eastAsia="zh-CN" w:bidi="ar-SA"/>
              </w:rPr>
              <w:t>一览表</w:t>
            </w:r>
          </w:p>
          <w:tbl>
            <w:tblPr>
              <w:tblStyle w:val="34"/>
              <w:tblW w:w="4995"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1222"/>
              <w:gridCol w:w="2746"/>
              <w:gridCol w:w="2800"/>
              <w:gridCol w:w="1612"/>
            </w:tblGrid>
            <w:tr w14:paraId="1C1690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729" w:type="pct"/>
                  <w:tcBorders>
                    <w:tl2br w:val="nil"/>
                    <w:tr2bl w:val="nil"/>
                  </w:tcBorders>
                  <w:vAlign w:val="center"/>
                </w:tcPr>
                <w:p w14:paraId="71AA0D3C">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内容</w:t>
                  </w:r>
                </w:p>
              </w:tc>
              <w:tc>
                <w:tcPr>
                  <w:tcW w:w="1638" w:type="pct"/>
                  <w:tcBorders>
                    <w:tl2br w:val="nil"/>
                    <w:tr2bl w:val="nil"/>
                  </w:tcBorders>
                  <w:shd w:val="clear" w:color="auto" w:fill="auto"/>
                  <w:vAlign w:val="center"/>
                </w:tcPr>
                <w:p w14:paraId="32D735E0">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变动前</w:t>
                  </w:r>
                </w:p>
              </w:tc>
              <w:tc>
                <w:tcPr>
                  <w:tcW w:w="1670" w:type="pct"/>
                  <w:tcBorders>
                    <w:tl2br w:val="nil"/>
                    <w:tr2bl w:val="nil"/>
                  </w:tcBorders>
                  <w:shd w:val="clear" w:color="auto" w:fill="auto"/>
                  <w:vAlign w:val="center"/>
                </w:tcPr>
                <w:p w14:paraId="1CF7EC27">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变动后</w:t>
                  </w:r>
                </w:p>
              </w:tc>
              <w:tc>
                <w:tcPr>
                  <w:tcW w:w="961" w:type="pct"/>
                  <w:tcBorders>
                    <w:tl2br w:val="nil"/>
                    <w:tr2bl w:val="nil"/>
                  </w:tcBorders>
                  <w:shd w:val="clear" w:color="auto" w:fill="auto"/>
                  <w:vAlign w:val="center"/>
                </w:tcPr>
                <w:p w14:paraId="4B3E69D8">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变动</w:t>
                  </w:r>
                  <w:r>
                    <w:rPr>
                      <w:rFonts w:hint="default" w:ascii="Times New Roman" w:hAnsi="Times New Roman" w:eastAsia="宋体" w:cs="Times New Roman"/>
                      <w:b/>
                      <w:bCs/>
                      <w:color w:val="auto"/>
                      <w:sz w:val="21"/>
                      <w:szCs w:val="21"/>
                      <w:lang w:val="en-US" w:eastAsia="zh-CN"/>
                    </w:rPr>
                    <w:t>情况</w:t>
                  </w:r>
                </w:p>
              </w:tc>
            </w:tr>
            <w:tr w14:paraId="6095AB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729" w:type="pct"/>
                  <w:tcBorders>
                    <w:tl2br w:val="nil"/>
                    <w:tr2bl w:val="nil"/>
                  </w:tcBorders>
                  <w:vAlign w:val="center"/>
                </w:tcPr>
                <w:p w14:paraId="76DD407A">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项目名称</w:t>
                  </w:r>
                </w:p>
              </w:tc>
              <w:tc>
                <w:tcPr>
                  <w:tcW w:w="1638" w:type="pct"/>
                  <w:tcBorders>
                    <w:tl2br w:val="nil"/>
                    <w:tr2bl w:val="nil"/>
                  </w:tcBorders>
                  <w:vAlign w:val="center"/>
                </w:tcPr>
                <w:p w14:paraId="11D24725">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年处置 12 万只报废液化石油气钢瓶项目</w:t>
                  </w:r>
                </w:p>
              </w:tc>
              <w:tc>
                <w:tcPr>
                  <w:tcW w:w="1670" w:type="pct"/>
                  <w:tcBorders>
                    <w:tl2br w:val="nil"/>
                    <w:tr2bl w:val="nil"/>
                  </w:tcBorders>
                  <w:vAlign w:val="center"/>
                </w:tcPr>
                <w:p w14:paraId="075618A1">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年处置 12 万只报废液化石油气钢瓶项目（重大变动）</w:t>
                  </w:r>
                </w:p>
              </w:tc>
              <w:tc>
                <w:tcPr>
                  <w:tcW w:w="961" w:type="pct"/>
                  <w:tcBorders>
                    <w:tl2br w:val="nil"/>
                    <w:tr2bl w:val="nil"/>
                  </w:tcBorders>
                  <w:vAlign w:val="center"/>
                </w:tcPr>
                <w:p w14:paraId="7F1A3F51">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本次为重大变动</w:t>
                  </w:r>
                </w:p>
              </w:tc>
            </w:tr>
            <w:tr w14:paraId="376125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729" w:type="pct"/>
                  <w:tcBorders>
                    <w:tl2br w:val="nil"/>
                    <w:tr2bl w:val="nil"/>
                  </w:tcBorders>
                  <w:vAlign w:val="center"/>
                </w:tcPr>
                <w:p w14:paraId="0CC2D57F">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建设单位</w:t>
                  </w:r>
                </w:p>
              </w:tc>
              <w:tc>
                <w:tcPr>
                  <w:tcW w:w="1638" w:type="pct"/>
                  <w:tcBorders>
                    <w:tl2br w:val="nil"/>
                    <w:tr2bl w:val="nil"/>
                  </w:tcBorders>
                  <w:vAlign w:val="center"/>
                </w:tcPr>
                <w:p w14:paraId="1C9896AA">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岳阳县长富钢瓶检测厂新墙分厂</w:t>
                  </w:r>
                </w:p>
              </w:tc>
              <w:tc>
                <w:tcPr>
                  <w:tcW w:w="1670" w:type="pct"/>
                  <w:tcBorders>
                    <w:tl2br w:val="nil"/>
                    <w:tr2bl w:val="nil"/>
                  </w:tcBorders>
                  <w:vAlign w:val="center"/>
                </w:tcPr>
                <w:p w14:paraId="58BDA625">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岳阳县长富钢瓶检测厂新墙分厂</w:t>
                  </w:r>
                </w:p>
              </w:tc>
              <w:tc>
                <w:tcPr>
                  <w:tcW w:w="961" w:type="pct"/>
                  <w:tcBorders>
                    <w:tl2br w:val="nil"/>
                    <w:tr2bl w:val="nil"/>
                  </w:tcBorders>
                  <w:vAlign w:val="center"/>
                </w:tcPr>
                <w:p w14:paraId="6C5D667A">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无变化</w:t>
                  </w:r>
                </w:p>
              </w:tc>
            </w:tr>
            <w:tr w14:paraId="23B3C1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729" w:type="pct"/>
                  <w:tcBorders>
                    <w:tl2br w:val="nil"/>
                    <w:tr2bl w:val="nil"/>
                  </w:tcBorders>
                  <w:vAlign w:val="center"/>
                </w:tcPr>
                <w:p w14:paraId="7EEF8416">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建设地点</w:t>
                  </w:r>
                </w:p>
              </w:tc>
              <w:tc>
                <w:tcPr>
                  <w:tcW w:w="1638" w:type="pct"/>
                  <w:tcBorders>
                    <w:tl2br w:val="nil"/>
                    <w:tr2bl w:val="nil"/>
                  </w:tcBorders>
                  <w:vAlign w:val="center"/>
                </w:tcPr>
                <w:p w14:paraId="605B1731">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岳阳县新墙镇老街居委会（原401地质勘探队院内）2号厂房</w:t>
                  </w:r>
                </w:p>
              </w:tc>
              <w:tc>
                <w:tcPr>
                  <w:tcW w:w="1670" w:type="pct"/>
                  <w:tcBorders>
                    <w:tl2br w:val="nil"/>
                    <w:tr2bl w:val="nil"/>
                  </w:tcBorders>
                  <w:vAlign w:val="center"/>
                </w:tcPr>
                <w:p w14:paraId="201F87E7">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岳阳县新墙镇燎原村沙河片二组</w:t>
                  </w:r>
                </w:p>
              </w:tc>
              <w:tc>
                <w:tcPr>
                  <w:tcW w:w="961" w:type="pct"/>
                  <w:tcBorders>
                    <w:tl2br w:val="nil"/>
                    <w:tr2bl w:val="nil"/>
                  </w:tcBorders>
                  <w:vAlign w:val="center"/>
                </w:tcPr>
                <w:p w14:paraId="48EDA706">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地址变化</w:t>
                  </w:r>
                </w:p>
              </w:tc>
            </w:tr>
            <w:tr w14:paraId="768E7C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729" w:type="pct"/>
                  <w:tcBorders>
                    <w:tl2br w:val="nil"/>
                    <w:tr2bl w:val="nil"/>
                  </w:tcBorders>
                  <w:vAlign w:val="center"/>
                </w:tcPr>
                <w:p w14:paraId="06C89E09">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占地面积</w:t>
                  </w:r>
                </w:p>
              </w:tc>
              <w:tc>
                <w:tcPr>
                  <w:tcW w:w="1638" w:type="pct"/>
                  <w:tcBorders>
                    <w:tl2br w:val="nil"/>
                    <w:tr2bl w:val="nil"/>
                  </w:tcBorders>
                  <w:vAlign w:val="center"/>
                </w:tcPr>
                <w:p w14:paraId="5DCA8C48">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1250m</w:t>
                  </w:r>
                  <w:r>
                    <w:rPr>
                      <w:rFonts w:hint="default" w:ascii="Times New Roman" w:hAnsi="Times New Roman" w:eastAsia="宋体" w:cs="Times New Roman"/>
                      <w:color w:val="auto"/>
                      <w:sz w:val="21"/>
                      <w:szCs w:val="21"/>
                      <w:vertAlign w:val="superscript"/>
                      <w:lang w:val="en-US" w:eastAsia="zh-CN"/>
                    </w:rPr>
                    <w:t>2</w:t>
                  </w:r>
                </w:p>
              </w:tc>
              <w:tc>
                <w:tcPr>
                  <w:tcW w:w="1670" w:type="pct"/>
                  <w:tcBorders>
                    <w:tl2br w:val="nil"/>
                    <w:tr2bl w:val="nil"/>
                  </w:tcBorders>
                  <w:vAlign w:val="center"/>
                </w:tcPr>
                <w:p w14:paraId="70F19A84">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3240m</w:t>
                  </w:r>
                  <w:r>
                    <w:rPr>
                      <w:rFonts w:hint="eastAsia" w:ascii="Times New Roman" w:hAnsi="Times New Roman" w:cs="Times New Roman"/>
                      <w:color w:val="auto"/>
                      <w:sz w:val="21"/>
                      <w:szCs w:val="21"/>
                      <w:vertAlign w:val="superscript"/>
                      <w:lang w:val="en-US" w:eastAsia="zh-CN"/>
                    </w:rPr>
                    <w:t>2</w:t>
                  </w:r>
                </w:p>
              </w:tc>
              <w:tc>
                <w:tcPr>
                  <w:tcW w:w="961" w:type="pct"/>
                  <w:tcBorders>
                    <w:tl2br w:val="nil"/>
                    <w:tr2bl w:val="nil"/>
                  </w:tcBorders>
                  <w:vAlign w:val="center"/>
                </w:tcPr>
                <w:p w14:paraId="63A76AB2">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租赁厂房面积增加</w:t>
                  </w:r>
                </w:p>
              </w:tc>
            </w:tr>
            <w:tr w14:paraId="2F31DE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729" w:type="pct"/>
                  <w:tcBorders>
                    <w:tl2br w:val="nil"/>
                    <w:tr2bl w:val="nil"/>
                  </w:tcBorders>
                  <w:vAlign w:val="center"/>
                </w:tcPr>
                <w:p w14:paraId="3F0D6B9A">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行业</w:t>
                  </w:r>
                </w:p>
              </w:tc>
              <w:tc>
                <w:tcPr>
                  <w:tcW w:w="1638" w:type="pct"/>
                  <w:tcBorders>
                    <w:tl2br w:val="nil"/>
                    <w:tr2bl w:val="nil"/>
                  </w:tcBorders>
                  <w:vAlign w:val="center"/>
                </w:tcPr>
                <w:p w14:paraId="46BEA65E">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C4210金属废料和碎屑加工处理</w:t>
                  </w:r>
                </w:p>
              </w:tc>
              <w:tc>
                <w:tcPr>
                  <w:tcW w:w="1670" w:type="pct"/>
                  <w:tcBorders>
                    <w:tl2br w:val="nil"/>
                    <w:tr2bl w:val="nil"/>
                  </w:tcBorders>
                  <w:vAlign w:val="center"/>
                </w:tcPr>
                <w:p w14:paraId="73554A34">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C4210金属废料和碎屑加工处理</w:t>
                  </w:r>
                </w:p>
              </w:tc>
              <w:tc>
                <w:tcPr>
                  <w:tcW w:w="961" w:type="pct"/>
                  <w:tcBorders>
                    <w:tl2br w:val="nil"/>
                    <w:tr2bl w:val="nil"/>
                  </w:tcBorders>
                  <w:vAlign w:val="center"/>
                </w:tcPr>
                <w:p w14:paraId="30F00E3C">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无变化</w:t>
                  </w:r>
                </w:p>
              </w:tc>
            </w:tr>
            <w:tr w14:paraId="38FCB6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729" w:type="pct"/>
                  <w:tcBorders>
                    <w:tl2br w:val="nil"/>
                    <w:tr2bl w:val="nil"/>
                  </w:tcBorders>
                  <w:vAlign w:val="center"/>
                </w:tcPr>
                <w:p w14:paraId="01AD8D15">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项目投资</w:t>
                  </w:r>
                </w:p>
              </w:tc>
              <w:tc>
                <w:tcPr>
                  <w:tcW w:w="1638" w:type="pct"/>
                  <w:tcBorders>
                    <w:tl2br w:val="nil"/>
                    <w:tr2bl w:val="nil"/>
                  </w:tcBorders>
                  <w:shd w:val="clear" w:color="auto" w:fill="auto"/>
                  <w:vAlign w:val="center"/>
                </w:tcPr>
                <w:p w14:paraId="3509B354">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160</w:t>
                  </w:r>
                  <w:r>
                    <w:rPr>
                      <w:rFonts w:hint="eastAsia" w:ascii="Times New Roman" w:hAnsi="Times New Roman" w:eastAsia="宋体" w:cs="Times New Roman"/>
                      <w:color w:val="auto"/>
                      <w:sz w:val="21"/>
                      <w:szCs w:val="21"/>
                      <w:lang w:val="en-US" w:eastAsia="zh-CN"/>
                    </w:rPr>
                    <w:t>万元</w:t>
                  </w:r>
                </w:p>
              </w:tc>
              <w:tc>
                <w:tcPr>
                  <w:tcW w:w="1670" w:type="pct"/>
                  <w:tcBorders>
                    <w:tl2br w:val="nil"/>
                    <w:tr2bl w:val="nil"/>
                  </w:tcBorders>
                  <w:shd w:val="clear" w:color="auto" w:fill="auto"/>
                  <w:vAlign w:val="center"/>
                </w:tcPr>
                <w:p w14:paraId="24BC31C2">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160</w:t>
                  </w:r>
                  <w:r>
                    <w:rPr>
                      <w:rFonts w:hint="default" w:ascii="Times New Roman" w:hAnsi="Times New Roman" w:eastAsia="宋体" w:cs="Times New Roman"/>
                      <w:color w:val="auto"/>
                      <w:sz w:val="21"/>
                      <w:szCs w:val="21"/>
                      <w:lang w:val="en-US" w:eastAsia="zh-CN"/>
                    </w:rPr>
                    <w:t>万元</w:t>
                  </w:r>
                </w:p>
              </w:tc>
              <w:tc>
                <w:tcPr>
                  <w:tcW w:w="961" w:type="pct"/>
                  <w:tcBorders>
                    <w:tl2br w:val="nil"/>
                    <w:tr2bl w:val="nil"/>
                  </w:tcBorders>
                  <w:vAlign w:val="center"/>
                </w:tcPr>
                <w:p w14:paraId="5ADD25F5">
                  <w:pPr>
                    <w:keepNext w:val="0"/>
                    <w:keepLines w:val="0"/>
                    <w:widowControl/>
                    <w:suppressLineNumbers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无变化</w:t>
                  </w:r>
                </w:p>
              </w:tc>
            </w:tr>
          </w:tbl>
          <w:p w14:paraId="3FFE8220">
            <w:pPr>
              <w:autoSpaceDE w:val="0"/>
              <w:autoSpaceDN w:val="0"/>
              <w:adjustRightInd w:val="0"/>
              <w:spacing w:line="360" w:lineRule="auto"/>
              <w:jc w:val="left"/>
              <w:rPr>
                <w:rFonts w:hint="default" w:ascii="Times New Roman" w:hAnsi="Times New Roman" w:cs="Times New Roman"/>
                <w:b/>
                <w:color w:val="auto"/>
                <w:sz w:val="24"/>
                <w:highlight w:val="none"/>
              </w:rPr>
            </w:pPr>
            <w:r>
              <w:rPr>
                <w:rFonts w:hint="eastAsia" w:cs="Times New Roman"/>
                <w:b/>
                <w:bCs/>
                <w:color w:val="auto"/>
                <w:sz w:val="24"/>
                <w:highlight w:val="none"/>
                <w:lang w:val="en-US" w:eastAsia="zh-CN"/>
              </w:rPr>
              <w:t>3</w:t>
            </w:r>
            <w:r>
              <w:rPr>
                <w:rFonts w:hint="default" w:ascii="Times New Roman" w:hAnsi="Times New Roman" w:cs="Times New Roman"/>
                <w:b/>
                <w:bCs/>
                <w:color w:val="auto"/>
                <w:sz w:val="24"/>
                <w:highlight w:val="none"/>
              </w:rPr>
              <w:t>、</w:t>
            </w:r>
            <w:r>
              <w:rPr>
                <w:rFonts w:hint="default" w:ascii="Times New Roman" w:hAnsi="Times New Roman" w:cs="Times New Roman"/>
                <w:b/>
                <w:color w:val="auto"/>
                <w:sz w:val="24"/>
                <w:highlight w:val="none"/>
              </w:rPr>
              <w:t>主要工程内容</w:t>
            </w:r>
          </w:p>
          <w:p w14:paraId="730CC594">
            <w:pPr>
              <w:spacing w:line="360" w:lineRule="auto"/>
              <w:ind w:firstLine="480" w:firstLineChars="200"/>
              <w:rPr>
                <w:rFonts w:hint="eastAsia" w:cs="Times New Roman"/>
                <w:color w:val="auto"/>
                <w:spacing w:val="0"/>
                <w:sz w:val="24"/>
                <w:szCs w:val="24"/>
                <w:lang w:val="en-US" w:eastAsia="zh-CN"/>
              </w:rPr>
            </w:pPr>
            <w:r>
              <w:rPr>
                <w:rFonts w:hint="eastAsia"/>
                <w:color w:val="auto"/>
                <w:sz w:val="24"/>
                <w:lang w:val="en-US" w:eastAsia="zh-CN"/>
              </w:rPr>
              <w:t>项目变动后选址位于岳阳县新墙镇燎原村沙河片二组，租赁厂房总建筑面积3240m</w:t>
            </w:r>
            <w:r>
              <w:rPr>
                <w:rFonts w:hint="eastAsia"/>
                <w:color w:val="auto"/>
                <w:sz w:val="24"/>
                <w:vertAlign w:val="superscript"/>
                <w:lang w:val="en-US" w:eastAsia="zh-CN"/>
              </w:rPr>
              <w:t>2</w:t>
            </w:r>
            <w:r>
              <w:rPr>
                <w:rFonts w:hint="eastAsia"/>
                <w:color w:val="auto"/>
                <w:sz w:val="24"/>
                <w:lang w:val="en-US" w:eastAsia="zh-CN"/>
              </w:rPr>
              <w:t>。项目核心建设内容为建设1条年处理能力达12万只的液化石油气钢瓶报废专用生产线，可规模化开展废旧液化石油气钢瓶拆解、处置、合规处理等相关作业，并建设配套工程、环保工程、供配电、给排水等设施。</w:t>
            </w:r>
          </w:p>
          <w:p w14:paraId="4530B244">
            <w:pPr>
              <w:spacing w:line="360" w:lineRule="auto"/>
              <w:ind w:firstLine="480" w:firstLineChars="200"/>
              <w:rPr>
                <w:rFonts w:hint="default" w:ascii="Times New Roman" w:hAnsi="Times New Roman" w:cs="Times New Roman"/>
                <w:i w:val="0"/>
                <w:iCs w:val="0"/>
                <w:color w:val="auto"/>
                <w:sz w:val="24"/>
                <w:highlight w:val="none"/>
                <w:u w:val="none"/>
              </w:rPr>
            </w:pPr>
            <w:r>
              <w:rPr>
                <w:rFonts w:hint="default" w:ascii="Times New Roman" w:hAnsi="Times New Roman" w:cs="Times New Roman"/>
                <w:i w:val="0"/>
                <w:iCs w:val="0"/>
                <w:color w:val="auto"/>
                <w:sz w:val="24"/>
                <w:highlight w:val="none"/>
                <w:u w:val="none"/>
              </w:rPr>
              <w:t>项目主要建设工程组成具体情况见下表：</w:t>
            </w:r>
          </w:p>
          <w:p w14:paraId="09EF9610">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表</w:t>
            </w:r>
            <w:r>
              <w:rPr>
                <w:rFonts w:hint="default" w:ascii="Times New Roman" w:hAnsi="Times New Roman" w:cs="Times New Roman"/>
                <w:b/>
                <w:bCs/>
                <w:color w:val="auto"/>
                <w:sz w:val="21"/>
                <w:szCs w:val="21"/>
                <w:highlight w:val="none"/>
                <w:u w:val="none" w:color="auto"/>
                <w:lang w:val="en-US" w:eastAsia="zh-CN"/>
              </w:rPr>
              <w:t>2</w:t>
            </w:r>
            <w:r>
              <w:rPr>
                <w:rFonts w:hint="default" w:ascii="Times New Roman" w:hAnsi="Times New Roman" w:cs="Times New Roman"/>
                <w:b/>
                <w:bCs/>
                <w:color w:val="auto"/>
                <w:sz w:val="21"/>
                <w:szCs w:val="21"/>
                <w:highlight w:val="none"/>
                <w:u w:val="none" w:color="auto"/>
              </w:rPr>
              <w:t>-1</w:t>
            </w:r>
            <w:r>
              <w:rPr>
                <w:rFonts w:hint="eastAsia" w:cs="Times New Roman"/>
                <w:b/>
                <w:bCs/>
                <w:color w:val="auto"/>
                <w:sz w:val="21"/>
                <w:szCs w:val="21"/>
                <w:highlight w:val="none"/>
                <w:u w:val="none" w:color="auto"/>
                <w:lang w:val="en-US" w:eastAsia="zh-CN"/>
              </w:rPr>
              <w:t xml:space="preserve">   主要</w:t>
            </w:r>
            <w:r>
              <w:rPr>
                <w:rFonts w:hint="default" w:ascii="Times New Roman" w:hAnsi="Times New Roman" w:cs="Times New Roman"/>
                <w:b/>
                <w:bCs/>
                <w:color w:val="auto"/>
                <w:sz w:val="21"/>
                <w:szCs w:val="21"/>
                <w:highlight w:val="none"/>
                <w:u w:val="none" w:color="auto"/>
              </w:rPr>
              <w:t>建设</w:t>
            </w:r>
            <w:r>
              <w:rPr>
                <w:rFonts w:hint="eastAsia" w:cs="Times New Roman"/>
                <w:b/>
                <w:bCs/>
                <w:color w:val="auto"/>
                <w:sz w:val="21"/>
                <w:szCs w:val="21"/>
                <w:highlight w:val="none"/>
                <w:u w:val="none" w:color="auto"/>
                <w:lang w:val="en-US" w:eastAsia="zh-CN"/>
              </w:rPr>
              <w:t>内容</w:t>
            </w:r>
            <w:r>
              <w:rPr>
                <w:rFonts w:hint="default" w:ascii="Times New Roman" w:hAnsi="Times New Roman" w:cs="Times New Roman"/>
                <w:b/>
                <w:bCs/>
                <w:color w:val="auto"/>
                <w:sz w:val="21"/>
                <w:szCs w:val="21"/>
                <w:highlight w:val="none"/>
                <w:u w:val="none" w:color="auto"/>
              </w:rPr>
              <w:t>一览表</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4"/>
              <w:gridCol w:w="572"/>
              <w:gridCol w:w="837"/>
              <w:gridCol w:w="2335"/>
              <w:gridCol w:w="2457"/>
              <w:gridCol w:w="1350"/>
            </w:tblGrid>
            <w:tr w14:paraId="4105A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0" w:hRule="atLeast"/>
              </w:trPr>
              <w:tc>
                <w:tcPr>
                  <w:tcW w:w="497" w:type="pct"/>
                  <w:tcBorders>
                    <w:tl2br w:val="nil"/>
                    <w:tr2bl w:val="nil"/>
                  </w:tcBorders>
                  <w:noWrap w:val="0"/>
                  <w:vAlign w:val="center"/>
                </w:tcPr>
                <w:p w14:paraId="35A94368">
                  <w:pPr>
                    <w:pStyle w:val="63"/>
                    <w:tabs>
                      <w:tab w:val="left" w:pos="1021"/>
                    </w:tabs>
                    <w:bidi w:val="0"/>
                    <w:jc w:val="center"/>
                    <w:rPr>
                      <w:rFonts w:hint="default"/>
                      <w:b/>
                      <w:bCs/>
                      <w:color w:val="auto"/>
                      <w:highlight w:val="none"/>
                      <w:u w:val="none" w:color="auto"/>
                      <w:lang w:val="en-US" w:eastAsia="zh-CN"/>
                    </w:rPr>
                  </w:pPr>
                  <w:r>
                    <w:rPr>
                      <w:rFonts w:hint="default"/>
                      <w:b/>
                      <w:bCs/>
                      <w:color w:val="auto"/>
                      <w:highlight w:val="none"/>
                      <w:u w:val="none" w:color="auto"/>
                      <w:lang w:val="en-US" w:eastAsia="zh-CN"/>
                    </w:rPr>
                    <w:t>类别</w:t>
                  </w:r>
                </w:p>
              </w:tc>
              <w:tc>
                <w:tcPr>
                  <w:tcW w:w="840" w:type="pct"/>
                  <w:gridSpan w:val="2"/>
                  <w:tcBorders>
                    <w:tl2br w:val="nil"/>
                    <w:tr2bl w:val="nil"/>
                  </w:tcBorders>
                  <w:noWrap w:val="0"/>
                  <w:vAlign w:val="center"/>
                </w:tcPr>
                <w:p w14:paraId="41D6091E">
                  <w:pPr>
                    <w:pStyle w:val="63"/>
                    <w:tabs>
                      <w:tab w:val="left" w:pos="1021"/>
                    </w:tabs>
                    <w:bidi w:val="0"/>
                    <w:jc w:val="center"/>
                    <w:rPr>
                      <w:rFonts w:hint="default"/>
                      <w:b/>
                      <w:bCs/>
                      <w:color w:val="auto"/>
                      <w:highlight w:val="none"/>
                      <w:u w:val="none" w:color="auto"/>
                      <w:lang w:val="en-US" w:eastAsia="zh-CN"/>
                    </w:rPr>
                  </w:pPr>
                  <w:r>
                    <w:rPr>
                      <w:rFonts w:hint="default"/>
                      <w:b/>
                      <w:bCs/>
                      <w:color w:val="auto"/>
                      <w:highlight w:val="none"/>
                      <w:u w:val="none" w:color="auto"/>
                      <w:lang w:val="en-US" w:eastAsia="zh-CN"/>
                    </w:rPr>
                    <w:t>名称</w:t>
                  </w:r>
                </w:p>
              </w:tc>
              <w:tc>
                <w:tcPr>
                  <w:tcW w:w="1392" w:type="pct"/>
                  <w:tcBorders>
                    <w:right w:val="single" w:color="auto" w:sz="4" w:space="0"/>
                    <w:tl2br w:val="nil"/>
                    <w:tr2bl w:val="nil"/>
                  </w:tcBorders>
                  <w:noWrap w:val="0"/>
                  <w:vAlign w:val="center"/>
                </w:tcPr>
                <w:p w14:paraId="6B0AA58E">
                  <w:pPr>
                    <w:pStyle w:val="63"/>
                    <w:tabs>
                      <w:tab w:val="left" w:pos="1021"/>
                    </w:tabs>
                    <w:bidi w:val="0"/>
                    <w:jc w:val="center"/>
                    <w:rPr>
                      <w:rFonts w:hint="default"/>
                      <w:b/>
                      <w:bCs/>
                      <w:color w:val="auto"/>
                      <w:highlight w:val="none"/>
                      <w:u w:val="none" w:color="auto"/>
                      <w:lang w:val="en-US" w:eastAsia="zh-CN"/>
                    </w:rPr>
                  </w:pPr>
                  <w:r>
                    <w:rPr>
                      <w:rFonts w:hint="eastAsia"/>
                      <w:b/>
                      <w:bCs/>
                      <w:color w:val="auto"/>
                      <w:highlight w:val="none"/>
                      <w:u w:val="none" w:color="auto"/>
                      <w:lang w:val="en-US" w:eastAsia="zh-CN"/>
                    </w:rPr>
                    <w:t>变动前</w:t>
                  </w:r>
                  <w:r>
                    <w:rPr>
                      <w:rFonts w:hint="default"/>
                      <w:b/>
                      <w:bCs/>
                      <w:color w:val="auto"/>
                      <w:highlight w:val="none"/>
                      <w:u w:val="none" w:color="auto"/>
                      <w:lang w:val="en-US" w:eastAsia="zh-CN"/>
                    </w:rPr>
                    <w:t>建设内容与规模</w:t>
                  </w:r>
                </w:p>
              </w:tc>
              <w:tc>
                <w:tcPr>
                  <w:tcW w:w="1465" w:type="pct"/>
                  <w:tcBorders>
                    <w:left w:val="single" w:color="auto" w:sz="4" w:space="0"/>
                    <w:tl2br w:val="nil"/>
                    <w:tr2bl w:val="nil"/>
                  </w:tcBorders>
                  <w:noWrap w:val="0"/>
                  <w:vAlign w:val="center"/>
                </w:tcPr>
                <w:p w14:paraId="34A6FE6A">
                  <w:pPr>
                    <w:pStyle w:val="63"/>
                    <w:tabs>
                      <w:tab w:val="left" w:pos="1021"/>
                    </w:tabs>
                    <w:bidi w:val="0"/>
                    <w:jc w:val="center"/>
                    <w:rPr>
                      <w:rFonts w:hint="default"/>
                      <w:b/>
                      <w:bCs/>
                      <w:color w:val="auto"/>
                      <w:highlight w:val="none"/>
                      <w:u w:val="none" w:color="auto"/>
                      <w:lang w:val="en-US" w:eastAsia="zh-CN"/>
                    </w:rPr>
                  </w:pPr>
                  <w:r>
                    <w:rPr>
                      <w:rFonts w:hint="eastAsia"/>
                      <w:b/>
                      <w:bCs/>
                      <w:color w:val="auto"/>
                      <w:highlight w:val="none"/>
                      <w:u w:val="none" w:color="auto"/>
                      <w:lang w:val="en-US" w:eastAsia="zh-CN"/>
                    </w:rPr>
                    <w:t>变动后</w:t>
                  </w:r>
                  <w:r>
                    <w:rPr>
                      <w:rFonts w:hint="default"/>
                      <w:b/>
                      <w:bCs/>
                      <w:color w:val="auto"/>
                      <w:highlight w:val="none"/>
                      <w:u w:val="none" w:color="auto"/>
                      <w:lang w:val="en-US" w:eastAsia="zh-CN"/>
                    </w:rPr>
                    <w:t>建设内容与规模</w:t>
                  </w:r>
                </w:p>
              </w:tc>
              <w:tc>
                <w:tcPr>
                  <w:tcW w:w="805" w:type="pct"/>
                  <w:tcBorders>
                    <w:tl2br w:val="nil"/>
                    <w:tr2bl w:val="nil"/>
                  </w:tcBorders>
                  <w:noWrap w:val="0"/>
                  <w:vAlign w:val="center"/>
                </w:tcPr>
                <w:p w14:paraId="10B329CD">
                  <w:pPr>
                    <w:pStyle w:val="63"/>
                    <w:tabs>
                      <w:tab w:val="left" w:pos="1021"/>
                    </w:tabs>
                    <w:bidi w:val="0"/>
                    <w:jc w:val="center"/>
                    <w:rPr>
                      <w:rFonts w:hint="default"/>
                      <w:b/>
                      <w:bCs/>
                      <w:color w:val="auto"/>
                      <w:highlight w:val="none"/>
                      <w:u w:val="none" w:color="auto"/>
                      <w:lang w:val="en-US" w:eastAsia="zh-CN"/>
                    </w:rPr>
                  </w:pPr>
                  <w:r>
                    <w:rPr>
                      <w:rFonts w:hint="default"/>
                      <w:b/>
                      <w:bCs/>
                      <w:color w:val="auto"/>
                      <w:highlight w:val="none"/>
                      <w:u w:val="none" w:color="auto"/>
                      <w:lang w:val="en-US" w:eastAsia="zh-CN"/>
                    </w:rPr>
                    <w:t>备注</w:t>
                  </w:r>
                </w:p>
              </w:tc>
            </w:tr>
            <w:tr w14:paraId="250567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97" w:type="pct"/>
                  <w:vMerge w:val="restart"/>
                  <w:tcBorders>
                    <w:tl2br w:val="nil"/>
                    <w:tr2bl w:val="nil"/>
                  </w:tcBorders>
                  <w:noWrap w:val="0"/>
                  <w:vAlign w:val="center"/>
                </w:tcPr>
                <w:p w14:paraId="1E150071">
                  <w:pPr>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主体工程</w:t>
                  </w:r>
                </w:p>
              </w:tc>
              <w:tc>
                <w:tcPr>
                  <w:tcW w:w="341" w:type="pct"/>
                  <w:vMerge w:val="restart"/>
                  <w:tcBorders>
                    <w:tl2br w:val="nil"/>
                    <w:tr2bl w:val="nil"/>
                  </w:tcBorders>
                  <w:noWrap w:val="0"/>
                  <w:vAlign w:val="center"/>
                </w:tcPr>
                <w:p w14:paraId="01B25673">
                  <w:pPr>
                    <w:bidi w:val="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生产区</w:t>
                  </w:r>
                </w:p>
              </w:tc>
              <w:tc>
                <w:tcPr>
                  <w:tcW w:w="499" w:type="pct"/>
                  <w:tcBorders>
                    <w:tl2br w:val="nil"/>
                    <w:tr2bl w:val="nil"/>
                  </w:tcBorders>
                  <w:noWrap w:val="0"/>
                  <w:vAlign w:val="center"/>
                </w:tcPr>
                <w:p w14:paraId="31F5403F">
                  <w:pPr>
                    <w:bidi w:val="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抽残液区</w:t>
                  </w:r>
                </w:p>
              </w:tc>
              <w:tc>
                <w:tcPr>
                  <w:tcW w:w="1392" w:type="pct"/>
                  <w:tcBorders>
                    <w:right w:val="single" w:color="auto" w:sz="4" w:space="0"/>
                    <w:tl2br w:val="nil"/>
                    <w:tr2bl w:val="nil"/>
                  </w:tcBorders>
                  <w:noWrap w:val="0"/>
                  <w:vAlign w:val="center"/>
                </w:tcPr>
                <w:p w14:paraId="2535A0F5">
                  <w:pPr>
                    <w:bidi w:val="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1F，</w:t>
                  </w:r>
                  <w:r>
                    <w:rPr>
                      <w:rFonts w:hint="default" w:ascii="Times New Roman" w:hAnsi="Times New Roman" w:eastAsia="宋体" w:cs="Times New Roman"/>
                      <w:color w:val="auto"/>
                      <w:highlight w:val="none"/>
                      <w:u w:val="none" w:color="auto"/>
                      <w:lang w:val="en-US" w:eastAsia="zh-CN"/>
                    </w:rPr>
                    <w:t>建筑面积</w:t>
                  </w:r>
                  <w:r>
                    <w:rPr>
                      <w:rFonts w:hint="eastAsia" w:ascii="Times New Roman" w:hAnsi="Times New Roman" w:eastAsia="宋体" w:cs="Times New Roman"/>
                      <w:color w:val="auto"/>
                      <w:highlight w:val="none"/>
                      <w:u w:val="none" w:color="auto"/>
                      <w:lang w:val="en-US" w:eastAsia="zh-CN"/>
                    </w:rPr>
                    <w:t>为150</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eastAsia" w:eastAsia="宋体" w:cs="Times New Roman"/>
                      <w:color w:val="auto"/>
                      <w:sz w:val="24"/>
                      <w:szCs w:val="32"/>
                      <w:highlight w:val="none"/>
                      <w:u w:val="none" w:color="auto"/>
                      <w:vertAlign w:val="baseline"/>
                      <w:lang w:val="en-US" w:eastAsia="zh-CN"/>
                    </w:rPr>
                    <w:t>，</w:t>
                  </w:r>
                  <w:r>
                    <w:rPr>
                      <w:rFonts w:hint="eastAsia" w:cs="Times New Roman"/>
                      <w:color w:val="auto"/>
                      <w:highlight w:val="none"/>
                      <w:u w:val="none" w:color="auto"/>
                      <w:lang w:val="en-US" w:eastAsia="zh-CN"/>
                    </w:rPr>
                    <w:t>位于厂区南侧，主要用于抽残液</w:t>
                  </w:r>
                </w:p>
              </w:tc>
              <w:tc>
                <w:tcPr>
                  <w:tcW w:w="1465" w:type="pct"/>
                  <w:tcBorders>
                    <w:left w:val="single" w:color="auto" w:sz="4" w:space="0"/>
                    <w:tl2br w:val="nil"/>
                    <w:tr2bl w:val="nil"/>
                  </w:tcBorders>
                  <w:shd w:val="clear" w:color="auto" w:fill="auto"/>
                  <w:noWrap w:val="0"/>
                  <w:vAlign w:val="center"/>
                </w:tcPr>
                <w:p w14:paraId="118F4A7D">
                  <w:pPr>
                    <w:bidi w:val="0"/>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1F，</w:t>
                  </w:r>
                  <w:r>
                    <w:rPr>
                      <w:rFonts w:hint="default" w:ascii="Times New Roman" w:hAnsi="Times New Roman" w:eastAsia="宋体" w:cs="Times New Roman"/>
                      <w:color w:val="auto"/>
                      <w:highlight w:val="none"/>
                      <w:u w:val="none" w:color="auto"/>
                      <w:lang w:val="en-US" w:eastAsia="zh-CN"/>
                    </w:rPr>
                    <w:t>建筑面积</w:t>
                  </w:r>
                  <w:r>
                    <w:rPr>
                      <w:rFonts w:hint="eastAsia" w:ascii="Times New Roman" w:hAnsi="Times New Roman" w:eastAsia="宋体" w:cs="Times New Roman"/>
                      <w:color w:val="auto"/>
                      <w:highlight w:val="none"/>
                      <w:u w:val="none" w:color="auto"/>
                      <w:lang w:val="en-US" w:eastAsia="zh-CN"/>
                    </w:rPr>
                    <w:t>为150</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eastAsia" w:eastAsia="宋体" w:cs="Times New Roman"/>
                      <w:color w:val="auto"/>
                      <w:sz w:val="24"/>
                      <w:szCs w:val="32"/>
                      <w:highlight w:val="none"/>
                      <w:u w:val="none" w:color="auto"/>
                      <w:vertAlign w:val="baseline"/>
                      <w:lang w:val="en-US" w:eastAsia="zh-CN"/>
                    </w:rPr>
                    <w:t>，</w:t>
                  </w:r>
                  <w:r>
                    <w:rPr>
                      <w:rFonts w:hint="eastAsia" w:cs="Times New Roman"/>
                      <w:color w:val="auto"/>
                      <w:highlight w:val="none"/>
                      <w:u w:val="none" w:color="auto"/>
                      <w:lang w:val="en-US" w:eastAsia="zh-CN"/>
                    </w:rPr>
                    <w:t>位于厂区东南侧，主要用于抽残液</w:t>
                  </w:r>
                </w:p>
              </w:tc>
              <w:tc>
                <w:tcPr>
                  <w:tcW w:w="805" w:type="pct"/>
                  <w:vMerge w:val="restart"/>
                  <w:tcBorders>
                    <w:tl2br w:val="nil"/>
                    <w:tr2bl w:val="nil"/>
                  </w:tcBorders>
                  <w:noWrap w:val="0"/>
                  <w:vAlign w:val="center"/>
                </w:tcPr>
                <w:p w14:paraId="0BD4F0FB">
                  <w:pPr>
                    <w:bidi w:val="0"/>
                    <w:jc w:val="center"/>
                    <w:rPr>
                      <w:rFonts w:hint="default" w:cs="Times New Roman"/>
                      <w:color w:val="auto"/>
                      <w:highlight w:val="none"/>
                      <w:u w:val="none" w:color="auto"/>
                      <w:lang w:val="en-US" w:eastAsia="zh-CN"/>
                    </w:rPr>
                  </w:pPr>
                  <w:r>
                    <w:rPr>
                      <w:rFonts w:hint="default" w:cs="Times New Roman"/>
                      <w:color w:val="auto"/>
                      <w:highlight w:val="none"/>
                      <w:u w:val="none" w:color="auto"/>
                      <w:lang w:val="en-US" w:eastAsia="zh-CN"/>
                    </w:rPr>
                    <w:t>项目重新选址，各功能区平面布置位置</w:t>
                  </w:r>
                  <w:r>
                    <w:rPr>
                      <w:rFonts w:hint="eastAsia" w:cs="Times New Roman"/>
                      <w:color w:val="auto"/>
                      <w:highlight w:val="none"/>
                      <w:u w:val="none" w:color="auto"/>
                      <w:lang w:val="en-US" w:eastAsia="zh-CN"/>
                    </w:rPr>
                    <w:t>及面积</w:t>
                  </w:r>
                  <w:r>
                    <w:rPr>
                      <w:rFonts w:hint="default" w:cs="Times New Roman"/>
                      <w:color w:val="auto"/>
                      <w:highlight w:val="none"/>
                      <w:u w:val="none" w:color="auto"/>
                      <w:lang w:val="en-US" w:eastAsia="zh-CN"/>
                    </w:rPr>
                    <w:t>调整</w:t>
                  </w:r>
                </w:p>
              </w:tc>
            </w:tr>
            <w:tr w14:paraId="759DB6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97" w:type="pct"/>
                  <w:vMerge w:val="continue"/>
                  <w:tcBorders>
                    <w:tl2br w:val="nil"/>
                    <w:tr2bl w:val="nil"/>
                  </w:tcBorders>
                  <w:noWrap w:val="0"/>
                  <w:vAlign w:val="center"/>
                </w:tcPr>
                <w:p w14:paraId="14D8E5F2">
                  <w:pPr>
                    <w:bidi w:val="0"/>
                    <w:jc w:val="center"/>
                    <w:rPr>
                      <w:rFonts w:hint="default" w:ascii="Times New Roman" w:hAnsi="Times New Roman" w:cs="Times New Roman"/>
                      <w:color w:val="auto"/>
                      <w:highlight w:val="none"/>
                      <w:u w:val="none" w:color="auto"/>
                      <w:lang w:val="en-US" w:eastAsia="zh-CN"/>
                    </w:rPr>
                  </w:pPr>
                </w:p>
              </w:tc>
              <w:tc>
                <w:tcPr>
                  <w:tcW w:w="341" w:type="pct"/>
                  <w:vMerge w:val="continue"/>
                  <w:tcBorders>
                    <w:tl2br w:val="nil"/>
                    <w:tr2bl w:val="nil"/>
                  </w:tcBorders>
                  <w:noWrap w:val="0"/>
                  <w:vAlign w:val="center"/>
                </w:tcPr>
                <w:p w14:paraId="2F095ECE">
                  <w:pPr>
                    <w:bidi w:val="0"/>
                    <w:jc w:val="center"/>
                    <w:rPr>
                      <w:rFonts w:hint="default" w:cs="Times New Roman"/>
                      <w:color w:val="auto"/>
                      <w:highlight w:val="none"/>
                      <w:u w:val="none" w:color="auto"/>
                      <w:lang w:val="en-US" w:eastAsia="zh-CN"/>
                    </w:rPr>
                  </w:pPr>
                </w:p>
              </w:tc>
              <w:tc>
                <w:tcPr>
                  <w:tcW w:w="499" w:type="pct"/>
                  <w:tcBorders>
                    <w:tl2br w:val="nil"/>
                    <w:tr2bl w:val="nil"/>
                  </w:tcBorders>
                  <w:noWrap w:val="0"/>
                  <w:vAlign w:val="center"/>
                </w:tcPr>
                <w:p w14:paraId="0C4B06A5">
                  <w:pPr>
                    <w:bidi w:val="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拆卸瓶阀区</w:t>
                  </w:r>
                </w:p>
              </w:tc>
              <w:tc>
                <w:tcPr>
                  <w:tcW w:w="1392" w:type="pct"/>
                  <w:tcBorders>
                    <w:right w:val="single" w:color="auto" w:sz="4" w:space="0"/>
                    <w:tl2br w:val="nil"/>
                    <w:tr2bl w:val="nil"/>
                  </w:tcBorders>
                  <w:noWrap w:val="0"/>
                  <w:vAlign w:val="center"/>
                </w:tcPr>
                <w:p w14:paraId="458258AF">
                  <w:pPr>
                    <w:bidi w:val="0"/>
                    <w:jc w:val="center"/>
                    <w:rPr>
                      <w:rFonts w:hint="default" w:asci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1F，</w:t>
                  </w:r>
                  <w:r>
                    <w:rPr>
                      <w:rFonts w:hint="default" w:ascii="Times New Roman" w:hAnsi="Times New Roman" w:eastAsia="宋体" w:cs="Times New Roman"/>
                      <w:color w:val="auto"/>
                      <w:highlight w:val="none"/>
                      <w:u w:val="none" w:color="auto"/>
                      <w:lang w:val="en-US" w:eastAsia="zh-CN"/>
                    </w:rPr>
                    <w:t>建筑面积</w:t>
                  </w:r>
                  <w:r>
                    <w:rPr>
                      <w:rFonts w:hint="eastAsia" w:cs="Times New Roman"/>
                      <w:color w:val="auto"/>
                      <w:highlight w:val="none"/>
                      <w:u w:val="none" w:color="auto"/>
                      <w:lang w:val="en-US" w:eastAsia="zh-CN"/>
                    </w:rPr>
                    <w:t>为200</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eastAsia" w:eastAsia="宋体" w:cs="Times New Roman"/>
                      <w:color w:val="auto"/>
                      <w:sz w:val="24"/>
                      <w:szCs w:val="32"/>
                      <w:highlight w:val="none"/>
                      <w:u w:val="none" w:color="auto"/>
                      <w:vertAlign w:val="baseline"/>
                      <w:lang w:val="en-US" w:eastAsia="zh-CN"/>
                    </w:rPr>
                    <w:t>，</w:t>
                  </w:r>
                  <w:r>
                    <w:rPr>
                      <w:rFonts w:hint="default" w:ascii="Times New Roman" w:hAnsi="Times New Roman" w:eastAsia="宋体" w:cs="Times New Roman"/>
                      <w:color w:val="auto"/>
                      <w:highlight w:val="none"/>
                      <w:u w:val="none" w:color="auto"/>
                      <w:lang w:val="en-US" w:eastAsia="zh-CN"/>
                    </w:rPr>
                    <w:t>位于厂区</w:t>
                  </w:r>
                  <w:r>
                    <w:rPr>
                      <w:rFonts w:hint="eastAsia" w:cs="Times New Roman"/>
                      <w:color w:val="auto"/>
                      <w:highlight w:val="none"/>
                      <w:u w:val="none" w:color="auto"/>
                      <w:lang w:val="en-US" w:eastAsia="zh-CN"/>
                    </w:rPr>
                    <w:t>东北</w:t>
                  </w:r>
                  <w:r>
                    <w:rPr>
                      <w:rFonts w:hint="default" w:ascii="Times New Roman" w:hAnsi="Times New Roman" w:eastAsia="宋体" w:cs="Times New Roman"/>
                      <w:color w:val="auto"/>
                      <w:highlight w:val="none"/>
                      <w:u w:val="none" w:color="auto"/>
                      <w:lang w:val="en-US" w:eastAsia="zh-CN"/>
                    </w:rPr>
                    <w:t>侧</w:t>
                  </w:r>
                  <w:r>
                    <w:rPr>
                      <w:rFonts w:hint="eastAsia" w:eastAsia="宋体" w:cs="Times New Roman"/>
                      <w:color w:val="auto"/>
                      <w:highlight w:val="none"/>
                      <w:u w:val="none" w:color="auto"/>
                      <w:lang w:val="en-US" w:eastAsia="zh-CN"/>
                    </w:rPr>
                    <w:t>，</w:t>
                  </w:r>
                  <w:r>
                    <w:rPr>
                      <w:rFonts w:hint="default" w:ascii="Times New Roman" w:hAnsi="Times New Roman" w:eastAsia="宋体" w:cs="Times New Roman"/>
                      <w:color w:val="auto"/>
                      <w:highlight w:val="none"/>
                      <w:u w:val="none" w:color="auto"/>
                      <w:lang w:val="en-US" w:eastAsia="zh-CN"/>
                    </w:rPr>
                    <w:t>主要用于</w:t>
                  </w:r>
                  <w:r>
                    <w:rPr>
                      <w:rFonts w:hint="eastAsia" w:cs="Times New Roman"/>
                      <w:color w:val="auto"/>
                      <w:highlight w:val="none"/>
                      <w:u w:val="none" w:color="auto"/>
                      <w:lang w:val="en-US" w:eastAsia="zh-CN"/>
                    </w:rPr>
                    <w:t>报废液化石油气钢瓶</w:t>
                  </w:r>
                </w:p>
              </w:tc>
              <w:tc>
                <w:tcPr>
                  <w:tcW w:w="1465" w:type="pct"/>
                  <w:tcBorders>
                    <w:left w:val="single" w:color="auto" w:sz="4" w:space="0"/>
                    <w:tl2br w:val="nil"/>
                    <w:tr2bl w:val="nil"/>
                  </w:tcBorders>
                  <w:shd w:val="clear" w:color="auto" w:fill="auto"/>
                  <w:noWrap w:val="0"/>
                  <w:vAlign w:val="center"/>
                </w:tcPr>
                <w:p w14:paraId="397760E5">
                  <w:pPr>
                    <w:bidi w:val="0"/>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1F，</w:t>
                  </w:r>
                  <w:r>
                    <w:rPr>
                      <w:rFonts w:hint="default" w:ascii="Times New Roman" w:hAnsi="Times New Roman" w:eastAsia="宋体" w:cs="Times New Roman"/>
                      <w:color w:val="auto"/>
                      <w:highlight w:val="none"/>
                      <w:u w:val="none" w:color="auto"/>
                      <w:lang w:val="en-US" w:eastAsia="zh-CN"/>
                    </w:rPr>
                    <w:t>建筑面积</w:t>
                  </w:r>
                  <w:r>
                    <w:rPr>
                      <w:rFonts w:hint="eastAsia" w:cs="Times New Roman"/>
                      <w:color w:val="auto"/>
                      <w:highlight w:val="none"/>
                      <w:u w:val="none" w:color="auto"/>
                      <w:lang w:val="en-US" w:eastAsia="zh-CN"/>
                    </w:rPr>
                    <w:t>为200</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eastAsia" w:eastAsia="宋体" w:cs="Times New Roman"/>
                      <w:color w:val="auto"/>
                      <w:sz w:val="24"/>
                      <w:szCs w:val="32"/>
                      <w:highlight w:val="none"/>
                      <w:u w:val="none" w:color="auto"/>
                      <w:vertAlign w:val="baseline"/>
                      <w:lang w:val="en-US" w:eastAsia="zh-CN"/>
                    </w:rPr>
                    <w:t>，</w:t>
                  </w:r>
                  <w:r>
                    <w:rPr>
                      <w:rFonts w:hint="default" w:ascii="Times New Roman" w:hAnsi="Times New Roman" w:eastAsia="宋体" w:cs="Times New Roman"/>
                      <w:color w:val="auto"/>
                      <w:highlight w:val="none"/>
                      <w:u w:val="none" w:color="auto"/>
                      <w:lang w:val="en-US" w:eastAsia="zh-CN"/>
                    </w:rPr>
                    <w:t>位于厂区</w:t>
                  </w:r>
                  <w:r>
                    <w:rPr>
                      <w:rFonts w:hint="eastAsia" w:cs="Times New Roman"/>
                      <w:color w:val="auto"/>
                      <w:highlight w:val="none"/>
                      <w:u w:val="none" w:color="auto"/>
                      <w:lang w:val="en-US" w:eastAsia="zh-CN"/>
                    </w:rPr>
                    <w:t>东北</w:t>
                  </w:r>
                  <w:r>
                    <w:rPr>
                      <w:rFonts w:hint="default" w:ascii="Times New Roman" w:hAnsi="Times New Roman" w:eastAsia="宋体" w:cs="Times New Roman"/>
                      <w:color w:val="auto"/>
                      <w:highlight w:val="none"/>
                      <w:u w:val="none" w:color="auto"/>
                      <w:lang w:val="en-US" w:eastAsia="zh-CN"/>
                    </w:rPr>
                    <w:t>侧</w:t>
                  </w:r>
                  <w:r>
                    <w:rPr>
                      <w:rFonts w:hint="eastAsia" w:eastAsia="宋体" w:cs="Times New Roman"/>
                      <w:color w:val="auto"/>
                      <w:highlight w:val="none"/>
                      <w:u w:val="none" w:color="auto"/>
                      <w:lang w:val="en-US" w:eastAsia="zh-CN"/>
                    </w:rPr>
                    <w:t>，</w:t>
                  </w:r>
                  <w:r>
                    <w:rPr>
                      <w:rFonts w:hint="default" w:ascii="Times New Roman" w:hAnsi="Times New Roman" w:eastAsia="宋体" w:cs="Times New Roman"/>
                      <w:color w:val="auto"/>
                      <w:highlight w:val="none"/>
                      <w:u w:val="none" w:color="auto"/>
                      <w:lang w:val="en-US" w:eastAsia="zh-CN"/>
                    </w:rPr>
                    <w:t>主要用于</w:t>
                  </w:r>
                  <w:r>
                    <w:rPr>
                      <w:rFonts w:hint="eastAsia" w:cs="Times New Roman"/>
                      <w:color w:val="auto"/>
                      <w:highlight w:val="none"/>
                      <w:u w:val="none" w:color="auto"/>
                      <w:lang w:val="en-US" w:eastAsia="zh-CN"/>
                    </w:rPr>
                    <w:t>报废液化石油气钢瓶</w:t>
                  </w:r>
                </w:p>
              </w:tc>
              <w:tc>
                <w:tcPr>
                  <w:tcW w:w="805" w:type="pct"/>
                  <w:vMerge w:val="continue"/>
                  <w:tcBorders>
                    <w:tl2br w:val="nil"/>
                    <w:tr2bl w:val="nil"/>
                  </w:tcBorders>
                  <w:noWrap w:val="0"/>
                  <w:vAlign w:val="center"/>
                </w:tcPr>
                <w:p w14:paraId="40B0A7E3">
                  <w:pPr>
                    <w:bidi w:val="0"/>
                    <w:jc w:val="center"/>
                    <w:rPr>
                      <w:rFonts w:hint="default" w:cs="Times New Roman"/>
                      <w:color w:val="auto"/>
                      <w:highlight w:val="none"/>
                      <w:u w:val="none" w:color="auto"/>
                      <w:lang w:val="en-US" w:eastAsia="zh-CN"/>
                    </w:rPr>
                  </w:pPr>
                </w:p>
              </w:tc>
            </w:tr>
            <w:tr w14:paraId="009CCE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497" w:type="pct"/>
                  <w:vMerge w:val="continue"/>
                  <w:tcBorders>
                    <w:tl2br w:val="nil"/>
                    <w:tr2bl w:val="nil"/>
                  </w:tcBorders>
                  <w:noWrap w:val="0"/>
                  <w:vAlign w:val="center"/>
                </w:tcPr>
                <w:p w14:paraId="0BD37838">
                  <w:pPr>
                    <w:bidi w:val="0"/>
                    <w:jc w:val="center"/>
                    <w:rPr>
                      <w:color w:val="auto"/>
                      <w:highlight w:val="none"/>
                      <w:u w:val="none" w:color="auto"/>
                    </w:rPr>
                  </w:pPr>
                </w:p>
              </w:tc>
              <w:tc>
                <w:tcPr>
                  <w:tcW w:w="341" w:type="pct"/>
                  <w:vMerge w:val="continue"/>
                  <w:tcBorders>
                    <w:tl2br w:val="nil"/>
                    <w:tr2bl w:val="nil"/>
                  </w:tcBorders>
                  <w:noWrap w:val="0"/>
                  <w:vAlign w:val="center"/>
                </w:tcPr>
                <w:p w14:paraId="0488CC94">
                  <w:pPr>
                    <w:bidi w:val="0"/>
                    <w:jc w:val="center"/>
                    <w:rPr>
                      <w:color w:val="auto"/>
                      <w:highlight w:val="none"/>
                      <w:u w:val="none" w:color="auto"/>
                    </w:rPr>
                  </w:pPr>
                </w:p>
              </w:tc>
              <w:tc>
                <w:tcPr>
                  <w:tcW w:w="499" w:type="pct"/>
                  <w:tcBorders>
                    <w:tl2br w:val="nil"/>
                    <w:tr2bl w:val="nil"/>
                  </w:tcBorders>
                  <w:noWrap w:val="0"/>
                  <w:vAlign w:val="center"/>
                </w:tcPr>
                <w:p w14:paraId="091C3A5F">
                  <w:pPr>
                    <w:bidi w:val="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焚烧区</w:t>
                  </w:r>
                </w:p>
              </w:tc>
              <w:tc>
                <w:tcPr>
                  <w:tcW w:w="1392" w:type="pct"/>
                  <w:tcBorders>
                    <w:right w:val="single" w:color="auto" w:sz="4" w:space="0"/>
                    <w:tl2br w:val="nil"/>
                    <w:tr2bl w:val="nil"/>
                  </w:tcBorders>
                  <w:noWrap w:val="0"/>
                  <w:vAlign w:val="center"/>
                </w:tcPr>
                <w:p w14:paraId="2065B696">
                  <w:pPr>
                    <w:bidi w:val="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1F，</w:t>
                  </w:r>
                  <w:r>
                    <w:rPr>
                      <w:rFonts w:hint="default" w:ascii="Times New Roman" w:hAnsi="Times New Roman" w:eastAsia="宋体" w:cs="Times New Roman"/>
                      <w:color w:val="auto"/>
                      <w:highlight w:val="none"/>
                      <w:u w:val="none" w:color="auto"/>
                      <w:lang w:val="en-US" w:eastAsia="zh-CN"/>
                    </w:rPr>
                    <w:t>建筑面积</w:t>
                  </w:r>
                  <w:r>
                    <w:rPr>
                      <w:rFonts w:hint="eastAsia" w:cs="Times New Roman"/>
                      <w:color w:val="auto"/>
                      <w:highlight w:val="none"/>
                      <w:u w:val="none" w:color="auto"/>
                      <w:lang w:val="en-US" w:eastAsia="zh-CN"/>
                    </w:rPr>
                    <w:t>为200</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eastAsia" w:eastAsia="宋体" w:cs="Times New Roman"/>
                      <w:color w:val="auto"/>
                      <w:sz w:val="24"/>
                      <w:szCs w:val="32"/>
                      <w:highlight w:val="none"/>
                      <w:u w:val="none" w:color="auto"/>
                      <w:vertAlign w:val="baseline"/>
                      <w:lang w:val="en-US" w:eastAsia="zh-CN"/>
                    </w:rPr>
                    <w:t>，</w:t>
                  </w:r>
                  <w:r>
                    <w:rPr>
                      <w:rFonts w:hint="eastAsia"/>
                      <w:color w:val="auto"/>
                      <w:szCs w:val="21"/>
                      <w:highlight w:val="none"/>
                      <w:u w:val="none" w:color="auto"/>
                    </w:rPr>
                    <w:t>位于厂区</w:t>
                  </w:r>
                  <w:r>
                    <w:rPr>
                      <w:rFonts w:hint="eastAsia"/>
                      <w:color w:val="auto"/>
                      <w:szCs w:val="21"/>
                      <w:highlight w:val="none"/>
                      <w:u w:val="none" w:color="auto"/>
                      <w:lang w:val="en-US" w:eastAsia="zh-CN"/>
                    </w:rPr>
                    <w:t>南</w:t>
                  </w:r>
                  <w:r>
                    <w:rPr>
                      <w:rFonts w:hint="eastAsia"/>
                      <w:color w:val="auto"/>
                      <w:szCs w:val="21"/>
                      <w:highlight w:val="none"/>
                      <w:u w:val="none" w:color="auto"/>
                    </w:rPr>
                    <w:t>侧，</w:t>
                  </w:r>
                  <w:r>
                    <w:rPr>
                      <w:bCs/>
                      <w:color w:val="auto"/>
                      <w:szCs w:val="21"/>
                      <w:highlight w:val="none"/>
                      <w:u w:val="none" w:color="auto"/>
                    </w:rPr>
                    <w:t>设置</w:t>
                  </w:r>
                  <w:r>
                    <w:rPr>
                      <w:rFonts w:hint="eastAsia"/>
                      <w:bCs/>
                      <w:color w:val="auto"/>
                      <w:szCs w:val="21"/>
                      <w:highlight w:val="none"/>
                      <w:u w:val="none" w:color="auto"/>
                      <w:lang w:val="en-US" w:eastAsia="zh-CN"/>
                    </w:rPr>
                    <w:t>2</w:t>
                  </w:r>
                  <w:r>
                    <w:rPr>
                      <w:bCs/>
                      <w:color w:val="auto"/>
                      <w:szCs w:val="21"/>
                      <w:highlight w:val="none"/>
                      <w:u w:val="none" w:color="auto"/>
                    </w:rPr>
                    <w:t>台</w:t>
                  </w:r>
                  <w:r>
                    <w:rPr>
                      <w:rFonts w:hint="eastAsia"/>
                      <w:bCs/>
                      <w:color w:val="auto"/>
                      <w:szCs w:val="21"/>
                      <w:highlight w:val="none"/>
                      <w:u w:val="none" w:color="auto"/>
                      <w:lang w:val="en-US" w:eastAsia="zh-CN"/>
                    </w:rPr>
                    <w:t>焚烧炉</w:t>
                  </w:r>
                </w:p>
              </w:tc>
              <w:tc>
                <w:tcPr>
                  <w:tcW w:w="1465" w:type="pct"/>
                  <w:tcBorders>
                    <w:left w:val="single" w:color="auto" w:sz="4" w:space="0"/>
                    <w:tl2br w:val="nil"/>
                    <w:tr2bl w:val="nil"/>
                  </w:tcBorders>
                  <w:shd w:val="clear" w:color="auto" w:fill="auto"/>
                  <w:noWrap w:val="0"/>
                  <w:vAlign w:val="center"/>
                </w:tcPr>
                <w:p w14:paraId="7DC87D68">
                  <w:pPr>
                    <w:bidi w:val="0"/>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1F，</w:t>
                  </w:r>
                  <w:r>
                    <w:rPr>
                      <w:rFonts w:hint="default" w:ascii="Times New Roman" w:hAnsi="Times New Roman" w:eastAsia="宋体" w:cs="Times New Roman"/>
                      <w:color w:val="auto"/>
                      <w:highlight w:val="none"/>
                      <w:u w:val="none" w:color="auto"/>
                      <w:lang w:val="en-US" w:eastAsia="zh-CN"/>
                    </w:rPr>
                    <w:t>建筑面积</w:t>
                  </w:r>
                  <w:r>
                    <w:rPr>
                      <w:rFonts w:hint="eastAsia" w:cs="Times New Roman"/>
                      <w:color w:val="auto"/>
                      <w:highlight w:val="none"/>
                      <w:u w:val="none" w:color="auto"/>
                      <w:lang w:val="en-US" w:eastAsia="zh-CN"/>
                    </w:rPr>
                    <w:t>为300</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eastAsia" w:eastAsia="宋体" w:cs="Times New Roman"/>
                      <w:color w:val="auto"/>
                      <w:sz w:val="24"/>
                      <w:szCs w:val="32"/>
                      <w:highlight w:val="none"/>
                      <w:u w:val="none" w:color="auto"/>
                      <w:vertAlign w:val="baseline"/>
                      <w:lang w:val="en-US" w:eastAsia="zh-CN"/>
                    </w:rPr>
                    <w:t>，</w:t>
                  </w:r>
                  <w:r>
                    <w:rPr>
                      <w:rFonts w:hint="eastAsia"/>
                      <w:color w:val="auto"/>
                      <w:szCs w:val="21"/>
                      <w:highlight w:val="none"/>
                      <w:u w:val="none" w:color="auto"/>
                    </w:rPr>
                    <w:t>位于厂区</w:t>
                  </w:r>
                  <w:r>
                    <w:rPr>
                      <w:rFonts w:hint="eastAsia"/>
                      <w:color w:val="auto"/>
                      <w:szCs w:val="21"/>
                      <w:highlight w:val="none"/>
                      <w:u w:val="none" w:color="auto"/>
                      <w:lang w:val="en-US" w:eastAsia="zh-CN"/>
                    </w:rPr>
                    <w:t>西北</w:t>
                  </w:r>
                  <w:r>
                    <w:rPr>
                      <w:rFonts w:hint="eastAsia"/>
                      <w:color w:val="auto"/>
                      <w:szCs w:val="21"/>
                      <w:highlight w:val="none"/>
                      <w:u w:val="none" w:color="auto"/>
                    </w:rPr>
                    <w:t>侧，</w:t>
                  </w:r>
                  <w:r>
                    <w:rPr>
                      <w:bCs/>
                      <w:color w:val="auto"/>
                      <w:szCs w:val="21"/>
                      <w:highlight w:val="none"/>
                      <w:u w:val="none" w:color="auto"/>
                    </w:rPr>
                    <w:t>设置</w:t>
                  </w:r>
                  <w:r>
                    <w:rPr>
                      <w:rFonts w:hint="eastAsia"/>
                      <w:bCs/>
                      <w:color w:val="auto"/>
                      <w:szCs w:val="21"/>
                      <w:highlight w:val="none"/>
                      <w:u w:val="none" w:color="auto"/>
                      <w:lang w:val="en-US" w:eastAsia="zh-CN"/>
                    </w:rPr>
                    <w:t>2</w:t>
                  </w:r>
                  <w:r>
                    <w:rPr>
                      <w:bCs/>
                      <w:color w:val="auto"/>
                      <w:szCs w:val="21"/>
                      <w:highlight w:val="none"/>
                      <w:u w:val="none" w:color="auto"/>
                    </w:rPr>
                    <w:t>台</w:t>
                  </w:r>
                  <w:r>
                    <w:rPr>
                      <w:rFonts w:hint="eastAsia"/>
                      <w:bCs/>
                      <w:color w:val="auto"/>
                      <w:szCs w:val="21"/>
                      <w:highlight w:val="none"/>
                      <w:u w:val="none" w:color="auto"/>
                      <w:lang w:val="en-US" w:eastAsia="zh-CN"/>
                    </w:rPr>
                    <w:t>焚烧炉</w:t>
                  </w:r>
                </w:p>
              </w:tc>
              <w:tc>
                <w:tcPr>
                  <w:tcW w:w="805" w:type="pct"/>
                  <w:vMerge w:val="continue"/>
                  <w:tcBorders>
                    <w:tl2br w:val="nil"/>
                    <w:tr2bl w:val="nil"/>
                  </w:tcBorders>
                  <w:noWrap w:val="0"/>
                  <w:vAlign w:val="center"/>
                </w:tcPr>
                <w:p w14:paraId="1ECF998C">
                  <w:pPr>
                    <w:bidi w:val="0"/>
                    <w:jc w:val="center"/>
                    <w:rPr>
                      <w:rFonts w:hint="eastAsia" w:cs="Times New Roman"/>
                      <w:color w:val="auto"/>
                      <w:highlight w:val="none"/>
                      <w:u w:val="none" w:color="auto"/>
                      <w:lang w:val="en-US" w:eastAsia="zh-CN"/>
                    </w:rPr>
                  </w:pPr>
                </w:p>
              </w:tc>
            </w:tr>
            <w:tr w14:paraId="4924E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497" w:type="pct"/>
                  <w:tcBorders>
                    <w:tl2br w:val="nil"/>
                    <w:tr2bl w:val="nil"/>
                  </w:tcBorders>
                  <w:noWrap w:val="0"/>
                  <w:vAlign w:val="center"/>
                </w:tcPr>
                <w:p w14:paraId="703AC807">
                  <w:pPr>
                    <w:bidi w:val="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辅助工程</w:t>
                  </w:r>
                </w:p>
              </w:tc>
              <w:tc>
                <w:tcPr>
                  <w:tcW w:w="840" w:type="pct"/>
                  <w:gridSpan w:val="2"/>
                  <w:tcBorders>
                    <w:tl2br w:val="nil"/>
                    <w:tr2bl w:val="nil"/>
                  </w:tcBorders>
                  <w:noWrap w:val="0"/>
                  <w:vAlign w:val="center"/>
                </w:tcPr>
                <w:p w14:paraId="30049358">
                  <w:pPr>
                    <w:bidi w:val="0"/>
                    <w:jc w:val="center"/>
                    <w:rPr>
                      <w:rFonts w:hint="default" w:ascii="Times New Roman" w:hAnsi="Times New Roman" w:cs="Times New Roman"/>
                      <w:color w:val="auto"/>
                      <w:highlight w:val="none"/>
                      <w:u w:val="none" w:color="auto"/>
                      <w:lang w:val="en-US" w:eastAsia="zh-CN"/>
                    </w:rPr>
                  </w:pPr>
                  <w:r>
                    <w:rPr>
                      <w:rFonts w:hint="eastAsia" w:cs="Times New Roman"/>
                      <w:color w:val="auto"/>
                      <w:highlight w:val="none"/>
                      <w:u w:val="none" w:color="auto"/>
                      <w:lang w:val="en-US" w:eastAsia="zh-CN"/>
                    </w:rPr>
                    <w:t>办公室</w:t>
                  </w:r>
                </w:p>
              </w:tc>
              <w:tc>
                <w:tcPr>
                  <w:tcW w:w="1392" w:type="pct"/>
                  <w:tcBorders>
                    <w:right w:val="single" w:color="auto" w:sz="4" w:space="0"/>
                    <w:tl2br w:val="nil"/>
                    <w:tr2bl w:val="nil"/>
                  </w:tcBorders>
                  <w:noWrap w:val="0"/>
                  <w:vAlign w:val="center"/>
                </w:tcPr>
                <w:p w14:paraId="28B3C745">
                  <w:pPr>
                    <w:bidi w:val="0"/>
                    <w:jc w:val="center"/>
                    <w:rPr>
                      <w:rFonts w:hint="default" w:ascii="Times New Roman" w:hAnsi="Times New Roman" w:cs="Times New Roman"/>
                      <w:color w:val="auto"/>
                      <w:highlight w:val="none"/>
                      <w:u w:val="none" w:color="auto"/>
                      <w:lang w:val="en-US" w:eastAsia="zh-CN"/>
                    </w:rPr>
                  </w:pPr>
                  <w:r>
                    <w:rPr>
                      <w:rFonts w:hint="eastAsia"/>
                      <w:color w:val="auto"/>
                      <w:highlight w:val="none"/>
                      <w:u w:val="none" w:color="auto"/>
                      <w:lang w:val="en-US" w:eastAsia="zh-CN"/>
                    </w:rPr>
                    <w:t>砖混结构，1F</w:t>
                  </w:r>
                  <w:r>
                    <w:rPr>
                      <w:rFonts w:hint="eastAsia" w:cs="Times New Roman"/>
                      <w:color w:val="auto"/>
                      <w:highlight w:val="none"/>
                      <w:u w:val="none" w:color="auto"/>
                      <w:lang w:val="en-US" w:eastAsia="zh-CN"/>
                    </w:rPr>
                    <w:t>，</w:t>
                  </w:r>
                  <w:r>
                    <w:rPr>
                      <w:rFonts w:hint="default" w:ascii="Times New Roman" w:hAnsi="Times New Roman" w:eastAsia="宋体" w:cs="Times New Roman"/>
                      <w:color w:val="auto"/>
                      <w:highlight w:val="none"/>
                      <w:u w:val="none" w:color="auto"/>
                      <w:lang w:val="en-US" w:eastAsia="zh-CN"/>
                    </w:rPr>
                    <w:t>建筑面积为</w:t>
                  </w:r>
                  <w:r>
                    <w:rPr>
                      <w:rFonts w:hint="eastAsia" w:cs="Times New Roman"/>
                      <w:color w:val="auto"/>
                      <w:highlight w:val="none"/>
                      <w:u w:val="none" w:color="auto"/>
                      <w:lang w:val="en-US" w:eastAsia="zh-CN"/>
                    </w:rPr>
                    <w:t>25</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eastAsia"/>
                      <w:color w:val="auto"/>
                      <w:highlight w:val="none"/>
                      <w:u w:val="none" w:color="auto"/>
                      <w:lang w:val="en-US" w:eastAsia="zh-CN"/>
                    </w:rPr>
                    <w:t>，位于</w:t>
                  </w:r>
                  <w:r>
                    <w:rPr>
                      <w:rFonts w:hint="default" w:ascii="Times New Roman" w:hAnsi="Times New Roman" w:eastAsia="宋体" w:cs="Times New Roman"/>
                      <w:color w:val="auto"/>
                      <w:highlight w:val="none"/>
                      <w:u w:val="none" w:color="auto"/>
                      <w:lang w:val="en-US" w:eastAsia="zh-CN"/>
                    </w:rPr>
                    <w:t>厂区</w:t>
                  </w:r>
                  <w:r>
                    <w:rPr>
                      <w:rFonts w:hint="eastAsia" w:cs="Times New Roman"/>
                      <w:color w:val="auto"/>
                      <w:highlight w:val="none"/>
                      <w:u w:val="none" w:color="auto"/>
                      <w:lang w:val="en-US" w:eastAsia="zh-CN"/>
                    </w:rPr>
                    <w:t>西北侧，人员办公</w:t>
                  </w:r>
                </w:p>
              </w:tc>
              <w:tc>
                <w:tcPr>
                  <w:tcW w:w="1465" w:type="pct"/>
                  <w:tcBorders>
                    <w:left w:val="single" w:color="auto" w:sz="4" w:space="0"/>
                    <w:tl2br w:val="nil"/>
                    <w:tr2bl w:val="nil"/>
                  </w:tcBorders>
                  <w:noWrap w:val="0"/>
                  <w:vAlign w:val="center"/>
                </w:tcPr>
                <w:p w14:paraId="543D0608">
                  <w:pPr>
                    <w:bidi w:val="0"/>
                    <w:jc w:val="center"/>
                    <w:rPr>
                      <w:rFonts w:hint="eastAsia"/>
                      <w:color w:val="auto"/>
                      <w:highlight w:val="none"/>
                      <w:u w:val="none" w:color="auto"/>
                      <w:lang w:val="en-US" w:eastAsia="zh-CN"/>
                    </w:rPr>
                  </w:pPr>
                  <w:r>
                    <w:rPr>
                      <w:rFonts w:hint="eastAsia"/>
                      <w:color w:val="auto"/>
                      <w:highlight w:val="none"/>
                      <w:u w:val="none" w:color="auto"/>
                      <w:lang w:val="en-US" w:eastAsia="zh-CN"/>
                    </w:rPr>
                    <w:t>采用集装箱，</w:t>
                  </w:r>
                  <w:r>
                    <w:rPr>
                      <w:rFonts w:hint="default" w:ascii="Times New Roman" w:hAnsi="Times New Roman" w:eastAsia="宋体" w:cs="Times New Roman"/>
                      <w:color w:val="auto"/>
                      <w:highlight w:val="none"/>
                      <w:u w:val="none" w:color="auto"/>
                      <w:lang w:val="en-US" w:eastAsia="zh-CN"/>
                    </w:rPr>
                    <w:t>面积为</w:t>
                  </w:r>
                  <w:r>
                    <w:rPr>
                      <w:rFonts w:hint="eastAsia" w:cs="Times New Roman"/>
                      <w:color w:val="auto"/>
                      <w:highlight w:val="none"/>
                      <w:u w:val="none" w:color="auto"/>
                      <w:lang w:val="en-US" w:eastAsia="zh-CN"/>
                    </w:rPr>
                    <w:t>20</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eastAsia"/>
                      <w:color w:val="auto"/>
                      <w:highlight w:val="none"/>
                      <w:u w:val="none" w:color="auto"/>
                      <w:lang w:val="en-US" w:eastAsia="zh-CN"/>
                    </w:rPr>
                    <w:t>，位于</w:t>
                  </w:r>
                  <w:r>
                    <w:rPr>
                      <w:rFonts w:hint="default" w:ascii="Times New Roman" w:hAnsi="Times New Roman" w:eastAsia="宋体" w:cs="Times New Roman"/>
                      <w:color w:val="auto"/>
                      <w:highlight w:val="none"/>
                      <w:u w:val="none" w:color="auto"/>
                      <w:lang w:val="en-US" w:eastAsia="zh-CN"/>
                    </w:rPr>
                    <w:t>厂区</w:t>
                  </w:r>
                  <w:r>
                    <w:rPr>
                      <w:rFonts w:hint="eastAsia" w:cs="Times New Roman"/>
                      <w:color w:val="auto"/>
                      <w:highlight w:val="none"/>
                      <w:u w:val="none" w:color="auto"/>
                      <w:lang w:val="en-US" w:eastAsia="zh-CN"/>
                    </w:rPr>
                    <w:t>东南侧，人员办公</w:t>
                  </w:r>
                </w:p>
              </w:tc>
              <w:tc>
                <w:tcPr>
                  <w:tcW w:w="805" w:type="pct"/>
                  <w:vMerge w:val="continue"/>
                  <w:tcBorders>
                    <w:tl2br w:val="nil"/>
                    <w:tr2bl w:val="nil"/>
                  </w:tcBorders>
                  <w:shd w:val="clear" w:color="auto" w:fill="auto"/>
                  <w:noWrap w:val="0"/>
                  <w:vAlign w:val="center"/>
                </w:tcPr>
                <w:p w14:paraId="05216859">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p>
              </w:tc>
            </w:tr>
            <w:tr w14:paraId="557C5C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497" w:type="pct"/>
                  <w:vMerge w:val="restart"/>
                  <w:tcBorders>
                    <w:tl2br w:val="nil"/>
                    <w:tr2bl w:val="nil"/>
                  </w:tcBorders>
                  <w:noWrap w:val="0"/>
                  <w:vAlign w:val="center"/>
                </w:tcPr>
                <w:p w14:paraId="48D56D2A">
                  <w:pPr>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储运工程</w:t>
                  </w:r>
                </w:p>
              </w:tc>
              <w:tc>
                <w:tcPr>
                  <w:tcW w:w="840" w:type="pct"/>
                  <w:gridSpan w:val="2"/>
                  <w:tcBorders>
                    <w:tl2br w:val="nil"/>
                    <w:tr2bl w:val="nil"/>
                  </w:tcBorders>
                  <w:noWrap w:val="0"/>
                  <w:vAlign w:val="center"/>
                </w:tcPr>
                <w:p w14:paraId="433CECDB">
                  <w:pPr>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原材料堆场</w:t>
                  </w:r>
                </w:p>
              </w:tc>
              <w:tc>
                <w:tcPr>
                  <w:tcW w:w="1392" w:type="pct"/>
                  <w:tcBorders>
                    <w:right w:val="single" w:color="auto" w:sz="4" w:space="0"/>
                    <w:tl2br w:val="nil"/>
                    <w:tr2bl w:val="nil"/>
                  </w:tcBorders>
                  <w:noWrap w:val="0"/>
                  <w:vAlign w:val="top"/>
                </w:tcPr>
                <w:p w14:paraId="1C84216D">
                  <w:pPr>
                    <w:bidi w:val="0"/>
                    <w:jc w:val="center"/>
                    <w:rPr>
                      <w:rFonts w:hint="default" w:ascii="Times New Roman" w:hAnsi="Times New Roman" w:cs="Times New Roman"/>
                      <w:color w:val="auto"/>
                      <w:highlight w:val="none"/>
                      <w:u w:val="none" w:color="auto"/>
                      <w:lang w:val="en-US" w:eastAsia="zh-CN"/>
                    </w:rPr>
                  </w:pPr>
                  <w:r>
                    <w:rPr>
                      <w:rFonts w:hint="eastAsia"/>
                      <w:color w:val="auto"/>
                      <w:highlight w:val="none"/>
                      <w:u w:val="none" w:color="auto"/>
                      <w:lang w:val="en-US" w:eastAsia="zh-CN"/>
                    </w:rPr>
                    <w:t>1</w:t>
                  </w:r>
                  <w:r>
                    <w:rPr>
                      <w:rFonts w:hint="eastAsia" w:eastAsia="宋体"/>
                      <w:color w:val="auto"/>
                      <w:highlight w:val="none"/>
                      <w:u w:val="none" w:color="auto"/>
                      <w:lang w:val="en-US" w:eastAsia="zh-CN"/>
                    </w:rPr>
                    <w:t>F，</w:t>
                  </w:r>
                  <w:r>
                    <w:rPr>
                      <w:rFonts w:hint="default" w:ascii="Times New Roman" w:hAnsi="Times New Roman" w:cs="Times New Roman"/>
                      <w:color w:val="auto"/>
                      <w:highlight w:val="none"/>
                      <w:u w:val="none" w:color="auto"/>
                      <w:lang w:val="en-US" w:eastAsia="zh-CN"/>
                    </w:rPr>
                    <w:t>建筑</w:t>
                  </w:r>
                  <w:r>
                    <w:rPr>
                      <w:rFonts w:hint="default" w:ascii="Times New Roman" w:hAnsi="Times New Roman" w:eastAsia="宋体" w:cs="Times New Roman"/>
                      <w:color w:val="auto"/>
                      <w:highlight w:val="none"/>
                      <w:u w:val="none" w:color="auto"/>
                      <w:lang w:val="en-US" w:eastAsia="zh-CN"/>
                    </w:rPr>
                    <w:t>面积为</w:t>
                  </w:r>
                  <w:r>
                    <w:rPr>
                      <w:rFonts w:hint="eastAsia" w:cs="Times New Roman"/>
                      <w:color w:val="auto"/>
                      <w:highlight w:val="none"/>
                      <w:u w:val="none" w:color="auto"/>
                      <w:lang w:val="en-US" w:eastAsia="zh-CN"/>
                    </w:rPr>
                    <w:t>525</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，位于厂区</w:t>
                  </w:r>
                  <w:r>
                    <w:rPr>
                      <w:rFonts w:hint="eastAsia" w:cs="Times New Roman"/>
                      <w:color w:val="auto"/>
                      <w:highlight w:val="none"/>
                      <w:u w:val="none" w:color="auto"/>
                      <w:lang w:val="en-US" w:eastAsia="zh-CN"/>
                    </w:rPr>
                    <w:t>西</w:t>
                  </w:r>
                  <w:r>
                    <w:rPr>
                      <w:rFonts w:hint="default" w:ascii="Times New Roman" w:hAnsi="Times New Roman" w:cs="Times New Roman"/>
                      <w:color w:val="auto"/>
                      <w:highlight w:val="none"/>
                      <w:u w:val="none" w:color="auto"/>
                      <w:lang w:val="en-US" w:eastAsia="zh-CN"/>
                    </w:rPr>
                    <w:t>侧</w:t>
                  </w:r>
                  <w:r>
                    <w:rPr>
                      <w:rFonts w:hint="eastAsia" w:cs="Times New Roman"/>
                      <w:color w:val="auto"/>
                      <w:highlight w:val="none"/>
                      <w:u w:val="none" w:color="auto"/>
                      <w:lang w:val="en-US" w:eastAsia="zh-CN"/>
                    </w:rPr>
                    <w:t>，主要用于堆放原材料</w:t>
                  </w:r>
                </w:p>
              </w:tc>
              <w:tc>
                <w:tcPr>
                  <w:tcW w:w="1465" w:type="pct"/>
                  <w:tcBorders>
                    <w:left w:val="single" w:color="auto" w:sz="4" w:space="0"/>
                    <w:tl2br w:val="nil"/>
                    <w:tr2bl w:val="nil"/>
                  </w:tcBorders>
                  <w:noWrap w:val="0"/>
                  <w:vAlign w:val="top"/>
                </w:tcPr>
                <w:p w14:paraId="18EB30C5">
                  <w:pPr>
                    <w:bidi w:val="0"/>
                    <w:jc w:val="center"/>
                    <w:rPr>
                      <w:rFonts w:hint="eastAsia"/>
                      <w:color w:val="auto"/>
                      <w:highlight w:val="none"/>
                      <w:u w:val="none" w:color="auto"/>
                      <w:lang w:val="en-US" w:eastAsia="zh-CN"/>
                    </w:rPr>
                  </w:pPr>
                  <w:r>
                    <w:rPr>
                      <w:rFonts w:hint="eastAsia"/>
                      <w:color w:val="auto"/>
                      <w:highlight w:val="none"/>
                      <w:u w:val="none" w:color="auto"/>
                      <w:lang w:val="en-US" w:eastAsia="zh-CN"/>
                    </w:rPr>
                    <w:t>1</w:t>
                  </w:r>
                  <w:r>
                    <w:rPr>
                      <w:rFonts w:hint="eastAsia" w:eastAsia="宋体"/>
                      <w:color w:val="auto"/>
                      <w:highlight w:val="none"/>
                      <w:u w:val="none" w:color="auto"/>
                      <w:lang w:val="en-US" w:eastAsia="zh-CN"/>
                    </w:rPr>
                    <w:t>F，</w:t>
                  </w:r>
                  <w:r>
                    <w:rPr>
                      <w:rFonts w:hint="default" w:ascii="Times New Roman" w:hAnsi="Times New Roman" w:cs="Times New Roman"/>
                      <w:color w:val="auto"/>
                      <w:highlight w:val="none"/>
                      <w:u w:val="none" w:color="auto"/>
                      <w:lang w:val="en-US" w:eastAsia="zh-CN"/>
                    </w:rPr>
                    <w:t>建筑</w:t>
                  </w:r>
                  <w:r>
                    <w:rPr>
                      <w:rFonts w:hint="default" w:ascii="Times New Roman" w:hAnsi="Times New Roman" w:eastAsia="宋体" w:cs="Times New Roman"/>
                      <w:color w:val="auto"/>
                      <w:highlight w:val="none"/>
                      <w:u w:val="none" w:color="auto"/>
                      <w:lang w:val="en-US" w:eastAsia="zh-CN"/>
                    </w:rPr>
                    <w:t>面积为</w:t>
                  </w:r>
                  <w:r>
                    <w:rPr>
                      <w:rFonts w:hint="eastAsia" w:cs="Times New Roman"/>
                      <w:color w:val="auto"/>
                      <w:highlight w:val="none"/>
                      <w:u w:val="none" w:color="auto"/>
                      <w:lang w:val="en-US" w:eastAsia="zh-CN"/>
                    </w:rPr>
                    <w:t>520</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，位于厂区</w:t>
                  </w:r>
                  <w:r>
                    <w:rPr>
                      <w:rFonts w:hint="eastAsia" w:cs="Times New Roman"/>
                      <w:color w:val="auto"/>
                      <w:highlight w:val="none"/>
                      <w:u w:val="none" w:color="auto"/>
                      <w:lang w:val="en-US" w:eastAsia="zh-CN"/>
                    </w:rPr>
                    <w:t>西</w:t>
                  </w:r>
                  <w:r>
                    <w:rPr>
                      <w:rFonts w:hint="default" w:ascii="Times New Roman" w:hAnsi="Times New Roman" w:cs="Times New Roman"/>
                      <w:color w:val="auto"/>
                      <w:highlight w:val="none"/>
                      <w:u w:val="none" w:color="auto"/>
                      <w:lang w:val="en-US" w:eastAsia="zh-CN"/>
                    </w:rPr>
                    <w:t>侧</w:t>
                  </w:r>
                  <w:r>
                    <w:rPr>
                      <w:rFonts w:hint="eastAsia" w:cs="Times New Roman"/>
                      <w:color w:val="auto"/>
                      <w:highlight w:val="none"/>
                      <w:u w:val="none" w:color="auto"/>
                      <w:lang w:val="en-US" w:eastAsia="zh-CN"/>
                    </w:rPr>
                    <w:t>，主要用于堆放原材料</w:t>
                  </w:r>
                </w:p>
              </w:tc>
              <w:tc>
                <w:tcPr>
                  <w:tcW w:w="805" w:type="pct"/>
                  <w:vMerge w:val="continue"/>
                  <w:tcBorders>
                    <w:tl2br w:val="nil"/>
                    <w:tr2bl w:val="nil"/>
                  </w:tcBorders>
                  <w:shd w:val="clear" w:color="auto" w:fill="auto"/>
                  <w:noWrap w:val="0"/>
                  <w:vAlign w:val="top"/>
                </w:tcPr>
                <w:p w14:paraId="2AC643D7">
                  <w:pPr>
                    <w:keepNext w:val="0"/>
                    <w:keepLines w:val="0"/>
                    <w:widowControl/>
                    <w:suppressLineNumbers w:val="0"/>
                    <w:jc w:val="center"/>
                    <w:rPr>
                      <w:rFonts w:hint="eastAsia" w:cs="Times New Roman"/>
                      <w:color w:val="auto"/>
                      <w:highlight w:val="none"/>
                      <w:u w:val="none" w:color="auto"/>
                      <w:lang w:val="en-US" w:eastAsia="zh-CN"/>
                    </w:rPr>
                  </w:pPr>
                </w:p>
              </w:tc>
            </w:tr>
            <w:tr w14:paraId="6D4D4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497" w:type="pct"/>
                  <w:vMerge w:val="continue"/>
                  <w:tcBorders>
                    <w:tl2br w:val="nil"/>
                    <w:tr2bl w:val="nil"/>
                  </w:tcBorders>
                  <w:noWrap w:val="0"/>
                  <w:vAlign w:val="center"/>
                </w:tcPr>
                <w:p w14:paraId="5E91E4C7">
                  <w:pPr>
                    <w:bidi w:val="0"/>
                    <w:jc w:val="center"/>
                    <w:rPr>
                      <w:rFonts w:hint="default" w:ascii="Times New Roman" w:hAnsi="Times New Roman" w:cs="Times New Roman"/>
                      <w:color w:val="auto"/>
                      <w:highlight w:val="none"/>
                      <w:u w:val="none" w:color="auto"/>
                      <w:lang w:val="en-US" w:eastAsia="zh-CN"/>
                    </w:rPr>
                  </w:pPr>
                </w:p>
              </w:tc>
              <w:tc>
                <w:tcPr>
                  <w:tcW w:w="840" w:type="pct"/>
                  <w:gridSpan w:val="2"/>
                  <w:tcBorders>
                    <w:tl2br w:val="nil"/>
                    <w:tr2bl w:val="nil"/>
                  </w:tcBorders>
                  <w:noWrap w:val="0"/>
                  <w:vAlign w:val="center"/>
                </w:tcPr>
                <w:p w14:paraId="3289C687">
                  <w:pPr>
                    <w:bidi w:val="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成品堆放区</w:t>
                  </w:r>
                </w:p>
              </w:tc>
              <w:tc>
                <w:tcPr>
                  <w:tcW w:w="1392" w:type="pct"/>
                  <w:tcBorders>
                    <w:right w:val="single" w:color="auto" w:sz="4" w:space="0"/>
                    <w:tl2br w:val="nil"/>
                    <w:tr2bl w:val="nil"/>
                  </w:tcBorders>
                  <w:noWrap w:val="0"/>
                  <w:vAlign w:val="top"/>
                </w:tcPr>
                <w:p w14:paraId="4889155D">
                  <w:pPr>
                    <w:bidi w:val="0"/>
                    <w:jc w:val="center"/>
                    <w:rPr>
                      <w:rFonts w:hint="default"/>
                      <w:color w:val="auto"/>
                      <w:highlight w:val="none"/>
                      <w:u w:val="none" w:color="auto"/>
                      <w:lang w:val="en-US" w:eastAsia="zh-CN"/>
                    </w:rPr>
                  </w:pPr>
                  <w:r>
                    <w:rPr>
                      <w:rFonts w:hint="eastAsia"/>
                      <w:color w:val="auto"/>
                      <w:highlight w:val="none"/>
                      <w:u w:val="none" w:color="auto"/>
                      <w:lang w:val="en-US" w:eastAsia="zh-CN"/>
                    </w:rPr>
                    <w:t>1F，</w:t>
                  </w:r>
                  <w:r>
                    <w:rPr>
                      <w:rFonts w:hint="default" w:ascii="Times New Roman" w:hAnsi="Times New Roman" w:cs="Times New Roman"/>
                      <w:color w:val="auto"/>
                      <w:highlight w:val="none"/>
                      <w:u w:val="none" w:color="auto"/>
                      <w:lang w:val="en-US" w:eastAsia="zh-CN"/>
                    </w:rPr>
                    <w:t>建筑</w:t>
                  </w:r>
                  <w:r>
                    <w:rPr>
                      <w:rFonts w:hint="default" w:ascii="Times New Roman" w:hAnsi="Times New Roman" w:eastAsia="宋体" w:cs="Times New Roman"/>
                      <w:color w:val="auto"/>
                      <w:highlight w:val="none"/>
                      <w:u w:val="none" w:color="auto"/>
                      <w:lang w:val="en-US" w:eastAsia="zh-CN"/>
                    </w:rPr>
                    <w:t>面积为</w:t>
                  </w:r>
                  <w:r>
                    <w:rPr>
                      <w:rFonts w:hint="eastAsia" w:cs="Times New Roman"/>
                      <w:color w:val="auto"/>
                      <w:highlight w:val="none"/>
                      <w:u w:val="none" w:color="auto"/>
                      <w:lang w:val="en-US" w:eastAsia="zh-CN"/>
                    </w:rPr>
                    <w:t>525</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，位于厂区</w:t>
                  </w:r>
                  <w:r>
                    <w:rPr>
                      <w:rFonts w:hint="eastAsia" w:cs="Times New Roman"/>
                      <w:color w:val="auto"/>
                      <w:highlight w:val="none"/>
                      <w:u w:val="none" w:color="auto"/>
                      <w:lang w:val="en-US" w:eastAsia="zh-CN"/>
                    </w:rPr>
                    <w:t>北</w:t>
                  </w:r>
                  <w:r>
                    <w:rPr>
                      <w:rFonts w:hint="default" w:ascii="Times New Roman" w:hAnsi="Times New Roman" w:cs="Times New Roman"/>
                      <w:color w:val="auto"/>
                      <w:highlight w:val="none"/>
                      <w:u w:val="none" w:color="auto"/>
                      <w:lang w:val="en-US" w:eastAsia="zh-CN"/>
                    </w:rPr>
                    <w:t>侧</w:t>
                  </w:r>
                  <w:r>
                    <w:rPr>
                      <w:rFonts w:hint="eastAsia" w:ascii="Times New Roman" w:hAnsi="Times New Roman" w:cs="Times New Roman"/>
                      <w:color w:val="auto"/>
                      <w:highlight w:val="none"/>
                      <w:u w:val="none" w:color="auto"/>
                      <w:lang w:val="en-US" w:eastAsia="zh-CN"/>
                    </w:rPr>
                    <w:t>，</w:t>
                  </w:r>
                  <w:r>
                    <w:rPr>
                      <w:rFonts w:hint="eastAsia" w:cs="Times New Roman"/>
                      <w:color w:val="auto"/>
                      <w:highlight w:val="none"/>
                      <w:u w:val="none" w:color="auto"/>
                      <w:lang w:val="en-US" w:eastAsia="zh-CN"/>
                    </w:rPr>
                    <w:t>用于堆放成品</w:t>
                  </w:r>
                </w:p>
              </w:tc>
              <w:tc>
                <w:tcPr>
                  <w:tcW w:w="1465" w:type="pct"/>
                  <w:tcBorders>
                    <w:left w:val="single" w:color="auto" w:sz="4" w:space="0"/>
                    <w:tl2br w:val="nil"/>
                    <w:tr2bl w:val="nil"/>
                  </w:tcBorders>
                  <w:noWrap w:val="0"/>
                  <w:vAlign w:val="center"/>
                </w:tcPr>
                <w:p w14:paraId="7E515B2B">
                  <w:pPr>
                    <w:keepNext w:val="0"/>
                    <w:keepLines w:val="0"/>
                    <w:widowControl/>
                    <w:suppressLineNumbers w:val="0"/>
                    <w:jc w:val="center"/>
                    <w:rPr>
                      <w:rFonts w:hint="eastAsia"/>
                      <w:color w:val="auto"/>
                      <w:highlight w:val="none"/>
                      <w:u w:val="none" w:color="auto"/>
                      <w:lang w:val="en-US" w:eastAsia="zh-CN"/>
                    </w:rPr>
                  </w:pPr>
                  <w:r>
                    <w:rPr>
                      <w:rFonts w:hint="eastAsia"/>
                      <w:color w:val="auto"/>
                      <w:highlight w:val="none"/>
                      <w:u w:val="none" w:color="auto"/>
                      <w:lang w:val="en-US" w:eastAsia="zh-CN"/>
                    </w:rPr>
                    <w:t>1F，</w:t>
                  </w:r>
                  <w:r>
                    <w:rPr>
                      <w:rFonts w:hint="default" w:ascii="Times New Roman" w:hAnsi="Times New Roman" w:cs="Times New Roman"/>
                      <w:color w:val="auto"/>
                      <w:highlight w:val="none"/>
                      <w:u w:val="none" w:color="auto"/>
                      <w:lang w:val="en-US" w:eastAsia="zh-CN"/>
                    </w:rPr>
                    <w:t>建筑</w:t>
                  </w:r>
                  <w:r>
                    <w:rPr>
                      <w:rFonts w:hint="default" w:ascii="Times New Roman" w:hAnsi="Times New Roman" w:eastAsia="宋体" w:cs="Times New Roman"/>
                      <w:color w:val="auto"/>
                      <w:highlight w:val="none"/>
                      <w:u w:val="none" w:color="auto"/>
                      <w:lang w:val="en-US" w:eastAsia="zh-CN"/>
                    </w:rPr>
                    <w:t>面积为</w:t>
                  </w:r>
                  <w:r>
                    <w:rPr>
                      <w:rFonts w:hint="eastAsia" w:cs="Times New Roman"/>
                      <w:color w:val="auto"/>
                      <w:highlight w:val="none"/>
                      <w:u w:val="none" w:color="auto"/>
                      <w:lang w:val="en-US" w:eastAsia="zh-CN"/>
                    </w:rPr>
                    <w:t>500</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，位于厂区</w:t>
                  </w:r>
                  <w:r>
                    <w:rPr>
                      <w:rFonts w:hint="eastAsia" w:cs="Times New Roman"/>
                      <w:color w:val="auto"/>
                      <w:highlight w:val="none"/>
                      <w:u w:val="none" w:color="auto"/>
                      <w:lang w:val="en-US" w:eastAsia="zh-CN"/>
                    </w:rPr>
                    <w:t>西</w:t>
                  </w:r>
                  <w:r>
                    <w:rPr>
                      <w:rFonts w:hint="default" w:ascii="Times New Roman" w:hAnsi="Times New Roman" w:cs="Times New Roman"/>
                      <w:color w:val="auto"/>
                      <w:highlight w:val="none"/>
                      <w:u w:val="none" w:color="auto"/>
                      <w:lang w:val="en-US" w:eastAsia="zh-CN"/>
                    </w:rPr>
                    <w:t>侧</w:t>
                  </w:r>
                  <w:r>
                    <w:rPr>
                      <w:rFonts w:hint="eastAsia" w:ascii="Times New Roman" w:hAnsi="Times New Roman" w:cs="Times New Roman"/>
                      <w:color w:val="auto"/>
                      <w:highlight w:val="none"/>
                      <w:u w:val="none" w:color="auto"/>
                      <w:lang w:val="en-US" w:eastAsia="zh-CN"/>
                    </w:rPr>
                    <w:t>，</w:t>
                  </w:r>
                  <w:r>
                    <w:rPr>
                      <w:rFonts w:hint="eastAsia" w:cs="Times New Roman"/>
                      <w:color w:val="auto"/>
                      <w:highlight w:val="none"/>
                      <w:u w:val="none" w:color="auto"/>
                      <w:lang w:val="en-US" w:eastAsia="zh-CN"/>
                    </w:rPr>
                    <w:t>用于堆放成品</w:t>
                  </w:r>
                </w:p>
              </w:tc>
              <w:tc>
                <w:tcPr>
                  <w:tcW w:w="805" w:type="pct"/>
                  <w:vMerge w:val="continue"/>
                  <w:tcBorders>
                    <w:tl2br w:val="nil"/>
                    <w:tr2bl w:val="nil"/>
                  </w:tcBorders>
                  <w:shd w:val="clear" w:color="auto" w:fill="auto"/>
                  <w:noWrap w:val="0"/>
                  <w:vAlign w:val="top"/>
                </w:tcPr>
                <w:p w14:paraId="3CD24105">
                  <w:pPr>
                    <w:bidi w:val="0"/>
                    <w:jc w:val="center"/>
                    <w:rPr>
                      <w:rFonts w:hint="eastAsia" w:ascii="Times New Roman" w:hAnsi="Times New Roman" w:eastAsia="宋体" w:cs="Times New Roman"/>
                      <w:color w:val="auto"/>
                      <w:kern w:val="2"/>
                      <w:sz w:val="21"/>
                      <w:szCs w:val="24"/>
                      <w:highlight w:val="none"/>
                      <w:u w:val="none" w:color="auto"/>
                      <w:lang w:val="en-US" w:eastAsia="zh-CN" w:bidi="ar-SA"/>
                    </w:rPr>
                  </w:pPr>
                </w:p>
              </w:tc>
            </w:tr>
            <w:tr w14:paraId="1A46D4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497" w:type="pct"/>
                  <w:vMerge w:val="restart"/>
                  <w:tcBorders>
                    <w:tl2br w:val="nil"/>
                    <w:tr2bl w:val="nil"/>
                  </w:tcBorders>
                  <w:noWrap w:val="0"/>
                  <w:vAlign w:val="center"/>
                </w:tcPr>
                <w:p w14:paraId="27B81351">
                  <w:pPr>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公用工程</w:t>
                  </w:r>
                </w:p>
              </w:tc>
              <w:tc>
                <w:tcPr>
                  <w:tcW w:w="840" w:type="pct"/>
                  <w:gridSpan w:val="2"/>
                  <w:tcBorders>
                    <w:tl2br w:val="nil"/>
                    <w:tr2bl w:val="nil"/>
                  </w:tcBorders>
                  <w:shd w:val="clear" w:color="auto" w:fill="auto"/>
                  <w:noWrap w:val="0"/>
                  <w:vAlign w:val="center"/>
                </w:tcPr>
                <w:p w14:paraId="1CC546C5">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供电</w:t>
                  </w:r>
                </w:p>
              </w:tc>
              <w:tc>
                <w:tcPr>
                  <w:tcW w:w="1392" w:type="pct"/>
                  <w:tcBorders>
                    <w:right w:val="single" w:color="auto" w:sz="4" w:space="0"/>
                    <w:tl2br w:val="nil"/>
                    <w:tr2bl w:val="nil"/>
                  </w:tcBorders>
                  <w:shd w:val="clear" w:color="auto" w:fill="auto"/>
                  <w:noWrap w:val="0"/>
                  <w:vAlign w:val="center"/>
                </w:tcPr>
                <w:p w14:paraId="297B6FF8">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eastAsia="宋体"/>
                      <w:color w:val="auto"/>
                      <w:highlight w:val="none"/>
                      <w:u w:val="none" w:color="auto"/>
                      <w:lang w:val="en-US" w:eastAsia="zh-CN"/>
                    </w:rPr>
                    <w:t>市政</w:t>
                  </w:r>
                  <w:r>
                    <w:rPr>
                      <w:rFonts w:hint="eastAsia" w:eastAsia="宋体"/>
                      <w:color w:val="auto"/>
                      <w:highlight w:val="none"/>
                      <w:u w:val="none" w:color="auto"/>
                      <w:lang w:val="en-US" w:eastAsia="zh-CN"/>
                    </w:rPr>
                    <w:t>电网</w:t>
                  </w:r>
                </w:p>
              </w:tc>
              <w:tc>
                <w:tcPr>
                  <w:tcW w:w="1465" w:type="pct"/>
                  <w:tcBorders>
                    <w:left w:val="single" w:color="auto" w:sz="4" w:space="0"/>
                    <w:tl2br w:val="nil"/>
                    <w:tr2bl w:val="nil"/>
                  </w:tcBorders>
                  <w:shd w:val="clear" w:color="auto" w:fill="auto"/>
                  <w:noWrap w:val="0"/>
                  <w:vAlign w:val="center"/>
                </w:tcPr>
                <w:p w14:paraId="670CE4F2">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eastAsia="宋体"/>
                      <w:color w:val="auto"/>
                      <w:highlight w:val="none"/>
                      <w:u w:val="none" w:color="auto"/>
                      <w:lang w:val="en-US" w:eastAsia="zh-CN"/>
                    </w:rPr>
                    <w:t>市政</w:t>
                  </w:r>
                  <w:r>
                    <w:rPr>
                      <w:rFonts w:hint="eastAsia" w:eastAsia="宋体"/>
                      <w:color w:val="auto"/>
                      <w:highlight w:val="none"/>
                      <w:u w:val="none" w:color="auto"/>
                      <w:lang w:val="en-US" w:eastAsia="zh-CN"/>
                    </w:rPr>
                    <w:t>电网</w:t>
                  </w:r>
                </w:p>
              </w:tc>
              <w:tc>
                <w:tcPr>
                  <w:tcW w:w="805" w:type="pct"/>
                  <w:vMerge w:val="restart"/>
                  <w:tcBorders>
                    <w:tl2br w:val="nil"/>
                    <w:tr2bl w:val="nil"/>
                  </w:tcBorders>
                  <w:shd w:val="clear" w:color="auto" w:fill="auto"/>
                  <w:noWrap w:val="0"/>
                  <w:vAlign w:val="center"/>
                </w:tcPr>
                <w:p w14:paraId="2AAD47BB">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变动前后供水、供电及排水方式不变</w:t>
                  </w:r>
                </w:p>
              </w:tc>
            </w:tr>
            <w:tr w14:paraId="6917A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497" w:type="pct"/>
                  <w:vMerge w:val="continue"/>
                  <w:tcBorders>
                    <w:tl2br w:val="nil"/>
                    <w:tr2bl w:val="nil"/>
                  </w:tcBorders>
                  <w:noWrap w:val="0"/>
                  <w:vAlign w:val="top"/>
                </w:tcPr>
                <w:p w14:paraId="192F2424">
                  <w:pPr>
                    <w:bidi w:val="0"/>
                    <w:jc w:val="left"/>
                    <w:rPr>
                      <w:rFonts w:hint="default" w:ascii="Times New Roman" w:hAnsi="Times New Roman" w:cs="Times New Roman"/>
                      <w:color w:val="auto"/>
                      <w:highlight w:val="none"/>
                      <w:u w:val="none" w:color="auto"/>
                      <w:lang w:val="en-US" w:eastAsia="zh-CN"/>
                    </w:rPr>
                  </w:pPr>
                </w:p>
              </w:tc>
              <w:tc>
                <w:tcPr>
                  <w:tcW w:w="840" w:type="pct"/>
                  <w:gridSpan w:val="2"/>
                  <w:tcBorders>
                    <w:tl2br w:val="nil"/>
                    <w:tr2bl w:val="nil"/>
                  </w:tcBorders>
                  <w:shd w:val="clear" w:color="auto" w:fill="auto"/>
                  <w:noWrap w:val="0"/>
                  <w:vAlign w:val="center"/>
                </w:tcPr>
                <w:p w14:paraId="4B2F54AF">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供水</w:t>
                  </w:r>
                </w:p>
              </w:tc>
              <w:tc>
                <w:tcPr>
                  <w:tcW w:w="1392" w:type="pct"/>
                  <w:tcBorders>
                    <w:right w:val="single" w:color="auto" w:sz="4" w:space="0"/>
                    <w:tl2br w:val="nil"/>
                    <w:tr2bl w:val="nil"/>
                  </w:tcBorders>
                  <w:shd w:val="clear" w:color="auto" w:fill="auto"/>
                  <w:noWrap w:val="0"/>
                  <w:vAlign w:val="center"/>
                </w:tcPr>
                <w:p w14:paraId="04B0E6CC">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eastAsia="宋体"/>
                      <w:color w:val="auto"/>
                      <w:highlight w:val="none"/>
                      <w:u w:val="none" w:color="auto"/>
                      <w:lang w:val="en-US" w:eastAsia="zh-CN"/>
                    </w:rPr>
                    <w:t>市政供水</w:t>
                  </w:r>
                </w:p>
              </w:tc>
              <w:tc>
                <w:tcPr>
                  <w:tcW w:w="1465" w:type="pct"/>
                  <w:tcBorders>
                    <w:left w:val="single" w:color="auto" w:sz="4" w:space="0"/>
                    <w:tl2br w:val="nil"/>
                    <w:tr2bl w:val="nil"/>
                  </w:tcBorders>
                  <w:shd w:val="clear" w:color="auto" w:fill="auto"/>
                  <w:noWrap w:val="0"/>
                  <w:vAlign w:val="center"/>
                </w:tcPr>
                <w:p w14:paraId="340CC1D7">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eastAsia="宋体"/>
                      <w:color w:val="auto"/>
                      <w:highlight w:val="none"/>
                      <w:u w:val="none" w:color="auto"/>
                      <w:lang w:val="en-US" w:eastAsia="zh-CN"/>
                    </w:rPr>
                    <w:t>市政供水</w:t>
                  </w:r>
                </w:p>
              </w:tc>
              <w:tc>
                <w:tcPr>
                  <w:tcW w:w="805" w:type="pct"/>
                  <w:vMerge w:val="continue"/>
                  <w:tcBorders>
                    <w:tl2br w:val="nil"/>
                    <w:tr2bl w:val="nil"/>
                  </w:tcBorders>
                  <w:shd w:val="clear" w:color="auto" w:fill="auto"/>
                  <w:noWrap w:val="0"/>
                  <w:vAlign w:val="center"/>
                </w:tcPr>
                <w:p w14:paraId="6E55841C">
                  <w:pPr>
                    <w:bidi w:val="0"/>
                    <w:jc w:val="center"/>
                    <w:rPr>
                      <w:rFonts w:hint="default" w:ascii="Times New Roman" w:hAnsi="Times New Roman" w:eastAsia="宋体" w:cs="Times New Roman"/>
                      <w:color w:val="auto"/>
                      <w:highlight w:val="none"/>
                      <w:u w:val="none" w:color="auto"/>
                      <w:lang w:val="en-US" w:eastAsia="zh-CN"/>
                    </w:rPr>
                  </w:pPr>
                </w:p>
              </w:tc>
            </w:tr>
            <w:tr w14:paraId="39B8E3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497" w:type="pct"/>
                  <w:vMerge w:val="continue"/>
                  <w:tcBorders>
                    <w:tl2br w:val="nil"/>
                    <w:tr2bl w:val="nil"/>
                  </w:tcBorders>
                  <w:noWrap w:val="0"/>
                  <w:vAlign w:val="top"/>
                </w:tcPr>
                <w:p w14:paraId="1D6ED472">
                  <w:pPr>
                    <w:bidi w:val="0"/>
                    <w:jc w:val="left"/>
                    <w:rPr>
                      <w:rFonts w:hint="default" w:ascii="Times New Roman" w:hAnsi="Times New Roman" w:cs="Times New Roman"/>
                      <w:color w:val="auto"/>
                      <w:highlight w:val="none"/>
                      <w:u w:val="none" w:color="auto"/>
                      <w:lang w:val="en-US" w:eastAsia="zh-CN"/>
                    </w:rPr>
                  </w:pPr>
                </w:p>
              </w:tc>
              <w:tc>
                <w:tcPr>
                  <w:tcW w:w="840" w:type="pct"/>
                  <w:gridSpan w:val="2"/>
                  <w:tcBorders>
                    <w:tl2br w:val="nil"/>
                    <w:tr2bl w:val="nil"/>
                  </w:tcBorders>
                  <w:shd w:val="clear" w:color="auto" w:fill="auto"/>
                  <w:noWrap w:val="0"/>
                  <w:vAlign w:val="center"/>
                </w:tcPr>
                <w:p w14:paraId="5D3C842C">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排水</w:t>
                  </w:r>
                </w:p>
              </w:tc>
              <w:tc>
                <w:tcPr>
                  <w:tcW w:w="1392" w:type="pct"/>
                  <w:tcBorders>
                    <w:right w:val="single" w:color="auto" w:sz="4" w:space="0"/>
                    <w:tl2br w:val="nil"/>
                    <w:tr2bl w:val="nil"/>
                  </w:tcBorders>
                  <w:shd w:val="clear" w:color="auto" w:fill="auto"/>
                  <w:noWrap w:val="0"/>
                  <w:vAlign w:val="center"/>
                </w:tcPr>
                <w:p w14:paraId="25C5C29E">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eastAsia="宋体"/>
                      <w:color w:val="auto"/>
                      <w:highlight w:val="none"/>
                      <w:u w:val="none" w:color="auto"/>
                      <w:lang w:val="en-US" w:eastAsia="zh-CN"/>
                    </w:rPr>
                    <w:t>项目实行雨污分流制</w:t>
                  </w:r>
                </w:p>
              </w:tc>
              <w:tc>
                <w:tcPr>
                  <w:tcW w:w="1465" w:type="pct"/>
                  <w:tcBorders>
                    <w:left w:val="single" w:color="auto" w:sz="4" w:space="0"/>
                    <w:tl2br w:val="nil"/>
                    <w:tr2bl w:val="nil"/>
                  </w:tcBorders>
                  <w:shd w:val="clear" w:color="auto" w:fill="auto"/>
                  <w:noWrap w:val="0"/>
                  <w:vAlign w:val="center"/>
                </w:tcPr>
                <w:p w14:paraId="27828D91">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eastAsia="宋体"/>
                      <w:color w:val="auto"/>
                      <w:highlight w:val="none"/>
                      <w:u w:val="none" w:color="auto"/>
                      <w:lang w:val="en-US" w:eastAsia="zh-CN"/>
                    </w:rPr>
                    <w:t>项目实行雨污分流制</w:t>
                  </w:r>
                </w:p>
              </w:tc>
              <w:tc>
                <w:tcPr>
                  <w:tcW w:w="805" w:type="pct"/>
                  <w:vMerge w:val="continue"/>
                  <w:tcBorders>
                    <w:bottom w:val="single" w:color="auto" w:sz="4" w:space="0"/>
                    <w:tl2br w:val="nil"/>
                    <w:tr2bl w:val="nil"/>
                  </w:tcBorders>
                  <w:shd w:val="clear" w:color="auto" w:fill="auto"/>
                  <w:noWrap w:val="0"/>
                  <w:vAlign w:val="center"/>
                </w:tcPr>
                <w:p w14:paraId="7062295A">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p>
              </w:tc>
            </w:tr>
            <w:tr w14:paraId="101B15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6" w:hRule="atLeast"/>
              </w:trPr>
              <w:tc>
                <w:tcPr>
                  <w:tcW w:w="497" w:type="pct"/>
                  <w:vMerge w:val="restart"/>
                  <w:tcBorders>
                    <w:tl2br w:val="nil"/>
                    <w:tr2bl w:val="nil"/>
                  </w:tcBorders>
                  <w:noWrap w:val="0"/>
                  <w:vAlign w:val="center"/>
                </w:tcPr>
                <w:p w14:paraId="31C4B783">
                  <w:pPr>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环保工程</w:t>
                  </w:r>
                </w:p>
              </w:tc>
              <w:tc>
                <w:tcPr>
                  <w:tcW w:w="840" w:type="pct"/>
                  <w:gridSpan w:val="2"/>
                  <w:vMerge w:val="restart"/>
                  <w:tcBorders>
                    <w:tl2br w:val="nil"/>
                    <w:tr2bl w:val="nil"/>
                  </w:tcBorders>
                  <w:noWrap w:val="0"/>
                  <w:vAlign w:val="center"/>
                </w:tcPr>
                <w:p w14:paraId="7ABCE165">
                  <w:pPr>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lang w:val="en-US" w:eastAsia="zh-CN"/>
                    </w:rPr>
                    <w:t>废气治理</w:t>
                  </w:r>
                </w:p>
              </w:tc>
              <w:tc>
                <w:tcPr>
                  <w:tcW w:w="1392" w:type="pct"/>
                  <w:tcBorders>
                    <w:right w:val="single" w:color="auto" w:sz="4" w:space="0"/>
                    <w:tl2br w:val="nil"/>
                    <w:tr2bl w:val="nil"/>
                  </w:tcBorders>
                  <w:noWrap w:val="0"/>
                  <w:vAlign w:val="center"/>
                </w:tcPr>
                <w:p w14:paraId="0C9CE49C">
                  <w:pPr>
                    <w:bidi w:val="0"/>
                    <w:jc w:val="center"/>
                    <w:rPr>
                      <w:rFonts w:hint="eastAsia" w:cs="Times New Roman"/>
                      <w:color w:val="auto"/>
                      <w:highlight w:val="none"/>
                      <w:u w:val="none" w:color="auto"/>
                      <w:lang w:val="en-US" w:eastAsia="zh-CN"/>
                    </w:rPr>
                  </w:pPr>
                  <w:r>
                    <w:rPr>
                      <w:rFonts w:hint="eastAsia"/>
                      <w:color w:val="auto"/>
                      <w:highlight w:val="none"/>
                      <w:u w:val="none" w:color="auto"/>
                      <w:lang w:val="en-US" w:eastAsia="zh-CN"/>
                    </w:rPr>
                    <w:t>有组织：</w:t>
                  </w:r>
                  <w:r>
                    <w:rPr>
                      <w:rFonts w:hint="eastAsia"/>
                      <w:color w:val="auto"/>
                      <w:highlight w:val="none"/>
                      <w:u w:val="none" w:color="auto"/>
                    </w:rPr>
                    <w:t>焚烧炉废气经</w:t>
                  </w:r>
                  <w:r>
                    <w:rPr>
                      <w:rFonts w:hint="eastAsia"/>
                      <w:color w:val="auto"/>
                      <w:highlight w:val="none"/>
                      <w:u w:val="none" w:color="auto"/>
                      <w:lang w:val="en-US" w:eastAsia="zh-CN"/>
                    </w:rPr>
                    <w:t>高效高温布袋</w:t>
                  </w:r>
                  <w:r>
                    <w:rPr>
                      <w:rFonts w:hint="eastAsia"/>
                      <w:color w:val="auto"/>
                      <w:highlight w:val="none"/>
                      <w:u w:val="none" w:color="auto"/>
                    </w:rPr>
                    <w:t>除尘</w:t>
                  </w:r>
                  <w:r>
                    <w:rPr>
                      <w:rFonts w:hint="eastAsia"/>
                      <w:color w:val="auto"/>
                      <w:highlight w:val="none"/>
                      <w:u w:val="none" w:color="auto"/>
                      <w:lang w:val="en-US" w:eastAsia="zh-CN"/>
                    </w:rPr>
                    <w:t>装置</w:t>
                  </w:r>
                  <w:r>
                    <w:rPr>
                      <w:rFonts w:hint="eastAsia"/>
                      <w:color w:val="auto"/>
                      <w:highlight w:val="none"/>
                      <w:u w:val="none" w:color="auto"/>
                    </w:rPr>
                    <w:t>处理</w:t>
                  </w:r>
                  <w:r>
                    <w:rPr>
                      <w:rFonts w:hint="eastAsia"/>
                      <w:color w:val="auto"/>
                      <w:highlight w:val="none"/>
                      <w:u w:val="none" w:color="auto"/>
                      <w:lang w:val="en-US" w:eastAsia="zh-CN"/>
                    </w:rPr>
                    <w:t>后</w:t>
                  </w:r>
                  <w:r>
                    <w:rPr>
                      <w:rFonts w:hint="eastAsia"/>
                      <w:color w:val="auto"/>
                      <w:highlight w:val="none"/>
                      <w:u w:val="none" w:color="auto"/>
                    </w:rPr>
                    <w:t>经15m</w:t>
                  </w:r>
                  <w:r>
                    <w:rPr>
                      <w:rFonts w:hint="eastAsia"/>
                      <w:color w:val="auto"/>
                      <w:highlight w:val="none"/>
                      <w:u w:val="none" w:color="auto"/>
                      <w:lang w:eastAsia="zh-CN"/>
                    </w:rPr>
                    <w:t>排气筒</w:t>
                  </w:r>
                  <w:r>
                    <w:rPr>
                      <w:rFonts w:hint="eastAsia"/>
                      <w:color w:val="auto"/>
                      <w:highlight w:val="none"/>
                      <w:u w:val="none" w:color="auto"/>
                    </w:rPr>
                    <w:t>排放(DA001)</w:t>
                  </w:r>
                </w:p>
              </w:tc>
              <w:tc>
                <w:tcPr>
                  <w:tcW w:w="1465" w:type="pct"/>
                  <w:tcBorders>
                    <w:left w:val="single" w:color="auto" w:sz="4" w:space="0"/>
                    <w:tl2br w:val="nil"/>
                    <w:tr2bl w:val="nil"/>
                  </w:tcBorders>
                  <w:shd w:val="clear" w:color="auto" w:fill="auto"/>
                  <w:noWrap w:val="0"/>
                  <w:vAlign w:val="center"/>
                </w:tcPr>
                <w:p w14:paraId="59674F1F">
                  <w:pPr>
                    <w:keepNext w:val="0"/>
                    <w:keepLines w:val="0"/>
                    <w:widowControl/>
                    <w:suppressLineNumbers w:val="0"/>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olor w:val="auto"/>
                      <w:highlight w:val="none"/>
                      <w:u w:val="none" w:color="auto"/>
                      <w:lang w:val="en-US" w:eastAsia="zh-CN"/>
                    </w:rPr>
                    <w:t>有组织：</w:t>
                  </w:r>
                  <w:r>
                    <w:rPr>
                      <w:rFonts w:hint="eastAsia"/>
                      <w:color w:val="auto"/>
                      <w:highlight w:val="none"/>
                      <w:u w:val="none" w:color="auto"/>
                    </w:rPr>
                    <w:t>焚烧炉废气经</w:t>
                  </w:r>
                  <w:r>
                    <w:rPr>
                      <w:rFonts w:hint="eastAsia"/>
                      <w:color w:val="auto"/>
                      <w:highlight w:val="none"/>
                      <w:u w:val="none" w:color="auto"/>
                      <w:lang w:eastAsia="zh-CN"/>
                    </w:rPr>
                    <w:t>“</w:t>
                  </w:r>
                  <w:r>
                    <w:rPr>
                      <w:rFonts w:hint="eastAsia" w:cs="Times New Roman"/>
                      <w:bCs/>
                      <w:color w:val="auto"/>
                      <w:sz w:val="21"/>
                      <w:szCs w:val="21"/>
                      <w:highlight w:val="none"/>
                      <w:u w:val="none" w:color="auto"/>
                      <w:lang w:val="en-US" w:eastAsia="zh-CN"/>
                    </w:rPr>
                    <w:t>旋风除尘+高温布袋除尘</w:t>
                  </w:r>
                  <w:r>
                    <w:rPr>
                      <w:rFonts w:hint="eastAsia"/>
                      <w:color w:val="auto"/>
                      <w:highlight w:val="none"/>
                      <w:u w:val="none" w:color="auto"/>
                      <w:lang w:eastAsia="zh-CN"/>
                    </w:rPr>
                    <w:t>”</w:t>
                  </w:r>
                  <w:r>
                    <w:rPr>
                      <w:rFonts w:hint="eastAsia" w:cs="Times New Roman"/>
                      <w:bCs/>
                      <w:color w:val="auto"/>
                      <w:sz w:val="21"/>
                      <w:szCs w:val="21"/>
                      <w:highlight w:val="none"/>
                      <w:u w:val="none" w:color="auto"/>
                      <w:lang w:val="en-US" w:eastAsia="zh-CN"/>
                    </w:rPr>
                    <w:t>组合工艺</w:t>
                  </w:r>
                  <w:r>
                    <w:rPr>
                      <w:rFonts w:hint="eastAsia"/>
                      <w:color w:val="auto"/>
                      <w:highlight w:val="none"/>
                      <w:u w:val="none" w:color="auto"/>
                    </w:rPr>
                    <w:t>处理</w:t>
                  </w:r>
                  <w:r>
                    <w:rPr>
                      <w:rFonts w:hint="eastAsia"/>
                      <w:color w:val="auto"/>
                      <w:highlight w:val="none"/>
                      <w:u w:val="none" w:color="auto"/>
                      <w:lang w:val="en-US" w:eastAsia="zh-CN"/>
                    </w:rPr>
                    <w:t>后</w:t>
                  </w:r>
                  <w:r>
                    <w:rPr>
                      <w:rFonts w:hint="eastAsia"/>
                      <w:color w:val="auto"/>
                      <w:highlight w:val="none"/>
                      <w:u w:val="none" w:color="auto"/>
                    </w:rPr>
                    <w:t>经15m</w:t>
                  </w:r>
                  <w:r>
                    <w:rPr>
                      <w:rFonts w:hint="eastAsia"/>
                      <w:color w:val="auto"/>
                      <w:highlight w:val="none"/>
                      <w:u w:val="none" w:color="auto"/>
                      <w:lang w:eastAsia="zh-CN"/>
                    </w:rPr>
                    <w:t>排气筒</w:t>
                  </w:r>
                  <w:r>
                    <w:rPr>
                      <w:rFonts w:hint="eastAsia"/>
                      <w:color w:val="auto"/>
                      <w:highlight w:val="none"/>
                      <w:u w:val="none" w:color="auto"/>
                    </w:rPr>
                    <w:t>排放(DA001)</w:t>
                  </w:r>
                </w:p>
              </w:tc>
              <w:tc>
                <w:tcPr>
                  <w:tcW w:w="805" w:type="pct"/>
                  <w:tcBorders>
                    <w:top w:val="single" w:color="auto" w:sz="4" w:space="0"/>
                    <w:tl2br w:val="nil"/>
                    <w:tr2bl w:val="nil"/>
                  </w:tcBorders>
                  <w:shd w:val="clear" w:color="auto" w:fill="auto"/>
                  <w:noWrap w:val="0"/>
                  <w:vAlign w:val="center"/>
                </w:tcPr>
                <w:p w14:paraId="7BBAA9BD">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kern w:val="2"/>
                      <w:sz w:val="21"/>
                      <w:szCs w:val="24"/>
                      <w:highlight w:val="none"/>
                      <w:u w:val="none" w:color="auto"/>
                      <w:lang w:val="en-US" w:eastAsia="zh-CN" w:bidi="ar-SA"/>
                    </w:rPr>
                    <w:t>淘汰原有高温布袋除尘装置，新建废气组合工艺</w:t>
                  </w:r>
                </w:p>
              </w:tc>
            </w:tr>
            <w:tr w14:paraId="18CCA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6" w:hRule="atLeast"/>
              </w:trPr>
              <w:tc>
                <w:tcPr>
                  <w:tcW w:w="497" w:type="pct"/>
                  <w:vMerge w:val="continue"/>
                  <w:tcBorders>
                    <w:tl2br w:val="nil"/>
                    <w:tr2bl w:val="nil"/>
                  </w:tcBorders>
                  <w:noWrap w:val="0"/>
                  <w:vAlign w:val="center"/>
                </w:tcPr>
                <w:p w14:paraId="6593FF5E">
                  <w:pPr>
                    <w:bidi w:val="0"/>
                    <w:jc w:val="center"/>
                    <w:rPr>
                      <w:rFonts w:hint="default" w:ascii="Times New Roman" w:hAnsi="Times New Roman" w:cs="Times New Roman"/>
                      <w:color w:val="auto"/>
                      <w:highlight w:val="none"/>
                      <w:u w:val="none" w:color="auto"/>
                      <w:lang w:val="en-US" w:eastAsia="zh-CN"/>
                    </w:rPr>
                  </w:pPr>
                </w:p>
              </w:tc>
              <w:tc>
                <w:tcPr>
                  <w:tcW w:w="840" w:type="pct"/>
                  <w:gridSpan w:val="2"/>
                  <w:vMerge w:val="continue"/>
                  <w:tcBorders>
                    <w:tl2br w:val="nil"/>
                    <w:tr2bl w:val="nil"/>
                  </w:tcBorders>
                  <w:noWrap w:val="0"/>
                  <w:vAlign w:val="center"/>
                </w:tcPr>
                <w:p w14:paraId="414639CE">
                  <w:pPr>
                    <w:bidi w:val="0"/>
                    <w:jc w:val="center"/>
                    <w:rPr>
                      <w:rFonts w:hint="default" w:ascii="Times New Roman" w:hAnsi="Times New Roman" w:cs="Times New Roman"/>
                      <w:color w:val="auto"/>
                      <w:highlight w:val="none"/>
                      <w:u w:val="none" w:color="auto"/>
                      <w:lang w:val="en-US" w:eastAsia="zh-CN"/>
                    </w:rPr>
                  </w:pPr>
                </w:p>
              </w:tc>
              <w:tc>
                <w:tcPr>
                  <w:tcW w:w="1392" w:type="pct"/>
                  <w:tcBorders>
                    <w:right w:val="single" w:color="auto" w:sz="4" w:space="0"/>
                    <w:tl2br w:val="nil"/>
                    <w:tr2bl w:val="nil"/>
                  </w:tcBorders>
                  <w:noWrap w:val="0"/>
                  <w:vAlign w:val="center"/>
                </w:tcPr>
                <w:p w14:paraId="7F97C680">
                  <w:pPr>
                    <w:keepNext w:val="0"/>
                    <w:keepLines w:val="0"/>
                    <w:widowControl/>
                    <w:suppressLineNumbers w:val="0"/>
                    <w:jc w:val="center"/>
                    <w:rPr>
                      <w:rFonts w:hint="default" w:eastAsia="宋体"/>
                      <w:color w:val="auto"/>
                      <w:highlight w:val="none"/>
                      <w:u w:val="none" w:color="auto"/>
                      <w:lang w:val="en-US" w:eastAsia="zh-CN"/>
                    </w:rPr>
                  </w:pPr>
                  <w:r>
                    <w:rPr>
                      <w:rFonts w:hint="default" w:eastAsia="宋体"/>
                      <w:color w:val="auto"/>
                      <w:highlight w:val="none"/>
                      <w:u w:val="none" w:color="auto"/>
                      <w:lang w:val="en-US" w:eastAsia="zh-CN"/>
                    </w:rPr>
                    <w:t>无组织：钢瓶抽残气和拆卸瓶阀产生的废气</w:t>
                  </w:r>
                  <w:r>
                    <w:rPr>
                      <w:rFonts w:hint="eastAsia" w:cs="Times New Roman"/>
                      <w:color w:val="auto"/>
                      <w:highlight w:val="none"/>
                      <w:u w:val="none" w:color="auto"/>
                      <w:lang w:val="en-US" w:eastAsia="zh-CN"/>
                    </w:rPr>
                    <w:t>（非甲烷总烃、臭气浓度）</w:t>
                  </w:r>
                  <w:r>
                    <w:rPr>
                      <w:rFonts w:hint="default" w:eastAsia="宋体"/>
                      <w:color w:val="auto"/>
                      <w:highlight w:val="none"/>
                      <w:u w:val="none" w:color="auto"/>
                      <w:lang w:val="en-US" w:eastAsia="zh-CN"/>
                    </w:rPr>
                    <w:t>无组织扩散</w:t>
                  </w:r>
                </w:p>
              </w:tc>
              <w:tc>
                <w:tcPr>
                  <w:tcW w:w="1465" w:type="pct"/>
                  <w:tcBorders>
                    <w:left w:val="single" w:color="auto" w:sz="4" w:space="0"/>
                    <w:tl2br w:val="nil"/>
                    <w:tr2bl w:val="nil"/>
                  </w:tcBorders>
                  <w:shd w:val="clear" w:color="auto" w:fill="auto"/>
                  <w:noWrap w:val="0"/>
                  <w:vAlign w:val="center"/>
                </w:tcPr>
                <w:p w14:paraId="4FBC0883">
                  <w:pPr>
                    <w:keepNext w:val="0"/>
                    <w:keepLines w:val="0"/>
                    <w:widowControl/>
                    <w:suppressLineNumbers w:val="0"/>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eastAsia="宋体" w:cs="Times New Roman"/>
                      <w:color w:val="auto"/>
                      <w:highlight w:val="none"/>
                      <w:u w:val="none" w:color="auto"/>
                      <w:lang w:val="en-US" w:eastAsia="zh-CN"/>
                    </w:rPr>
                    <w:t>无组织：钢瓶抽残气</w:t>
                  </w:r>
                  <w:r>
                    <w:rPr>
                      <w:rFonts w:hint="eastAsia" w:cs="Times New Roman"/>
                      <w:color w:val="auto"/>
                      <w:highlight w:val="none"/>
                      <w:u w:val="none" w:color="auto"/>
                      <w:lang w:val="en-US" w:eastAsia="zh-CN"/>
                    </w:rPr>
                    <w:t>和</w:t>
                  </w:r>
                  <w:r>
                    <w:rPr>
                      <w:rFonts w:hint="eastAsia"/>
                      <w:color w:val="auto"/>
                      <w:highlight w:val="none"/>
                      <w:u w:val="none" w:color="auto"/>
                      <w:lang w:val="en-US" w:eastAsia="zh-CN"/>
                    </w:rPr>
                    <w:t>拆卸瓶阀</w:t>
                  </w:r>
                  <w:r>
                    <w:rPr>
                      <w:rFonts w:hint="eastAsia" w:ascii="Times New Roman" w:hAnsi="Times New Roman" w:eastAsia="宋体" w:cs="Times New Roman"/>
                      <w:color w:val="auto"/>
                      <w:highlight w:val="none"/>
                      <w:u w:val="none" w:color="auto"/>
                      <w:lang w:val="en-US" w:eastAsia="zh-CN"/>
                    </w:rPr>
                    <w:t>产生的废气</w:t>
                  </w:r>
                  <w:r>
                    <w:rPr>
                      <w:rFonts w:hint="eastAsia" w:cs="Times New Roman"/>
                      <w:color w:val="auto"/>
                      <w:highlight w:val="none"/>
                      <w:u w:val="none" w:color="auto"/>
                      <w:lang w:val="en-US" w:eastAsia="zh-CN"/>
                    </w:rPr>
                    <w:t>（非甲烷总烃、臭气浓度）无组织扩散</w:t>
                  </w:r>
                </w:p>
              </w:tc>
              <w:tc>
                <w:tcPr>
                  <w:tcW w:w="805" w:type="pct"/>
                  <w:tcBorders>
                    <w:tl2br w:val="nil"/>
                    <w:tr2bl w:val="nil"/>
                  </w:tcBorders>
                  <w:shd w:val="clear" w:color="auto" w:fill="auto"/>
                  <w:noWrap w:val="0"/>
                  <w:vAlign w:val="center"/>
                </w:tcPr>
                <w:p w14:paraId="4318C4B4">
                  <w:pPr>
                    <w:keepNext w:val="0"/>
                    <w:keepLines w:val="0"/>
                    <w:widowControl/>
                    <w:suppressLineNumbers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eastAsia="宋体" w:cs="Times New Roman"/>
                      <w:color w:val="auto"/>
                      <w:sz w:val="21"/>
                      <w:szCs w:val="21"/>
                      <w:lang w:val="en-US" w:eastAsia="zh-CN"/>
                    </w:rPr>
                    <w:t>无变化</w:t>
                  </w:r>
                </w:p>
              </w:tc>
            </w:tr>
            <w:tr w14:paraId="48966E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497" w:type="pct"/>
                  <w:vMerge w:val="continue"/>
                  <w:tcBorders>
                    <w:tl2br w:val="nil"/>
                    <w:tr2bl w:val="nil"/>
                  </w:tcBorders>
                  <w:noWrap w:val="0"/>
                  <w:vAlign w:val="top"/>
                </w:tcPr>
                <w:p w14:paraId="79F68C50">
                  <w:pPr>
                    <w:bidi w:val="0"/>
                    <w:jc w:val="center"/>
                    <w:rPr>
                      <w:rFonts w:hint="default" w:ascii="Times New Roman" w:hAnsi="Times New Roman" w:cs="Times New Roman"/>
                      <w:color w:val="auto"/>
                      <w:highlight w:val="none"/>
                      <w:u w:val="none" w:color="auto"/>
                      <w:lang w:val="en-US" w:eastAsia="zh-CN"/>
                    </w:rPr>
                  </w:pPr>
                </w:p>
              </w:tc>
              <w:tc>
                <w:tcPr>
                  <w:tcW w:w="840" w:type="pct"/>
                  <w:gridSpan w:val="2"/>
                  <w:tcBorders>
                    <w:tl2br w:val="nil"/>
                    <w:tr2bl w:val="nil"/>
                  </w:tcBorders>
                  <w:noWrap w:val="0"/>
                  <w:vAlign w:val="center"/>
                </w:tcPr>
                <w:p w14:paraId="241ED786">
                  <w:pPr>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lang w:val="en-US" w:eastAsia="zh-CN"/>
                    </w:rPr>
                    <w:t>废水治理</w:t>
                  </w:r>
                </w:p>
              </w:tc>
              <w:tc>
                <w:tcPr>
                  <w:tcW w:w="2335" w:type="dxa"/>
                  <w:tcBorders>
                    <w:right w:val="single" w:color="auto" w:sz="4" w:space="0"/>
                    <w:tl2br w:val="nil"/>
                    <w:tr2bl w:val="nil"/>
                  </w:tcBorders>
                  <w:noWrap w:val="0"/>
                  <w:vAlign w:val="center"/>
                </w:tcPr>
                <w:p w14:paraId="31261DA7">
                  <w:pPr>
                    <w:pStyle w:val="63"/>
                    <w:keepNext w:val="0"/>
                    <w:keepLines w:val="0"/>
                    <w:pageBreakBefore w:val="0"/>
                    <w:widowControl w:val="0"/>
                    <w:tabs>
                      <w:tab w:val="left" w:pos="1021"/>
                    </w:tabs>
                    <w:kinsoku/>
                    <w:wordWrap w:val="0"/>
                    <w:overflowPunct/>
                    <w:topLinePunct/>
                    <w:autoSpaceDE/>
                    <w:autoSpaceDN/>
                    <w:bidi w:val="0"/>
                    <w:adjustRightInd/>
                    <w:snapToGrid/>
                    <w:ind w:firstLine="0" w:firstLineChars="0"/>
                    <w:jc w:val="center"/>
                    <w:textAlignment w:val="baseline"/>
                    <w:rPr>
                      <w:rFonts w:hint="eastAsia" w:ascii="Times New Roman" w:hAnsi="Times New Roman" w:eastAsia="宋体" w:cs="Times New Roman"/>
                      <w:b w:val="0"/>
                      <w:color w:val="auto"/>
                      <w:kern w:val="0"/>
                      <w:sz w:val="21"/>
                      <w:szCs w:val="20"/>
                      <w:highlight w:val="none"/>
                      <w:u w:val="none" w:color="auto"/>
                      <w:lang w:val="en-US" w:eastAsia="zh-CN" w:bidi="ar-SA"/>
                    </w:rPr>
                  </w:pPr>
                  <w:r>
                    <w:rPr>
                      <w:rFonts w:hint="eastAsia"/>
                      <w:color w:val="auto"/>
                      <w:highlight w:val="none"/>
                      <w:u w:val="none" w:color="auto"/>
                      <w:lang w:val="en-US" w:eastAsia="zh-CN"/>
                    </w:rPr>
                    <w:t>生活污水</w:t>
                  </w:r>
                  <w:r>
                    <w:rPr>
                      <w:rFonts w:hint="default" w:ascii="Times New Roman" w:hAnsi="Times New Roman" w:cs="Times New Roman"/>
                      <w:color w:val="auto"/>
                      <w:sz w:val="21"/>
                      <w:szCs w:val="21"/>
                      <w:highlight w:val="none"/>
                      <w:u w:val="none" w:color="auto"/>
                    </w:rPr>
                    <w:t>经</w:t>
                  </w:r>
                  <w:r>
                    <w:rPr>
                      <w:rFonts w:hint="eastAsia" w:cs="Times New Roman"/>
                      <w:color w:val="auto"/>
                      <w:sz w:val="21"/>
                      <w:szCs w:val="21"/>
                      <w:highlight w:val="none"/>
                      <w:u w:val="none" w:color="auto"/>
                      <w:lang w:eastAsia="zh-CN"/>
                    </w:rPr>
                    <w:t>三级化粪池处理后</w:t>
                  </w:r>
                  <w:r>
                    <w:rPr>
                      <w:rFonts w:hint="default"/>
                      <w:color w:val="auto"/>
                      <w:highlight w:val="none"/>
                      <w:u w:val="none" w:color="auto"/>
                    </w:rPr>
                    <w:t>用作农肥</w:t>
                  </w:r>
                </w:p>
              </w:tc>
              <w:tc>
                <w:tcPr>
                  <w:tcW w:w="1465" w:type="pct"/>
                  <w:tcBorders>
                    <w:left w:val="single" w:color="auto" w:sz="4" w:space="0"/>
                    <w:tl2br w:val="nil"/>
                    <w:tr2bl w:val="nil"/>
                  </w:tcBorders>
                  <w:shd w:val="clear" w:color="auto" w:fill="auto"/>
                  <w:noWrap w:val="0"/>
                  <w:vAlign w:val="center"/>
                </w:tcPr>
                <w:p w14:paraId="55ACE082">
                  <w:pPr>
                    <w:pStyle w:val="63"/>
                    <w:keepNext w:val="0"/>
                    <w:keepLines w:val="0"/>
                    <w:pageBreakBefore w:val="0"/>
                    <w:widowControl w:val="0"/>
                    <w:tabs>
                      <w:tab w:val="left" w:pos="1021"/>
                    </w:tabs>
                    <w:kinsoku/>
                    <w:wordWrap w:val="0"/>
                    <w:overflowPunct/>
                    <w:topLinePunct/>
                    <w:autoSpaceDE/>
                    <w:autoSpaceDN/>
                    <w:bidi w:val="0"/>
                    <w:adjustRightInd/>
                    <w:snapToGrid/>
                    <w:ind w:firstLine="0" w:firstLineChars="0"/>
                    <w:jc w:val="center"/>
                    <w:textAlignment w:val="baseline"/>
                    <w:rPr>
                      <w:rFonts w:hint="eastAsia" w:ascii="楷体_GB2312" w:hAnsi="楷体_GB2312" w:eastAsia="宋体" w:cs="Times New Roman"/>
                      <w:color w:val="auto"/>
                      <w:kern w:val="2"/>
                      <w:sz w:val="21"/>
                      <w:szCs w:val="24"/>
                      <w:highlight w:val="none"/>
                      <w:u w:val="none" w:color="auto"/>
                      <w:lang w:val="en-US" w:eastAsia="zh-CN" w:bidi="ar-SA"/>
                    </w:rPr>
                  </w:pPr>
                  <w:r>
                    <w:rPr>
                      <w:rFonts w:hint="eastAsia"/>
                      <w:color w:val="auto"/>
                      <w:highlight w:val="none"/>
                      <w:u w:val="none" w:color="auto"/>
                      <w:lang w:val="en-US" w:eastAsia="zh-CN"/>
                    </w:rPr>
                    <w:t>生活污水</w:t>
                  </w:r>
                  <w:r>
                    <w:rPr>
                      <w:rFonts w:hint="default" w:ascii="Times New Roman" w:hAnsi="Times New Roman" w:cs="Times New Roman"/>
                      <w:color w:val="auto"/>
                      <w:sz w:val="21"/>
                      <w:szCs w:val="21"/>
                      <w:highlight w:val="none"/>
                      <w:u w:val="none" w:color="auto"/>
                    </w:rPr>
                    <w:t>经</w:t>
                  </w:r>
                  <w:r>
                    <w:rPr>
                      <w:rFonts w:hint="eastAsia" w:cs="Times New Roman"/>
                      <w:color w:val="auto"/>
                      <w:sz w:val="21"/>
                      <w:szCs w:val="21"/>
                      <w:highlight w:val="none"/>
                      <w:u w:val="none" w:color="auto"/>
                      <w:lang w:eastAsia="zh-CN"/>
                    </w:rPr>
                    <w:t>三级化粪池处理后</w:t>
                  </w:r>
                  <w:r>
                    <w:rPr>
                      <w:rFonts w:hint="default"/>
                      <w:color w:val="auto"/>
                      <w:highlight w:val="none"/>
                      <w:u w:val="none" w:color="auto"/>
                    </w:rPr>
                    <w:t>用作农肥</w:t>
                  </w:r>
                </w:p>
              </w:tc>
              <w:tc>
                <w:tcPr>
                  <w:tcW w:w="805" w:type="pct"/>
                  <w:tcBorders>
                    <w:tl2br w:val="nil"/>
                    <w:tr2bl w:val="nil"/>
                  </w:tcBorders>
                  <w:shd w:val="clear" w:color="auto" w:fill="auto"/>
                  <w:noWrap w:val="0"/>
                  <w:vAlign w:val="center"/>
                </w:tcPr>
                <w:p w14:paraId="2912DA2C">
                  <w:pPr>
                    <w:keepNext w:val="0"/>
                    <w:keepLines w:val="0"/>
                    <w:pageBreakBefore w:val="0"/>
                    <w:widowControl w:val="0"/>
                    <w:kinsoku/>
                    <w:wordWrap w:val="0"/>
                    <w:overflowPunct/>
                    <w:topLinePunct/>
                    <w:autoSpaceDE/>
                    <w:autoSpaceDN/>
                    <w:bidi w:val="0"/>
                    <w:adjustRightInd/>
                    <w:snapToGrid/>
                    <w:ind w:firstLine="0" w:firstLineChars="0"/>
                    <w:jc w:val="center"/>
                    <w:textAlignment w:val="baseline"/>
                    <w:rPr>
                      <w:rFonts w:hint="eastAsia" w:ascii="Times New Roman" w:hAnsi="Times New Roman" w:eastAsia="宋体" w:cs="Times New Roman"/>
                      <w:b w:val="0"/>
                      <w:color w:val="auto"/>
                      <w:kern w:val="0"/>
                      <w:sz w:val="21"/>
                      <w:szCs w:val="20"/>
                      <w:highlight w:val="none"/>
                      <w:u w:val="none" w:color="auto"/>
                      <w:lang w:val="en-US" w:eastAsia="zh-CN" w:bidi="ar-SA"/>
                    </w:rPr>
                  </w:pPr>
                  <w:r>
                    <w:rPr>
                      <w:rFonts w:hint="eastAsia" w:ascii="Times New Roman" w:hAnsi="Times New Roman" w:eastAsia="宋体" w:cs="Times New Roman"/>
                      <w:color w:val="auto"/>
                      <w:sz w:val="21"/>
                      <w:szCs w:val="21"/>
                      <w:lang w:val="en-US" w:eastAsia="zh-CN"/>
                    </w:rPr>
                    <w:t>无变化</w:t>
                  </w:r>
                </w:p>
              </w:tc>
            </w:tr>
            <w:tr w14:paraId="60DB04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0" w:hRule="atLeast"/>
              </w:trPr>
              <w:tc>
                <w:tcPr>
                  <w:tcW w:w="497" w:type="pct"/>
                  <w:vMerge w:val="continue"/>
                  <w:tcBorders>
                    <w:tl2br w:val="nil"/>
                    <w:tr2bl w:val="nil"/>
                  </w:tcBorders>
                  <w:noWrap w:val="0"/>
                  <w:vAlign w:val="top"/>
                </w:tcPr>
                <w:p w14:paraId="5BF4C69E">
                  <w:pPr>
                    <w:bidi w:val="0"/>
                    <w:jc w:val="center"/>
                    <w:rPr>
                      <w:rFonts w:hint="default" w:ascii="Times New Roman" w:hAnsi="Times New Roman" w:cs="Times New Roman"/>
                      <w:color w:val="auto"/>
                      <w:highlight w:val="none"/>
                      <w:u w:val="none" w:color="auto"/>
                      <w:lang w:val="en-US" w:eastAsia="zh-CN"/>
                    </w:rPr>
                  </w:pPr>
                </w:p>
              </w:tc>
              <w:tc>
                <w:tcPr>
                  <w:tcW w:w="840" w:type="pct"/>
                  <w:gridSpan w:val="2"/>
                  <w:tcBorders>
                    <w:tl2br w:val="nil"/>
                    <w:tr2bl w:val="nil"/>
                  </w:tcBorders>
                  <w:noWrap w:val="0"/>
                  <w:vAlign w:val="center"/>
                </w:tcPr>
                <w:p w14:paraId="0FF47E9E">
                  <w:pPr>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lang w:val="en-US" w:eastAsia="zh-CN"/>
                    </w:rPr>
                    <w:t>噪声治理</w:t>
                  </w:r>
                </w:p>
              </w:tc>
              <w:tc>
                <w:tcPr>
                  <w:tcW w:w="2335" w:type="dxa"/>
                  <w:tcBorders>
                    <w:right w:val="single" w:color="auto" w:sz="4" w:space="0"/>
                    <w:tl2br w:val="nil"/>
                    <w:tr2bl w:val="nil"/>
                  </w:tcBorders>
                  <w:noWrap w:val="0"/>
                  <w:vAlign w:val="center"/>
                </w:tcPr>
                <w:p w14:paraId="54FA9053">
                  <w:pPr>
                    <w:bidi w:val="0"/>
                    <w:jc w:val="center"/>
                    <w:rPr>
                      <w:rFonts w:hint="default" w:ascii="Times New Roman" w:hAnsi="Times New Roman" w:cs="Times New Roman"/>
                      <w:color w:val="auto"/>
                      <w:highlight w:val="none"/>
                      <w:u w:val="none" w:color="auto"/>
                    </w:rPr>
                  </w:pPr>
                  <w:r>
                    <w:rPr>
                      <w:rFonts w:hint="default" w:ascii="Times New Roman" w:hAnsi="Times New Roman" w:eastAsia="宋体" w:cs="Times New Roman"/>
                      <w:b w:val="0"/>
                      <w:bCs w:val="0"/>
                      <w:color w:val="auto"/>
                      <w:sz w:val="21"/>
                      <w:szCs w:val="21"/>
                      <w:highlight w:val="none"/>
                      <w:u w:val="none" w:color="auto"/>
                      <w:vertAlign w:val="baseline"/>
                      <w:lang w:val="en-US" w:eastAsia="zh-CN"/>
                    </w:rPr>
                    <w:t>隔声、减震、降噪</w:t>
                  </w:r>
                </w:p>
              </w:tc>
              <w:tc>
                <w:tcPr>
                  <w:tcW w:w="1465" w:type="pct"/>
                  <w:tcBorders>
                    <w:left w:val="single" w:color="auto" w:sz="4" w:space="0"/>
                    <w:tl2br w:val="nil"/>
                    <w:tr2bl w:val="nil"/>
                  </w:tcBorders>
                  <w:shd w:val="clear" w:color="auto" w:fill="auto"/>
                  <w:noWrap w:val="0"/>
                  <w:vAlign w:val="center"/>
                </w:tcPr>
                <w:p w14:paraId="6B86366D">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b w:val="0"/>
                      <w:bCs w:val="0"/>
                      <w:color w:val="auto"/>
                      <w:sz w:val="21"/>
                      <w:szCs w:val="21"/>
                      <w:highlight w:val="none"/>
                      <w:u w:val="none" w:color="auto"/>
                      <w:vertAlign w:val="baseline"/>
                      <w:lang w:val="en-US" w:eastAsia="zh-CN"/>
                    </w:rPr>
                    <w:t>隔声、减震、降噪</w:t>
                  </w:r>
                </w:p>
              </w:tc>
              <w:tc>
                <w:tcPr>
                  <w:tcW w:w="805" w:type="pct"/>
                  <w:tcBorders>
                    <w:tl2br w:val="nil"/>
                    <w:tr2bl w:val="nil"/>
                  </w:tcBorders>
                  <w:shd w:val="clear" w:color="auto" w:fill="auto"/>
                  <w:noWrap w:val="0"/>
                  <w:vAlign w:val="center"/>
                </w:tcPr>
                <w:p w14:paraId="4B3FBDE7">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eastAsia="宋体" w:cs="Times New Roman"/>
                      <w:color w:val="auto"/>
                      <w:sz w:val="21"/>
                      <w:szCs w:val="21"/>
                      <w:lang w:val="en-US" w:eastAsia="zh-CN"/>
                    </w:rPr>
                    <w:t>无变化</w:t>
                  </w:r>
                </w:p>
              </w:tc>
            </w:tr>
            <w:tr w14:paraId="04E30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497" w:type="pct"/>
                  <w:vMerge w:val="continue"/>
                  <w:tcBorders>
                    <w:tl2br w:val="nil"/>
                    <w:tr2bl w:val="nil"/>
                  </w:tcBorders>
                  <w:noWrap w:val="0"/>
                  <w:vAlign w:val="top"/>
                </w:tcPr>
                <w:p w14:paraId="240DE088">
                  <w:pPr>
                    <w:bidi w:val="0"/>
                    <w:jc w:val="center"/>
                    <w:rPr>
                      <w:rFonts w:hint="default" w:ascii="Times New Roman" w:hAnsi="Times New Roman" w:cs="Times New Roman"/>
                      <w:color w:val="auto"/>
                      <w:highlight w:val="none"/>
                      <w:u w:val="none" w:color="auto"/>
                      <w:lang w:val="en-US" w:eastAsia="zh-CN"/>
                    </w:rPr>
                  </w:pPr>
                </w:p>
              </w:tc>
              <w:tc>
                <w:tcPr>
                  <w:tcW w:w="840" w:type="pct"/>
                  <w:gridSpan w:val="2"/>
                  <w:vMerge w:val="restart"/>
                  <w:tcBorders>
                    <w:tl2br w:val="nil"/>
                    <w:tr2bl w:val="nil"/>
                  </w:tcBorders>
                  <w:noWrap w:val="0"/>
                  <w:vAlign w:val="center"/>
                </w:tcPr>
                <w:p w14:paraId="09B420D1">
                  <w:pPr>
                    <w:pStyle w:val="114"/>
                    <w:spacing w:before="39" w:line="228" w:lineRule="auto"/>
                    <w:jc w:val="center"/>
                    <w:rPr>
                      <w:rFonts w:hint="default" w:ascii="Times New Roman" w:hAnsi="Times New Roman" w:cs="Times New Roman"/>
                      <w:color w:val="auto"/>
                      <w:highlight w:val="none"/>
                      <w:u w:val="none" w:color="auto"/>
                    </w:rPr>
                  </w:pPr>
                  <w:r>
                    <w:rPr>
                      <w:rFonts w:hint="default" w:ascii="Times New Roman" w:hAnsi="Times New Roman" w:eastAsia="宋体" w:cs="Times New Roman"/>
                      <w:color w:val="auto"/>
                      <w:kern w:val="2"/>
                      <w:sz w:val="21"/>
                      <w:szCs w:val="24"/>
                      <w:highlight w:val="none"/>
                      <w:u w:val="none" w:color="auto"/>
                      <w:lang w:val="en-US" w:eastAsia="zh-CN" w:bidi="ar-SA"/>
                    </w:rPr>
                    <w:t>固废治理</w:t>
                  </w:r>
                </w:p>
              </w:tc>
              <w:tc>
                <w:tcPr>
                  <w:tcW w:w="2335" w:type="dxa"/>
                  <w:tcBorders>
                    <w:right w:val="single" w:color="auto" w:sz="4" w:space="0"/>
                    <w:tl2br w:val="nil"/>
                    <w:tr2bl w:val="nil"/>
                  </w:tcBorders>
                  <w:noWrap w:val="0"/>
                  <w:vAlign w:val="top"/>
                </w:tcPr>
                <w:p w14:paraId="38A31672">
                  <w:pPr>
                    <w:pStyle w:val="114"/>
                    <w:spacing w:before="38" w:line="211" w:lineRule="auto"/>
                    <w:jc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生活垃圾分类收集，由环卫部门统一清运；</w:t>
                  </w:r>
                </w:p>
              </w:tc>
              <w:tc>
                <w:tcPr>
                  <w:tcW w:w="1465" w:type="pct"/>
                  <w:tcBorders>
                    <w:left w:val="single" w:color="auto" w:sz="4" w:space="0"/>
                    <w:tl2br w:val="nil"/>
                    <w:tr2bl w:val="nil"/>
                  </w:tcBorders>
                  <w:shd w:val="clear" w:color="auto" w:fill="auto"/>
                  <w:noWrap w:val="0"/>
                  <w:vAlign w:val="top"/>
                </w:tcPr>
                <w:p w14:paraId="0A23A886">
                  <w:pPr>
                    <w:pStyle w:val="114"/>
                    <w:spacing w:before="38" w:line="211" w:lineRule="auto"/>
                    <w:jc w:val="center"/>
                    <w:rPr>
                      <w:rFonts w:hint="default" w:ascii="Times New Roman" w:hAnsi="Times New Roman" w:eastAsia="宋体" w:cs="Times New Roman"/>
                      <w:color w:val="auto"/>
                      <w:kern w:val="2"/>
                      <w:sz w:val="20"/>
                      <w:szCs w:val="20"/>
                      <w:highlight w:val="none"/>
                      <w:u w:val="none" w:color="auto"/>
                      <w:lang w:val="en-US" w:eastAsia="zh-CN" w:bidi="ar-SA"/>
                    </w:rPr>
                  </w:pP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生活垃圾分类收集，由环卫部门统一清运；</w:t>
                  </w:r>
                </w:p>
              </w:tc>
              <w:tc>
                <w:tcPr>
                  <w:tcW w:w="805" w:type="pct"/>
                  <w:tcBorders>
                    <w:bottom w:val="single" w:color="auto" w:sz="4" w:space="0"/>
                    <w:tl2br w:val="nil"/>
                    <w:tr2bl w:val="nil"/>
                  </w:tcBorders>
                  <w:shd w:val="clear" w:color="auto" w:fill="auto"/>
                  <w:noWrap w:val="0"/>
                  <w:vAlign w:val="center"/>
                </w:tcPr>
                <w:p w14:paraId="38651330">
                  <w:pPr>
                    <w:spacing w:before="38" w:line="211" w:lineRule="auto"/>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sz w:val="21"/>
                      <w:szCs w:val="21"/>
                      <w:lang w:val="en-US" w:eastAsia="zh-CN"/>
                    </w:rPr>
                    <w:t>无变化</w:t>
                  </w:r>
                </w:p>
              </w:tc>
            </w:tr>
            <w:tr w14:paraId="601321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497" w:type="pct"/>
                  <w:vMerge w:val="continue"/>
                  <w:tcBorders>
                    <w:tl2br w:val="nil"/>
                    <w:tr2bl w:val="nil"/>
                  </w:tcBorders>
                  <w:noWrap w:val="0"/>
                  <w:vAlign w:val="top"/>
                </w:tcPr>
                <w:p w14:paraId="60E80BB8">
                  <w:pPr>
                    <w:bidi w:val="0"/>
                    <w:jc w:val="center"/>
                    <w:rPr>
                      <w:rFonts w:hint="default" w:ascii="Times New Roman" w:hAnsi="Times New Roman" w:cs="Times New Roman"/>
                      <w:color w:val="auto"/>
                      <w:highlight w:val="none"/>
                      <w:u w:val="none" w:color="auto"/>
                      <w:lang w:val="en-US" w:eastAsia="zh-CN"/>
                    </w:rPr>
                  </w:pPr>
                </w:p>
              </w:tc>
              <w:tc>
                <w:tcPr>
                  <w:tcW w:w="840" w:type="pct"/>
                  <w:gridSpan w:val="2"/>
                  <w:vMerge w:val="continue"/>
                  <w:tcBorders>
                    <w:tl2br w:val="nil"/>
                    <w:tr2bl w:val="nil"/>
                  </w:tcBorders>
                  <w:noWrap w:val="0"/>
                  <w:vAlign w:val="center"/>
                </w:tcPr>
                <w:p w14:paraId="518BFFC7">
                  <w:pPr>
                    <w:pStyle w:val="114"/>
                    <w:spacing w:before="39" w:line="228" w:lineRule="auto"/>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2335" w:type="dxa"/>
                  <w:tcBorders>
                    <w:right w:val="single" w:color="auto" w:sz="4" w:space="0"/>
                    <w:tl2br w:val="nil"/>
                    <w:tr2bl w:val="nil"/>
                  </w:tcBorders>
                  <w:noWrap w:val="0"/>
                  <w:vAlign w:val="top"/>
                </w:tcPr>
                <w:p w14:paraId="63ADA7C6">
                  <w:pPr>
                    <w:pStyle w:val="114"/>
                    <w:spacing w:before="38" w:line="211" w:lineRule="auto"/>
                    <w:jc w:val="cente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pPr>
                  <w:r>
                    <w:rPr>
                      <w:rFonts w:hint="eastAsia" w:ascii="Times New Roman" w:hAnsi="Times New Roman" w:eastAsia="宋体" w:cs="Times New Roman"/>
                      <w:b w:val="0"/>
                      <w:bCs w:val="0"/>
                      <w:color w:val="auto"/>
                      <w:kern w:val="2"/>
                      <w:sz w:val="21"/>
                      <w:szCs w:val="21"/>
                      <w:highlight w:val="none"/>
                      <w:u w:val="none" w:color="auto"/>
                      <w:vertAlign w:val="baseline"/>
                      <w:lang w:val="en-US" w:eastAsia="zh-CN" w:bidi="ar-SA"/>
                    </w:rPr>
                    <w:t>一般固废</w:t>
                  </w:r>
                  <w:r>
                    <w:rPr>
                      <w:rFonts w:hint="eastAsia" w:ascii="Times New Roman" w:hAnsi="Times New Roman" w:cs="Times New Roman"/>
                      <w:b w:val="0"/>
                      <w:bCs w:val="0"/>
                      <w:color w:val="auto"/>
                      <w:kern w:val="2"/>
                      <w:sz w:val="21"/>
                      <w:szCs w:val="21"/>
                      <w:highlight w:val="none"/>
                      <w:u w:val="none" w:color="auto"/>
                      <w:vertAlign w:val="baseline"/>
                      <w:lang w:val="en-US" w:eastAsia="zh-CN" w:bidi="ar-SA"/>
                    </w:rPr>
                    <w:t>位于厂区北侧</w:t>
                  </w: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，面积为5m</w:t>
                  </w:r>
                  <w:r>
                    <w:rPr>
                      <w:rFonts w:hint="default" w:ascii="Times New Roman" w:hAnsi="Times New Roman" w:eastAsia="宋体" w:cs="Times New Roman"/>
                      <w:b w:val="0"/>
                      <w:bCs w:val="0"/>
                      <w:color w:val="auto"/>
                      <w:kern w:val="2"/>
                      <w:sz w:val="21"/>
                      <w:szCs w:val="21"/>
                      <w:highlight w:val="none"/>
                      <w:u w:val="none" w:color="auto"/>
                      <w:vertAlign w:val="superscript"/>
                      <w:lang w:val="en-US" w:eastAsia="zh-CN" w:bidi="ar-SA"/>
                    </w:rPr>
                    <w:t>2</w:t>
                  </w:r>
                  <w:r>
                    <w:rPr>
                      <w:rFonts w:hint="eastAsia" w:ascii="Times New Roman" w:hAnsi="Times New Roman" w:eastAsia="宋体" w:cs="Times New Roman"/>
                      <w:b w:val="0"/>
                      <w:bCs w:val="0"/>
                      <w:color w:val="auto"/>
                      <w:kern w:val="2"/>
                      <w:sz w:val="21"/>
                      <w:szCs w:val="21"/>
                      <w:highlight w:val="none"/>
                      <w:u w:val="none" w:color="auto"/>
                      <w:vertAlign w:val="baseline"/>
                      <w:lang w:val="en-US" w:eastAsia="zh-CN" w:bidi="ar-SA"/>
                    </w:rPr>
                    <w:t>；</w:t>
                  </w:r>
                </w:p>
              </w:tc>
              <w:tc>
                <w:tcPr>
                  <w:tcW w:w="1465" w:type="pct"/>
                  <w:tcBorders>
                    <w:left w:val="single" w:color="auto" w:sz="4" w:space="0"/>
                    <w:tl2br w:val="nil"/>
                    <w:tr2bl w:val="nil"/>
                  </w:tcBorders>
                  <w:shd w:val="clear" w:color="auto" w:fill="auto"/>
                  <w:noWrap w:val="0"/>
                  <w:vAlign w:val="top"/>
                </w:tcPr>
                <w:p w14:paraId="0DAA8D2E">
                  <w:pPr>
                    <w:pStyle w:val="114"/>
                    <w:spacing w:before="38" w:line="211" w:lineRule="auto"/>
                    <w:jc w:val="center"/>
                    <w:rPr>
                      <w:rFonts w:hint="eastAsia" w:ascii="宋体" w:hAnsi="宋体" w:eastAsia="宋体" w:cs="宋体"/>
                      <w:color w:val="auto"/>
                      <w:kern w:val="2"/>
                      <w:sz w:val="20"/>
                      <w:szCs w:val="20"/>
                      <w:highlight w:val="none"/>
                      <w:u w:val="none" w:color="auto"/>
                      <w:lang w:val="en-US" w:eastAsia="zh-CN" w:bidi="ar-SA"/>
                    </w:rPr>
                  </w:pPr>
                  <w:r>
                    <w:rPr>
                      <w:rFonts w:hint="eastAsia" w:ascii="Times New Roman" w:hAnsi="Times New Roman" w:eastAsia="宋体" w:cs="Times New Roman"/>
                      <w:b w:val="0"/>
                      <w:bCs w:val="0"/>
                      <w:color w:val="auto"/>
                      <w:kern w:val="2"/>
                      <w:sz w:val="21"/>
                      <w:szCs w:val="21"/>
                      <w:highlight w:val="none"/>
                      <w:u w:val="none" w:color="auto"/>
                      <w:vertAlign w:val="baseline"/>
                      <w:lang w:val="en-US" w:eastAsia="zh-CN" w:bidi="ar-SA"/>
                    </w:rPr>
                    <w:t>一般固废</w:t>
                  </w:r>
                  <w:r>
                    <w:rPr>
                      <w:rFonts w:hint="eastAsia" w:ascii="Times New Roman" w:hAnsi="Times New Roman" w:cs="Times New Roman"/>
                      <w:b w:val="0"/>
                      <w:bCs w:val="0"/>
                      <w:color w:val="auto"/>
                      <w:kern w:val="2"/>
                      <w:sz w:val="21"/>
                      <w:szCs w:val="21"/>
                      <w:highlight w:val="none"/>
                      <w:u w:val="none" w:color="auto"/>
                      <w:vertAlign w:val="baseline"/>
                      <w:lang w:val="en-US" w:eastAsia="zh-CN" w:bidi="ar-SA"/>
                    </w:rPr>
                    <w:t>位于厂区北侧</w:t>
                  </w: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，面积为5m</w:t>
                  </w:r>
                  <w:r>
                    <w:rPr>
                      <w:rFonts w:hint="default" w:ascii="Times New Roman" w:hAnsi="Times New Roman" w:eastAsia="宋体" w:cs="Times New Roman"/>
                      <w:b w:val="0"/>
                      <w:bCs w:val="0"/>
                      <w:color w:val="auto"/>
                      <w:kern w:val="2"/>
                      <w:sz w:val="21"/>
                      <w:szCs w:val="21"/>
                      <w:highlight w:val="none"/>
                      <w:u w:val="none" w:color="auto"/>
                      <w:vertAlign w:val="superscript"/>
                      <w:lang w:val="en-US" w:eastAsia="zh-CN" w:bidi="ar-SA"/>
                    </w:rPr>
                    <w:t>2</w:t>
                  </w:r>
                  <w:r>
                    <w:rPr>
                      <w:rFonts w:hint="eastAsia" w:ascii="Times New Roman" w:hAnsi="Times New Roman" w:eastAsia="宋体" w:cs="Times New Roman"/>
                      <w:b w:val="0"/>
                      <w:bCs w:val="0"/>
                      <w:color w:val="auto"/>
                      <w:kern w:val="2"/>
                      <w:sz w:val="21"/>
                      <w:szCs w:val="21"/>
                      <w:highlight w:val="none"/>
                      <w:u w:val="none" w:color="auto"/>
                      <w:vertAlign w:val="baseline"/>
                      <w:lang w:val="en-US" w:eastAsia="zh-CN" w:bidi="ar-SA"/>
                    </w:rPr>
                    <w:t>；</w:t>
                  </w:r>
                </w:p>
              </w:tc>
              <w:tc>
                <w:tcPr>
                  <w:tcW w:w="805" w:type="pct"/>
                  <w:tcBorders>
                    <w:top w:val="single" w:color="auto" w:sz="4" w:space="0"/>
                    <w:tl2br w:val="nil"/>
                    <w:tr2bl w:val="nil"/>
                  </w:tcBorders>
                  <w:shd w:val="clear" w:color="auto" w:fill="auto"/>
                  <w:noWrap w:val="0"/>
                  <w:vAlign w:val="center"/>
                </w:tcPr>
                <w:p w14:paraId="7D0A978D">
                  <w:pPr>
                    <w:spacing w:before="38" w:line="211" w:lineRule="auto"/>
                    <w:jc w:val="center"/>
                    <w:rPr>
                      <w:rFonts w:hint="eastAsia" w:ascii="Times New Roman" w:hAnsi="Times New Roman" w:eastAsia="宋体" w:cs="Times New Roman"/>
                      <w:b w:val="0"/>
                      <w:bCs w:val="0"/>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lang w:val="en-US" w:eastAsia="zh-CN"/>
                    </w:rPr>
                    <w:t>无变化</w:t>
                  </w:r>
                </w:p>
              </w:tc>
            </w:tr>
            <w:tr w14:paraId="3106E2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497" w:type="pct"/>
                  <w:vMerge w:val="continue"/>
                  <w:tcBorders>
                    <w:tl2br w:val="nil"/>
                    <w:tr2bl w:val="nil"/>
                  </w:tcBorders>
                  <w:noWrap w:val="0"/>
                  <w:vAlign w:val="top"/>
                </w:tcPr>
                <w:p w14:paraId="206339AC">
                  <w:pPr>
                    <w:bidi w:val="0"/>
                    <w:jc w:val="center"/>
                    <w:rPr>
                      <w:rFonts w:hint="default" w:ascii="Times New Roman" w:hAnsi="Times New Roman" w:cs="Times New Roman"/>
                      <w:color w:val="auto"/>
                      <w:highlight w:val="none"/>
                      <w:u w:val="none" w:color="auto"/>
                      <w:lang w:val="en-US" w:eastAsia="zh-CN"/>
                    </w:rPr>
                  </w:pPr>
                </w:p>
              </w:tc>
              <w:tc>
                <w:tcPr>
                  <w:tcW w:w="840" w:type="pct"/>
                  <w:gridSpan w:val="2"/>
                  <w:vMerge w:val="continue"/>
                  <w:tcBorders>
                    <w:tl2br w:val="nil"/>
                    <w:tr2bl w:val="nil"/>
                  </w:tcBorders>
                  <w:noWrap w:val="0"/>
                  <w:vAlign w:val="center"/>
                </w:tcPr>
                <w:p w14:paraId="189C8190">
                  <w:pPr>
                    <w:pStyle w:val="114"/>
                    <w:spacing w:before="39" w:line="228" w:lineRule="auto"/>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2335" w:type="dxa"/>
                  <w:tcBorders>
                    <w:right w:val="single" w:color="auto" w:sz="4" w:space="0"/>
                    <w:tl2br w:val="nil"/>
                    <w:tr2bl w:val="nil"/>
                  </w:tcBorders>
                  <w:noWrap w:val="0"/>
                  <w:vAlign w:val="top"/>
                </w:tcPr>
                <w:p w14:paraId="0258B0C5">
                  <w:pPr>
                    <w:pStyle w:val="114"/>
                    <w:spacing w:before="38" w:line="240" w:lineRule="auto"/>
                    <w:jc w:val="cente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pP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危险废物暂存间位于</w:t>
                  </w:r>
                  <w:r>
                    <w:rPr>
                      <w:rFonts w:hint="eastAsia" w:ascii="Times New Roman" w:hAnsi="Times New Roman" w:cs="Times New Roman"/>
                      <w:b w:val="0"/>
                      <w:bCs w:val="0"/>
                      <w:color w:val="auto"/>
                      <w:kern w:val="2"/>
                      <w:sz w:val="21"/>
                      <w:szCs w:val="21"/>
                      <w:highlight w:val="none"/>
                      <w:u w:val="none" w:color="auto"/>
                      <w:vertAlign w:val="baseline"/>
                      <w:lang w:val="en-US" w:eastAsia="zh-CN" w:bidi="ar-SA"/>
                    </w:rPr>
                    <w:t>厂区北</w:t>
                  </w: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侧，面积为5m</w:t>
                  </w:r>
                  <w:r>
                    <w:rPr>
                      <w:rFonts w:hint="default" w:ascii="Times New Roman" w:hAnsi="Times New Roman" w:eastAsia="宋体" w:cs="Times New Roman"/>
                      <w:b w:val="0"/>
                      <w:bCs w:val="0"/>
                      <w:color w:val="auto"/>
                      <w:kern w:val="2"/>
                      <w:sz w:val="21"/>
                      <w:szCs w:val="21"/>
                      <w:highlight w:val="none"/>
                      <w:u w:val="none" w:color="auto"/>
                      <w:vertAlign w:val="superscript"/>
                      <w:lang w:val="en-US" w:eastAsia="zh-CN" w:bidi="ar-SA"/>
                    </w:rPr>
                    <w:t>2</w:t>
                  </w:r>
                </w:p>
              </w:tc>
              <w:tc>
                <w:tcPr>
                  <w:tcW w:w="1465" w:type="pct"/>
                  <w:tcBorders>
                    <w:left w:val="single" w:color="auto" w:sz="4" w:space="0"/>
                    <w:tl2br w:val="nil"/>
                    <w:tr2bl w:val="nil"/>
                  </w:tcBorders>
                  <w:shd w:val="clear" w:color="auto" w:fill="auto"/>
                  <w:noWrap w:val="0"/>
                  <w:vAlign w:val="top"/>
                </w:tcPr>
                <w:p w14:paraId="18D07E9A">
                  <w:pPr>
                    <w:pStyle w:val="114"/>
                    <w:spacing w:before="38" w:line="240" w:lineRule="auto"/>
                    <w:jc w:val="cente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pP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危险废物暂存间位于</w:t>
                  </w:r>
                  <w:r>
                    <w:rPr>
                      <w:rFonts w:hint="eastAsia" w:ascii="Times New Roman" w:hAnsi="Times New Roman" w:cs="Times New Roman"/>
                      <w:b w:val="0"/>
                      <w:bCs w:val="0"/>
                      <w:color w:val="auto"/>
                      <w:kern w:val="2"/>
                      <w:sz w:val="21"/>
                      <w:szCs w:val="21"/>
                      <w:highlight w:val="none"/>
                      <w:u w:val="none" w:color="auto"/>
                      <w:vertAlign w:val="baseline"/>
                      <w:lang w:val="en-US" w:eastAsia="zh-CN" w:bidi="ar-SA"/>
                    </w:rPr>
                    <w:t>厂区北</w:t>
                  </w: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侧，面积为5m</w:t>
                  </w:r>
                  <w:r>
                    <w:rPr>
                      <w:rFonts w:hint="default" w:ascii="Times New Roman" w:hAnsi="Times New Roman" w:eastAsia="宋体" w:cs="Times New Roman"/>
                      <w:b w:val="0"/>
                      <w:bCs w:val="0"/>
                      <w:color w:val="auto"/>
                      <w:kern w:val="2"/>
                      <w:sz w:val="21"/>
                      <w:szCs w:val="21"/>
                      <w:highlight w:val="none"/>
                      <w:u w:val="none" w:color="auto"/>
                      <w:vertAlign w:val="superscript"/>
                      <w:lang w:val="en-US" w:eastAsia="zh-CN" w:bidi="ar-SA"/>
                    </w:rPr>
                    <w:t>2</w:t>
                  </w:r>
                </w:p>
              </w:tc>
              <w:tc>
                <w:tcPr>
                  <w:tcW w:w="805" w:type="pct"/>
                  <w:tcBorders>
                    <w:tl2br w:val="nil"/>
                    <w:tr2bl w:val="nil"/>
                  </w:tcBorders>
                  <w:shd w:val="clear" w:color="auto" w:fill="auto"/>
                  <w:noWrap w:val="0"/>
                  <w:vAlign w:val="center"/>
                </w:tcPr>
                <w:p w14:paraId="2E79A1D1">
                  <w:pPr>
                    <w:spacing w:before="38" w:line="240" w:lineRule="auto"/>
                    <w:jc w:val="cente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lang w:val="en-US" w:eastAsia="zh-CN"/>
                    </w:rPr>
                    <w:t>无变化</w:t>
                  </w:r>
                </w:p>
              </w:tc>
            </w:tr>
          </w:tbl>
          <w:p w14:paraId="348FD4EC">
            <w:pPr>
              <w:pStyle w:val="54"/>
              <w:tabs>
                <w:tab w:val="left" w:pos="1021"/>
              </w:tabs>
              <w:bidi w:val="0"/>
              <w:spacing w:line="360" w:lineRule="auto"/>
              <w:ind w:left="0" w:leftChars="0" w:firstLine="0" w:firstLineChars="0"/>
              <w:rPr>
                <w:rFonts w:hint="default" w:ascii="Times New Roman" w:hAnsi="Times New Roman" w:cs="Times New Roman"/>
                <w:b/>
                <w:bCs/>
                <w:color w:val="auto"/>
                <w:highlight w:val="none"/>
                <w:u w:val="none" w:color="auto"/>
                <w:lang w:val="en-US" w:eastAsia="zh-CN"/>
              </w:rPr>
            </w:pPr>
            <w:r>
              <w:rPr>
                <w:rFonts w:hint="eastAsia" w:ascii="Times New Roman" w:cs="Times New Roman"/>
                <w:b/>
                <w:bCs/>
                <w:color w:val="auto"/>
                <w:highlight w:val="none"/>
                <w:u w:val="none" w:color="auto"/>
                <w:lang w:val="en-US" w:eastAsia="zh-CN"/>
              </w:rPr>
              <w:t>4</w:t>
            </w:r>
            <w:r>
              <w:rPr>
                <w:rFonts w:hint="default" w:ascii="Times New Roman" w:hAnsi="Times New Roman" w:cs="Times New Roman"/>
                <w:b/>
                <w:bCs/>
                <w:color w:val="auto"/>
                <w:highlight w:val="none"/>
                <w:u w:val="none" w:color="auto"/>
                <w:lang w:val="en-US" w:eastAsia="zh-CN"/>
              </w:rPr>
              <w:t>、项目原辅材料</w:t>
            </w:r>
            <w:r>
              <w:rPr>
                <w:rFonts w:hint="eastAsia" w:cs="Times New Roman"/>
                <w:b/>
                <w:bCs/>
                <w:color w:val="auto"/>
                <w:highlight w:val="none"/>
                <w:u w:val="none" w:color="auto"/>
                <w:lang w:val="en-US" w:eastAsia="zh-CN"/>
              </w:rPr>
              <w:t>及能源</w:t>
            </w:r>
            <w:r>
              <w:rPr>
                <w:rFonts w:hint="default" w:ascii="Times New Roman" w:hAnsi="Times New Roman" w:cs="Times New Roman"/>
                <w:b/>
                <w:bCs/>
                <w:color w:val="auto"/>
                <w:highlight w:val="none"/>
                <w:u w:val="none" w:color="auto"/>
                <w:lang w:val="en-US" w:eastAsia="zh-CN"/>
              </w:rPr>
              <w:t>消耗情况</w:t>
            </w:r>
          </w:p>
          <w:p w14:paraId="7E54B625">
            <w:pPr>
              <w:pStyle w:val="54"/>
              <w:tabs>
                <w:tab w:val="left" w:pos="1021"/>
              </w:tabs>
              <w:bidi w:val="0"/>
              <w:spacing w:line="360" w:lineRule="auto"/>
              <w:rPr>
                <w:rFonts w:hint="default"/>
                <w:color w:val="auto"/>
                <w:highlight w:val="none"/>
                <w:u w:val="none" w:color="auto"/>
                <w:lang w:eastAsia="zh-CN"/>
              </w:rPr>
            </w:pPr>
            <w:r>
              <w:rPr>
                <w:rFonts w:hint="default" w:ascii="Times New Roman" w:hAnsi="Times New Roman" w:cs="Times New Roman"/>
                <w:color w:val="auto"/>
                <w:highlight w:val="none"/>
                <w:u w:val="single" w:color="auto"/>
                <w:lang w:eastAsia="zh-CN"/>
              </w:rPr>
              <w:t>本项目原料均为</w:t>
            </w:r>
            <w:r>
              <w:rPr>
                <w:rFonts w:hint="eastAsia" w:cs="Times New Roman"/>
                <w:color w:val="auto"/>
                <w:sz w:val="24"/>
                <w:highlight w:val="none"/>
                <w:u w:val="single" w:color="auto"/>
                <w:lang w:eastAsia="zh-CN"/>
              </w:rPr>
              <w:t>岳阳县长富钢瓶检测厂</w:t>
            </w:r>
            <w:r>
              <w:rPr>
                <w:rFonts w:hint="default" w:ascii="Times New Roman" w:hAnsi="Times New Roman" w:cs="Times New Roman"/>
                <w:color w:val="auto"/>
                <w:highlight w:val="none"/>
                <w:u w:val="single" w:color="auto"/>
                <w:lang w:eastAsia="zh-CN"/>
              </w:rPr>
              <w:t>判定报废液化石油气钢制气瓶，属于承压类特种设备，报废原因为使用超期、瓶体腐蚀变形、水压试验不合格，经抽残、高温除污、压扁</w:t>
            </w:r>
            <w:r>
              <w:rPr>
                <w:rFonts w:hint="eastAsia" w:ascii="Times New Roman" w:hAnsi="Times New Roman" w:cs="Times New Roman"/>
                <w:color w:val="auto"/>
                <w:highlight w:val="none"/>
                <w:u w:val="single" w:color="auto"/>
                <w:lang w:val="en-US" w:eastAsia="zh-CN"/>
              </w:rPr>
              <w:t>后得到报废钢瓶</w:t>
            </w:r>
            <w:r>
              <w:rPr>
                <w:rFonts w:hint="eastAsia" w:ascii="Times New Roman" w:cs="Times New Roman"/>
                <w:color w:val="auto"/>
                <w:highlight w:val="none"/>
                <w:u w:val="single" w:color="auto"/>
                <w:lang w:val="en-US" w:eastAsia="zh-CN"/>
              </w:rPr>
              <w:t>，属于废旧资源利用</w:t>
            </w:r>
            <w:r>
              <w:rPr>
                <w:rFonts w:hint="eastAsia" w:ascii="Times New Roman" w:hAnsi="Times New Roman" w:cs="Times New Roman"/>
                <w:color w:val="auto"/>
                <w:highlight w:val="none"/>
                <w:u w:val="single" w:color="auto"/>
                <w:lang w:eastAsia="zh-CN"/>
              </w:rPr>
              <w:t>。</w:t>
            </w:r>
            <w:r>
              <w:rPr>
                <w:rFonts w:hint="eastAsia" w:ascii="Times New Roman" w:cs="Times New Roman"/>
                <w:color w:val="auto"/>
                <w:highlight w:val="none"/>
                <w:u w:val="none" w:color="auto"/>
                <w:lang w:val="en-US" w:eastAsia="zh-CN"/>
              </w:rPr>
              <w:t>项目</w:t>
            </w:r>
            <w:r>
              <w:rPr>
                <w:rFonts w:hint="eastAsia" w:cs="Times New Roman"/>
                <w:color w:val="auto"/>
                <w:sz w:val="24"/>
                <w:highlight w:val="none"/>
                <w:lang w:val="en-US" w:eastAsia="zh-CN"/>
              </w:rPr>
              <w:t>年处置量</w:t>
            </w:r>
            <w:r>
              <w:rPr>
                <w:rFonts w:hint="eastAsia"/>
                <w:color w:val="auto"/>
                <w:highlight w:val="none"/>
                <w:u w:val="none" w:color="auto"/>
                <w:lang w:val="en-US" w:eastAsia="zh-CN"/>
              </w:rPr>
              <w:t>变动前后不变，详见下表：</w:t>
            </w:r>
          </w:p>
          <w:p w14:paraId="49C3DE60">
            <w:pPr>
              <w:bidi w:val="0"/>
              <w:jc w:val="center"/>
              <w:rPr>
                <w:rFonts w:hint="default" w:ascii="Times New Roman" w:hAnsi="Times New Roman"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表2-</w:t>
            </w:r>
            <w:r>
              <w:rPr>
                <w:rFonts w:hint="eastAsia" w:cs="Times New Roman"/>
                <w:b/>
                <w:bCs/>
                <w:color w:val="auto"/>
                <w:highlight w:val="none"/>
                <w:u w:val="none" w:color="auto"/>
                <w:lang w:val="en-US" w:eastAsia="zh-CN"/>
              </w:rPr>
              <w:t>3</w:t>
            </w:r>
            <w:r>
              <w:rPr>
                <w:rFonts w:hint="default" w:ascii="Times New Roman" w:hAnsi="Times New Roman" w:cs="Times New Roman"/>
                <w:b/>
                <w:bCs/>
                <w:color w:val="auto"/>
                <w:highlight w:val="none"/>
                <w:u w:val="none" w:color="auto"/>
                <w:lang w:val="en-US" w:eastAsia="zh-CN"/>
              </w:rPr>
              <w:t xml:space="preserve"> </w:t>
            </w:r>
            <w:r>
              <w:rPr>
                <w:rFonts w:hint="eastAsia" w:cs="Times New Roman"/>
                <w:b/>
                <w:bCs/>
                <w:color w:val="auto"/>
                <w:highlight w:val="none"/>
                <w:u w:val="none" w:color="auto"/>
                <w:lang w:val="en-US" w:eastAsia="zh-CN"/>
              </w:rPr>
              <w:t>项目原料用量</w:t>
            </w:r>
            <w:r>
              <w:rPr>
                <w:rFonts w:hint="default" w:ascii="Times New Roman" w:hAnsi="Times New Roman" w:cs="Times New Roman"/>
                <w:b/>
                <w:bCs/>
                <w:color w:val="auto"/>
                <w:highlight w:val="none"/>
                <w:u w:val="none" w:color="auto"/>
                <w:lang w:val="en-US" w:eastAsia="zh-CN"/>
              </w:rPr>
              <w:t>一览表</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65"/>
              <w:gridCol w:w="1191"/>
              <w:gridCol w:w="1523"/>
              <w:gridCol w:w="1472"/>
              <w:gridCol w:w="1025"/>
              <w:gridCol w:w="1509"/>
            </w:tblGrid>
            <w:tr w14:paraId="388D0F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93" w:type="pct"/>
                  <w:tcBorders>
                    <w:tl2br w:val="nil"/>
                    <w:tr2bl w:val="nil"/>
                  </w:tcBorders>
                  <w:noWrap w:val="0"/>
                  <w:vAlign w:val="center"/>
                </w:tcPr>
                <w:p w14:paraId="46251B7A">
                  <w:pPr>
                    <w:bidi w:val="0"/>
                    <w:jc w:val="center"/>
                    <w:rPr>
                      <w:rFonts w:hint="default" w:ascii="Times New Roman" w:hAnsi="Times New Roman" w:eastAsia="宋体" w:cs="Times New Roman"/>
                      <w:b/>
                      <w:bCs/>
                      <w:color w:val="auto"/>
                      <w:highlight w:val="none"/>
                      <w:u w:val="none" w:color="auto"/>
                      <w:lang w:eastAsia="zh-CN"/>
                    </w:rPr>
                  </w:pPr>
                  <w:r>
                    <w:rPr>
                      <w:rFonts w:hint="default" w:ascii="Times New Roman" w:hAnsi="Times New Roman" w:cs="Times New Roman"/>
                      <w:b/>
                      <w:bCs/>
                      <w:color w:val="auto"/>
                      <w:highlight w:val="none"/>
                      <w:u w:val="none" w:color="auto"/>
                      <w:lang w:val="en-US" w:eastAsia="zh-CN"/>
                    </w:rPr>
                    <w:t>原材料</w:t>
                  </w:r>
                </w:p>
              </w:tc>
              <w:tc>
                <w:tcPr>
                  <w:tcW w:w="710" w:type="pct"/>
                  <w:tcBorders>
                    <w:tl2br w:val="nil"/>
                    <w:tr2bl w:val="nil"/>
                  </w:tcBorders>
                  <w:noWrap w:val="0"/>
                  <w:vAlign w:val="center"/>
                </w:tcPr>
                <w:p w14:paraId="677CE678">
                  <w:pPr>
                    <w:bidi w:val="0"/>
                    <w:jc w:val="center"/>
                    <w:rPr>
                      <w:rFonts w:hint="eastAsia" w:cs="Times New Roman"/>
                      <w:b/>
                      <w:bCs/>
                      <w:color w:val="auto"/>
                      <w:highlight w:val="none"/>
                      <w:u w:val="none" w:color="auto"/>
                      <w:lang w:val="en-US" w:eastAsia="zh-CN"/>
                    </w:rPr>
                  </w:pPr>
                  <w:r>
                    <w:rPr>
                      <w:rFonts w:hint="eastAsia" w:cs="Times New Roman"/>
                      <w:b/>
                      <w:bCs/>
                      <w:color w:val="auto"/>
                      <w:highlight w:val="none"/>
                      <w:u w:val="none" w:color="auto"/>
                      <w:lang w:val="en-US" w:eastAsia="zh-CN"/>
                    </w:rPr>
                    <w:t>变动前</w:t>
                  </w:r>
                </w:p>
                <w:p w14:paraId="0F527B97">
                  <w:pPr>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年</w:t>
                  </w:r>
                  <w:r>
                    <w:rPr>
                      <w:rFonts w:hint="eastAsia" w:cs="Times New Roman"/>
                      <w:b/>
                      <w:bCs/>
                      <w:color w:val="auto"/>
                      <w:highlight w:val="none"/>
                      <w:u w:val="none" w:color="auto"/>
                      <w:lang w:val="en-US" w:eastAsia="zh-CN"/>
                    </w:rPr>
                    <w:t>处置</w:t>
                  </w:r>
                  <w:r>
                    <w:rPr>
                      <w:rFonts w:hint="default" w:ascii="Times New Roman" w:hAnsi="Times New Roman" w:cs="Times New Roman"/>
                      <w:b/>
                      <w:bCs/>
                      <w:color w:val="auto"/>
                      <w:highlight w:val="none"/>
                      <w:u w:val="none" w:color="auto"/>
                    </w:rPr>
                    <w:t>量</w:t>
                  </w:r>
                </w:p>
              </w:tc>
              <w:tc>
                <w:tcPr>
                  <w:tcW w:w="908" w:type="pct"/>
                  <w:tcBorders>
                    <w:tl2br w:val="nil"/>
                    <w:tr2bl w:val="nil"/>
                  </w:tcBorders>
                  <w:shd w:val="clear" w:color="auto" w:fill="auto"/>
                  <w:noWrap w:val="0"/>
                  <w:vAlign w:val="center"/>
                </w:tcPr>
                <w:p w14:paraId="636A2EB1">
                  <w:pPr>
                    <w:bidi w:val="0"/>
                    <w:jc w:val="center"/>
                    <w:rPr>
                      <w:rFonts w:hint="eastAsia" w:cs="Times New Roman"/>
                      <w:b/>
                      <w:bCs/>
                      <w:color w:val="auto"/>
                      <w:highlight w:val="none"/>
                      <w:u w:val="none" w:color="auto"/>
                      <w:lang w:val="en-US" w:eastAsia="zh-CN"/>
                    </w:rPr>
                  </w:pPr>
                  <w:r>
                    <w:rPr>
                      <w:rFonts w:hint="eastAsia" w:cs="Times New Roman"/>
                      <w:b/>
                      <w:bCs/>
                      <w:color w:val="auto"/>
                      <w:highlight w:val="none"/>
                      <w:u w:val="none" w:color="auto"/>
                      <w:lang w:val="en-US" w:eastAsia="zh-CN"/>
                    </w:rPr>
                    <w:t>变动后</w:t>
                  </w:r>
                </w:p>
                <w:p w14:paraId="468A9E3C">
                  <w:pPr>
                    <w:bidi w:val="0"/>
                    <w:jc w:val="center"/>
                    <w:rPr>
                      <w:rFonts w:hint="default" w:ascii="Times New Roman" w:hAnsi="Times New Roman" w:eastAsia="宋体" w:cs="Times New Roman"/>
                      <w:b/>
                      <w:bCs/>
                      <w:color w:val="auto"/>
                      <w:kern w:val="2"/>
                      <w:sz w:val="21"/>
                      <w:szCs w:val="24"/>
                      <w:highlight w:val="none"/>
                      <w:u w:val="none" w:color="auto"/>
                      <w:lang w:val="en-US" w:eastAsia="zh-CN" w:bidi="ar-SA"/>
                    </w:rPr>
                  </w:pPr>
                  <w:r>
                    <w:rPr>
                      <w:rFonts w:hint="default" w:ascii="Times New Roman" w:hAnsi="Times New Roman" w:cs="Times New Roman"/>
                      <w:b/>
                      <w:bCs/>
                      <w:color w:val="auto"/>
                      <w:highlight w:val="none"/>
                      <w:u w:val="none" w:color="auto"/>
                    </w:rPr>
                    <w:t>年</w:t>
                  </w:r>
                  <w:r>
                    <w:rPr>
                      <w:rFonts w:hint="eastAsia" w:cs="Times New Roman"/>
                      <w:b/>
                      <w:bCs/>
                      <w:color w:val="auto"/>
                      <w:highlight w:val="none"/>
                      <w:u w:val="none" w:color="auto"/>
                      <w:lang w:val="en-US" w:eastAsia="zh-CN"/>
                    </w:rPr>
                    <w:t>处置</w:t>
                  </w:r>
                  <w:r>
                    <w:rPr>
                      <w:rFonts w:hint="default" w:ascii="Times New Roman" w:hAnsi="Times New Roman" w:cs="Times New Roman"/>
                      <w:b/>
                      <w:bCs/>
                      <w:color w:val="auto"/>
                      <w:highlight w:val="none"/>
                      <w:u w:val="none" w:color="auto"/>
                    </w:rPr>
                    <w:t>量</w:t>
                  </w:r>
                </w:p>
              </w:tc>
              <w:tc>
                <w:tcPr>
                  <w:tcW w:w="878" w:type="pct"/>
                  <w:tcBorders>
                    <w:right w:val="single" w:color="auto" w:sz="4" w:space="0"/>
                    <w:tl2br w:val="nil"/>
                    <w:tr2bl w:val="nil"/>
                  </w:tcBorders>
                  <w:noWrap w:val="0"/>
                  <w:vAlign w:val="center"/>
                </w:tcPr>
                <w:p w14:paraId="60F5098D">
                  <w:pPr>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储存</w:t>
                  </w:r>
                  <w:r>
                    <w:rPr>
                      <w:rFonts w:hint="default" w:ascii="Times New Roman" w:hAnsi="Times New Roman" w:cs="Times New Roman"/>
                      <w:b/>
                      <w:bCs/>
                      <w:color w:val="auto"/>
                      <w:highlight w:val="none"/>
                      <w:u w:val="none" w:color="auto"/>
                      <w:lang w:val="en-US" w:eastAsia="zh-CN"/>
                    </w:rPr>
                    <w:t>位置</w:t>
                  </w:r>
                </w:p>
              </w:tc>
              <w:tc>
                <w:tcPr>
                  <w:tcW w:w="611" w:type="pct"/>
                  <w:tcBorders>
                    <w:left w:val="single" w:color="auto" w:sz="4" w:space="0"/>
                    <w:tl2br w:val="nil"/>
                    <w:tr2bl w:val="nil"/>
                  </w:tcBorders>
                  <w:noWrap w:val="0"/>
                  <w:vAlign w:val="center"/>
                </w:tcPr>
                <w:p w14:paraId="41887491">
                  <w:pPr>
                    <w:bidi w:val="0"/>
                    <w:jc w:val="center"/>
                    <w:rPr>
                      <w:rFonts w:hint="default" w:ascii="Times New Roman" w:hAnsi="Times New Roman"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最大</w:t>
                  </w:r>
                  <w:r>
                    <w:rPr>
                      <w:rFonts w:hint="default" w:ascii="Times New Roman" w:hAnsi="Times New Roman" w:cs="Times New Roman"/>
                      <w:b/>
                      <w:bCs/>
                      <w:color w:val="auto"/>
                      <w:highlight w:val="none"/>
                      <w:u w:val="none" w:color="auto"/>
                    </w:rPr>
                    <w:t>储存量</w:t>
                  </w:r>
                </w:p>
              </w:tc>
              <w:tc>
                <w:tcPr>
                  <w:tcW w:w="898" w:type="pct"/>
                  <w:tcBorders>
                    <w:left w:val="single" w:color="auto" w:sz="4" w:space="0"/>
                    <w:tl2br w:val="nil"/>
                    <w:tr2bl w:val="nil"/>
                  </w:tcBorders>
                  <w:noWrap w:val="0"/>
                  <w:vAlign w:val="center"/>
                </w:tcPr>
                <w:p w14:paraId="6A78C165">
                  <w:pPr>
                    <w:bidi w:val="0"/>
                    <w:jc w:val="center"/>
                    <w:rPr>
                      <w:rFonts w:hint="default" w:ascii="Times New Roman" w:hAnsi="Times New Roman" w:cs="Times New Roman"/>
                      <w:b/>
                      <w:bCs/>
                      <w:color w:val="auto"/>
                      <w:highlight w:val="none"/>
                      <w:u w:val="none" w:color="auto"/>
                      <w:lang w:val="en-US" w:eastAsia="zh-CN"/>
                    </w:rPr>
                  </w:pPr>
                  <w:r>
                    <w:rPr>
                      <w:rFonts w:hint="eastAsia" w:ascii="Times New Roman" w:hAnsi="Times New Roman" w:cs="Times New Roman"/>
                      <w:b/>
                      <w:bCs/>
                      <w:color w:val="auto"/>
                      <w:highlight w:val="none"/>
                      <w:u w:val="none" w:color="auto"/>
                      <w:lang w:val="en-US" w:eastAsia="zh-CN"/>
                    </w:rPr>
                    <w:t>备注</w:t>
                  </w:r>
                </w:p>
              </w:tc>
            </w:tr>
            <w:tr w14:paraId="603E5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93" w:type="pct"/>
                  <w:tcBorders>
                    <w:tl2br w:val="nil"/>
                    <w:tr2bl w:val="nil"/>
                  </w:tcBorders>
                  <w:noWrap w:val="0"/>
                  <w:vAlign w:val="center"/>
                </w:tcPr>
                <w:p w14:paraId="12663494">
                  <w:pPr>
                    <w:bidi w:val="0"/>
                    <w:jc w:val="center"/>
                    <w:rPr>
                      <w:rFonts w:hint="default" w:ascii="Times New Roman" w:hAnsi="Times New Roman" w:eastAsia="宋体" w:cs="Times New Roman"/>
                      <w:color w:val="auto"/>
                      <w:highlight w:val="none"/>
                      <w:u w:val="none" w:color="auto"/>
                      <w:lang w:eastAsia="zh-CN"/>
                    </w:rPr>
                  </w:pPr>
                  <w:r>
                    <w:rPr>
                      <w:rFonts w:hint="default" w:ascii="Times New Roman" w:hAnsi="Times New Roman" w:eastAsia="宋体" w:cs="Times New Roman"/>
                      <w:color w:val="auto"/>
                      <w:highlight w:val="none"/>
                      <w:u w:val="none" w:color="auto"/>
                      <w:lang w:val="en-US" w:eastAsia="zh-CN"/>
                    </w:rPr>
                    <w:t>废旧液化石油气钢瓶</w:t>
                  </w:r>
                </w:p>
              </w:tc>
              <w:tc>
                <w:tcPr>
                  <w:tcW w:w="710" w:type="pct"/>
                  <w:tcBorders>
                    <w:tl2br w:val="nil"/>
                    <w:tr2bl w:val="nil"/>
                  </w:tcBorders>
                  <w:noWrap w:val="0"/>
                  <w:vAlign w:val="center"/>
                </w:tcPr>
                <w:p w14:paraId="4754CB01">
                  <w:pPr>
                    <w:bidi w:val="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cs="Times New Roman"/>
                      <w:color w:val="auto"/>
                      <w:highlight w:val="none"/>
                      <w:u w:val="none" w:color="auto"/>
                      <w:vertAlign w:val="baseline"/>
                      <w:lang w:val="en-US" w:eastAsia="zh-CN"/>
                    </w:rPr>
                    <w:t>12万</w:t>
                  </w:r>
                  <w:r>
                    <w:rPr>
                      <w:rFonts w:hint="default" w:ascii="Times New Roman" w:hAnsi="Times New Roman" w:cs="Times New Roman"/>
                      <w:color w:val="auto"/>
                      <w:highlight w:val="none"/>
                      <w:u w:val="none" w:color="auto"/>
                      <w:lang w:val="en-US" w:eastAsia="zh-CN"/>
                    </w:rPr>
                    <w:t>只</w:t>
                  </w:r>
                </w:p>
              </w:tc>
              <w:tc>
                <w:tcPr>
                  <w:tcW w:w="908" w:type="pct"/>
                  <w:tcBorders>
                    <w:tl2br w:val="nil"/>
                    <w:tr2bl w:val="nil"/>
                  </w:tcBorders>
                  <w:shd w:val="clear" w:color="auto" w:fill="auto"/>
                  <w:noWrap w:val="0"/>
                  <w:vAlign w:val="center"/>
                </w:tcPr>
                <w:p w14:paraId="0A263E8C">
                  <w:pPr>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vertAlign w:val="baseline"/>
                      <w:lang w:val="en-US" w:eastAsia="zh-CN"/>
                    </w:rPr>
                    <w:t>12万</w:t>
                  </w:r>
                  <w:r>
                    <w:rPr>
                      <w:rFonts w:hint="default" w:ascii="Times New Roman" w:hAnsi="Times New Roman" w:cs="Times New Roman"/>
                      <w:color w:val="auto"/>
                      <w:highlight w:val="none"/>
                      <w:u w:val="none" w:color="auto"/>
                      <w:lang w:val="en-US" w:eastAsia="zh-CN"/>
                    </w:rPr>
                    <w:t>只</w:t>
                  </w:r>
                </w:p>
              </w:tc>
              <w:tc>
                <w:tcPr>
                  <w:tcW w:w="878" w:type="pct"/>
                  <w:tcBorders>
                    <w:right w:val="single" w:color="auto" w:sz="4" w:space="0"/>
                    <w:tl2br w:val="nil"/>
                    <w:tr2bl w:val="nil"/>
                  </w:tcBorders>
                  <w:noWrap w:val="0"/>
                  <w:vAlign w:val="center"/>
                </w:tcPr>
                <w:p w14:paraId="3322F565">
                  <w:pPr>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原材料堆场</w:t>
                  </w:r>
                </w:p>
              </w:tc>
              <w:tc>
                <w:tcPr>
                  <w:tcW w:w="611" w:type="pct"/>
                  <w:tcBorders>
                    <w:left w:val="single" w:color="auto" w:sz="4" w:space="0"/>
                    <w:tl2br w:val="nil"/>
                    <w:tr2bl w:val="nil"/>
                  </w:tcBorders>
                  <w:noWrap w:val="0"/>
                  <w:vAlign w:val="center"/>
                </w:tcPr>
                <w:p w14:paraId="18AD1CAF">
                  <w:pPr>
                    <w:bidi w:val="0"/>
                    <w:jc w:val="center"/>
                    <w:rPr>
                      <w:rFonts w:hint="eastAsia" w:cs="Times New Roman"/>
                      <w:color w:val="auto"/>
                      <w:highlight w:val="none"/>
                      <w:u w:val="none" w:color="auto"/>
                      <w:vertAlign w:val="baseline"/>
                      <w:lang w:val="en-US" w:eastAsia="zh-CN"/>
                    </w:rPr>
                  </w:pPr>
                  <w:r>
                    <w:rPr>
                      <w:rFonts w:hint="eastAsia" w:cs="Times New Roman"/>
                      <w:color w:val="auto"/>
                      <w:highlight w:val="none"/>
                      <w:u w:val="none" w:color="auto"/>
                      <w:vertAlign w:val="baseline"/>
                      <w:lang w:val="en-US" w:eastAsia="zh-CN"/>
                    </w:rPr>
                    <w:t>1800</w:t>
                  </w:r>
                  <w:r>
                    <w:rPr>
                      <w:rFonts w:hint="default" w:ascii="Times New Roman" w:hAnsi="Times New Roman" w:cs="Times New Roman"/>
                      <w:color w:val="auto"/>
                      <w:highlight w:val="none"/>
                      <w:u w:val="none" w:color="auto"/>
                      <w:vertAlign w:val="baseline"/>
                      <w:lang w:val="en-US" w:eastAsia="zh-CN"/>
                    </w:rPr>
                    <w:t>只</w:t>
                  </w:r>
                </w:p>
              </w:tc>
              <w:tc>
                <w:tcPr>
                  <w:tcW w:w="898" w:type="pct"/>
                  <w:tcBorders>
                    <w:left w:val="single" w:color="auto" w:sz="4" w:space="0"/>
                    <w:tl2br w:val="nil"/>
                    <w:tr2bl w:val="nil"/>
                  </w:tcBorders>
                  <w:noWrap w:val="0"/>
                  <w:vAlign w:val="center"/>
                </w:tcPr>
                <w:p w14:paraId="61546E6B">
                  <w:pPr>
                    <w:bidi w:val="0"/>
                    <w:jc w:val="center"/>
                    <w:rPr>
                      <w:rFonts w:hint="default" w:cs="Times New Roman"/>
                      <w:color w:val="auto"/>
                      <w:highlight w:val="none"/>
                      <w:u w:val="none" w:color="auto"/>
                      <w:vertAlign w:val="baseline"/>
                      <w:lang w:val="en-US" w:eastAsia="zh-CN"/>
                    </w:rPr>
                  </w:pPr>
                  <w:r>
                    <w:rPr>
                      <w:rFonts w:hint="eastAsia" w:ascii="Times New Roman" w:hAnsi="Times New Roman" w:eastAsia="宋体" w:cs="Times New Roman"/>
                      <w:color w:val="auto"/>
                      <w:sz w:val="21"/>
                      <w:szCs w:val="21"/>
                      <w:lang w:val="en-US" w:eastAsia="zh-CN"/>
                    </w:rPr>
                    <w:t>无变化</w:t>
                  </w:r>
                </w:p>
              </w:tc>
            </w:tr>
            <w:tr w14:paraId="549326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000" w:type="pct"/>
                  <w:gridSpan w:val="6"/>
                  <w:tcBorders>
                    <w:tl2br w:val="nil"/>
                    <w:tr2bl w:val="nil"/>
                  </w:tcBorders>
                  <w:noWrap w:val="0"/>
                  <w:vAlign w:val="center"/>
                </w:tcPr>
                <w:p w14:paraId="4DE8ACCB">
                  <w:pPr>
                    <w:pStyle w:val="63"/>
                    <w:tabs>
                      <w:tab w:val="left" w:pos="1021"/>
                    </w:tabs>
                    <w:bidi w:val="0"/>
                    <w:jc w:val="both"/>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注：</w:t>
                  </w:r>
                  <w:r>
                    <w:rPr>
                      <w:rFonts w:hint="default" w:ascii="Times New Roman" w:hAnsi="Times New Roman" w:cs="Times New Roman"/>
                      <w:color w:val="auto"/>
                      <w:highlight w:val="none"/>
                      <w:u w:val="none" w:color="auto"/>
                    </w:rPr>
                    <w:t>1只液化石油气钢瓶</w:t>
                  </w:r>
                  <w:r>
                    <w:rPr>
                      <w:rFonts w:hint="default" w:ascii="Times New Roman" w:hAnsi="Times New Roman" w:cs="Times New Roman"/>
                      <w:color w:val="auto"/>
                      <w:highlight w:val="none"/>
                      <w:u w:val="none" w:color="auto"/>
                      <w:lang w:val="en-US" w:eastAsia="zh-CN"/>
                    </w:rPr>
                    <w:t>约</w:t>
                  </w:r>
                  <w:r>
                    <w:rPr>
                      <w:rFonts w:hint="default" w:ascii="Times New Roman" w:hAnsi="Times New Roman" w:cs="Times New Roman"/>
                      <w:color w:val="auto"/>
                      <w:highlight w:val="none"/>
                      <w:u w:val="none" w:color="auto"/>
                    </w:rPr>
                    <w:t>16.5公斤</w:t>
                  </w:r>
                  <w:r>
                    <w:rPr>
                      <w:rFonts w:hint="default" w:ascii="Times New Roman" w:hAnsi="Times New Roman" w:cs="Times New Roman"/>
                      <w:color w:val="auto"/>
                      <w:highlight w:val="none"/>
                      <w:u w:val="none" w:color="auto"/>
                      <w:lang w:eastAsia="zh-CN"/>
                    </w:rPr>
                    <w:t>；</w:t>
                  </w:r>
                </w:p>
              </w:tc>
            </w:tr>
          </w:tbl>
          <w:p w14:paraId="77DD6E2F">
            <w:pPr>
              <w:pStyle w:val="63"/>
              <w:tabs>
                <w:tab w:val="left" w:pos="1021"/>
              </w:tabs>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表</w:t>
            </w:r>
            <w:r>
              <w:rPr>
                <w:rFonts w:hint="default" w:ascii="Times New Roman" w:hAnsi="Times New Roman" w:cs="Times New Roman"/>
                <w:b/>
                <w:bCs/>
                <w:color w:val="auto"/>
                <w:highlight w:val="none"/>
                <w:u w:val="none" w:color="auto"/>
                <w:lang w:val="en-US" w:eastAsia="zh-CN"/>
              </w:rPr>
              <w:t>2</w:t>
            </w:r>
            <w:r>
              <w:rPr>
                <w:rFonts w:hint="eastAsia" w:ascii="Times New Roman" w:hAnsi="Times New Roman" w:cs="Times New Roman"/>
                <w:b/>
                <w:bCs/>
                <w:color w:val="auto"/>
                <w:highlight w:val="none"/>
                <w:u w:val="none" w:color="auto"/>
                <w:lang w:val="en-US" w:eastAsia="zh-CN"/>
              </w:rPr>
              <w:t>-4</w:t>
            </w:r>
            <w:r>
              <w:rPr>
                <w:rFonts w:hint="default" w:ascii="Times New Roman" w:hAnsi="Times New Roman" w:cs="Times New Roman"/>
                <w:b/>
                <w:bCs/>
                <w:color w:val="auto"/>
                <w:highlight w:val="none"/>
                <w:u w:val="none" w:color="auto"/>
                <w:lang w:val="en-US" w:eastAsia="zh-CN"/>
              </w:rPr>
              <w:t xml:space="preserve">   </w:t>
            </w:r>
            <w:r>
              <w:rPr>
                <w:rFonts w:hint="eastAsia" w:cs="Times New Roman"/>
                <w:b/>
                <w:bCs/>
                <w:color w:val="auto"/>
                <w:highlight w:val="none"/>
                <w:u w:val="none" w:color="auto"/>
                <w:lang w:val="en-US" w:eastAsia="zh-CN"/>
              </w:rPr>
              <w:t>项目辅料、</w:t>
            </w:r>
            <w:r>
              <w:rPr>
                <w:rFonts w:hint="default" w:ascii="Times New Roman" w:hAnsi="Times New Roman" w:cs="Times New Roman"/>
                <w:b/>
                <w:bCs/>
                <w:color w:val="auto"/>
                <w:highlight w:val="none"/>
                <w:u w:val="none" w:color="auto"/>
              </w:rPr>
              <w:t>能源消耗情况</w:t>
            </w:r>
          </w:p>
          <w:tbl>
            <w:tblPr>
              <w:tblStyle w:val="33"/>
              <w:tblW w:w="49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7"/>
              <w:gridCol w:w="1231"/>
              <w:gridCol w:w="968"/>
              <w:gridCol w:w="1396"/>
              <w:gridCol w:w="1288"/>
              <w:gridCol w:w="1592"/>
              <w:gridCol w:w="1481"/>
            </w:tblGrid>
            <w:tr w14:paraId="2F116B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54" w:type="pct"/>
                  <w:noWrap w:val="0"/>
                  <w:vAlign w:val="center"/>
                </w:tcPr>
                <w:p w14:paraId="3CAAFD02">
                  <w:pPr>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序号</w:t>
                  </w:r>
                </w:p>
              </w:tc>
              <w:tc>
                <w:tcPr>
                  <w:tcW w:w="734" w:type="pct"/>
                  <w:noWrap w:val="0"/>
                  <w:vAlign w:val="center"/>
                </w:tcPr>
                <w:p w14:paraId="41C27532">
                  <w:pPr>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名称</w:t>
                  </w:r>
                </w:p>
              </w:tc>
              <w:tc>
                <w:tcPr>
                  <w:tcW w:w="577" w:type="pct"/>
                  <w:noWrap w:val="0"/>
                  <w:vAlign w:val="center"/>
                </w:tcPr>
                <w:p w14:paraId="2EE8238C">
                  <w:pPr>
                    <w:bidi w:val="0"/>
                    <w:jc w:val="center"/>
                    <w:rPr>
                      <w:rFonts w:hint="eastAsia" w:cs="Times New Roman"/>
                      <w:b/>
                      <w:bCs/>
                      <w:color w:val="auto"/>
                      <w:highlight w:val="none"/>
                      <w:u w:val="none" w:color="auto"/>
                      <w:lang w:val="en-US" w:eastAsia="zh-CN"/>
                    </w:rPr>
                  </w:pPr>
                  <w:r>
                    <w:rPr>
                      <w:rFonts w:hint="eastAsia" w:cs="Times New Roman"/>
                      <w:b/>
                      <w:bCs/>
                      <w:color w:val="auto"/>
                      <w:highlight w:val="none"/>
                      <w:u w:val="none" w:color="auto"/>
                      <w:lang w:val="en-US" w:eastAsia="zh-CN"/>
                    </w:rPr>
                    <w:t>变动前</w:t>
                  </w:r>
                </w:p>
                <w:p w14:paraId="5114DCB1">
                  <w:pPr>
                    <w:jc w:val="center"/>
                    <w:rPr>
                      <w:rFonts w:hint="default" w:ascii="Times New Roman" w:hAnsi="Times New Roman" w:eastAsia="宋体" w:cs="Times New Roman"/>
                      <w:b/>
                      <w:bCs/>
                      <w:color w:val="auto"/>
                      <w:highlight w:val="none"/>
                      <w:u w:val="none" w:color="auto"/>
                    </w:rPr>
                  </w:pPr>
                  <w:r>
                    <w:rPr>
                      <w:rFonts w:hint="default" w:ascii="Times New Roman" w:hAnsi="Times New Roman" w:cs="Times New Roman"/>
                      <w:b/>
                      <w:bCs/>
                      <w:color w:val="auto"/>
                      <w:highlight w:val="none"/>
                      <w:u w:val="none" w:color="auto"/>
                    </w:rPr>
                    <w:t>年用量</w:t>
                  </w:r>
                </w:p>
              </w:tc>
              <w:tc>
                <w:tcPr>
                  <w:tcW w:w="832" w:type="pct"/>
                  <w:noWrap w:val="0"/>
                  <w:vAlign w:val="center"/>
                </w:tcPr>
                <w:p w14:paraId="6366DE01">
                  <w:pPr>
                    <w:bidi w:val="0"/>
                    <w:jc w:val="center"/>
                    <w:rPr>
                      <w:rFonts w:hint="eastAsia" w:cs="Times New Roman"/>
                      <w:b/>
                      <w:bCs/>
                      <w:color w:val="auto"/>
                      <w:highlight w:val="none"/>
                      <w:u w:val="none" w:color="auto"/>
                      <w:lang w:val="en-US" w:eastAsia="zh-CN"/>
                    </w:rPr>
                  </w:pPr>
                  <w:r>
                    <w:rPr>
                      <w:rFonts w:hint="eastAsia" w:cs="Times New Roman"/>
                      <w:b/>
                      <w:bCs/>
                      <w:color w:val="auto"/>
                      <w:highlight w:val="none"/>
                      <w:u w:val="none" w:color="auto"/>
                      <w:lang w:val="en-US" w:eastAsia="zh-CN"/>
                    </w:rPr>
                    <w:t>变动后</w:t>
                  </w:r>
                </w:p>
                <w:p w14:paraId="2A990A72">
                  <w:pPr>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年用量</w:t>
                  </w:r>
                </w:p>
              </w:tc>
              <w:tc>
                <w:tcPr>
                  <w:tcW w:w="768" w:type="pct"/>
                  <w:noWrap w:val="0"/>
                  <w:vAlign w:val="center"/>
                </w:tcPr>
                <w:p w14:paraId="4FDFECD4">
                  <w:pPr>
                    <w:jc w:val="center"/>
                    <w:rPr>
                      <w:rFonts w:hint="default" w:ascii="Times New Roman" w:hAnsi="Times New Roman" w:eastAsia="宋体" w:cs="Times New Roman"/>
                      <w:b/>
                      <w:bCs/>
                      <w:color w:val="auto"/>
                      <w:highlight w:val="none"/>
                      <w:u w:val="none" w:color="auto"/>
                      <w:lang w:val="en-US" w:eastAsia="zh-CN"/>
                    </w:rPr>
                  </w:pPr>
                  <w:r>
                    <w:rPr>
                      <w:rFonts w:hint="default" w:ascii="Times New Roman" w:hAnsi="Times New Roman" w:eastAsia="宋体" w:cs="Times New Roman"/>
                      <w:b/>
                      <w:bCs/>
                      <w:color w:val="auto"/>
                      <w:highlight w:val="none"/>
                      <w:u w:val="none" w:color="auto"/>
                    </w:rPr>
                    <w:t>单位</w:t>
                  </w:r>
                </w:p>
              </w:tc>
              <w:tc>
                <w:tcPr>
                  <w:tcW w:w="949" w:type="pct"/>
                  <w:noWrap w:val="0"/>
                  <w:vAlign w:val="center"/>
                </w:tcPr>
                <w:p w14:paraId="243D06A6">
                  <w:pPr>
                    <w:jc w:val="center"/>
                    <w:rPr>
                      <w:rFonts w:hint="default" w:ascii="Times New Roman" w:hAnsi="Times New Roman" w:eastAsia="宋体" w:cs="Times New Roman"/>
                      <w:b/>
                      <w:bCs/>
                      <w:color w:val="auto"/>
                      <w:highlight w:val="none"/>
                      <w:u w:val="none" w:color="auto"/>
                      <w:lang w:val="en-US" w:eastAsia="zh-CN"/>
                    </w:rPr>
                  </w:pPr>
                  <w:r>
                    <w:rPr>
                      <w:rFonts w:hint="eastAsia" w:cs="Times New Roman"/>
                      <w:b/>
                      <w:bCs/>
                      <w:color w:val="auto"/>
                      <w:highlight w:val="none"/>
                      <w:u w:val="none" w:color="auto"/>
                      <w:lang w:val="en-US" w:eastAsia="zh-CN"/>
                    </w:rPr>
                    <w:t>来源</w:t>
                  </w:r>
                </w:p>
              </w:tc>
              <w:tc>
                <w:tcPr>
                  <w:tcW w:w="883" w:type="pct"/>
                  <w:noWrap w:val="0"/>
                  <w:vAlign w:val="center"/>
                </w:tcPr>
                <w:p w14:paraId="30FE20A3">
                  <w:pPr>
                    <w:jc w:val="center"/>
                    <w:rPr>
                      <w:rFonts w:hint="default" w:cs="Times New Roman"/>
                      <w:b/>
                      <w:bCs/>
                      <w:color w:val="auto"/>
                      <w:highlight w:val="none"/>
                      <w:u w:val="none" w:color="auto"/>
                      <w:lang w:val="en-US" w:eastAsia="zh-CN"/>
                    </w:rPr>
                  </w:pPr>
                  <w:r>
                    <w:rPr>
                      <w:rFonts w:hint="eastAsia" w:cs="Times New Roman"/>
                      <w:b/>
                      <w:bCs/>
                      <w:color w:val="auto"/>
                      <w:highlight w:val="none"/>
                      <w:u w:val="none" w:color="auto"/>
                      <w:lang w:val="en-US" w:eastAsia="zh-CN"/>
                    </w:rPr>
                    <w:t>备注</w:t>
                  </w:r>
                </w:p>
              </w:tc>
            </w:tr>
            <w:tr w14:paraId="0115DA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54" w:type="pct"/>
                  <w:noWrap w:val="0"/>
                  <w:vAlign w:val="center"/>
                </w:tcPr>
                <w:p w14:paraId="46069471">
                  <w:pPr>
                    <w:jc w:val="center"/>
                    <w:rPr>
                      <w:rFonts w:hint="default" w:ascii="Times New Roman" w:hAnsi="Times New Roman" w:eastAsia="宋体" w:cs="Times New Roman"/>
                      <w:b w:val="0"/>
                      <w:bCs w:val="0"/>
                      <w:color w:val="auto"/>
                      <w:highlight w:val="none"/>
                      <w:u w:val="none" w:color="auto"/>
                    </w:rPr>
                  </w:pPr>
                  <w:r>
                    <w:rPr>
                      <w:rFonts w:hint="default" w:ascii="Times New Roman" w:hAnsi="Times New Roman" w:eastAsia="宋体" w:cs="Times New Roman"/>
                      <w:b w:val="0"/>
                      <w:bCs w:val="0"/>
                      <w:color w:val="auto"/>
                      <w:highlight w:val="none"/>
                      <w:u w:val="none" w:color="auto"/>
                    </w:rPr>
                    <w:t>1</w:t>
                  </w:r>
                </w:p>
              </w:tc>
              <w:tc>
                <w:tcPr>
                  <w:tcW w:w="734" w:type="pct"/>
                  <w:noWrap w:val="0"/>
                  <w:vAlign w:val="center"/>
                </w:tcPr>
                <w:p w14:paraId="5655C909">
                  <w:pPr>
                    <w:jc w:val="center"/>
                    <w:rPr>
                      <w:rFonts w:hint="default" w:ascii="Times New Roman" w:hAnsi="Times New Roman" w:eastAsia="宋体" w:cs="Times New Roman"/>
                      <w:b w:val="0"/>
                      <w:bCs w:val="0"/>
                      <w:color w:val="auto"/>
                      <w:highlight w:val="none"/>
                      <w:u w:val="none" w:color="auto"/>
                    </w:rPr>
                  </w:pPr>
                  <w:r>
                    <w:rPr>
                      <w:rFonts w:hint="default" w:ascii="Times New Roman" w:hAnsi="Times New Roman" w:eastAsia="宋体" w:cs="Times New Roman"/>
                      <w:b w:val="0"/>
                      <w:bCs w:val="0"/>
                      <w:color w:val="auto"/>
                      <w:highlight w:val="none"/>
                      <w:u w:val="none" w:color="auto"/>
                    </w:rPr>
                    <w:t>电</w:t>
                  </w:r>
                </w:p>
              </w:tc>
              <w:tc>
                <w:tcPr>
                  <w:tcW w:w="577" w:type="pct"/>
                  <w:noWrap w:val="0"/>
                  <w:vAlign w:val="center"/>
                </w:tcPr>
                <w:p w14:paraId="3FBE1F12">
                  <w:pPr>
                    <w:jc w:val="center"/>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10</w:t>
                  </w:r>
                </w:p>
              </w:tc>
              <w:tc>
                <w:tcPr>
                  <w:tcW w:w="832" w:type="pct"/>
                  <w:noWrap w:val="0"/>
                  <w:vAlign w:val="center"/>
                </w:tcPr>
                <w:p w14:paraId="73A09E35">
                  <w:pPr>
                    <w:jc w:val="center"/>
                    <w:rPr>
                      <w:rFonts w:hint="default" w:ascii="Times New Roman" w:hAnsi="Times New Roman"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1</w:t>
                  </w:r>
                  <w:r>
                    <w:rPr>
                      <w:rFonts w:hint="eastAsia" w:ascii="Times New Roman" w:hAnsi="Times New Roman" w:cs="Times New Roman"/>
                      <w:b w:val="0"/>
                      <w:bCs w:val="0"/>
                      <w:color w:val="auto"/>
                      <w:highlight w:val="none"/>
                      <w:u w:val="none" w:color="auto"/>
                      <w:lang w:val="en-US" w:eastAsia="zh-CN"/>
                    </w:rPr>
                    <w:t>1</w:t>
                  </w:r>
                </w:p>
              </w:tc>
              <w:tc>
                <w:tcPr>
                  <w:tcW w:w="768" w:type="pct"/>
                  <w:noWrap w:val="0"/>
                  <w:vAlign w:val="center"/>
                </w:tcPr>
                <w:p w14:paraId="49B61DC5">
                  <w:pPr>
                    <w:jc w:val="center"/>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万度</w:t>
                  </w:r>
                </w:p>
              </w:tc>
              <w:tc>
                <w:tcPr>
                  <w:tcW w:w="949" w:type="pct"/>
                  <w:noWrap w:val="0"/>
                  <w:vAlign w:val="center"/>
                </w:tcPr>
                <w:p w14:paraId="4457E9D0">
                  <w:pPr>
                    <w:jc w:val="center"/>
                    <w:rPr>
                      <w:rFonts w:hint="default" w:ascii="Times New Roman" w:hAnsi="Times New Roman" w:eastAsia="宋体" w:cs="Times New Roman"/>
                      <w:b w:val="0"/>
                      <w:bCs w:val="0"/>
                      <w:color w:val="auto"/>
                      <w:highlight w:val="none"/>
                      <w:u w:val="none" w:color="auto"/>
                    </w:rPr>
                  </w:pPr>
                  <w:r>
                    <w:rPr>
                      <w:rFonts w:hint="default" w:ascii="Times New Roman" w:hAnsi="Times New Roman" w:eastAsia="宋体" w:cs="Times New Roman"/>
                      <w:color w:val="auto"/>
                      <w:highlight w:val="none"/>
                      <w:u w:val="none" w:color="auto"/>
                      <w:lang w:val="en-US" w:eastAsia="zh-CN"/>
                    </w:rPr>
                    <w:t>市政电网</w:t>
                  </w:r>
                </w:p>
              </w:tc>
              <w:tc>
                <w:tcPr>
                  <w:tcW w:w="883" w:type="pct"/>
                  <w:noWrap w:val="0"/>
                  <w:vAlign w:val="center"/>
                </w:tcPr>
                <w:p w14:paraId="6463E938">
                  <w:pPr>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用量增加</w:t>
                  </w:r>
                </w:p>
              </w:tc>
            </w:tr>
            <w:tr w14:paraId="2AFE1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54" w:type="pct"/>
                  <w:noWrap w:val="0"/>
                  <w:vAlign w:val="center"/>
                </w:tcPr>
                <w:p w14:paraId="0797D6DF">
                  <w:pPr>
                    <w:jc w:val="center"/>
                    <w:rPr>
                      <w:rFonts w:hint="default" w:ascii="Times New Roman" w:hAnsi="Times New Roman" w:eastAsia="宋体" w:cs="Times New Roman"/>
                      <w:b w:val="0"/>
                      <w:bCs w:val="0"/>
                      <w:color w:val="auto"/>
                      <w:highlight w:val="none"/>
                      <w:u w:val="none" w:color="auto"/>
                    </w:rPr>
                  </w:pPr>
                  <w:r>
                    <w:rPr>
                      <w:rFonts w:hint="default" w:ascii="Times New Roman" w:hAnsi="Times New Roman" w:eastAsia="宋体" w:cs="Times New Roman"/>
                      <w:b w:val="0"/>
                      <w:bCs w:val="0"/>
                      <w:color w:val="auto"/>
                      <w:highlight w:val="none"/>
                      <w:u w:val="none" w:color="auto"/>
                    </w:rPr>
                    <w:t>2</w:t>
                  </w:r>
                </w:p>
              </w:tc>
              <w:tc>
                <w:tcPr>
                  <w:tcW w:w="734" w:type="pct"/>
                  <w:noWrap w:val="0"/>
                  <w:vAlign w:val="center"/>
                </w:tcPr>
                <w:p w14:paraId="2AB26C13">
                  <w:pPr>
                    <w:jc w:val="center"/>
                    <w:rPr>
                      <w:rFonts w:hint="default" w:ascii="Times New Roman" w:hAnsi="Times New Roman" w:eastAsia="宋体" w:cs="Times New Roman"/>
                      <w:b w:val="0"/>
                      <w:bCs w:val="0"/>
                      <w:color w:val="auto"/>
                      <w:highlight w:val="none"/>
                      <w:u w:val="none" w:color="auto"/>
                    </w:rPr>
                  </w:pPr>
                  <w:r>
                    <w:rPr>
                      <w:rFonts w:hint="default" w:ascii="Times New Roman" w:hAnsi="Times New Roman" w:eastAsia="宋体" w:cs="Times New Roman"/>
                      <w:b w:val="0"/>
                      <w:bCs w:val="0"/>
                      <w:color w:val="auto"/>
                      <w:highlight w:val="none"/>
                      <w:u w:val="none" w:color="auto"/>
                    </w:rPr>
                    <w:t>水</w:t>
                  </w:r>
                </w:p>
              </w:tc>
              <w:tc>
                <w:tcPr>
                  <w:tcW w:w="577" w:type="pct"/>
                  <w:noWrap w:val="0"/>
                  <w:vAlign w:val="center"/>
                </w:tcPr>
                <w:p w14:paraId="41FD4FFD">
                  <w:pPr>
                    <w:pStyle w:val="138"/>
                    <w:bidi w:val="0"/>
                    <w:rPr>
                      <w:rFonts w:hint="default" w:ascii="Times New Roman" w:hAnsi="Times New Roman" w:eastAsia="宋体" w:cs="Times New Roman"/>
                      <w:b w:val="0"/>
                      <w:bCs w:val="0"/>
                      <w:color w:val="auto"/>
                      <w:highlight w:val="none"/>
                      <w:u w:val="none" w:color="auto"/>
                      <w:lang w:val="en-US" w:eastAsia="zh-CN"/>
                    </w:rPr>
                  </w:pPr>
                  <w:r>
                    <w:rPr>
                      <w:rFonts w:hint="eastAsia" w:eastAsia="宋体" w:cs="Times New Roman"/>
                      <w:b w:val="0"/>
                      <w:bCs w:val="0"/>
                      <w:color w:val="auto"/>
                      <w:highlight w:val="none"/>
                      <w:u w:val="none" w:color="auto"/>
                      <w:lang w:val="en-US" w:eastAsia="zh-CN"/>
                    </w:rPr>
                    <w:t>190</w:t>
                  </w:r>
                </w:p>
              </w:tc>
              <w:tc>
                <w:tcPr>
                  <w:tcW w:w="832" w:type="pct"/>
                  <w:noWrap w:val="0"/>
                  <w:vAlign w:val="center"/>
                </w:tcPr>
                <w:p w14:paraId="6403C951">
                  <w:pPr>
                    <w:pStyle w:val="138"/>
                    <w:bidi w:val="0"/>
                    <w:rPr>
                      <w:rFonts w:hint="default" w:eastAsia="宋体" w:cs="Times New Roman"/>
                      <w:b w:val="0"/>
                      <w:bCs w:val="0"/>
                      <w:color w:val="auto"/>
                      <w:highlight w:val="none"/>
                      <w:u w:val="none" w:color="auto"/>
                      <w:lang w:val="en-US" w:eastAsia="zh-CN"/>
                    </w:rPr>
                  </w:pPr>
                  <w:r>
                    <w:rPr>
                      <w:rFonts w:hint="eastAsia" w:eastAsia="宋体" w:cs="Times New Roman"/>
                      <w:b w:val="0"/>
                      <w:bCs w:val="0"/>
                      <w:color w:val="auto"/>
                      <w:highlight w:val="none"/>
                      <w:u w:val="none" w:color="auto"/>
                      <w:lang w:val="en-US" w:eastAsia="zh-CN"/>
                    </w:rPr>
                    <w:t>190</w:t>
                  </w:r>
                </w:p>
              </w:tc>
              <w:tc>
                <w:tcPr>
                  <w:tcW w:w="768" w:type="pct"/>
                  <w:noWrap w:val="0"/>
                  <w:vAlign w:val="center"/>
                </w:tcPr>
                <w:p w14:paraId="223AC8EE">
                  <w:pPr>
                    <w:jc w:val="center"/>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eastAsia="宋体" w:cs="Times New Roman"/>
                      <w:b w:val="0"/>
                      <w:bCs w:val="0"/>
                      <w:color w:val="auto"/>
                      <w:highlight w:val="none"/>
                      <w:u w:val="none" w:color="auto"/>
                      <w:lang w:val="en-US" w:eastAsia="zh-CN"/>
                    </w:rPr>
                    <w:t>m</w:t>
                  </w:r>
                  <w:r>
                    <w:rPr>
                      <w:rFonts w:hint="default" w:ascii="Times New Roman" w:hAnsi="Times New Roman" w:eastAsia="宋体" w:cs="Times New Roman"/>
                      <w:b w:val="0"/>
                      <w:bCs w:val="0"/>
                      <w:color w:val="auto"/>
                      <w:highlight w:val="none"/>
                      <w:u w:val="none" w:color="auto"/>
                      <w:vertAlign w:val="superscript"/>
                      <w:lang w:val="en-US" w:eastAsia="zh-CN"/>
                    </w:rPr>
                    <w:t>3</w:t>
                  </w:r>
                  <w:r>
                    <w:rPr>
                      <w:rFonts w:hint="default" w:ascii="Times New Roman" w:hAnsi="Times New Roman" w:eastAsia="宋体" w:cs="Times New Roman"/>
                      <w:b w:val="0"/>
                      <w:bCs w:val="0"/>
                      <w:color w:val="auto"/>
                      <w:highlight w:val="none"/>
                      <w:u w:val="none" w:color="auto"/>
                      <w:lang w:val="en-US" w:eastAsia="zh-CN"/>
                    </w:rPr>
                    <w:t>/a</w:t>
                  </w:r>
                </w:p>
              </w:tc>
              <w:tc>
                <w:tcPr>
                  <w:tcW w:w="949" w:type="pct"/>
                  <w:noWrap w:val="0"/>
                  <w:vAlign w:val="center"/>
                </w:tcPr>
                <w:p w14:paraId="088C69A7">
                  <w:pPr>
                    <w:jc w:val="center"/>
                    <w:rPr>
                      <w:rFonts w:hint="default" w:ascii="Times New Roman" w:hAnsi="Times New Roman" w:eastAsia="宋体" w:cs="Times New Roman"/>
                      <w:b w:val="0"/>
                      <w:bCs w:val="0"/>
                      <w:color w:val="auto"/>
                      <w:highlight w:val="none"/>
                      <w:u w:val="none" w:color="auto"/>
                      <w:lang w:eastAsia="zh-CN"/>
                    </w:rPr>
                  </w:pPr>
                  <w:r>
                    <w:rPr>
                      <w:rFonts w:hint="default" w:ascii="Times New Roman" w:hAnsi="Times New Roman" w:cs="Times New Roman"/>
                      <w:color w:val="auto"/>
                      <w:highlight w:val="none"/>
                      <w:u w:val="none" w:color="auto"/>
                      <w:lang w:val="en-US" w:eastAsia="zh-CN"/>
                    </w:rPr>
                    <w:t>市政供水</w:t>
                  </w:r>
                </w:p>
              </w:tc>
              <w:tc>
                <w:tcPr>
                  <w:tcW w:w="883" w:type="pct"/>
                  <w:noWrap w:val="0"/>
                  <w:vAlign w:val="center"/>
                </w:tcPr>
                <w:p w14:paraId="1905C433">
                  <w:pPr>
                    <w:jc w:val="center"/>
                    <w:rPr>
                      <w:rFonts w:hint="default" w:ascii="Times New Roman" w:hAnsi="Times New Roman" w:cs="Times New Roman"/>
                      <w:color w:val="auto"/>
                      <w:highlight w:val="none"/>
                      <w:u w:val="none" w:color="auto"/>
                      <w:lang w:val="en-US" w:eastAsia="zh-CN"/>
                    </w:rPr>
                  </w:pPr>
                  <w:r>
                    <w:rPr>
                      <w:rFonts w:hint="eastAsia" w:ascii="Times New Roman" w:hAnsi="Times New Roman" w:eastAsia="宋体" w:cs="Times New Roman"/>
                      <w:color w:val="auto"/>
                      <w:sz w:val="21"/>
                      <w:szCs w:val="21"/>
                      <w:lang w:val="en-US" w:eastAsia="zh-CN"/>
                    </w:rPr>
                    <w:t>无变化</w:t>
                  </w:r>
                </w:p>
              </w:tc>
            </w:tr>
            <w:tr w14:paraId="12FCF2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54" w:type="pct"/>
                  <w:noWrap w:val="0"/>
                  <w:vAlign w:val="center"/>
                </w:tcPr>
                <w:p w14:paraId="373DBEA1">
                  <w:pPr>
                    <w:jc w:val="center"/>
                    <w:rPr>
                      <w:rFonts w:hint="eastAsia" w:ascii="Times New Roman" w:hAnsi="Times New Roman" w:eastAsia="宋体" w:cs="Times New Roman"/>
                      <w:b w:val="0"/>
                      <w:bCs w:val="0"/>
                      <w:color w:val="auto"/>
                      <w:highlight w:val="none"/>
                      <w:u w:val="none" w:color="auto"/>
                      <w:lang w:val="en-US" w:eastAsia="zh-CN"/>
                    </w:rPr>
                  </w:pPr>
                  <w:r>
                    <w:rPr>
                      <w:rFonts w:hint="eastAsia" w:cs="Times New Roman"/>
                      <w:b w:val="0"/>
                      <w:bCs w:val="0"/>
                      <w:color w:val="auto"/>
                      <w:highlight w:val="none"/>
                      <w:u w:val="none" w:color="auto"/>
                      <w:lang w:val="en-US" w:eastAsia="zh-CN"/>
                    </w:rPr>
                    <w:t>3</w:t>
                  </w:r>
                </w:p>
              </w:tc>
              <w:tc>
                <w:tcPr>
                  <w:tcW w:w="734" w:type="pct"/>
                  <w:noWrap w:val="0"/>
                  <w:vAlign w:val="center"/>
                </w:tcPr>
                <w:p w14:paraId="5FCFAC8C">
                  <w:pPr>
                    <w:jc w:val="center"/>
                    <w:rPr>
                      <w:rFonts w:hint="default" w:ascii="Times New Roman" w:hAnsi="Times New Roman" w:eastAsia="宋体" w:cs="Times New Roman"/>
                      <w:b w:val="0"/>
                      <w:bCs w:val="0"/>
                      <w:color w:val="auto"/>
                      <w:highlight w:val="none"/>
                      <w:u w:val="none" w:color="auto"/>
                      <w:lang w:val="en-US" w:eastAsia="zh-CN"/>
                    </w:rPr>
                  </w:pPr>
                  <w:r>
                    <w:rPr>
                      <w:rFonts w:hint="eastAsia" w:cs="Times New Roman"/>
                      <w:b w:val="0"/>
                      <w:bCs w:val="0"/>
                      <w:color w:val="auto"/>
                      <w:highlight w:val="none"/>
                      <w:u w:val="none" w:color="auto"/>
                      <w:lang w:val="en-US" w:eastAsia="zh-CN"/>
                    </w:rPr>
                    <w:t>成型生物质颗粒</w:t>
                  </w:r>
                </w:p>
              </w:tc>
              <w:tc>
                <w:tcPr>
                  <w:tcW w:w="577" w:type="pct"/>
                  <w:noWrap w:val="0"/>
                  <w:vAlign w:val="center"/>
                </w:tcPr>
                <w:p w14:paraId="46826190">
                  <w:pPr>
                    <w:pStyle w:val="63"/>
                    <w:tabs>
                      <w:tab w:val="left" w:pos="1021"/>
                    </w:tabs>
                    <w:bidi w:val="0"/>
                    <w:jc w:val="center"/>
                    <w:rPr>
                      <w:rFonts w:hint="eastAsia" w:ascii="Times New Roman" w:hAnsi="Times New Roman" w:eastAsia="宋体" w:cs="Times New Roman"/>
                      <w:b w:val="0"/>
                      <w:bCs w:val="0"/>
                      <w:color w:val="auto"/>
                      <w:highlight w:val="none"/>
                      <w:u w:val="none" w:color="auto"/>
                      <w:lang w:val="en-US" w:eastAsia="zh-CN"/>
                    </w:rPr>
                  </w:pPr>
                  <w:r>
                    <w:rPr>
                      <w:rFonts w:hint="eastAsia" w:ascii="Times New Roman" w:hAnsi="Times New Roman" w:cs="Arial"/>
                      <w:snapToGrid w:val="0"/>
                      <w:color w:val="auto"/>
                      <w:kern w:val="0"/>
                      <w:sz w:val="21"/>
                      <w:szCs w:val="21"/>
                      <w:highlight w:val="none"/>
                      <w:u w:val="none" w:color="auto"/>
                      <w:shd w:val="clear" w:color="auto" w:fill="auto"/>
                      <w:lang w:val="en-US" w:eastAsia="zh-CN" w:bidi="en-US"/>
                    </w:rPr>
                    <w:t>181.29</w:t>
                  </w:r>
                </w:p>
              </w:tc>
              <w:tc>
                <w:tcPr>
                  <w:tcW w:w="832" w:type="pct"/>
                  <w:noWrap w:val="0"/>
                  <w:vAlign w:val="center"/>
                </w:tcPr>
                <w:p w14:paraId="3A025C95">
                  <w:pPr>
                    <w:pStyle w:val="63"/>
                    <w:tabs>
                      <w:tab w:val="left" w:pos="1021"/>
                    </w:tabs>
                    <w:bidi w:val="0"/>
                    <w:jc w:val="center"/>
                    <w:rPr>
                      <w:rFonts w:hint="eastAsia" w:ascii="Times New Roman" w:hAnsi="Times New Roman" w:eastAsia="宋体" w:cs="Arial"/>
                      <w:snapToGrid w:val="0"/>
                      <w:color w:val="auto"/>
                      <w:kern w:val="0"/>
                      <w:sz w:val="21"/>
                      <w:szCs w:val="21"/>
                      <w:highlight w:val="none"/>
                      <w:u w:val="none" w:color="auto"/>
                      <w:shd w:val="clear" w:color="auto" w:fill="auto"/>
                      <w:lang w:val="en-US" w:eastAsia="zh-CN" w:bidi="en-US"/>
                    </w:rPr>
                  </w:pPr>
                  <w:r>
                    <w:rPr>
                      <w:rFonts w:hint="eastAsia" w:ascii="Times New Roman" w:hAnsi="Times New Roman" w:cs="Arial"/>
                      <w:snapToGrid w:val="0"/>
                      <w:color w:val="auto"/>
                      <w:kern w:val="0"/>
                      <w:sz w:val="21"/>
                      <w:szCs w:val="21"/>
                      <w:highlight w:val="none"/>
                      <w:u w:val="none" w:color="auto"/>
                      <w:shd w:val="clear" w:color="auto" w:fill="auto"/>
                      <w:lang w:val="en-US" w:eastAsia="zh-CN" w:bidi="en-US"/>
                    </w:rPr>
                    <w:t>181.29</w:t>
                  </w:r>
                </w:p>
              </w:tc>
              <w:tc>
                <w:tcPr>
                  <w:tcW w:w="768" w:type="pct"/>
                  <w:noWrap w:val="0"/>
                  <w:vAlign w:val="center"/>
                </w:tcPr>
                <w:p w14:paraId="6FEF9591">
                  <w:pPr>
                    <w:jc w:val="center"/>
                    <w:rPr>
                      <w:rFonts w:hint="default" w:ascii="Times New Roman" w:hAnsi="Times New Roman" w:eastAsia="宋体" w:cs="Times New Roman"/>
                      <w:b w:val="0"/>
                      <w:bCs w:val="0"/>
                      <w:color w:val="auto"/>
                      <w:highlight w:val="none"/>
                      <w:u w:val="none" w:color="auto"/>
                      <w:lang w:val="en-US" w:eastAsia="zh-CN"/>
                    </w:rPr>
                  </w:pPr>
                  <w:r>
                    <w:rPr>
                      <w:rFonts w:hint="eastAsia" w:cs="Times New Roman"/>
                      <w:b w:val="0"/>
                      <w:bCs w:val="0"/>
                      <w:color w:val="auto"/>
                      <w:highlight w:val="none"/>
                      <w:u w:val="none" w:color="auto"/>
                      <w:lang w:val="en-US" w:eastAsia="zh-CN"/>
                    </w:rPr>
                    <w:t>t/a</w:t>
                  </w:r>
                </w:p>
              </w:tc>
              <w:tc>
                <w:tcPr>
                  <w:tcW w:w="949" w:type="pct"/>
                  <w:noWrap w:val="0"/>
                  <w:vAlign w:val="center"/>
                </w:tcPr>
                <w:p w14:paraId="330C12EE">
                  <w:pPr>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外购，作为焚烧炉</w:t>
                  </w:r>
                  <w:r>
                    <w:rPr>
                      <w:rFonts w:hint="default" w:cs="Times New Roman"/>
                      <w:color w:val="auto"/>
                      <w:highlight w:val="none"/>
                      <w:u w:val="none" w:color="auto"/>
                      <w:lang w:val="en-US" w:eastAsia="zh-CN"/>
                    </w:rPr>
                    <w:t>燃料</w:t>
                  </w:r>
                </w:p>
              </w:tc>
              <w:tc>
                <w:tcPr>
                  <w:tcW w:w="883" w:type="pct"/>
                  <w:noWrap w:val="0"/>
                  <w:vAlign w:val="center"/>
                </w:tcPr>
                <w:p w14:paraId="1BD8C86A">
                  <w:pPr>
                    <w:jc w:val="center"/>
                    <w:rPr>
                      <w:rFonts w:hint="default" w:cs="Times New Roman"/>
                      <w:color w:val="auto"/>
                      <w:highlight w:val="none"/>
                      <w:u w:val="none" w:color="auto"/>
                      <w:lang w:val="en-US" w:eastAsia="zh-CN"/>
                    </w:rPr>
                  </w:pPr>
                  <w:r>
                    <w:rPr>
                      <w:rFonts w:hint="eastAsia" w:ascii="Times New Roman" w:hAnsi="Times New Roman" w:eastAsia="宋体" w:cs="Times New Roman"/>
                      <w:color w:val="auto"/>
                      <w:sz w:val="21"/>
                      <w:szCs w:val="21"/>
                      <w:lang w:val="en-US" w:eastAsia="zh-CN"/>
                    </w:rPr>
                    <w:t>无变化</w:t>
                  </w:r>
                </w:p>
              </w:tc>
            </w:tr>
            <w:tr w14:paraId="58372E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54" w:type="pct"/>
                  <w:noWrap w:val="0"/>
                  <w:vAlign w:val="center"/>
                </w:tcPr>
                <w:p w14:paraId="6E9CE5D0">
                  <w:pPr>
                    <w:jc w:val="center"/>
                    <w:rPr>
                      <w:rFonts w:hint="default" w:cs="Times New Roman"/>
                      <w:b w:val="0"/>
                      <w:bCs w:val="0"/>
                      <w:color w:val="auto"/>
                      <w:highlight w:val="none"/>
                      <w:u w:val="none" w:color="auto"/>
                      <w:lang w:val="en-US" w:eastAsia="zh-CN"/>
                    </w:rPr>
                  </w:pPr>
                  <w:r>
                    <w:rPr>
                      <w:rFonts w:hint="eastAsia" w:cs="Times New Roman"/>
                      <w:b w:val="0"/>
                      <w:bCs w:val="0"/>
                      <w:color w:val="auto"/>
                      <w:highlight w:val="none"/>
                      <w:u w:val="none" w:color="auto"/>
                      <w:lang w:val="en-US" w:eastAsia="zh-CN"/>
                    </w:rPr>
                    <w:t>4</w:t>
                  </w:r>
                </w:p>
              </w:tc>
              <w:tc>
                <w:tcPr>
                  <w:tcW w:w="734" w:type="pct"/>
                  <w:noWrap w:val="0"/>
                  <w:vAlign w:val="center"/>
                </w:tcPr>
                <w:p w14:paraId="246A59AC">
                  <w:pPr>
                    <w:jc w:val="center"/>
                    <w:rPr>
                      <w:rFonts w:hint="default" w:cs="Times New Roman"/>
                      <w:b w:val="0"/>
                      <w:bCs w:val="0"/>
                      <w:color w:val="auto"/>
                      <w:highlight w:val="none"/>
                      <w:u w:val="none" w:color="auto"/>
                      <w:lang w:val="en-US" w:eastAsia="zh-CN"/>
                    </w:rPr>
                  </w:pPr>
                  <w:r>
                    <w:rPr>
                      <w:rFonts w:hint="eastAsia" w:cs="Times New Roman"/>
                      <w:b w:val="0"/>
                      <w:bCs w:val="0"/>
                      <w:color w:val="auto"/>
                      <w:highlight w:val="none"/>
                      <w:u w:val="none" w:color="auto"/>
                      <w:lang w:val="en-US" w:eastAsia="zh-CN"/>
                    </w:rPr>
                    <w:t>液化石油气残液</w:t>
                  </w:r>
                </w:p>
              </w:tc>
              <w:tc>
                <w:tcPr>
                  <w:tcW w:w="577" w:type="pct"/>
                  <w:noWrap w:val="0"/>
                  <w:vAlign w:val="center"/>
                </w:tcPr>
                <w:p w14:paraId="55798821">
                  <w:pPr>
                    <w:pStyle w:val="138"/>
                    <w:bidi w:val="0"/>
                    <w:rPr>
                      <w:rStyle w:val="158"/>
                      <w:rFonts w:hint="default" w:eastAsia="宋体"/>
                      <w:color w:val="auto"/>
                      <w:highlight w:val="none"/>
                      <w:u w:val="none" w:color="auto"/>
                      <w:lang w:val="en-US" w:eastAsia="zh-CN"/>
                    </w:rPr>
                  </w:pPr>
                  <w:r>
                    <w:rPr>
                      <w:rFonts w:hint="eastAsia" w:eastAsia="宋体"/>
                      <w:color w:val="auto"/>
                      <w:highlight w:val="none"/>
                      <w:u w:val="none" w:color="auto"/>
                      <w:lang w:val="en-US" w:eastAsia="zh-CN"/>
                    </w:rPr>
                    <w:t>5.94</w:t>
                  </w:r>
                </w:p>
              </w:tc>
              <w:tc>
                <w:tcPr>
                  <w:tcW w:w="832" w:type="pct"/>
                  <w:noWrap w:val="0"/>
                  <w:vAlign w:val="center"/>
                </w:tcPr>
                <w:p w14:paraId="4B22C9E4">
                  <w:pPr>
                    <w:pStyle w:val="138"/>
                    <w:bidi w:val="0"/>
                    <w:rPr>
                      <w:rFonts w:hint="eastAsia" w:eastAsia="宋体"/>
                      <w:color w:val="auto"/>
                      <w:highlight w:val="none"/>
                      <w:u w:val="none" w:color="auto"/>
                      <w:lang w:val="en-US" w:eastAsia="zh-CN"/>
                    </w:rPr>
                  </w:pPr>
                  <w:r>
                    <w:rPr>
                      <w:rFonts w:hint="eastAsia" w:eastAsia="宋体"/>
                      <w:color w:val="auto"/>
                      <w:highlight w:val="none"/>
                      <w:u w:val="none" w:color="auto"/>
                      <w:lang w:val="en-US" w:eastAsia="zh-CN"/>
                    </w:rPr>
                    <w:t>5.94</w:t>
                  </w:r>
                </w:p>
              </w:tc>
              <w:tc>
                <w:tcPr>
                  <w:tcW w:w="768" w:type="pct"/>
                  <w:noWrap w:val="0"/>
                  <w:vAlign w:val="center"/>
                </w:tcPr>
                <w:p w14:paraId="3B82DC17">
                  <w:pPr>
                    <w:jc w:val="center"/>
                    <w:rPr>
                      <w:rFonts w:hint="eastAsia" w:cs="Times New Roman"/>
                      <w:b w:val="0"/>
                      <w:bCs w:val="0"/>
                      <w:color w:val="auto"/>
                      <w:highlight w:val="none"/>
                      <w:u w:val="none" w:color="auto"/>
                      <w:lang w:val="en-US" w:eastAsia="zh-CN"/>
                    </w:rPr>
                  </w:pPr>
                  <w:r>
                    <w:rPr>
                      <w:rFonts w:hint="eastAsia" w:cs="Times New Roman"/>
                      <w:b w:val="0"/>
                      <w:bCs w:val="0"/>
                      <w:color w:val="auto"/>
                      <w:highlight w:val="none"/>
                      <w:u w:val="none" w:color="auto"/>
                      <w:lang w:val="en-US" w:eastAsia="zh-CN"/>
                    </w:rPr>
                    <w:t>t/a</w:t>
                  </w:r>
                </w:p>
              </w:tc>
              <w:tc>
                <w:tcPr>
                  <w:tcW w:w="949" w:type="pct"/>
                  <w:noWrap w:val="0"/>
                  <w:vAlign w:val="center"/>
                </w:tcPr>
                <w:p w14:paraId="68977D13">
                  <w:pPr>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抽残液产生，用作焚烧炉</w:t>
                  </w:r>
                  <w:r>
                    <w:rPr>
                      <w:rFonts w:hint="default" w:cs="Times New Roman"/>
                      <w:color w:val="auto"/>
                      <w:highlight w:val="none"/>
                      <w:u w:val="none" w:color="auto"/>
                      <w:lang w:val="en-US" w:eastAsia="zh-CN"/>
                    </w:rPr>
                    <w:t>燃料</w:t>
                  </w:r>
                </w:p>
              </w:tc>
              <w:tc>
                <w:tcPr>
                  <w:tcW w:w="883" w:type="pct"/>
                  <w:noWrap w:val="0"/>
                  <w:vAlign w:val="center"/>
                </w:tcPr>
                <w:p w14:paraId="3021D132">
                  <w:pPr>
                    <w:jc w:val="center"/>
                    <w:rPr>
                      <w:rFonts w:hint="eastAsia" w:cs="Times New Roman"/>
                      <w:color w:val="auto"/>
                      <w:highlight w:val="none"/>
                      <w:u w:val="none" w:color="auto"/>
                      <w:lang w:val="en-US" w:eastAsia="zh-CN"/>
                    </w:rPr>
                  </w:pPr>
                  <w:r>
                    <w:rPr>
                      <w:rFonts w:hint="eastAsia" w:ascii="Times New Roman" w:hAnsi="Times New Roman" w:eastAsia="宋体" w:cs="Times New Roman"/>
                      <w:color w:val="auto"/>
                      <w:sz w:val="21"/>
                      <w:szCs w:val="21"/>
                      <w:lang w:val="en-US" w:eastAsia="zh-CN"/>
                    </w:rPr>
                    <w:t>无变化</w:t>
                  </w:r>
                </w:p>
              </w:tc>
            </w:tr>
            <w:tr w14:paraId="222E6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54" w:type="pct"/>
                  <w:noWrap w:val="0"/>
                  <w:vAlign w:val="center"/>
                </w:tcPr>
                <w:p w14:paraId="29B1D430">
                  <w:pPr>
                    <w:jc w:val="center"/>
                    <w:rPr>
                      <w:rFonts w:hint="default" w:cs="Times New Roman"/>
                      <w:b w:val="0"/>
                      <w:bCs w:val="0"/>
                      <w:color w:val="auto"/>
                      <w:highlight w:val="none"/>
                      <w:u w:val="none" w:color="auto"/>
                      <w:lang w:eastAsia="zh-CN"/>
                    </w:rPr>
                  </w:pPr>
                  <w:r>
                    <w:rPr>
                      <w:rFonts w:hint="eastAsia" w:cs="Times New Roman"/>
                      <w:b w:val="0"/>
                      <w:bCs w:val="0"/>
                      <w:color w:val="auto"/>
                      <w:highlight w:val="none"/>
                      <w:u w:val="none" w:color="auto"/>
                      <w:lang w:val="en-US" w:eastAsia="zh-CN"/>
                    </w:rPr>
                    <w:t>5</w:t>
                  </w:r>
                  <w:r>
                    <w:rPr>
                      <w:rFonts w:hint="default" w:cs="Times New Roman"/>
                      <w:b w:val="0"/>
                      <w:bCs w:val="0"/>
                      <w:color w:val="auto"/>
                      <w:highlight w:val="none"/>
                      <w:u w:val="none" w:color="auto"/>
                      <w:lang w:eastAsia="zh-CN"/>
                    </w:rPr>
                    <w:t xml:space="preserve"> </w:t>
                  </w:r>
                </w:p>
              </w:tc>
              <w:tc>
                <w:tcPr>
                  <w:tcW w:w="734" w:type="pct"/>
                  <w:noWrap w:val="0"/>
                  <w:vAlign w:val="center"/>
                </w:tcPr>
                <w:p w14:paraId="2B24B36C">
                  <w:pPr>
                    <w:jc w:val="center"/>
                    <w:rPr>
                      <w:rFonts w:hint="eastAsia" w:ascii="Times New Roman" w:hAnsi="Times New Roman" w:eastAsia="宋体" w:cs="Times New Roman"/>
                      <w:b w:val="0"/>
                      <w:bCs w:val="0"/>
                      <w:color w:val="auto"/>
                      <w:highlight w:val="none"/>
                      <w:u w:val="none" w:color="auto"/>
                      <w:lang w:val="en-US" w:eastAsia="zh-CN"/>
                    </w:rPr>
                  </w:pPr>
                  <w:r>
                    <w:rPr>
                      <w:rFonts w:hint="eastAsia" w:cs="Times New Roman"/>
                      <w:b w:val="0"/>
                      <w:bCs w:val="0"/>
                      <w:color w:val="auto"/>
                      <w:highlight w:val="none"/>
                      <w:u w:val="none" w:color="auto"/>
                      <w:lang w:val="en-US" w:eastAsia="zh-CN"/>
                    </w:rPr>
                    <w:t>机油</w:t>
                  </w:r>
                </w:p>
              </w:tc>
              <w:tc>
                <w:tcPr>
                  <w:tcW w:w="577" w:type="pct"/>
                  <w:noWrap w:val="0"/>
                  <w:vAlign w:val="center"/>
                </w:tcPr>
                <w:p w14:paraId="2580E9E7">
                  <w:pPr>
                    <w:jc w:val="center"/>
                    <w:rPr>
                      <w:rFonts w:hint="default" w:ascii="Times New Roman" w:hAnsi="Times New Roman" w:eastAsia="宋体" w:cs="Times New Roman"/>
                      <w:b w:val="0"/>
                      <w:bCs w:val="0"/>
                      <w:color w:val="auto"/>
                      <w:highlight w:val="none"/>
                      <w:u w:val="none" w:color="auto"/>
                      <w:lang w:val="en-US" w:eastAsia="zh-CN"/>
                    </w:rPr>
                  </w:pPr>
                  <w:r>
                    <w:rPr>
                      <w:rFonts w:hint="eastAsia" w:cs="Times New Roman"/>
                      <w:b w:val="0"/>
                      <w:bCs w:val="0"/>
                      <w:color w:val="auto"/>
                      <w:highlight w:val="none"/>
                      <w:u w:val="none" w:color="auto"/>
                      <w:lang w:val="en-US" w:eastAsia="zh-CN"/>
                    </w:rPr>
                    <w:t>0.3</w:t>
                  </w:r>
                </w:p>
              </w:tc>
              <w:tc>
                <w:tcPr>
                  <w:tcW w:w="832" w:type="pct"/>
                  <w:noWrap w:val="0"/>
                  <w:vAlign w:val="center"/>
                </w:tcPr>
                <w:p w14:paraId="480780FD">
                  <w:pPr>
                    <w:jc w:val="center"/>
                    <w:rPr>
                      <w:rFonts w:hint="default" w:cs="Times New Roman"/>
                      <w:b w:val="0"/>
                      <w:bCs w:val="0"/>
                      <w:color w:val="auto"/>
                      <w:highlight w:val="none"/>
                      <w:u w:val="none" w:color="auto"/>
                      <w:lang w:val="en-US" w:eastAsia="zh-CN"/>
                    </w:rPr>
                  </w:pPr>
                  <w:r>
                    <w:rPr>
                      <w:rFonts w:hint="eastAsia" w:cs="Times New Roman"/>
                      <w:b w:val="0"/>
                      <w:bCs w:val="0"/>
                      <w:color w:val="auto"/>
                      <w:highlight w:val="none"/>
                      <w:u w:val="none" w:color="auto"/>
                      <w:lang w:val="en-US" w:eastAsia="zh-CN"/>
                    </w:rPr>
                    <w:t>0.3</w:t>
                  </w:r>
                </w:p>
              </w:tc>
              <w:tc>
                <w:tcPr>
                  <w:tcW w:w="768" w:type="pct"/>
                  <w:noWrap w:val="0"/>
                  <w:vAlign w:val="center"/>
                </w:tcPr>
                <w:p w14:paraId="3CD657B5">
                  <w:pPr>
                    <w:jc w:val="center"/>
                    <w:rPr>
                      <w:rFonts w:hint="default" w:ascii="Times New Roman" w:hAnsi="Times New Roman" w:eastAsia="宋体" w:cs="Times New Roman"/>
                      <w:b w:val="0"/>
                      <w:bCs w:val="0"/>
                      <w:color w:val="auto"/>
                      <w:highlight w:val="none"/>
                      <w:u w:val="none" w:color="auto"/>
                      <w:lang w:val="en-US" w:eastAsia="zh-CN"/>
                    </w:rPr>
                  </w:pPr>
                  <w:r>
                    <w:rPr>
                      <w:rFonts w:hint="eastAsia" w:cs="Times New Roman"/>
                      <w:b w:val="0"/>
                      <w:bCs w:val="0"/>
                      <w:color w:val="auto"/>
                      <w:highlight w:val="none"/>
                      <w:u w:val="none" w:color="auto"/>
                      <w:lang w:val="en-US" w:eastAsia="zh-CN"/>
                    </w:rPr>
                    <w:t>t/a</w:t>
                  </w:r>
                </w:p>
              </w:tc>
              <w:tc>
                <w:tcPr>
                  <w:tcW w:w="949" w:type="pct"/>
                  <w:noWrap w:val="0"/>
                  <w:vAlign w:val="center"/>
                </w:tcPr>
                <w:p w14:paraId="518C2F79">
                  <w:pPr>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外购</w:t>
                  </w:r>
                </w:p>
              </w:tc>
              <w:tc>
                <w:tcPr>
                  <w:tcW w:w="883" w:type="pct"/>
                  <w:noWrap w:val="0"/>
                  <w:vAlign w:val="center"/>
                </w:tcPr>
                <w:p w14:paraId="371ACA26">
                  <w:pPr>
                    <w:jc w:val="center"/>
                    <w:rPr>
                      <w:rFonts w:hint="eastAsia" w:cs="Times New Roman"/>
                      <w:color w:val="auto"/>
                      <w:highlight w:val="none"/>
                      <w:u w:val="none" w:color="auto"/>
                      <w:lang w:val="en-US" w:eastAsia="zh-CN"/>
                    </w:rPr>
                  </w:pPr>
                  <w:r>
                    <w:rPr>
                      <w:rFonts w:hint="eastAsia" w:ascii="Times New Roman" w:hAnsi="Times New Roman" w:eastAsia="宋体" w:cs="Times New Roman"/>
                      <w:color w:val="auto"/>
                      <w:sz w:val="21"/>
                      <w:szCs w:val="21"/>
                      <w:lang w:val="en-US" w:eastAsia="zh-CN"/>
                    </w:rPr>
                    <w:t>无变化</w:t>
                  </w:r>
                </w:p>
              </w:tc>
            </w:tr>
          </w:tbl>
          <w:p w14:paraId="0390148C">
            <w:pPr>
              <w:pStyle w:val="54"/>
              <w:numPr>
                <w:ilvl w:val="0"/>
                <w:numId w:val="0"/>
              </w:numPr>
              <w:tabs>
                <w:tab w:val="left" w:pos="1021"/>
              </w:tabs>
              <w:bidi w:val="0"/>
              <w:spacing w:line="360" w:lineRule="auto"/>
              <w:ind w:leftChars="0"/>
              <w:rPr>
                <w:rFonts w:hint="default" w:ascii="Times New Roman" w:hAnsi="Times New Roman"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理化性质：</w:t>
            </w:r>
          </w:p>
          <w:p w14:paraId="336054DA">
            <w:pPr>
              <w:pStyle w:val="54"/>
              <w:tabs>
                <w:tab w:val="left" w:pos="1021"/>
              </w:tabs>
              <w:bidi w:val="0"/>
              <w:spacing w:line="360" w:lineRule="auto"/>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b/>
                <w:bCs/>
                <w:color w:val="auto"/>
                <w:highlight w:val="none"/>
                <w:u w:val="none" w:color="auto"/>
              </w:rPr>
              <w:t>液化石油气残液</w:t>
            </w:r>
            <w:r>
              <w:rPr>
                <w:rFonts w:hint="default" w:ascii="Times New Roman" w:hAnsi="Times New Roman" w:eastAsia="宋体" w:cs="Times New Roman"/>
                <w:b/>
                <w:bCs/>
                <w:color w:val="auto"/>
                <w:highlight w:val="none"/>
                <w:u w:val="none" w:color="auto"/>
                <w:lang w:val="en-US" w:eastAsia="zh-CN"/>
              </w:rPr>
              <w:t>：</w:t>
            </w:r>
            <w:r>
              <w:rPr>
                <w:rFonts w:hint="default" w:ascii="Times New Roman" w:hAnsi="Times New Roman" w:eastAsia="宋体" w:cs="Times New Roman"/>
                <w:color w:val="auto"/>
                <w:highlight w:val="none"/>
                <w:u w:val="none" w:color="auto"/>
                <w:lang w:val="en-US" w:eastAsia="zh-CN"/>
              </w:rPr>
              <w:t>常温下为黄褐色</w:t>
            </w:r>
            <w:r>
              <w:rPr>
                <w:rFonts w:hint="eastAsia" w:ascii="Times New Roman" w:cs="Times New Roman"/>
                <w:color w:val="auto"/>
                <w:highlight w:val="none"/>
                <w:u w:val="none" w:color="auto"/>
                <w:lang w:val="en-US" w:eastAsia="zh-CN"/>
              </w:rPr>
              <w:t>黏稠</w:t>
            </w:r>
            <w:r>
              <w:rPr>
                <w:rFonts w:hint="default" w:ascii="Times New Roman" w:hAnsi="Times New Roman" w:eastAsia="宋体" w:cs="Times New Roman"/>
                <w:color w:val="auto"/>
                <w:highlight w:val="none"/>
                <w:u w:val="none" w:color="auto"/>
                <w:lang w:val="en-US" w:eastAsia="zh-CN"/>
              </w:rPr>
              <w:t>液体，带有刺鼻油气味，密度小于水，不溶于水，易挥发，蒸气易在低洼处积聚，闪点低、易燃易爆，含硫化物具备轻微腐蚀性，常温稳定，高温易产生</w:t>
            </w:r>
            <w:r>
              <w:rPr>
                <w:rFonts w:hint="eastAsia" w:ascii="Times New Roman" w:cs="Times New Roman"/>
                <w:color w:val="auto"/>
                <w:highlight w:val="none"/>
                <w:u w:val="none" w:color="auto"/>
                <w:lang w:val="en-US" w:eastAsia="zh-CN"/>
              </w:rPr>
              <w:t>积炭</w:t>
            </w:r>
            <w:r>
              <w:rPr>
                <w:rFonts w:hint="default" w:ascii="Times New Roman" w:hAnsi="Times New Roman" w:eastAsia="宋体" w:cs="Times New Roman"/>
                <w:color w:val="auto"/>
                <w:highlight w:val="none"/>
                <w:u w:val="none" w:color="auto"/>
                <w:lang w:val="en-US" w:eastAsia="zh-CN"/>
              </w:rPr>
              <w:t>。经提纯分离后可作为工业燃料、锅炉燃料。</w:t>
            </w:r>
          </w:p>
          <w:p w14:paraId="02C4AC6F">
            <w:pPr>
              <w:pStyle w:val="54"/>
              <w:tabs>
                <w:tab w:val="left" w:pos="1021"/>
              </w:tabs>
              <w:bidi w:val="0"/>
              <w:spacing w:line="360" w:lineRule="auto"/>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b/>
                <w:bCs/>
                <w:color w:val="auto"/>
                <w:highlight w:val="none"/>
                <w:u w:val="none" w:color="auto"/>
              </w:rPr>
              <w:t>机油</w:t>
            </w:r>
            <w:r>
              <w:rPr>
                <w:rFonts w:hint="default" w:ascii="Times New Roman" w:hAnsi="Times New Roman" w:eastAsia="宋体" w:cs="Times New Roman"/>
                <w:b/>
                <w:bCs/>
                <w:color w:val="auto"/>
                <w:highlight w:val="none"/>
                <w:u w:val="none" w:color="auto"/>
                <w:lang w:val="en-US" w:eastAsia="zh-CN"/>
              </w:rPr>
              <w:t>：</w:t>
            </w:r>
            <w:r>
              <w:rPr>
                <w:rFonts w:hint="default" w:ascii="Times New Roman" w:hAnsi="Times New Roman" w:eastAsia="宋体" w:cs="Times New Roman"/>
                <w:color w:val="auto"/>
                <w:highlight w:val="none"/>
                <w:u w:val="none" w:color="auto"/>
                <w:lang w:val="en-US" w:eastAsia="zh-CN"/>
              </w:rPr>
              <w:t>棕褐色油状液体，密度小于水，不溶于水，常温</w:t>
            </w:r>
            <w:r>
              <w:rPr>
                <w:rFonts w:hint="eastAsia" w:ascii="Times New Roman" w:cs="Times New Roman"/>
                <w:color w:val="auto"/>
                <w:highlight w:val="none"/>
                <w:u w:val="none" w:color="auto"/>
                <w:lang w:val="en-US" w:eastAsia="zh-CN"/>
              </w:rPr>
              <w:t>黏度</w:t>
            </w:r>
            <w:r>
              <w:rPr>
                <w:rFonts w:hint="default" w:ascii="Times New Roman" w:hAnsi="Times New Roman" w:eastAsia="宋体" w:cs="Times New Roman"/>
                <w:color w:val="auto"/>
                <w:highlight w:val="none"/>
                <w:u w:val="none" w:color="auto"/>
                <w:lang w:val="en-US" w:eastAsia="zh-CN"/>
              </w:rPr>
              <w:t>较大，开口闪点较高，低温易变稠，高温长期使用易氧化产生油泥，可燃，化学性质稳定，具备润滑、密封性能，泄漏易污染水土。主要用于内燃机、机械设备润滑，起到减磨、冷却、防锈、密封作用。</w:t>
            </w:r>
          </w:p>
          <w:p w14:paraId="6C2B7B6B">
            <w:pPr>
              <w:pStyle w:val="156"/>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color w:val="auto"/>
                <w:highlight w:val="none"/>
                <w:u w:val="none" w:color="auto"/>
                <w:lang w:val="en-US" w:eastAsia="zh-CN"/>
              </w:rPr>
            </w:pPr>
            <w:r>
              <w:rPr>
                <w:rFonts w:hint="eastAsia" w:cs="Times New Roman"/>
                <w:b/>
                <w:bCs/>
                <w:color w:val="auto"/>
                <w:highlight w:val="none"/>
                <w:u w:val="none" w:color="auto"/>
                <w:lang w:val="en-US" w:eastAsia="zh-CN"/>
              </w:rPr>
              <w:t>5、</w:t>
            </w:r>
            <w:r>
              <w:rPr>
                <w:rFonts w:hint="default" w:ascii="Times New Roman" w:hAnsi="Times New Roman" w:eastAsia="宋体" w:cs="Times New Roman"/>
                <w:b/>
                <w:bCs/>
                <w:color w:val="auto"/>
                <w:kern w:val="2"/>
                <w:sz w:val="24"/>
                <w:szCs w:val="24"/>
                <w:highlight w:val="none"/>
                <w:u w:val="none" w:color="auto"/>
                <w:lang w:val="en-US" w:eastAsia="zh-CN" w:bidi="ar-SA"/>
              </w:rPr>
              <w:t>主要生</w:t>
            </w:r>
            <w:r>
              <w:rPr>
                <w:rFonts w:hint="default" w:ascii="Times New Roman" w:hAnsi="Times New Roman" w:cs="Times New Roman"/>
                <w:color w:val="auto"/>
                <w:highlight w:val="none"/>
                <w:u w:val="none" w:color="auto"/>
                <w:lang w:val="en-US" w:eastAsia="zh-CN"/>
              </w:rPr>
              <w:t>产设备</w:t>
            </w:r>
          </w:p>
          <w:p w14:paraId="4E09FF28">
            <w:pPr>
              <w:pStyle w:val="54"/>
              <w:tabs>
                <w:tab w:val="left" w:pos="1021"/>
              </w:tabs>
              <w:bidi w:val="0"/>
              <w:spacing w:line="360" w:lineRule="auto"/>
              <w:rPr>
                <w:rFonts w:hint="eastAsia" w:ascii="Times New Roman" w:hAnsi="Times New Roman" w:eastAsia="宋体" w:cs="Times New Roman"/>
                <w:color w:val="auto"/>
                <w:highlight w:val="none"/>
                <w:u w:val="none" w:color="auto"/>
                <w:lang w:eastAsia="zh-CN"/>
              </w:rPr>
            </w:pPr>
            <w:r>
              <w:rPr>
                <w:rFonts w:hint="default" w:ascii="Times New Roman" w:hAnsi="Times New Roman" w:cs="Times New Roman"/>
                <w:color w:val="auto"/>
                <w:highlight w:val="none"/>
                <w:u w:val="none" w:color="auto"/>
              </w:rPr>
              <w:t>本</w:t>
            </w:r>
            <w:r>
              <w:rPr>
                <w:rFonts w:hint="eastAsia" w:ascii="Times New Roman" w:hAnsi="Times New Roman" w:cs="Times New Roman"/>
                <w:color w:val="auto"/>
                <w:highlight w:val="none"/>
                <w:u w:val="none" w:color="auto"/>
                <w:lang w:val="en-US" w:eastAsia="zh-CN"/>
              </w:rPr>
              <w:t>搬迁</w:t>
            </w:r>
            <w:r>
              <w:rPr>
                <w:rFonts w:hint="default" w:ascii="Times New Roman" w:hAnsi="Times New Roman" w:cs="Times New Roman"/>
                <w:color w:val="auto"/>
                <w:highlight w:val="none"/>
                <w:u w:val="none" w:color="auto"/>
              </w:rPr>
              <w:t>项目</w:t>
            </w:r>
            <w:r>
              <w:rPr>
                <w:rFonts w:hint="eastAsia"/>
                <w:color w:val="auto"/>
                <w:kern w:val="21"/>
                <w:sz w:val="24"/>
                <w:lang w:val="en-US" w:eastAsia="zh-CN"/>
              </w:rPr>
              <w:t>将原厂区的抽残机、焚烧炉、裁剪机等全套设备整体搬迁至新租赁厂区，废气处理设备为新增，</w:t>
            </w:r>
            <w:r>
              <w:rPr>
                <w:rFonts w:hint="default" w:ascii="Times New Roman" w:hAnsi="Times New Roman" w:cs="Times New Roman"/>
                <w:color w:val="auto"/>
                <w:highlight w:val="none"/>
                <w:u w:val="none" w:color="auto"/>
              </w:rPr>
              <w:t>主要生产设备见</w:t>
            </w:r>
            <w:r>
              <w:rPr>
                <w:rFonts w:hint="eastAsia" w:ascii="Times New Roman" w:hAnsi="Times New Roman" w:cs="Times New Roman"/>
                <w:color w:val="auto"/>
                <w:highlight w:val="none"/>
                <w:u w:val="none" w:color="auto"/>
                <w:lang w:val="en-US" w:eastAsia="zh-CN"/>
              </w:rPr>
              <w:t>下表：</w:t>
            </w:r>
          </w:p>
          <w:p w14:paraId="5D0B7489">
            <w:pPr>
              <w:jc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cs="Times New Roman"/>
                <w:b/>
                <w:bCs/>
                <w:color w:val="auto"/>
                <w:sz w:val="21"/>
                <w:szCs w:val="21"/>
                <w:highlight w:val="none"/>
                <w:u w:val="none" w:color="auto"/>
                <w:lang w:val="en-US" w:eastAsia="zh-CN"/>
              </w:rPr>
              <w:t>表2-</w:t>
            </w:r>
            <w:r>
              <w:rPr>
                <w:rFonts w:hint="eastAsia" w:cs="Times New Roman"/>
                <w:b/>
                <w:bCs/>
                <w:color w:val="auto"/>
                <w:sz w:val="21"/>
                <w:szCs w:val="21"/>
                <w:highlight w:val="none"/>
                <w:u w:val="none" w:color="auto"/>
                <w:lang w:val="en-US" w:eastAsia="zh-CN"/>
              </w:rPr>
              <w:t xml:space="preserve">5   </w:t>
            </w:r>
            <w:r>
              <w:rPr>
                <w:rFonts w:hint="default" w:ascii="Times New Roman" w:hAnsi="Times New Roman" w:cs="Times New Roman"/>
                <w:b/>
                <w:bCs/>
                <w:color w:val="auto"/>
                <w:sz w:val="21"/>
                <w:szCs w:val="21"/>
                <w:highlight w:val="none"/>
                <w:u w:val="none" w:color="auto"/>
                <w:lang w:val="en-US" w:eastAsia="zh-CN"/>
              </w:rPr>
              <w:t>项目主要设备一览表</w:t>
            </w:r>
          </w:p>
          <w:tbl>
            <w:tblPr>
              <w:tblStyle w:val="33"/>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443"/>
              <w:gridCol w:w="1445"/>
              <w:gridCol w:w="1376"/>
              <w:gridCol w:w="890"/>
              <w:gridCol w:w="926"/>
              <w:gridCol w:w="1007"/>
              <w:gridCol w:w="1235"/>
              <w:gridCol w:w="1063"/>
            </w:tblGrid>
            <w:tr w14:paraId="6D2B92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64" w:type="pct"/>
                  <w:tcBorders>
                    <w:tl2br w:val="nil"/>
                    <w:tr2bl w:val="nil"/>
                  </w:tcBorders>
                  <w:noWrap w:val="0"/>
                  <w:tcMar>
                    <w:top w:w="15" w:type="dxa"/>
                    <w:left w:w="15" w:type="dxa"/>
                    <w:right w:w="15" w:type="dxa"/>
                  </w:tcMar>
                  <w:vAlign w:val="center"/>
                </w:tcPr>
                <w:p w14:paraId="5E579DF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val="0"/>
                      <w:color w:val="auto"/>
                      <w:sz w:val="21"/>
                      <w:szCs w:val="21"/>
                      <w:highlight w:val="none"/>
                      <w:u w:val="none" w:color="auto"/>
                      <w:lang w:val="en-US" w:eastAsia="zh-CN"/>
                    </w:rPr>
                  </w:pPr>
                  <w:r>
                    <w:rPr>
                      <w:rFonts w:hint="default" w:ascii="Times New Roman" w:hAnsi="Times New Roman" w:cs="Times New Roman"/>
                      <w:b/>
                      <w:bCs w:val="0"/>
                      <w:color w:val="auto"/>
                      <w:sz w:val="21"/>
                      <w:szCs w:val="21"/>
                      <w:highlight w:val="none"/>
                      <w:u w:val="none" w:color="auto"/>
                      <w:lang w:val="en-US" w:eastAsia="zh-CN"/>
                    </w:rPr>
                    <w:t>序号</w:t>
                  </w:r>
                </w:p>
              </w:tc>
              <w:tc>
                <w:tcPr>
                  <w:tcW w:w="861" w:type="pct"/>
                  <w:tcBorders>
                    <w:tl2br w:val="nil"/>
                    <w:tr2bl w:val="nil"/>
                  </w:tcBorders>
                  <w:noWrap w:val="0"/>
                  <w:tcMar>
                    <w:top w:w="15" w:type="dxa"/>
                    <w:left w:w="15" w:type="dxa"/>
                    <w:right w:w="15" w:type="dxa"/>
                  </w:tcMar>
                  <w:vAlign w:val="center"/>
                </w:tcPr>
                <w:p w14:paraId="475DF7D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val="0"/>
                      <w:color w:val="auto"/>
                      <w:sz w:val="21"/>
                      <w:szCs w:val="21"/>
                      <w:highlight w:val="none"/>
                      <w:u w:val="none" w:color="auto"/>
                    </w:rPr>
                  </w:pPr>
                  <w:r>
                    <w:rPr>
                      <w:rFonts w:hint="default" w:ascii="Times New Roman" w:hAnsi="Times New Roman" w:eastAsia="宋体" w:cs="Times New Roman"/>
                      <w:b/>
                      <w:bCs w:val="0"/>
                      <w:color w:val="auto"/>
                      <w:sz w:val="21"/>
                      <w:szCs w:val="21"/>
                      <w:highlight w:val="none"/>
                      <w:u w:val="none" w:color="auto"/>
                    </w:rPr>
                    <w:t>设备名称</w:t>
                  </w:r>
                </w:p>
              </w:tc>
              <w:tc>
                <w:tcPr>
                  <w:tcW w:w="820" w:type="pct"/>
                  <w:tcBorders>
                    <w:tl2br w:val="nil"/>
                    <w:tr2bl w:val="nil"/>
                  </w:tcBorders>
                  <w:noWrap w:val="0"/>
                  <w:tcMar>
                    <w:top w:w="15" w:type="dxa"/>
                    <w:left w:w="15" w:type="dxa"/>
                    <w:right w:w="15" w:type="dxa"/>
                  </w:tcMar>
                  <w:vAlign w:val="center"/>
                </w:tcPr>
                <w:p w14:paraId="4F8F0085">
                  <w:pPr>
                    <w:jc w:val="center"/>
                    <w:rPr>
                      <w:rFonts w:hint="eastAsia" w:ascii="Times New Roman" w:hAnsi="Times New Roman" w:eastAsia="宋体" w:cs="Times New Roman"/>
                      <w:b/>
                      <w:bCs w:val="0"/>
                      <w:color w:val="auto"/>
                      <w:sz w:val="21"/>
                      <w:szCs w:val="21"/>
                      <w:highlight w:val="none"/>
                      <w:u w:val="none" w:color="auto"/>
                      <w:lang w:val="en-US" w:eastAsia="zh-CN"/>
                    </w:rPr>
                  </w:pPr>
                  <w:r>
                    <w:rPr>
                      <w:rFonts w:hint="default" w:ascii="Times New Roman" w:hAnsi="Times New Roman" w:eastAsia="宋体" w:cs="Times New Roman"/>
                      <w:b/>
                      <w:bCs w:val="0"/>
                      <w:color w:val="auto"/>
                      <w:sz w:val="21"/>
                      <w:szCs w:val="21"/>
                      <w:highlight w:val="none"/>
                      <w:u w:val="none" w:color="auto"/>
                    </w:rPr>
                    <w:t>规格</w:t>
                  </w:r>
                </w:p>
              </w:tc>
              <w:tc>
                <w:tcPr>
                  <w:tcW w:w="530" w:type="pct"/>
                  <w:tcBorders>
                    <w:tl2br w:val="nil"/>
                    <w:tr2bl w:val="nil"/>
                  </w:tcBorders>
                  <w:shd w:val="clear" w:color="auto" w:fill="auto"/>
                  <w:noWrap w:val="0"/>
                  <w:tcMar>
                    <w:top w:w="15" w:type="dxa"/>
                    <w:left w:w="15" w:type="dxa"/>
                    <w:right w:w="15" w:type="dxa"/>
                  </w:tcMar>
                  <w:vAlign w:val="center"/>
                </w:tcPr>
                <w:p w14:paraId="29AF2886">
                  <w:pPr>
                    <w:bidi w:val="0"/>
                    <w:jc w:val="center"/>
                    <w:rPr>
                      <w:rFonts w:hint="eastAsia" w:cs="Times New Roman"/>
                      <w:b/>
                      <w:bCs/>
                      <w:color w:val="auto"/>
                      <w:highlight w:val="none"/>
                      <w:u w:val="none" w:color="auto"/>
                      <w:lang w:val="en-US" w:eastAsia="zh-CN"/>
                    </w:rPr>
                  </w:pPr>
                  <w:r>
                    <w:rPr>
                      <w:rFonts w:hint="eastAsia" w:cs="Times New Roman"/>
                      <w:b/>
                      <w:bCs/>
                      <w:color w:val="auto"/>
                      <w:highlight w:val="none"/>
                      <w:u w:val="none" w:color="auto"/>
                      <w:lang w:val="en-US" w:eastAsia="zh-CN"/>
                    </w:rPr>
                    <w:t>变动前</w:t>
                  </w:r>
                </w:p>
                <w:p w14:paraId="5960B87C">
                  <w:pPr>
                    <w:jc w:val="center"/>
                    <w:rPr>
                      <w:rFonts w:hint="default" w:ascii="Times New Roman" w:hAnsi="Times New Roman" w:eastAsia="宋体" w:cs="Times New Roman"/>
                      <w:b/>
                      <w:bCs w:val="0"/>
                      <w:color w:val="auto"/>
                      <w:kern w:val="2"/>
                      <w:sz w:val="21"/>
                      <w:szCs w:val="21"/>
                      <w:highlight w:val="none"/>
                      <w:u w:val="none" w:color="auto"/>
                      <w:lang w:val="en-US" w:eastAsia="zh-CN" w:bidi="ar-SA"/>
                    </w:rPr>
                  </w:pPr>
                  <w:r>
                    <w:rPr>
                      <w:rFonts w:hint="eastAsia" w:ascii="Times New Roman" w:hAnsi="Times New Roman" w:cs="Times New Roman"/>
                      <w:b/>
                      <w:bCs/>
                      <w:color w:val="auto"/>
                      <w:highlight w:val="none"/>
                      <w:u w:val="none" w:color="auto"/>
                      <w:lang w:val="en-US" w:eastAsia="zh-CN"/>
                    </w:rPr>
                    <w:t>数量</w:t>
                  </w:r>
                </w:p>
              </w:tc>
              <w:tc>
                <w:tcPr>
                  <w:tcW w:w="552" w:type="pct"/>
                  <w:tcBorders>
                    <w:tl2br w:val="nil"/>
                    <w:tr2bl w:val="nil"/>
                  </w:tcBorders>
                  <w:shd w:val="clear" w:color="auto" w:fill="auto"/>
                  <w:noWrap w:val="0"/>
                  <w:tcMar>
                    <w:top w:w="15" w:type="dxa"/>
                    <w:left w:w="15" w:type="dxa"/>
                    <w:right w:w="15" w:type="dxa"/>
                  </w:tcMar>
                  <w:vAlign w:val="center"/>
                </w:tcPr>
                <w:p w14:paraId="2C25A189">
                  <w:pPr>
                    <w:bidi w:val="0"/>
                    <w:jc w:val="center"/>
                    <w:rPr>
                      <w:rFonts w:hint="eastAsia" w:cs="Times New Roman"/>
                      <w:b/>
                      <w:bCs/>
                      <w:color w:val="auto"/>
                      <w:highlight w:val="none"/>
                      <w:u w:val="none" w:color="auto"/>
                      <w:lang w:val="en-US" w:eastAsia="zh-CN"/>
                    </w:rPr>
                  </w:pPr>
                  <w:r>
                    <w:rPr>
                      <w:rFonts w:hint="eastAsia" w:cs="Times New Roman"/>
                      <w:b/>
                      <w:bCs/>
                      <w:color w:val="auto"/>
                      <w:highlight w:val="none"/>
                      <w:u w:val="none" w:color="auto"/>
                      <w:lang w:val="en-US" w:eastAsia="zh-CN"/>
                    </w:rPr>
                    <w:t>变动后</w:t>
                  </w:r>
                </w:p>
                <w:p w14:paraId="3623645B">
                  <w:pPr>
                    <w:jc w:val="center"/>
                    <w:rPr>
                      <w:rFonts w:hint="default" w:ascii="Times New Roman" w:hAnsi="Times New Roman" w:eastAsia="宋体" w:cs="Times New Roman"/>
                      <w:b/>
                      <w:bCs w:val="0"/>
                      <w:color w:val="auto"/>
                      <w:kern w:val="2"/>
                      <w:sz w:val="21"/>
                      <w:szCs w:val="21"/>
                      <w:highlight w:val="none"/>
                      <w:u w:val="none" w:color="auto"/>
                      <w:lang w:val="en-US" w:eastAsia="zh-CN" w:bidi="ar-SA"/>
                    </w:rPr>
                  </w:pPr>
                  <w:r>
                    <w:rPr>
                      <w:rFonts w:hint="eastAsia" w:ascii="Times New Roman" w:hAnsi="Times New Roman" w:cs="Times New Roman"/>
                      <w:b/>
                      <w:bCs/>
                      <w:color w:val="auto"/>
                      <w:highlight w:val="none"/>
                      <w:u w:val="none" w:color="auto"/>
                      <w:lang w:val="en-US" w:eastAsia="zh-CN"/>
                    </w:rPr>
                    <w:t>数量</w:t>
                  </w:r>
                </w:p>
              </w:tc>
              <w:tc>
                <w:tcPr>
                  <w:tcW w:w="600" w:type="pct"/>
                  <w:tcBorders>
                    <w:tl2br w:val="nil"/>
                    <w:tr2bl w:val="nil"/>
                  </w:tcBorders>
                  <w:shd w:val="clear" w:color="auto" w:fill="auto"/>
                  <w:noWrap w:val="0"/>
                  <w:tcMar>
                    <w:top w:w="15" w:type="dxa"/>
                    <w:left w:w="15" w:type="dxa"/>
                    <w:right w:w="15" w:type="dxa"/>
                  </w:tcMar>
                  <w:vAlign w:val="center"/>
                </w:tcPr>
                <w:p w14:paraId="0678E35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val="0"/>
                      <w:color w:val="auto"/>
                      <w:kern w:val="2"/>
                      <w:sz w:val="21"/>
                      <w:szCs w:val="21"/>
                      <w:highlight w:val="none"/>
                      <w:u w:val="none" w:color="auto"/>
                      <w:lang w:val="en-US" w:eastAsia="zh-CN" w:bidi="ar-SA"/>
                    </w:rPr>
                  </w:pPr>
                  <w:r>
                    <w:rPr>
                      <w:rFonts w:hint="default" w:ascii="Times New Roman" w:hAnsi="Times New Roman" w:cs="Times New Roman"/>
                      <w:b/>
                      <w:bCs w:val="0"/>
                      <w:color w:val="auto"/>
                      <w:sz w:val="21"/>
                      <w:szCs w:val="21"/>
                      <w:highlight w:val="none"/>
                      <w:u w:val="none" w:color="auto"/>
                      <w:lang w:val="en-US" w:eastAsia="zh-CN"/>
                    </w:rPr>
                    <w:t>单位</w:t>
                  </w:r>
                </w:p>
              </w:tc>
              <w:tc>
                <w:tcPr>
                  <w:tcW w:w="736" w:type="pct"/>
                  <w:tcBorders>
                    <w:tl2br w:val="nil"/>
                    <w:tr2bl w:val="nil"/>
                  </w:tcBorders>
                  <w:noWrap w:val="0"/>
                  <w:tcMar>
                    <w:top w:w="15" w:type="dxa"/>
                    <w:left w:w="15" w:type="dxa"/>
                    <w:right w:w="15" w:type="dxa"/>
                  </w:tcMar>
                  <w:vAlign w:val="center"/>
                </w:tcPr>
                <w:p w14:paraId="0698495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
                      <w:bCs w:val="0"/>
                      <w:color w:val="auto"/>
                      <w:sz w:val="21"/>
                      <w:szCs w:val="21"/>
                      <w:highlight w:val="none"/>
                      <w:u w:val="none" w:color="auto"/>
                      <w:lang w:val="en-US" w:eastAsia="zh-CN"/>
                    </w:rPr>
                  </w:pPr>
                  <w:r>
                    <w:rPr>
                      <w:rFonts w:hint="eastAsia" w:cs="Times New Roman"/>
                      <w:b/>
                      <w:bCs w:val="0"/>
                      <w:color w:val="auto"/>
                      <w:sz w:val="21"/>
                      <w:szCs w:val="21"/>
                      <w:highlight w:val="none"/>
                      <w:u w:val="none" w:color="auto"/>
                      <w:lang w:val="en-US" w:eastAsia="zh-CN"/>
                    </w:rPr>
                    <w:t>对应工艺</w:t>
                  </w:r>
                </w:p>
              </w:tc>
              <w:tc>
                <w:tcPr>
                  <w:tcW w:w="633" w:type="pct"/>
                  <w:tcBorders>
                    <w:tl2br w:val="nil"/>
                    <w:tr2bl w:val="nil"/>
                  </w:tcBorders>
                  <w:noWrap w:val="0"/>
                  <w:tcMar>
                    <w:top w:w="15" w:type="dxa"/>
                    <w:left w:w="15" w:type="dxa"/>
                    <w:right w:w="15" w:type="dxa"/>
                  </w:tcMar>
                  <w:vAlign w:val="center"/>
                </w:tcPr>
                <w:p w14:paraId="55FBC4B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
                      <w:bCs w:val="0"/>
                      <w:color w:val="auto"/>
                      <w:sz w:val="21"/>
                      <w:szCs w:val="21"/>
                      <w:highlight w:val="none"/>
                      <w:u w:val="none" w:color="auto"/>
                      <w:lang w:val="en-US" w:eastAsia="zh-CN"/>
                    </w:rPr>
                  </w:pPr>
                  <w:r>
                    <w:rPr>
                      <w:rFonts w:hint="eastAsia" w:cs="Times New Roman"/>
                      <w:b/>
                      <w:bCs w:val="0"/>
                      <w:color w:val="auto"/>
                      <w:sz w:val="21"/>
                      <w:szCs w:val="21"/>
                      <w:highlight w:val="none"/>
                      <w:u w:val="none" w:color="auto"/>
                      <w:lang w:val="en-US" w:eastAsia="zh-CN"/>
                    </w:rPr>
                    <w:t>备注</w:t>
                  </w:r>
                </w:p>
              </w:tc>
            </w:tr>
            <w:tr w14:paraId="33601E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64" w:type="pct"/>
                  <w:tcBorders>
                    <w:tl2br w:val="nil"/>
                    <w:tr2bl w:val="nil"/>
                  </w:tcBorders>
                  <w:noWrap w:val="0"/>
                  <w:tcMar>
                    <w:top w:w="15" w:type="dxa"/>
                    <w:left w:w="15" w:type="dxa"/>
                    <w:right w:w="15" w:type="dxa"/>
                  </w:tcMar>
                  <w:vAlign w:val="center"/>
                </w:tcPr>
                <w:p w14:paraId="1202585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default" w:ascii="Times New Roman" w:hAnsi="Times New Roman" w:cs="Times New Roman"/>
                      <w:bCs/>
                      <w:color w:val="auto"/>
                      <w:sz w:val="21"/>
                      <w:szCs w:val="21"/>
                      <w:highlight w:val="none"/>
                      <w:u w:val="none" w:color="auto"/>
                      <w:lang w:val="en-US" w:eastAsia="zh-CN"/>
                    </w:rPr>
                    <w:t>1</w:t>
                  </w:r>
                </w:p>
              </w:tc>
              <w:tc>
                <w:tcPr>
                  <w:tcW w:w="861" w:type="pct"/>
                  <w:tcBorders>
                    <w:tl2br w:val="nil"/>
                    <w:tr2bl w:val="nil"/>
                  </w:tcBorders>
                  <w:noWrap w:val="0"/>
                  <w:tcMar>
                    <w:top w:w="15" w:type="dxa"/>
                    <w:left w:w="15" w:type="dxa"/>
                    <w:right w:w="15" w:type="dxa"/>
                  </w:tcMar>
                  <w:vAlign w:val="center"/>
                </w:tcPr>
                <w:p w14:paraId="6E732A3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抽残机</w:t>
                  </w:r>
                </w:p>
              </w:tc>
              <w:tc>
                <w:tcPr>
                  <w:tcW w:w="820" w:type="pct"/>
                  <w:tcBorders>
                    <w:tl2br w:val="nil"/>
                    <w:tr2bl w:val="nil"/>
                  </w:tcBorders>
                  <w:shd w:val="clear" w:color="auto" w:fill="auto"/>
                  <w:noWrap w:val="0"/>
                  <w:tcMar>
                    <w:top w:w="15" w:type="dxa"/>
                    <w:left w:w="15" w:type="dxa"/>
                    <w:right w:w="15" w:type="dxa"/>
                  </w:tcMar>
                  <w:vAlign w:val="center"/>
                </w:tcPr>
                <w:p w14:paraId="7F0E779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kern w:val="2"/>
                      <w:sz w:val="21"/>
                      <w:szCs w:val="21"/>
                      <w:highlight w:val="none"/>
                      <w:u w:val="none" w:color="auto"/>
                      <w:lang w:val="en-US" w:eastAsia="zh-CN" w:bidi="ar-SA"/>
                    </w:rPr>
                  </w:pPr>
                  <w:r>
                    <w:rPr>
                      <w:rFonts w:hint="default" w:ascii="Times New Roman" w:hAnsi="Times New Roman" w:eastAsia="宋体" w:cs="Times New Roman"/>
                      <w:color w:val="auto"/>
                      <w:spacing w:val="0"/>
                      <w:sz w:val="21"/>
                      <w:szCs w:val="21"/>
                      <w:highlight w:val="none"/>
                      <w:u w:val="none" w:color="auto"/>
                    </w:rPr>
                    <w:t>CYC-50</w:t>
                  </w:r>
                </w:p>
              </w:tc>
              <w:tc>
                <w:tcPr>
                  <w:tcW w:w="530" w:type="pct"/>
                  <w:tcBorders>
                    <w:tl2br w:val="nil"/>
                    <w:tr2bl w:val="nil"/>
                  </w:tcBorders>
                  <w:shd w:val="clear" w:color="auto" w:fill="auto"/>
                  <w:noWrap w:val="0"/>
                  <w:tcMar>
                    <w:top w:w="15" w:type="dxa"/>
                    <w:left w:w="15" w:type="dxa"/>
                    <w:right w:w="15" w:type="dxa"/>
                  </w:tcMar>
                  <w:vAlign w:val="center"/>
                </w:tcPr>
                <w:p w14:paraId="29ADE1F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1</w:t>
                  </w:r>
                </w:p>
              </w:tc>
              <w:tc>
                <w:tcPr>
                  <w:tcW w:w="552" w:type="pct"/>
                  <w:tcBorders>
                    <w:tl2br w:val="nil"/>
                    <w:tr2bl w:val="nil"/>
                  </w:tcBorders>
                  <w:shd w:val="clear" w:color="auto" w:fill="auto"/>
                  <w:noWrap w:val="0"/>
                  <w:tcMar>
                    <w:top w:w="15" w:type="dxa"/>
                    <w:left w:w="15" w:type="dxa"/>
                    <w:right w:w="15" w:type="dxa"/>
                  </w:tcMar>
                  <w:vAlign w:val="center"/>
                </w:tcPr>
                <w:p w14:paraId="4BF8E44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1</w:t>
                  </w:r>
                </w:p>
              </w:tc>
              <w:tc>
                <w:tcPr>
                  <w:tcW w:w="600" w:type="pct"/>
                  <w:tcBorders>
                    <w:tl2br w:val="nil"/>
                    <w:tr2bl w:val="nil"/>
                  </w:tcBorders>
                  <w:shd w:val="clear" w:color="auto" w:fill="auto"/>
                  <w:noWrap w:val="0"/>
                  <w:tcMar>
                    <w:top w:w="15" w:type="dxa"/>
                    <w:left w:w="15" w:type="dxa"/>
                    <w:right w:w="15" w:type="dxa"/>
                  </w:tcMar>
                  <w:vAlign w:val="center"/>
                </w:tcPr>
                <w:p w14:paraId="3C24C43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default" w:ascii="Times New Roman" w:hAnsi="Times New Roman" w:cs="Times New Roman"/>
                      <w:bCs/>
                      <w:color w:val="auto"/>
                      <w:sz w:val="21"/>
                      <w:szCs w:val="21"/>
                      <w:highlight w:val="none"/>
                      <w:u w:val="none" w:color="auto"/>
                      <w:lang w:val="en-US" w:eastAsia="zh-CN"/>
                    </w:rPr>
                    <w:t>台</w:t>
                  </w:r>
                </w:p>
              </w:tc>
              <w:tc>
                <w:tcPr>
                  <w:tcW w:w="736" w:type="pct"/>
                  <w:tcBorders>
                    <w:tl2br w:val="nil"/>
                    <w:tr2bl w:val="nil"/>
                  </w:tcBorders>
                  <w:noWrap w:val="0"/>
                  <w:tcMar>
                    <w:top w:w="15" w:type="dxa"/>
                    <w:left w:w="15" w:type="dxa"/>
                    <w:right w:w="15" w:type="dxa"/>
                  </w:tcMar>
                  <w:vAlign w:val="center"/>
                </w:tcPr>
                <w:p w14:paraId="5093D2D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抽残液</w:t>
                  </w:r>
                </w:p>
              </w:tc>
              <w:tc>
                <w:tcPr>
                  <w:tcW w:w="633" w:type="pct"/>
                  <w:vMerge w:val="restart"/>
                  <w:tcBorders>
                    <w:tl2br w:val="nil"/>
                    <w:tr2bl w:val="nil"/>
                  </w:tcBorders>
                  <w:noWrap w:val="0"/>
                  <w:tcMar>
                    <w:top w:w="15" w:type="dxa"/>
                    <w:left w:w="15" w:type="dxa"/>
                    <w:right w:w="15" w:type="dxa"/>
                  </w:tcMar>
                  <w:vAlign w:val="center"/>
                </w:tcPr>
                <w:p w14:paraId="0C6A56F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val="en-US" w:eastAsia="zh-CN"/>
                    </w:rPr>
                  </w:pPr>
                  <w:r>
                    <w:rPr>
                      <w:rFonts w:hint="eastAsia" w:ascii="Times New Roman" w:hAnsi="Times New Roman" w:eastAsia="宋体" w:cs="Times New Roman"/>
                      <w:color w:val="auto"/>
                      <w:sz w:val="21"/>
                      <w:szCs w:val="21"/>
                      <w:lang w:val="en-US" w:eastAsia="zh-CN"/>
                    </w:rPr>
                    <w:t>无变化</w:t>
                  </w:r>
                  <w:r>
                    <w:rPr>
                      <w:rFonts w:hint="eastAsia" w:cs="Times New Roman"/>
                      <w:bCs/>
                      <w:color w:val="auto"/>
                      <w:sz w:val="21"/>
                      <w:szCs w:val="21"/>
                      <w:highlight w:val="none"/>
                      <w:u w:val="none" w:color="auto"/>
                      <w:lang w:val="en-US" w:eastAsia="zh-CN"/>
                    </w:rPr>
                    <w:t>，搬迁利用</w:t>
                  </w:r>
                </w:p>
              </w:tc>
            </w:tr>
            <w:tr w14:paraId="321459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64" w:type="pct"/>
                  <w:tcBorders>
                    <w:tl2br w:val="nil"/>
                    <w:tr2bl w:val="nil"/>
                  </w:tcBorders>
                  <w:noWrap w:val="0"/>
                  <w:tcMar>
                    <w:top w:w="15" w:type="dxa"/>
                    <w:left w:w="15" w:type="dxa"/>
                    <w:right w:w="15" w:type="dxa"/>
                  </w:tcMar>
                  <w:vAlign w:val="center"/>
                </w:tcPr>
                <w:p w14:paraId="09EC091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default" w:ascii="Times New Roman" w:hAnsi="Times New Roman" w:cs="Times New Roman"/>
                      <w:bCs/>
                      <w:color w:val="auto"/>
                      <w:sz w:val="21"/>
                      <w:szCs w:val="21"/>
                      <w:highlight w:val="none"/>
                      <w:u w:val="none" w:color="auto"/>
                      <w:lang w:val="en-US" w:eastAsia="zh-CN"/>
                    </w:rPr>
                    <w:t>2</w:t>
                  </w:r>
                </w:p>
              </w:tc>
              <w:tc>
                <w:tcPr>
                  <w:tcW w:w="861" w:type="pct"/>
                  <w:tcBorders>
                    <w:tl2br w:val="nil"/>
                    <w:tr2bl w:val="nil"/>
                  </w:tcBorders>
                  <w:noWrap w:val="0"/>
                  <w:tcMar>
                    <w:top w:w="15" w:type="dxa"/>
                    <w:left w:w="15" w:type="dxa"/>
                    <w:right w:w="15" w:type="dxa"/>
                  </w:tcMar>
                  <w:vAlign w:val="center"/>
                </w:tcPr>
                <w:p w14:paraId="3F1994B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卸阀机</w:t>
                  </w:r>
                </w:p>
              </w:tc>
              <w:tc>
                <w:tcPr>
                  <w:tcW w:w="820" w:type="pct"/>
                  <w:tcBorders>
                    <w:tl2br w:val="nil"/>
                    <w:tr2bl w:val="nil"/>
                  </w:tcBorders>
                  <w:shd w:val="clear" w:color="auto" w:fill="auto"/>
                  <w:noWrap w:val="0"/>
                  <w:tcMar>
                    <w:top w:w="15" w:type="dxa"/>
                    <w:left w:w="15" w:type="dxa"/>
                    <w:right w:w="15" w:type="dxa"/>
                  </w:tcMar>
                  <w:vAlign w:val="center"/>
                </w:tcPr>
                <w:p w14:paraId="7A64070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w:t>
                  </w:r>
                </w:p>
              </w:tc>
              <w:tc>
                <w:tcPr>
                  <w:tcW w:w="530" w:type="pct"/>
                  <w:tcBorders>
                    <w:tl2br w:val="nil"/>
                    <w:tr2bl w:val="nil"/>
                  </w:tcBorders>
                  <w:shd w:val="clear" w:color="auto" w:fill="auto"/>
                  <w:noWrap w:val="0"/>
                  <w:tcMar>
                    <w:top w:w="15" w:type="dxa"/>
                    <w:left w:w="15" w:type="dxa"/>
                    <w:right w:w="15" w:type="dxa"/>
                  </w:tcMar>
                  <w:vAlign w:val="center"/>
                </w:tcPr>
                <w:p w14:paraId="6F1808E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1</w:t>
                  </w:r>
                </w:p>
              </w:tc>
              <w:tc>
                <w:tcPr>
                  <w:tcW w:w="552" w:type="pct"/>
                  <w:tcBorders>
                    <w:tl2br w:val="nil"/>
                    <w:tr2bl w:val="nil"/>
                  </w:tcBorders>
                  <w:shd w:val="clear" w:color="auto" w:fill="auto"/>
                  <w:noWrap w:val="0"/>
                  <w:tcMar>
                    <w:top w:w="15" w:type="dxa"/>
                    <w:left w:w="15" w:type="dxa"/>
                    <w:right w:w="15" w:type="dxa"/>
                  </w:tcMar>
                  <w:vAlign w:val="center"/>
                </w:tcPr>
                <w:p w14:paraId="137F33E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1</w:t>
                  </w:r>
                </w:p>
              </w:tc>
              <w:tc>
                <w:tcPr>
                  <w:tcW w:w="600" w:type="pct"/>
                  <w:tcBorders>
                    <w:tl2br w:val="nil"/>
                    <w:tr2bl w:val="nil"/>
                  </w:tcBorders>
                  <w:shd w:val="clear" w:color="auto" w:fill="auto"/>
                  <w:noWrap w:val="0"/>
                  <w:tcMar>
                    <w:top w:w="15" w:type="dxa"/>
                    <w:left w:w="15" w:type="dxa"/>
                    <w:right w:w="15" w:type="dxa"/>
                  </w:tcMar>
                  <w:vAlign w:val="center"/>
                </w:tcPr>
                <w:p w14:paraId="5ED7FD0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default" w:ascii="Times New Roman" w:hAnsi="Times New Roman" w:cs="Times New Roman"/>
                      <w:bCs/>
                      <w:color w:val="auto"/>
                      <w:sz w:val="21"/>
                      <w:szCs w:val="21"/>
                      <w:highlight w:val="none"/>
                      <w:u w:val="none" w:color="auto"/>
                      <w:lang w:val="en-US" w:eastAsia="zh-CN"/>
                    </w:rPr>
                    <w:t>台</w:t>
                  </w:r>
                </w:p>
              </w:tc>
              <w:tc>
                <w:tcPr>
                  <w:tcW w:w="736" w:type="pct"/>
                  <w:tcBorders>
                    <w:tl2br w:val="nil"/>
                    <w:tr2bl w:val="nil"/>
                  </w:tcBorders>
                  <w:noWrap w:val="0"/>
                  <w:tcMar>
                    <w:top w:w="15" w:type="dxa"/>
                    <w:left w:w="15" w:type="dxa"/>
                    <w:right w:w="15" w:type="dxa"/>
                  </w:tcMar>
                  <w:vAlign w:val="center"/>
                </w:tcPr>
                <w:p w14:paraId="79622B9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拆卸瓶阀</w:t>
                  </w:r>
                </w:p>
              </w:tc>
              <w:tc>
                <w:tcPr>
                  <w:tcW w:w="633" w:type="pct"/>
                  <w:vMerge w:val="continue"/>
                  <w:tcBorders>
                    <w:tl2br w:val="nil"/>
                    <w:tr2bl w:val="nil"/>
                  </w:tcBorders>
                  <w:noWrap w:val="0"/>
                  <w:tcMar>
                    <w:top w:w="15" w:type="dxa"/>
                    <w:left w:w="15" w:type="dxa"/>
                    <w:right w:w="15" w:type="dxa"/>
                  </w:tcMar>
                  <w:vAlign w:val="center"/>
                </w:tcPr>
                <w:p w14:paraId="0815055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cs="Times New Roman"/>
                      <w:bCs/>
                      <w:color w:val="auto"/>
                      <w:sz w:val="21"/>
                      <w:szCs w:val="21"/>
                      <w:highlight w:val="none"/>
                      <w:u w:val="none" w:color="auto"/>
                      <w:lang w:val="en-US" w:eastAsia="zh-CN"/>
                    </w:rPr>
                  </w:pPr>
                </w:p>
              </w:tc>
            </w:tr>
            <w:tr w14:paraId="508200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64" w:type="pct"/>
                  <w:tcBorders>
                    <w:tl2br w:val="nil"/>
                    <w:tr2bl w:val="nil"/>
                  </w:tcBorders>
                  <w:noWrap w:val="0"/>
                  <w:tcMar>
                    <w:top w:w="15" w:type="dxa"/>
                    <w:left w:w="15" w:type="dxa"/>
                    <w:right w:w="15" w:type="dxa"/>
                  </w:tcMar>
                  <w:vAlign w:val="center"/>
                </w:tcPr>
                <w:p w14:paraId="2719CEF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default" w:ascii="Times New Roman" w:hAnsi="Times New Roman" w:cs="Times New Roman"/>
                      <w:bCs/>
                      <w:color w:val="auto"/>
                      <w:sz w:val="21"/>
                      <w:szCs w:val="21"/>
                      <w:highlight w:val="none"/>
                      <w:u w:val="none" w:color="auto"/>
                      <w:lang w:val="en-US" w:eastAsia="zh-CN"/>
                    </w:rPr>
                    <w:t>3</w:t>
                  </w:r>
                </w:p>
              </w:tc>
              <w:tc>
                <w:tcPr>
                  <w:tcW w:w="861" w:type="pct"/>
                  <w:tcBorders>
                    <w:tl2br w:val="nil"/>
                    <w:tr2bl w:val="nil"/>
                  </w:tcBorders>
                  <w:noWrap w:val="0"/>
                  <w:tcMar>
                    <w:top w:w="15" w:type="dxa"/>
                    <w:left w:w="15" w:type="dxa"/>
                    <w:right w:w="15" w:type="dxa"/>
                  </w:tcMar>
                  <w:vAlign w:val="center"/>
                </w:tcPr>
                <w:p w14:paraId="63F31F4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焚烧炉</w:t>
                  </w:r>
                </w:p>
              </w:tc>
              <w:tc>
                <w:tcPr>
                  <w:tcW w:w="820" w:type="pct"/>
                  <w:tcBorders>
                    <w:tl2br w:val="nil"/>
                    <w:tr2bl w:val="nil"/>
                  </w:tcBorders>
                  <w:shd w:val="clear" w:color="auto" w:fill="auto"/>
                  <w:noWrap w:val="0"/>
                  <w:tcMar>
                    <w:top w:w="15" w:type="dxa"/>
                    <w:left w:w="15" w:type="dxa"/>
                    <w:right w:w="15" w:type="dxa"/>
                  </w:tcMar>
                  <w:vAlign w:val="center"/>
                </w:tcPr>
                <w:p w14:paraId="0B9396A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default" w:ascii="Times New Roman" w:hAnsi="Times New Roman" w:eastAsia="宋体" w:cs="Times New Roman"/>
                      <w:color w:val="auto"/>
                      <w:spacing w:val="0"/>
                      <w:sz w:val="21"/>
                      <w:szCs w:val="21"/>
                      <w:highlight w:val="none"/>
                      <w:u w:val="none" w:color="auto"/>
                    </w:rPr>
                    <w:t>GFL-B</w:t>
                  </w:r>
                </w:p>
              </w:tc>
              <w:tc>
                <w:tcPr>
                  <w:tcW w:w="530" w:type="pct"/>
                  <w:tcBorders>
                    <w:tl2br w:val="nil"/>
                    <w:tr2bl w:val="nil"/>
                  </w:tcBorders>
                  <w:shd w:val="clear" w:color="auto" w:fill="auto"/>
                  <w:noWrap w:val="0"/>
                  <w:tcMar>
                    <w:top w:w="15" w:type="dxa"/>
                    <w:left w:w="15" w:type="dxa"/>
                    <w:right w:w="15" w:type="dxa"/>
                  </w:tcMar>
                  <w:vAlign w:val="center"/>
                </w:tcPr>
                <w:p w14:paraId="2AF6BB5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2</w:t>
                  </w:r>
                </w:p>
              </w:tc>
              <w:tc>
                <w:tcPr>
                  <w:tcW w:w="552" w:type="pct"/>
                  <w:tcBorders>
                    <w:tl2br w:val="nil"/>
                    <w:tr2bl w:val="nil"/>
                  </w:tcBorders>
                  <w:shd w:val="clear" w:color="auto" w:fill="auto"/>
                  <w:noWrap w:val="0"/>
                  <w:tcMar>
                    <w:top w:w="15" w:type="dxa"/>
                    <w:left w:w="15" w:type="dxa"/>
                    <w:right w:w="15" w:type="dxa"/>
                  </w:tcMar>
                  <w:vAlign w:val="center"/>
                </w:tcPr>
                <w:p w14:paraId="56EDC4F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2</w:t>
                  </w:r>
                </w:p>
              </w:tc>
              <w:tc>
                <w:tcPr>
                  <w:tcW w:w="600" w:type="pct"/>
                  <w:tcBorders>
                    <w:tl2br w:val="nil"/>
                    <w:tr2bl w:val="nil"/>
                  </w:tcBorders>
                  <w:shd w:val="clear" w:color="auto" w:fill="auto"/>
                  <w:noWrap w:val="0"/>
                  <w:tcMar>
                    <w:top w:w="15" w:type="dxa"/>
                    <w:left w:w="15" w:type="dxa"/>
                    <w:right w:w="15" w:type="dxa"/>
                  </w:tcMar>
                  <w:vAlign w:val="center"/>
                </w:tcPr>
                <w:p w14:paraId="2A4159D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default" w:ascii="Times New Roman" w:hAnsi="Times New Roman" w:cs="Times New Roman"/>
                      <w:bCs/>
                      <w:color w:val="auto"/>
                      <w:sz w:val="21"/>
                      <w:szCs w:val="21"/>
                      <w:highlight w:val="none"/>
                      <w:u w:val="none" w:color="auto"/>
                      <w:lang w:val="en-US" w:eastAsia="zh-CN"/>
                    </w:rPr>
                    <w:t>台</w:t>
                  </w:r>
                </w:p>
              </w:tc>
              <w:tc>
                <w:tcPr>
                  <w:tcW w:w="736" w:type="pct"/>
                  <w:tcBorders>
                    <w:tl2br w:val="nil"/>
                    <w:tr2bl w:val="nil"/>
                  </w:tcBorders>
                  <w:noWrap w:val="0"/>
                  <w:tcMar>
                    <w:top w:w="15" w:type="dxa"/>
                    <w:left w:w="15" w:type="dxa"/>
                    <w:right w:w="15" w:type="dxa"/>
                  </w:tcMar>
                  <w:vAlign w:val="center"/>
                </w:tcPr>
                <w:p w14:paraId="53B1F34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焚烧</w:t>
                  </w:r>
                </w:p>
              </w:tc>
              <w:tc>
                <w:tcPr>
                  <w:tcW w:w="633" w:type="pct"/>
                  <w:vMerge w:val="continue"/>
                  <w:tcBorders>
                    <w:tl2br w:val="nil"/>
                    <w:tr2bl w:val="nil"/>
                  </w:tcBorders>
                  <w:noWrap w:val="0"/>
                  <w:tcMar>
                    <w:top w:w="15" w:type="dxa"/>
                    <w:left w:w="15" w:type="dxa"/>
                    <w:right w:w="15" w:type="dxa"/>
                  </w:tcMar>
                  <w:vAlign w:val="center"/>
                </w:tcPr>
                <w:p w14:paraId="13221FC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cs="Times New Roman"/>
                      <w:bCs/>
                      <w:color w:val="auto"/>
                      <w:sz w:val="21"/>
                      <w:szCs w:val="21"/>
                      <w:highlight w:val="none"/>
                      <w:u w:val="none" w:color="auto"/>
                      <w:lang w:val="en-US" w:eastAsia="zh-CN"/>
                    </w:rPr>
                  </w:pPr>
                </w:p>
              </w:tc>
            </w:tr>
            <w:tr w14:paraId="060AC7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64" w:type="pct"/>
                  <w:tcBorders>
                    <w:tl2br w:val="nil"/>
                    <w:tr2bl w:val="nil"/>
                  </w:tcBorders>
                  <w:noWrap w:val="0"/>
                  <w:tcMar>
                    <w:top w:w="15" w:type="dxa"/>
                    <w:left w:w="15" w:type="dxa"/>
                    <w:right w:w="15" w:type="dxa"/>
                  </w:tcMar>
                  <w:vAlign w:val="center"/>
                </w:tcPr>
                <w:p w14:paraId="1F2F948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default" w:ascii="Times New Roman" w:hAnsi="Times New Roman" w:cs="Times New Roman"/>
                      <w:bCs/>
                      <w:color w:val="auto"/>
                      <w:sz w:val="21"/>
                      <w:szCs w:val="21"/>
                      <w:highlight w:val="none"/>
                      <w:u w:val="none" w:color="auto"/>
                      <w:lang w:val="en-US" w:eastAsia="zh-CN"/>
                    </w:rPr>
                    <w:t>4</w:t>
                  </w:r>
                </w:p>
              </w:tc>
              <w:tc>
                <w:tcPr>
                  <w:tcW w:w="861" w:type="pct"/>
                  <w:tcBorders>
                    <w:tl2br w:val="nil"/>
                    <w:tr2bl w:val="nil"/>
                  </w:tcBorders>
                  <w:noWrap w:val="0"/>
                  <w:tcMar>
                    <w:top w:w="15" w:type="dxa"/>
                    <w:left w:w="15" w:type="dxa"/>
                    <w:right w:w="15" w:type="dxa"/>
                  </w:tcMar>
                  <w:vAlign w:val="center"/>
                </w:tcPr>
                <w:p w14:paraId="33050C3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液压一体化裁剪机</w:t>
                  </w:r>
                </w:p>
              </w:tc>
              <w:tc>
                <w:tcPr>
                  <w:tcW w:w="820" w:type="pct"/>
                  <w:tcBorders>
                    <w:tl2br w:val="nil"/>
                    <w:tr2bl w:val="nil"/>
                  </w:tcBorders>
                  <w:shd w:val="clear" w:color="auto" w:fill="auto"/>
                  <w:noWrap w:val="0"/>
                  <w:tcMar>
                    <w:top w:w="15" w:type="dxa"/>
                    <w:left w:w="15" w:type="dxa"/>
                    <w:right w:w="15" w:type="dxa"/>
                  </w:tcMar>
                  <w:vAlign w:val="center"/>
                </w:tcPr>
                <w:p w14:paraId="08F6B6E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w:t>
                  </w:r>
                </w:p>
              </w:tc>
              <w:tc>
                <w:tcPr>
                  <w:tcW w:w="530" w:type="pct"/>
                  <w:tcBorders>
                    <w:tl2br w:val="nil"/>
                    <w:tr2bl w:val="nil"/>
                  </w:tcBorders>
                  <w:shd w:val="clear" w:color="auto" w:fill="auto"/>
                  <w:noWrap w:val="0"/>
                  <w:tcMar>
                    <w:top w:w="15" w:type="dxa"/>
                    <w:left w:w="15" w:type="dxa"/>
                    <w:right w:w="15" w:type="dxa"/>
                  </w:tcMar>
                  <w:vAlign w:val="center"/>
                </w:tcPr>
                <w:p w14:paraId="490EDBB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1</w:t>
                  </w:r>
                </w:p>
              </w:tc>
              <w:tc>
                <w:tcPr>
                  <w:tcW w:w="552" w:type="pct"/>
                  <w:tcBorders>
                    <w:tl2br w:val="nil"/>
                    <w:tr2bl w:val="nil"/>
                  </w:tcBorders>
                  <w:shd w:val="clear" w:color="auto" w:fill="auto"/>
                  <w:noWrap w:val="0"/>
                  <w:tcMar>
                    <w:top w:w="15" w:type="dxa"/>
                    <w:left w:w="15" w:type="dxa"/>
                    <w:right w:w="15" w:type="dxa"/>
                  </w:tcMar>
                  <w:vAlign w:val="center"/>
                </w:tcPr>
                <w:p w14:paraId="079367F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1</w:t>
                  </w:r>
                </w:p>
              </w:tc>
              <w:tc>
                <w:tcPr>
                  <w:tcW w:w="600" w:type="pct"/>
                  <w:tcBorders>
                    <w:tl2br w:val="nil"/>
                    <w:tr2bl w:val="nil"/>
                  </w:tcBorders>
                  <w:shd w:val="clear" w:color="auto" w:fill="auto"/>
                  <w:noWrap w:val="0"/>
                  <w:tcMar>
                    <w:top w:w="15" w:type="dxa"/>
                    <w:left w:w="15" w:type="dxa"/>
                    <w:right w:w="15" w:type="dxa"/>
                  </w:tcMar>
                  <w:vAlign w:val="center"/>
                </w:tcPr>
                <w:p w14:paraId="060E388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default" w:ascii="Times New Roman" w:hAnsi="Times New Roman" w:cs="Times New Roman"/>
                      <w:bCs/>
                      <w:color w:val="auto"/>
                      <w:sz w:val="21"/>
                      <w:szCs w:val="21"/>
                      <w:highlight w:val="none"/>
                      <w:u w:val="none" w:color="auto"/>
                      <w:lang w:val="en-US" w:eastAsia="zh-CN"/>
                    </w:rPr>
                    <w:t>台</w:t>
                  </w:r>
                </w:p>
              </w:tc>
              <w:tc>
                <w:tcPr>
                  <w:tcW w:w="736" w:type="pct"/>
                  <w:tcBorders>
                    <w:tl2br w:val="nil"/>
                    <w:tr2bl w:val="nil"/>
                  </w:tcBorders>
                  <w:noWrap w:val="0"/>
                  <w:tcMar>
                    <w:top w:w="15" w:type="dxa"/>
                    <w:left w:w="15" w:type="dxa"/>
                    <w:right w:w="15" w:type="dxa"/>
                  </w:tcMar>
                  <w:vAlign w:val="center"/>
                </w:tcPr>
                <w:p w14:paraId="4A38483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压扁</w:t>
                  </w:r>
                </w:p>
              </w:tc>
              <w:tc>
                <w:tcPr>
                  <w:tcW w:w="633" w:type="pct"/>
                  <w:vMerge w:val="continue"/>
                  <w:tcBorders>
                    <w:tl2br w:val="nil"/>
                    <w:tr2bl w:val="nil"/>
                  </w:tcBorders>
                  <w:noWrap w:val="0"/>
                  <w:tcMar>
                    <w:top w:w="15" w:type="dxa"/>
                    <w:left w:w="15" w:type="dxa"/>
                    <w:right w:w="15" w:type="dxa"/>
                  </w:tcMar>
                  <w:vAlign w:val="center"/>
                </w:tcPr>
                <w:p w14:paraId="297B370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cs="Times New Roman"/>
                      <w:bCs/>
                      <w:color w:val="auto"/>
                      <w:sz w:val="21"/>
                      <w:szCs w:val="21"/>
                      <w:highlight w:val="none"/>
                      <w:u w:val="none" w:color="auto"/>
                      <w:lang w:val="en-US" w:eastAsia="zh-CN"/>
                    </w:rPr>
                  </w:pPr>
                </w:p>
              </w:tc>
            </w:tr>
            <w:tr w14:paraId="0FFE88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64" w:type="pct"/>
                  <w:tcBorders>
                    <w:tl2br w:val="nil"/>
                    <w:tr2bl w:val="nil"/>
                  </w:tcBorders>
                  <w:noWrap w:val="0"/>
                  <w:tcMar>
                    <w:top w:w="15" w:type="dxa"/>
                    <w:left w:w="15" w:type="dxa"/>
                    <w:right w:w="15" w:type="dxa"/>
                  </w:tcMar>
                  <w:vAlign w:val="center"/>
                </w:tcPr>
                <w:p w14:paraId="24A0998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5</w:t>
                  </w:r>
                </w:p>
              </w:tc>
              <w:tc>
                <w:tcPr>
                  <w:tcW w:w="861" w:type="pct"/>
                  <w:tcBorders>
                    <w:tl2br w:val="nil"/>
                    <w:tr2bl w:val="nil"/>
                  </w:tcBorders>
                  <w:shd w:val="clear" w:color="auto" w:fill="auto"/>
                  <w:noWrap w:val="0"/>
                  <w:tcMar>
                    <w:top w:w="15" w:type="dxa"/>
                    <w:left w:w="15" w:type="dxa"/>
                    <w:right w:w="15" w:type="dxa"/>
                  </w:tcMar>
                  <w:vAlign w:val="center"/>
                </w:tcPr>
                <w:p w14:paraId="3E46532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default" w:cs="Times New Roman"/>
                      <w:bCs/>
                      <w:color w:val="auto"/>
                      <w:sz w:val="21"/>
                      <w:szCs w:val="21"/>
                      <w:highlight w:val="none"/>
                      <w:u w:val="none" w:color="auto"/>
                      <w:lang w:eastAsia="zh-CN"/>
                    </w:rPr>
                    <w:t>残液回收装置</w:t>
                  </w:r>
                </w:p>
              </w:tc>
              <w:tc>
                <w:tcPr>
                  <w:tcW w:w="820" w:type="pct"/>
                  <w:tcBorders>
                    <w:tl2br w:val="nil"/>
                    <w:tr2bl w:val="nil"/>
                  </w:tcBorders>
                  <w:shd w:val="clear" w:color="auto" w:fill="auto"/>
                  <w:noWrap w:val="0"/>
                  <w:tcMar>
                    <w:top w:w="15" w:type="dxa"/>
                    <w:left w:w="15" w:type="dxa"/>
                    <w:right w:w="15" w:type="dxa"/>
                  </w:tcMar>
                  <w:vAlign w:val="center"/>
                </w:tcPr>
                <w:p w14:paraId="2C54A2C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default" w:cs="Times New Roman"/>
                      <w:bCs/>
                      <w:color w:val="auto"/>
                      <w:sz w:val="21"/>
                      <w:szCs w:val="21"/>
                      <w:highlight w:val="none"/>
                      <w:u w:val="none" w:color="auto"/>
                      <w:lang w:eastAsia="zh-CN"/>
                    </w:rPr>
                    <w:t>/</w:t>
                  </w:r>
                </w:p>
              </w:tc>
              <w:tc>
                <w:tcPr>
                  <w:tcW w:w="530" w:type="pct"/>
                  <w:tcBorders>
                    <w:tl2br w:val="nil"/>
                    <w:tr2bl w:val="nil"/>
                  </w:tcBorders>
                  <w:shd w:val="clear" w:color="auto" w:fill="auto"/>
                  <w:noWrap w:val="0"/>
                  <w:tcMar>
                    <w:top w:w="15" w:type="dxa"/>
                    <w:left w:w="15" w:type="dxa"/>
                    <w:right w:w="15" w:type="dxa"/>
                  </w:tcMar>
                  <w:vAlign w:val="center"/>
                </w:tcPr>
                <w:p w14:paraId="04E9D6F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default" w:cs="Times New Roman"/>
                      <w:bCs/>
                      <w:color w:val="auto"/>
                      <w:sz w:val="21"/>
                      <w:szCs w:val="21"/>
                      <w:highlight w:val="none"/>
                      <w:u w:val="none" w:color="auto"/>
                      <w:lang w:eastAsia="zh-CN"/>
                    </w:rPr>
                    <w:t>1</w:t>
                  </w:r>
                </w:p>
              </w:tc>
              <w:tc>
                <w:tcPr>
                  <w:tcW w:w="552" w:type="pct"/>
                  <w:tcBorders>
                    <w:tl2br w:val="nil"/>
                    <w:tr2bl w:val="nil"/>
                  </w:tcBorders>
                  <w:shd w:val="clear" w:color="auto" w:fill="auto"/>
                  <w:noWrap w:val="0"/>
                  <w:tcMar>
                    <w:top w:w="15" w:type="dxa"/>
                    <w:left w:w="15" w:type="dxa"/>
                    <w:right w:w="15" w:type="dxa"/>
                  </w:tcMar>
                  <w:vAlign w:val="center"/>
                </w:tcPr>
                <w:p w14:paraId="657E0D8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none" w:color="auto"/>
                      <w:lang w:val="en-US" w:eastAsia="zh-CN" w:bidi="ar-SA"/>
                    </w:rPr>
                  </w:pPr>
                  <w:r>
                    <w:rPr>
                      <w:rFonts w:hint="default" w:cs="Times New Roman"/>
                      <w:bCs/>
                      <w:color w:val="auto"/>
                      <w:sz w:val="21"/>
                      <w:szCs w:val="21"/>
                      <w:highlight w:val="none"/>
                      <w:u w:val="none" w:color="auto"/>
                      <w:lang w:eastAsia="zh-CN"/>
                    </w:rPr>
                    <w:t>1</w:t>
                  </w:r>
                </w:p>
              </w:tc>
              <w:tc>
                <w:tcPr>
                  <w:tcW w:w="600" w:type="pct"/>
                  <w:tcBorders>
                    <w:tl2br w:val="nil"/>
                    <w:tr2bl w:val="nil"/>
                  </w:tcBorders>
                  <w:shd w:val="clear" w:color="auto" w:fill="auto"/>
                  <w:noWrap w:val="0"/>
                  <w:tcMar>
                    <w:top w:w="15" w:type="dxa"/>
                    <w:left w:w="15" w:type="dxa"/>
                    <w:right w:w="15" w:type="dxa"/>
                  </w:tcMar>
                  <w:vAlign w:val="center"/>
                </w:tcPr>
                <w:p w14:paraId="491F20A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kern w:val="2"/>
                      <w:sz w:val="21"/>
                      <w:szCs w:val="21"/>
                      <w:highlight w:val="none"/>
                      <w:u w:val="none" w:color="auto"/>
                      <w:lang w:val="en-US" w:eastAsia="zh-CN" w:bidi="ar-SA"/>
                    </w:rPr>
                  </w:pPr>
                  <w:r>
                    <w:rPr>
                      <w:rFonts w:hint="default" w:cs="Times New Roman"/>
                      <w:bCs/>
                      <w:color w:val="auto"/>
                      <w:sz w:val="21"/>
                      <w:szCs w:val="21"/>
                      <w:highlight w:val="none"/>
                      <w:u w:val="none" w:color="auto"/>
                      <w:lang w:eastAsia="zh-CN"/>
                    </w:rPr>
                    <w:t>台</w:t>
                  </w:r>
                </w:p>
              </w:tc>
              <w:tc>
                <w:tcPr>
                  <w:tcW w:w="736" w:type="pct"/>
                  <w:tcBorders>
                    <w:tl2br w:val="nil"/>
                    <w:tr2bl w:val="nil"/>
                  </w:tcBorders>
                  <w:shd w:val="clear" w:color="auto" w:fill="auto"/>
                  <w:noWrap w:val="0"/>
                  <w:tcMar>
                    <w:top w:w="15" w:type="dxa"/>
                    <w:left w:w="15" w:type="dxa"/>
                    <w:right w:w="15" w:type="dxa"/>
                  </w:tcMar>
                  <w:vAlign w:val="center"/>
                </w:tcPr>
                <w:p w14:paraId="464DC0A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kern w:val="2"/>
                      <w:sz w:val="21"/>
                      <w:szCs w:val="21"/>
                      <w:highlight w:val="none"/>
                      <w:u w:val="none" w:color="auto"/>
                      <w:lang w:val="en-US" w:eastAsia="zh-CN" w:bidi="ar-SA"/>
                    </w:rPr>
                  </w:pPr>
                  <w:r>
                    <w:rPr>
                      <w:rFonts w:hint="default" w:cs="Times New Roman"/>
                      <w:bCs/>
                      <w:color w:val="auto"/>
                      <w:sz w:val="21"/>
                      <w:szCs w:val="21"/>
                      <w:highlight w:val="none"/>
                      <w:u w:val="none" w:color="auto"/>
                      <w:lang w:eastAsia="zh-CN"/>
                    </w:rPr>
                    <w:t>抽残</w:t>
                  </w:r>
                  <w:r>
                    <w:rPr>
                      <w:rFonts w:hint="eastAsia" w:cs="Times New Roman"/>
                      <w:bCs/>
                      <w:color w:val="auto"/>
                      <w:sz w:val="21"/>
                      <w:szCs w:val="21"/>
                      <w:highlight w:val="none"/>
                      <w:u w:val="none" w:color="auto"/>
                      <w:lang w:val="en-US" w:eastAsia="zh-CN"/>
                    </w:rPr>
                    <w:t>液</w:t>
                  </w:r>
                </w:p>
              </w:tc>
              <w:tc>
                <w:tcPr>
                  <w:tcW w:w="633" w:type="pct"/>
                  <w:vMerge w:val="continue"/>
                  <w:tcBorders>
                    <w:tl2br w:val="nil"/>
                    <w:tr2bl w:val="nil"/>
                  </w:tcBorders>
                  <w:shd w:val="clear" w:color="auto" w:fill="auto"/>
                  <w:noWrap w:val="0"/>
                  <w:tcMar>
                    <w:top w:w="15" w:type="dxa"/>
                    <w:left w:w="15" w:type="dxa"/>
                    <w:right w:w="15" w:type="dxa"/>
                  </w:tcMar>
                  <w:vAlign w:val="center"/>
                </w:tcPr>
                <w:p w14:paraId="591A725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eastAsia="zh-CN"/>
                    </w:rPr>
                  </w:pPr>
                </w:p>
              </w:tc>
            </w:tr>
            <w:tr w14:paraId="670832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64" w:type="pct"/>
                  <w:tcBorders>
                    <w:tl2br w:val="nil"/>
                    <w:tr2bl w:val="nil"/>
                  </w:tcBorders>
                  <w:shd w:val="clear" w:color="auto" w:fill="auto"/>
                  <w:noWrap w:val="0"/>
                  <w:tcMar>
                    <w:top w:w="15" w:type="dxa"/>
                    <w:left w:w="15" w:type="dxa"/>
                    <w:right w:w="15" w:type="dxa"/>
                  </w:tcMar>
                  <w:vAlign w:val="center"/>
                </w:tcPr>
                <w:p w14:paraId="65E9BB0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kern w:val="2"/>
                      <w:sz w:val="21"/>
                      <w:szCs w:val="21"/>
                      <w:highlight w:val="none"/>
                      <w:u w:val="single" w:color="auto"/>
                      <w:lang w:val="en-US" w:eastAsia="zh-CN" w:bidi="ar-SA"/>
                    </w:rPr>
                  </w:pPr>
                  <w:r>
                    <w:rPr>
                      <w:rFonts w:hint="eastAsia" w:cs="Times New Roman"/>
                      <w:bCs/>
                      <w:color w:val="auto"/>
                      <w:sz w:val="21"/>
                      <w:szCs w:val="21"/>
                      <w:highlight w:val="none"/>
                      <w:u w:val="single" w:color="auto"/>
                      <w:lang w:val="en-US" w:eastAsia="zh-CN"/>
                    </w:rPr>
                    <w:t>6</w:t>
                  </w:r>
                </w:p>
              </w:tc>
              <w:tc>
                <w:tcPr>
                  <w:tcW w:w="861" w:type="pct"/>
                  <w:tcBorders>
                    <w:tl2br w:val="nil"/>
                    <w:tr2bl w:val="nil"/>
                  </w:tcBorders>
                  <w:shd w:val="clear" w:color="auto" w:fill="auto"/>
                  <w:noWrap w:val="0"/>
                  <w:tcMar>
                    <w:top w:w="15" w:type="dxa"/>
                    <w:left w:w="15" w:type="dxa"/>
                    <w:right w:w="15" w:type="dxa"/>
                  </w:tcMar>
                  <w:vAlign w:val="center"/>
                </w:tcPr>
                <w:p w14:paraId="0E01498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single" w:color="auto"/>
                      <w:lang w:eastAsia="zh-CN"/>
                    </w:rPr>
                  </w:pPr>
                  <w:r>
                    <w:rPr>
                      <w:rFonts w:hint="eastAsia" w:cs="Times New Roman"/>
                      <w:bCs/>
                      <w:color w:val="auto"/>
                      <w:sz w:val="21"/>
                      <w:szCs w:val="21"/>
                      <w:highlight w:val="none"/>
                      <w:u w:val="single" w:color="auto"/>
                      <w:lang w:val="en-US" w:eastAsia="zh-CN"/>
                    </w:rPr>
                    <w:t>残液</w:t>
                  </w:r>
                  <w:r>
                    <w:rPr>
                      <w:rFonts w:hint="default" w:cs="Times New Roman"/>
                      <w:bCs/>
                      <w:color w:val="auto"/>
                      <w:sz w:val="21"/>
                      <w:szCs w:val="21"/>
                      <w:highlight w:val="none"/>
                      <w:u w:val="single" w:color="auto"/>
                      <w:lang w:eastAsia="zh-CN"/>
                    </w:rPr>
                    <w:t>回收罐</w:t>
                  </w:r>
                </w:p>
              </w:tc>
              <w:tc>
                <w:tcPr>
                  <w:tcW w:w="820" w:type="pct"/>
                  <w:tcBorders>
                    <w:tl2br w:val="nil"/>
                    <w:tr2bl w:val="nil"/>
                  </w:tcBorders>
                  <w:shd w:val="clear" w:color="auto" w:fill="auto"/>
                  <w:noWrap w:val="0"/>
                  <w:tcMar>
                    <w:top w:w="15" w:type="dxa"/>
                    <w:left w:w="15" w:type="dxa"/>
                    <w:right w:w="15" w:type="dxa"/>
                  </w:tcMar>
                  <w:vAlign w:val="center"/>
                </w:tcPr>
                <w:p w14:paraId="6B43D89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single" w:color="auto"/>
                      <w:lang w:val="en-US" w:eastAsia="zh-CN"/>
                    </w:rPr>
                  </w:pPr>
                  <w:r>
                    <w:rPr>
                      <w:rFonts w:hint="eastAsia" w:cs="Times New Roman"/>
                      <w:bCs/>
                      <w:color w:val="auto"/>
                      <w:sz w:val="21"/>
                      <w:szCs w:val="21"/>
                      <w:highlight w:val="none"/>
                      <w:u w:val="single" w:color="auto"/>
                      <w:lang w:val="en-US" w:eastAsia="zh-CN"/>
                    </w:rPr>
                    <w:t>0.6m</w:t>
                  </w:r>
                  <w:r>
                    <w:rPr>
                      <w:rFonts w:hint="eastAsia" w:cs="Times New Roman"/>
                      <w:bCs/>
                      <w:color w:val="auto"/>
                      <w:sz w:val="21"/>
                      <w:szCs w:val="21"/>
                      <w:highlight w:val="none"/>
                      <w:u w:val="single" w:color="auto"/>
                      <w:vertAlign w:val="superscript"/>
                      <w:lang w:val="en-US" w:eastAsia="zh-CN"/>
                    </w:rPr>
                    <w:t>2</w:t>
                  </w:r>
                </w:p>
              </w:tc>
              <w:tc>
                <w:tcPr>
                  <w:tcW w:w="530" w:type="pct"/>
                  <w:tcBorders>
                    <w:tl2br w:val="nil"/>
                    <w:tr2bl w:val="nil"/>
                  </w:tcBorders>
                  <w:shd w:val="clear" w:color="auto" w:fill="auto"/>
                  <w:noWrap w:val="0"/>
                  <w:tcMar>
                    <w:top w:w="15" w:type="dxa"/>
                    <w:left w:w="15" w:type="dxa"/>
                    <w:right w:w="15" w:type="dxa"/>
                  </w:tcMar>
                  <w:vAlign w:val="center"/>
                </w:tcPr>
                <w:p w14:paraId="5C31567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single" w:color="auto"/>
                      <w:lang w:val="en-US" w:eastAsia="zh-CN"/>
                    </w:rPr>
                  </w:pPr>
                  <w:r>
                    <w:rPr>
                      <w:rFonts w:hint="eastAsia" w:cs="Times New Roman"/>
                      <w:bCs/>
                      <w:color w:val="auto"/>
                      <w:sz w:val="21"/>
                      <w:szCs w:val="21"/>
                      <w:highlight w:val="none"/>
                      <w:u w:val="single" w:color="auto"/>
                      <w:lang w:val="en-US" w:eastAsia="zh-CN"/>
                    </w:rPr>
                    <w:t>0</w:t>
                  </w:r>
                </w:p>
              </w:tc>
              <w:tc>
                <w:tcPr>
                  <w:tcW w:w="552" w:type="pct"/>
                  <w:tcBorders>
                    <w:tl2br w:val="nil"/>
                    <w:tr2bl w:val="nil"/>
                  </w:tcBorders>
                  <w:shd w:val="clear" w:color="auto" w:fill="auto"/>
                  <w:noWrap w:val="0"/>
                  <w:tcMar>
                    <w:top w:w="15" w:type="dxa"/>
                    <w:left w:w="15" w:type="dxa"/>
                    <w:right w:w="15" w:type="dxa"/>
                  </w:tcMar>
                  <w:vAlign w:val="center"/>
                </w:tcPr>
                <w:p w14:paraId="0340D36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single" w:color="auto"/>
                      <w:lang w:val="en-US" w:eastAsia="zh-CN"/>
                    </w:rPr>
                  </w:pPr>
                  <w:r>
                    <w:rPr>
                      <w:rFonts w:hint="eastAsia" w:cs="Times New Roman"/>
                      <w:bCs/>
                      <w:color w:val="auto"/>
                      <w:sz w:val="21"/>
                      <w:szCs w:val="21"/>
                      <w:highlight w:val="none"/>
                      <w:u w:val="single" w:color="auto"/>
                      <w:lang w:val="en-US" w:eastAsia="zh-CN"/>
                    </w:rPr>
                    <w:t>1</w:t>
                  </w:r>
                </w:p>
              </w:tc>
              <w:tc>
                <w:tcPr>
                  <w:tcW w:w="600" w:type="pct"/>
                  <w:tcBorders>
                    <w:tl2br w:val="nil"/>
                    <w:tr2bl w:val="nil"/>
                  </w:tcBorders>
                  <w:shd w:val="clear" w:color="auto" w:fill="auto"/>
                  <w:noWrap w:val="0"/>
                  <w:tcMar>
                    <w:top w:w="15" w:type="dxa"/>
                    <w:left w:w="15" w:type="dxa"/>
                    <w:right w:w="15" w:type="dxa"/>
                  </w:tcMar>
                  <w:vAlign w:val="center"/>
                </w:tcPr>
                <w:p w14:paraId="7A8F75E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single" w:color="auto"/>
                      <w:lang w:eastAsia="zh-CN"/>
                    </w:rPr>
                  </w:pPr>
                  <w:r>
                    <w:rPr>
                      <w:rFonts w:hint="default" w:cs="Times New Roman"/>
                      <w:bCs/>
                      <w:color w:val="auto"/>
                      <w:sz w:val="21"/>
                      <w:szCs w:val="21"/>
                      <w:highlight w:val="none"/>
                      <w:u w:val="single" w:color="auto"/>
                      <w:lang w:eastAsia="zh-CN"/>
                    </w:rPr>
                    <w:t>台</w:t>
                  </w:r>
                </w:p>
              </w:tc>
              <w:tc>
                <w:tcPr>
                  <w:tcW w:w="736" w:type="pct"/>
                  <w:tcBorders>
                    <w:tl2br w:val="nil"/>
                    <w:tr2bl w:val="nil"/>
                  </w:tcBorders>
                  <w:shd w:val="clear" w:color="auto" w:fill="auto"/>
                  <w:noWrap w:val="0"/>
                  <w:tcMar>
                    <w:top w:w="15" w:type="dxa"/>
                    <w:left w:w="15" w:type="dxa"/>
                    <w:right w:w="15" w:type="dxa"/>
                  </w:tcMar>
                  <w:vAlign w:val="center"/>
                </w:tcPr>
                <w:p w14:paraId="49BE01C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single" w:color="auto"/>
                      <w:lang w:val="en-US" w:eastAsia="zh-CN"/>
                    </w:rPr>
                  </w:pPr>
                  <w:r>
                    <w:rPr>
                      <w:rFonts w:hint="eastAsia" w:cs="Times New Roman"/>
                      <w:bCs/>
                      <w:color w:val="auto"/>
                      <w:sz w:val="21"/>
                      <w:szCs w:val="21"/>
                      <w:highlight w:val="none"/>
                      <w:u w:val="single" w:color="auto"/>
                      <w:lang w:val="en-US" w:eastAsia="zh-CN"/>
                    </w:rPr>
                    <w:t>储存残液</w:t>
                  </w:r>
                </w:p>
              </w:tc>
              <w:tc>
                <w:tcPr>
                  <w:tcW w:w="633" w:type="pct"/>
                  <w:vMerge w:val="continue"/>
                  <w:tcBorders>
                    <w:tl2br w:val="nil"/>
                    <w:tr2bl w:val="nil"/>
                  </w:tcBorders>
                  <w:shd w:val="clear" w:color="auto" w:fill="auto"/>
                  <w:noWrap w:val="0"/>
                  <w:tcMar>
                    <w:top w:w="15" w:type="dxa"/>
                    <w:left w:w="15" w:type="dxa"/>
                    <w:right w:w="15" w:type="dxa"/>
                  </w:tcMar>
                  <w:vAlign w:val="center"/>
                </w:tcPr>
                <w:p w14:paraId="71FCF0F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val="en-US" w:eastAsia="zh-CN"/>
                    </w:rPr>
                  </w:pPr>
                </w:p>
              </w:tc>
            </w:tr>
            <w:tr w14:paraId="07B364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64" w:type="pct"/>
                  <w:tcBorders>
                    <w:tl2br w:val="nil"/>
                    <w:tr2bl w:val="nil"/>
                  </w:tcBorders>
                  <w:shd w:val="clear" w:color="auto" w:fill="auto"/>
                  <w:noWrap w:val="0"/>
                  <w:tcMar>
                    <w:top w:w="15" w:type="dxa"/>
                    <w:left w:w="15" w:type="dxa"/>
                    <w:right w:w="15" w:type="dxa"/>
                  </w:tcMar>
                  <w:vAlign w:val="center"/>
                </w:tcPr>
                <w:p w14:paraId="22D0457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7</w:t>
                  </w:r>
                </w:p>
              </w:tc>
              <w:tc>
                <w:tcPr>
                  <w:tcW w:w="861" w:type="pct"/>
                  <w:tcBorders>
                    <w:tl2br w:val="nil"/>
                    <w:tr2bl w:val="nil"/>
                  </w:tcBorders>
                  <w:shd w:val="clear" w:color="auto" w:fill="auto"/>
                  <w:noWrap w:val="0"/>
                  <w:tcMar>
                    <w:top w:w="15" w:type="dxa"/>
                    <w:left w:w="15" w:type="dxa"/>
                    <w:right w:w="15" w:type="dxa"/>
                  </w:tcMar>
                  <w:vAlign w:val="center"/>
                </w:tcPr>
                <w:p w14:paraId="0403F1B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eastAsia="zh-CN"/>
                    </w:rPr>
                  </w:pPr>
                  <w:r>
                    <w:rPr>
                      <w:rFonts w:hint="eastAsia" w:cs="Times New Roman"/>
                      <w:bCs/>
                      <w:color w:val="auto"/>
                      <w:sz w:val="21"/>
                      <w:szCs w:val="21"/>
                      <w:highlight w:val="none"/>
                      <w:u w:val="none" w:color="auto"/>
                      <w:lang w:val="en-US" w:eastAsia="zh-CN"/>
                    </w:rPr>
                    <w:t>废气处理设备</w:t>
                  </w:r>
                </w:p>
              </w:tc>
              <w:tc>
                <w:tcPr>
                  <w:tcW w:w="820" w:type="pct"/>
                  <w:tcBorders>
                    <w:tl2br w:val="nil"/>
                    <w:tr2bl w:val="nil"/>
                  </w:tcBorders>
                  <w:shd w:val="clear" w:color="auto" w:fill="auto"/>
                  <w:noWrap w:val="0"/>
                  <w:tcMar>
                    <w:top w:w="15" w:type="dxa"/>
                    <w:left w:w="15" w:type="dxa"/>
                    <w:right w:w="15" w:type="dxa"/>
                  </w:tcMar>
                  <w:vAlign w:val="center"/>
                </w:tcPr>
                <w:p w14:paraId="7F5BCF5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高温高效布袋除尘装置</w:t>
                  </w:r>
                </w:p>
              </w:tc>
              <w:tc>
                <w:tcPr>
                  <w:tcW w:w="530" w:type="pct"/>
                  <w:tcBorders>
                    <w:tl2br w:val="nil"/>
                    <w:tr2bl w:val="nil"/>
                  </w:tcBorders>
                  <w:shd w:val="clear" w:color="auto" w:fill="auto"/>
                  <w:noWrap w:val="0"/>
                  <w:tcMar>
                    <w:top w:w="15" w:type="dxa"/>
                    <w:left w:w="15" w:type="dxa"/>
                    <w:right w:w="15" w:type="dxa"/>
                  </w:tcMar>
                  <w:vAlign w:val="center"/>
                </w:tcPr>
                <w:p w14:paraId="186E1FE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1</w:t>
                  </w:r>
                </w:p>
              </w:tc>
              <w:tc>
                <w:tcPr>
                  <w:tcW w:w="552" w:type="pct"/>
                  <w:tcBorders>
                    <w:tl2br w:val="nil"/>
                    <w:tr2bl w:val="nil"/>
                  </w:tcBorders>
                  <w:shd w:val="clear" w:color="auto" w:fill="auto"/>
                  <w:noWrap w:val="0"/>
                  <w:tcMar>
                    <w:top w:w="15" w:type="dxa"/>
                    <w:left w:w="15" w:type="dxa"/>
                    <w:right w:w="15" w:type="dxa"/>
                  </w:tcMar>
                  <w:vAlign w:val="center"/>
                </w:tcPr>
                <w:p w14:paraId="0F6A70F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0</w:t>
                  </w:r>
                </w:p>
              </w:tc>
              <w:tc>
                <w:tcPr>
                  <w:tcW w:w="600" w:type="pct"/>
                  <w:tcBorders>
                    <w:tl2br w:val="nil"/>
                    <w:tr2bl w:val="nil"/>
                  </w:tcBorders>
                  <w:shd w:val="clear" w:color="auto" w:fill="auto"/>
                  <w:noWrap w:val="0"/>
                  <w:tcMar>
                    <w:top w:w="15" w:type="dxa"/>
                    <w:left w:w="15" w:type="dxa"/>
                    <w:right w:w="15" w:type="dxa"/>
                  </w:tcMar>
                  <w:vAlign w:val="center"/>
                </w:tcPr>
                <w:p w14:paraId="010D2A2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eastAsia="zh-CN"/>
                    </w:rPr>
                  </w:pPr>
                  <w:r>
                    <w:rPr>
                      <w:rFonts w:hint="default" w:cs="Times New Roman"/>
                      <w:bCs/>
                      <w:color w:val="auto"/>
                      <w:sz w:val="21"/>
                      <w:szCs w:val="21"/>
                      <w:highlight w:val="none"/>
                      <w:u w:val="none" w:color="auto"/>
                      <w:lang w:eastAsia="zh-CN"/>
                    </w:rPr>
                    <w:t>台</w:t>
                  </w:r>
                </w:p>
              </w:tc>
              <w:tc>
                <w:tcPr>
                  <w:tcW w:w="736" w:type="pct"/>
                  <w:tcBorders>
                    <w:tl2br w:val="nil"/>
                    <w:tr2bl w:val="nil"/>
                  </w:tcBorders>
                  <w:shd w:val="clear" w:color="auto" w:fill="auto"/>
                  <w:noWrap w:val="0"/>
                  <w:tcMar>
                    <w:top w:w="15" w:type="dxa"/>
                    <w:left w:w="15" w:type="dxa"/>
                    <w:right w:w="15" w:type="dxa"/>
                  </w:tcMar>
                  <w:vAlign w:val="center"/>
                </w:tcPr>
                <w:p w14:paraId="4979349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eastAsia="zh-CN"/>
                    </w:rPr>
                  </w:pPr>
                  <w:r>
                    <w:rPr>
                      <w:rFonts w:hint="eastAsia" w:cs="Times New Roman"/>
                      <w:bCs/>
                      <w:color w:val="auto"/>
                      <w:sz w:val="21"/>
                      <w:szCs w:val="21"/>
                      <w:highlight w:val="none"/>
                      <w:u w:val="none" w:color="auto"/>
                      <w:lang w:val="en-US" w:eastAsia="zh-CN"/>
                    </w:rPr>
                    <w:t>废气处理</w:t>
                  </w:r>
                </w:p>
              </w:tc>
              <w:tc>
                <w:tcPr>
                  <w:tcW w:w="633" w:type="pct"/>
                  <w:tcBorders>
                    <w:tl2br w:val="nil"/>
                    <w:tr2bl w:val="nil"/>
                  </w:tcBorders>
                  <w:shd w:val="clear" w:color="auto" w:fill="auto"/>
                  <w:noWrap w:val="0"/>
                  <w:tcMar>
                    <w:top w:w="15" w:type="dxa"/>
                    <w:left w:w="15" w:type="dxa"/>
                    <w:right w:w="15" w:type="dxa"/>
                  </w:tcMar>
                  <w:vAlign w:val="center"/>
                </w:tcPr>
                <w:p w14:paraId="112F948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淘汰</w:t>
                  </w:r>
                </w:p>
              </w:tc>
            </w:tr>
            <w:tr w14:paraId="4FFB81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64" w:type="pct"/>
                  <w:tcBorders>
                    <w:tl2br w:val="nil"/>
                    <w:tr2bl w:val="nil"/>
                  </w:tcBorders>
                  <w:noWrap w:val="0"/>
                  <w:tcMar>
                    <w:top w:w="15" w:type="dxa"/>
                    <w:left w:w="15" w:type="dxa"/>
                    <w:right w:w="15" w:type="dxa"/>
                  </w:tcMar>
                  <w:vAlign w:val="center"/>
                </w:tcPr>
                <w:p w14:paraId="74546C2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single" w:color="auto"/>
                      <w:lang w:val="en-US" w:eastAsia="zh-CN"/>
                    </w:rPr>
                  </w:pPr>
                  <w:r>
                    <w:rPr>
                      <w:rFonts w:hint="eastAsia" w:cs="Times New Roman"/>
                      <w:bCs/>
                      <w:color w:val="auto"/>
                      <w:sz w:val="21"/>
                      <w:szCs w:val="21"/>
                      <w:highlight w:val="none"/>
                      <w:u w:val="single" w:color="auto"/>
                      <w:lang w:val="en-US" w:eastAsia="zh-CN"/>
                    </w:rPr>
                    <w:t>8</w:t>
                  </w:r>
                </w:p>
              </w:tc>
              <w:tc>
                <w:tcPr>
                  <w:tcW w:w="861" w:type="pct"/>
                  <w:tcBorders>
                    <w:tl2br w:val="nil"/>
                    <w:tr2bl w:val="nil"/>
                  </w:tcBorders>
                  <w:shd w:val="clear" w:color="auto" w:fill="auto"/>
                  <w:noWrap w:val="0"/>
                  <w:tcMar>
                    <w:top w:w="15" w:type="dxa"/>
                    <w:left w:w="15" w:type="dxa"/>
                    <w:right w:w="15" w:type="dxa"/>
                  </w:tcMar>
                  <w:vAlign w:val="center"/>
                </w:tcPr>
                <w:p w14:paraId="13B33C6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single" w:color="auto"/>
                      <w:lang w:val="en-US" w:eastAsia="zh-CN"/>
                    </w:rPr>
                  </w:pPr>
                  <w:r>
                    <w:rPr>
                      <w:rFonts w:hint="eastAsia" w:cs="Times New Roman"/>
                      <w:bCs/>
                      <w:color w:val="auto"/>
                      <w:sz w:val="21"/>
                      <w:szCs w:val="21"/>
                      <w:highlight w:val="none"/>
                      <w:u w:val="single" w:color="auto"/>
                      <w:lang w:val="en-US" w:eastAsia="zh-CN"/>
                    </w:rPr>
                    <w:t>废气处理设备</w:t>
                  </w:r>
                </w:p>
              </w:tc>
              <w:tc>
                <w:tcPr>
                  <w:tcW w:w="820" w:type="pct"/>
                  <w:tcBorders>
                    <w:tl2br w:val="nil"/>
                    <w:tr2bl w:val="nil"/>
                  </w:tcBorders>
                  <w:shd w:val="clear" w:color="auto" w:fill="auto"/>
                  <w:noWrap w:val="0"/>
                  <w:tcMar>
                    <w:top w:w="15" w:type="dxa"/>
                    <w:left w:w="15" w:type="dxa"/>
                    <w:right w:w="15" w:type="dxa"/>
                  </w:tcMar>
                  <w:vAlign w:val="center"/>
                </w:tcPr>
                <w:p w14:paraId="1D7AD2C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single" w:color="auto"/>
                      <w:lang w:val="en-US" w:eastAsia="zh-CN" w:bidi="ar-SA"/>
                    </w:rPr>
                  </w:pPr>
                  <w:r>
                    <w:rPr>
                      <w:rFonts w:hint="eastAsia" w:cs="Times New Roman"/>
                      <w:bCs/>
                      <w:color w:val="auto"/>
                      <w:sz w:val="21"/>
                      <w:szCs w:val="21"/>
                      <w:highlight w:val="none"/>
                      <w:u w:val="single" w:color="auto"/>
                      <w:lang w:val="en-US" w:eastAsia="zh-CN"/>
                    </w:rPr>
                    <w:t>旋风除尘+高温布袋除尘组合工艺</w:t>
                  </w:r>
                </w:p>
              </w:tc>
              <w:tc>
                <w:tcPr>
                  <w:tcW w:w="530" w:type="pct"/>
                  <w:tcBorders>
                    <w:tl2br w:val="nil"/>
                    <w:tr2bl w:val="nil"/>
                  </w:tcBorders>
                  <w:shd w:val="clear" w:color="auto" w:fill="auto"/>
                  <w:noWrap w:val="0"/>
                  <w:tcMar>
                    <w:top w:w="15" w:type="dxa"/>
                    <w:left w:w="15" w:type="dxa"/>
                    <w:right w:w="15" w:type="dxa"/>
                  </w:tcMar>
                  <w:vAlign w:val="center"/>
                </w:tcPr>
                <w:p w14:paraId="5481EC3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kern w:val="2"/>
                      <w:sz w:val="21"/>
                      <w:szCs w:val="21"/>
                      <w:highlight w:val="none"/>
                      <w:u w:val="single" w:color="auto"/>
                      <w:lang w:val="en-US" w:eastAsia="zh-CN" w:bidi="ar-SA"/>
                    </w:rPr>
                  </w:pPr>
                  <w:r>
                    <w:rPr>
                      <w:rFonts w:hint="eastAsia" w:cs="Times New Roman"/>
                      <w:bCs/>
                      <w:color w:val="auto"/>
                      <w:sz w:val="21"/>
                      <w:szCs w:val="21"/>
                      <w:highlight w:val="none"/>
                      <w:u w:val="single" w:color="auto"/>
                      <w:lang w:val="en-US" w:eastAsia="zh-CN"/>
                    </w:rPr>
                    <w:t>0</w:t>
                  </w:r>
                </w:p>
              </w:tc>
              <w:tc>
                <w:tcPr>
                  <w:tcW w:w="552" w:type="pct"/>
                  <w:tcBorders>
                    <w:tl2br w:val="nil"/>
                    <w:tr2bl w:val="nil"/>
                  </w:tcBorders>
                  <w:shd w:val="clear" w:color="auto" w:fill="auto"/>
                  <w:noWrap w:val="0"/>
                  <w:tcMar>
                    <w:top w:w="15" w:type="dxa"/>
                    <w:left w:w="15" w:type="dxa"/>
                    <w:right w:w="15" w:type="dxa"/>
                  </w:tcMar>
                  <w:vAlign w:val="center"/>
                </w:tcPr>
                <w:p w14:paraId="6610CE6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single" w:color="auto"/>
                      <w:lang w:val="en-US" w:eastAsia="zh-CN" w:bidi="ar-SA"/>
                    </w:rPr>
                  </w:pPr>
                  <w:r>
                    <w:rPr>
                      <w:rFonts w:hint="eastAsia" w:cs="Times New Roman"/>
                      <w:bCs/>
                      <w:color w:val="auto"/>
                      <w:sz w:val="21"/>
                      <w:szCs w:val="21"/>
                      <w:highlight w:val="none"/>
                      <w:u w:val="single" w:color="auto"/>
                      <w:lang w:val="en-US" w:eastAsia="zh-CN"/>
                    </w:rPr>
                    <w:t>1</w:t>
                  </w:r>
                </w:p>
              </w:tc>
              <w:tc>
                <w:tcPr>
                  <w:tcW w:w="600" w:type="pct"/>
                  <w:tcBorders>
                    <w:tl2br w:val="nil"/>
                    <w:tr2bl w:val="nil"/>
                  </w:tcBorders>
                  <w:shd w:val="clear" w:color="auto" w:fill="auto"/>
                  <w:noWrap w:val="0"/>
                  <w:tcMar>
                    <w:top w:w="15" w:type="dxa"/>
                    <w:left w:w="15" w:type="dxa"/>
                    <w:right w:w="15" w:type="dxa"/>
                  </w:tcMar>
                  <w:vAlign w:val="center"/>
                </w:tcPr>
                <w:p w14:paraId="31CCDF8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kern w:val="2"/>
                      <w:sz w:val="21"/>
                      <w:szCs w:val="21"/>
                      <w:highlight w:val="none"/>
                      <w:u w:val="single" w:color="auto"/>
                      <w:lang w:val="en-US" w:eastAsia="zh-CN" w:bidi="ar-SA"/>
                    </w:rPr>
                  </w:pPr>
                  <w:r>
                    <w:rPr>
                      <w:rFonts w:hint="eastAsia" w:cs="Times New Roman"/>
                      <w:bCs/>
                      <w:color w:val="auto"/>
                      <w:sz w:val="21"/>
                      <w:szCs w:val="21"/>
                      <w:highlight w:val="none"/>
                      <w:u w:val="single" w:color="auto"/>
                      <w:lang w:val="en-US" w:eastAsia="zh-CN"/>
                    </w:rPr>
                    <w:t>套</w:t>
                  </w:r>
                </w:p>
              </w:tc>
              <w:tc>
                <w:tcPr>
                  <w:tcW w:w="736" w:type="pct"/>
                  <w:tcBorders>
                    <w:tl2br w:val="nil"/>
                    <w:tr2bl w:val="nil"/>
                  </w:tcBorders>
                  <w:shd w:val="clear" w:color="auto" w:fill="auto"/>
                  <w:noWrap w:val="0"/>
                  <w:tcMar>
                    <w:top w:w="15" w:type="dxa"/>
                    <w:left w:w="15" w:type="dxa"/>
                    <w:right w:w="15" w:type="dxa"/>
                  </w:tcMar>
                  <w:vAlign w:val="center"/>
                </w:tcPr>
                <w:p w14:paraId="56889FF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single" w:color="auto"/>
                      <w:lang w:val="en-US" w:eastAsia="zh-CN"/>
                    </w:rPr>
                  </w:pPr>
                  <w:r>
                    <w:rPr>
                      <w:rFonts w:hint="eastAsia" w:cs="Times New Roman"/>
                      <w:bCs/>
                      <w:color w:val="auto"/>
                      <w:sz w:val="21"/>
                      <w:szCs w:val="21"/>
                      <w:highlight w:val="none"/>
                      <w:u w:val="single" w:color="auto"/>
                      <w:lang w:val="en-US" w:eastAsia="zh-CN"/>
                    </w:rPr>
                    <w:t>废气处理</w:t>
                  </w:r>
                </w:p>
              </w:tc>
              <w:tc>
                <w:tcPr>
                  <w:tcW w:w="633" w:type="pct"/>
                  <w:tcBorders>
                    <w:tl2br w:val="nil"/>
                    <w:tr2bl w:val="nil"/>
                  </w:tcBorders>
                  <w:shd w:val="clear" w:color="auto" w:fill="auto"/>
                  <w:noWrap w:val="0"/>
                  <w:tcMar>
                    <w:top w:w="15" w:type="dxa"/>
                    <w:left w:w="15" w:type="dxa"/>
                    <w:right w:w="15" w:type="dxa"/>
                  </w:tcMar>
                  <w:vAlign w:val="center"/>
                </w:tcPr>
                <w:p w14:paraId="0A7FA14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single" w:color="auto"/>
                      <w:lang w:val="en-US" w:eastAsia="zh-CN"/>
                    </w:rPr>
                  </w:pPr>
                  <w:r>
                    <w:rPr>
                      <w:rFonts w:hint="eastAsia" w:cs="Times New Roman"/>
                      <w:bCs/>
                      <w:color w:val="auto"/>
                      <w:sz w:val="21"/>
                      <w:szCs w:val="21"/>
                      <w:highlight w:val="none"/>
                      <w:u w:val="single" w:color="auto"/>
                      <w:lang w:val="en-US" w:eastAsia="zh-CN"/>
                    </w:rPr>
                    <w:t>新增</w:t>
                  </w:r>
                </w:p>
              </w:tc>
            </w:tr>
          </w:tbl>
          <w:p w14:paraId="56B5A935">
            <w:pPr>
              <w:pStyle w:val="54"/>
              <w:tabs>
                <w:tab w:val="left" w:pos="1021"/>
              </w:tabs>
              <w:bidi w:val="0"/>
              <w:spacing w:line="360" w:lineRule="auto"/>
              <w:rPr>
                <w:rFonts w:hint="eastAsia" w:ascii="宋体"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根据《限期淘汰产生严重污染环境的工业固体废物的落后生产工艺设备名录》（2021年第25号工业和信息化部令），采用的生产工艺、主要生产设备均不属于现行产业政策中淘汰类设备、工艺和产品有关内容，项目设备符合产业政策。</w:t>
            </w:r>
          </w:p>
          <w:p w14:paraId="3A6CDEC7">
            <w:pPr>
              <w:pStyle w:val="54"/>
              <w:tabs>
                <w:tab w:val="left" w:pos="1021"/>
              </w:tabs>
              <w:bidi w:val="0"/>
              <w:spacing w:line="360" w:lineRule="auto"/>
              <w:ind w:left="0" w:leftChars="0" w:firstLine="0" w:firstLineChars="0"/>
              <w:rPr>
                <w:rFonts w:hint="default" w:ascii="Times New Roman" w:hAnsi="Times New Roman" w:cs="Times New Roman"/>
                <w:b/>
                <w:bCs/>
                <w:color w:val="auto"/>
                <w:highlight w:val="none"/>
                <w:u w:val="single" w:color="auto"/>
                <w:lang w:val="en-US" w:eastAsia="zh-CN"/>
              </w:rPr>
            </w:pPr>
            <w:r>
              <w:rPr>
                <w:rFonts w:hint="eastAsia"/>
                <w:b/>
                <w:bCs/>
                <w:color w:val="auto"/>
                <w:highlight w:val="none"/>
                <w:u w:val="single" w:color="auto"/>
                <w:lang w:val="en-US" w:eastAsia="zh-CN"/>
              </w:rPr>
              <w:t>6、产品方案</w:t>
            </w:r>
          </w:p>
          <w:p w14:paraId="649D74FF">
            <w:pPr>
              <w:pStyle w:val="54"/>
              <w:tabs>
                <w:tab w:val="left" w:pos="1021"/>
              </w:tabs>
              <w:bidi w:val="0"/>
              <w:spacing w:line="360" w:lineRule="auto"/>
              <w:rPr>
                <w:rFonts w:hint="default" w:ascii="宋体" w:hAnsi="Times New Roman" w:eastAsia="宋体" w:cs="Times New Roman"/>
                <w:color w:val="auto"/>
                <w:highlight w:val="none"/>
                <w:u w:val="single" w:color="auto"/>
                <w:lang w:val="en-US" w:eastAsia="zh-CN"/>
              </w:rPr>
            </w:pPr>
            <w:r>
              <w:rPr>
                <w:rFonts w:hint="default" w:ascii="宋体" w:hAnsi="Times New Roman" w:eastAsia="宋体" w:cs="Times New Roman"/>
                <w:color w:val="auto"/>
                <w:highlight w:val="none"/>
                <w:u w:val="single" w:color="auto"/>
                <w:lang w:val="en-US" w:eastAsia="zh-CN"/>
              </w:rPr>
              <w:t>本项目主要产品方案详见下表</w:t>
            </w:r>
            <w:r>
              <w:rPr>
                <w:rFonts w:hint="eastAsia" w:ascii="宋体" w:hAnsi="Times New Roman" w:eastAsia="宋体" w:cs="Times New Roman"/>
                <w:color w:val="auto"/>
                <w:highlight w:val="none"/>
                <w:u w:val="single" w:color="auto"/>
                <w:lang w:val="en-US" w:eastAsia="zh-CN"/>
              </w:rPr>
              <w:t>：</w:t>
            </w:r>
          </w:p>
          <w:p w14:paraId="001E8940">
            <w:pPr>
              <w:pStyle w:val="63"/>
              <w:tabs>
                <w:tab w:val="left" w:pos="1021"/>
              </w:tabs>
              <w:bidi w:val="0"/>
              <w:jc w:val="center"/>
              <w:rPr>
                <w:rFonts w:hint="default" w:ascii="Times New Roman" w:hAnsi="Times New Roman" w:cs="Times New Roman"/>
                <w:b/>
                <w:bCs/>
                <w:color w:val="auto"/>
                <w:highlight w:val="none"/>
                <w:u w:val="single" w:color="auto"/>
                <w:lang w:val="en-US" w:eastAsia="zh-CN"/>
              </w:rPr>
            </w:pPr>
            <w:r>
              <w:rPr>
                <w:rFonts w:hint="default" w:ascii="Times New Roman" w:hAnsi="Times New Roman" w:cs="Times New Roman"/>
                <w:b/>
                <w:bCs/>
                <w:color w:val="auto"/>
                <w:highlight w:val="none"/>
                <w:u w:val="single" w:color="auto"/>
                <w:lang w:val="en-US" w:eastAsia="zh-CN"/>
              </w:rPr>
              <w:t>表2-</w:t>
            </w:r>
            <w:r>
              <w:rPr>
                <w:rFonts w:hint="eastAsia" w:ascii="Times New Roman" w:hAnsi="Times New Roman" w:cs="Times New Roman"/>
                <w:b/>
                <w:bCs/>
                <w:color w:val="auto"/>
                <w:highlight w:val="none"/>
                <w:u w:val="single" w:color="auto"/>
                <w:lang w:val="en-US" w:eastAsia="zh-CN"/>
              </w:rPr>
              <w:t>6</w:t>
            </w:r>
            <w:r>
              <w:rPr>
                <w:rFonts w:hint="eastAsia" w:cs="Times New Roman"/>
                <w:b/>
                <w:bCs/>
                <w:color w:val="auto"/>
                <w:highlight w:val="none"/>
                <w:u w:val="single" w:color="auto"/>
                <w:lang w:val="en-US" w:eastAsia="zh-CN"/>
              </w:rPr>
              <w:t xml:space="preserve">   </w:t>
            </w:r>
            <w:r>
              <w:rPr>
                <w:rFonts w:hint="default" w:ascii="Times New Roman" w:hAnsi="Times New Roman" w:cs="Times New Roman"/>
                <w:b/>
                <w:bCs/>
                <w:color w:val="auto"/>
                <w:highlight w:val="none"/>
                <w:u w:val="single" w:color="auto"/>
                <w:lang w:val="en-US" w:eastAsia="zh-CN"/>
              </w:rPr>
              <w:t>主要产品及生产规模一览表</w:t>
            </w:r>
          </w:p>
          <w:tbl>
            <w:tblPr>
              <w:tblStyle w:val="34"/>
              <w:tblW w:w="49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79"/>
              <w:gridCol w:w="1405"/>
              <w:gridCol w:w="1366"/>
              <w:gridCol w:w="1286"/>
              <w:gridCol w:w="1474"/>
              <w:gridCol w:w="1273"/>
            </w:tblGrid>
            <w:tr w14:paraId="5F16C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42" w:type="pct"/>
                  <w:tcBorders>
                    <w:tl2br w:val="nil"/>
                    <w:tr2bl w:val="nil"/>
                  </w:tcBorders>
                  <w:noWrap w:val="0"/>
                  <w:vAlign w:val="center"/>
                </w:tcPr>
                <w:p w14:paraId="5A6BCE9B">
                  <w:pPr>
                    <w:spacing w:line="240" w:lineRule="auto"/>
                    <w:jc w:val="center"/>
                    <w:rPr>
                      <w:rFonts w:hint="default" w:ascii="Times New Roman" w:hAnsi="Times New Roman" w:cs="Times New Roman"/>
                      <w:b/>
                      <w:bCs/>
                      <w:color w:val="auto"/>
                      <w:highlight w:val="none"/>
                      <w:u w:val="single" w:color="auto"/>
                      <w:vertAlign w:val="baseline"/>
                      <w:lang w:val="en-US" w:eastAsia="zh-CN"/>
                    </w:rPr>
                  </w:pPr>
                  <w:r>
                    <w:rPr>
                      <w:rFonts w:hint="default" w:ascii="Times New Roman" w:hAnsi="Times New Roman" w:cs="Times New Roman"/>
                      <w:b/>
                      <w:bCs/>
                      <w:color w:val="auto"/>
                      <w:highlight w:val="none"/>
                      <w:u w:val="single" w:color="auto"/>
                      <w:vertAlign w:val="baseline"/>
                      <w:lang w:val="en-US" w:eastAsia="zh-CN"/>
                    </w:rPr>
                    <w:t>产品名称</w:t>
                  </w:r>
                </w:p>
              </w:tc>
              <w:tc>
                <w:tcPr>
                  <w:tcW w:w="838" w:type="pct"/>
                  <w:tcBorders>
                    <w:tl2br w:val="nil"/>
                    <w:tr2bl w:val="nil"/>
                  </w:tcBorders>
                  <w:noWrap w:val="0"/>
                  <w:vAlign w:val="center"/>
                </w:tcPr>
                <w:p w14:paraId="65385F76">
                  <w:pPr>
                    <w:spacing w:line="240" w:lineRule="auto"/>
                    <w:jc w:val="center"/>
                    <w:rPr>
                      <w:rFonts w:hint="default" w:ascii="Times New Roman" w:hAnsi="Times New Roman" w:cs="Times New Roman"/>
                      <w:b/>
                      <w:bCs/>
                      <w:color w:val="auto"/>
                      <w:highlight w:val="none"/>
                      <w:u w:val="single" w:color="auto"/>
                      <w:vertAlign w:val="baseline"/>
                      <w:lang w:val="en-US" w:eastAsia="zh-CN"/>
                    </w:rPr>
                  </w:pPr>
                  <w:r>
                    <w:rPr>
                      <w:rFonts w:hint="eastAsia" w:cs="Times New Roman"/>
                      <w:b/>
                      <w:bCs/>
                      <w:color w:val="auto"/>
                      <w:highlight w:val="none"/>
                      <w:u w:val="single" w:color="auto"/>
                      <w:vertAlign w:val="baseline"/>
                      <w:lang w:val="en-US" w:eastAsia="zh-CN"/>
                    </w:rPr>
                    <w:t>规格</w:t>
                  </w:r>
                </w:p>
              </w:tc>
              <w:tc>
                <w:tcPr>
                  <w:tcW w:w="815" w:type="pct"/>
                  <w:tcBorders>
                    <w:tl2br w:val="nil"/>
                    <w:tr2bl w:val="nil"/>
                  </w:tcBorders>
                  <w:noWrap w:val="0"/>
                  <w:vAlign w:val="center"/>
                </w:tcPr>
                <w:p w14:paraId="0F2EB154">
                  <w:pPr>
                    <w:spacing w:line="240" w:lineRule="auto"/>
                    <w:jc w:val="center"/>
                    <w:rPr>
                      <w:rFonts w:hint="default" w:ascii="Times New Roman" w:hAnsi="Times New Roman" w:cs="Times New Roman"/>
                      <w:b/>
                      <w:bCs/>
                      <w:color w:val="auto"/>
                      <w:highlight w:val="none"/>
                      <w:u w:val="single" w:color="auto"/>
                      <w:vertAlign w:val="baseline"/>
                      <w:lang w:val="en-US" w:eastAsia="zh-CN"/>
                    </w:rPr>
                  </w:pPr>
                  <w:r>
                    <w:rPr>
                      <w:rFonts w:hint="eastAsia" w:cs="Times New Roman"/>
                      <w:b/>
                      <w:bCs/>
                      <w:color w:val="auto"/>
                      <w:highlight w:val="none"/>
                      <w:u w:val="single" w:color="auto"/>
                      <w:vertAlign w:val="baseline"/>
                      <w:lang w:val="en-US" w:eastAsia="zh-CN"/>
                    </w:rPr>
                    <w:t>变动前</w:t>
                  </w:r>
                  <w:r>
                    <w:rPr>
                      <w:rFonts w:hint="default" w:ascii="Times New Roman" w:hAnsi="Times New Roman" w:cs="Times New Roman"/>
                      <w:b/>
                      <w:bCs/>
                      <w:color w:val="auto"/>
                      <w:highlight w:val="none"/>
                      <w:u w:val="single" w:color="auto"/>
                      <w:vertAlign w:val="baseline"/>
                      <w:lang w:val="en-US" w:eastAsia="zh-CN"/>
                    </w:rPr>
                    <w:t>年</w:t>
                  </w:r>
                  <w:r>
                    <w:rPr>
                      <w:rFonts w:hint="eastAsia" w:cs="Times New Roman"/>
                      <w:b/>
                      <w:bCs/>
                      <w:color w:val="auto"/>
                      <w:highlight w:val="none"/>
                      <w:u w:val="single" w:color="auto"/>
                      <w:vertAlign w:val="baseline"/>
                      <w:lang w:val="en-US" w:eastAsia="zh-CN"/>
                    </w:rPr>
                    <w:t>报废</w:t>
                  </w:r>
                  <w:r>
                    <w:rPr>
                      <w:rFonts w:hint="default" w:ascii="Times New Roman" w:hAnsi="Times New Roman" w:cs="Times New Roman"/>
                      <w:b/>
                      <w:bCs/>
                      <w:color w:val="auto"/>
                      <w:highlight w:val="none"/>
                      <w:u w:val="single" w:color="auto"/>
                      <w:vertAlign w:val="baseline"/>
                      <w:lang w:val="en-US" w:eastAsia="zh-CN"/>
                    </w:rPr>
                    <w:t>量</w:t>
                  </w:r>
                </w:p>
              </w:tc>
              <w:tc>
                <w:tcPr>
                  <w:tcW w:w="767" w:type="pct"/>
                  <w:tcBorders>
                    <w:tl2br w:val="nil"/>
                    <w:tr2bl w:val="nil"/>
                  </w:tcBorders>
                  <w:noWrap w:val="0"/>
                  <w:vAlign w:val="center"/>
                </w:tcPr>
                <w:p w14:paraId="249557A4">
                  <w:pPr>
                    <w:spacing w:line="240" w:lineRule="auto"/>
                    <w:jc w:val="center"/>
                    <w:rPr>
                      <w:rFonts w:hint="default" w:ascii="Times New Roman" w:hAnsi="Times New Roman" w:cs="Times New Roman"/>
                      <w:b/>
                      <w:bCs/>
                      <w:color w:val="auto"/>
                      <w:highlight w:val="none"/>
                      <w:u w:val="single" w:color="auto"/>
                      <w:vertAlign w:val="baseline"/>
                      <w:lang w:val="en-US" w:eastAsia="zh-CN"/>
                    </w:rPr>
                  </w:pPr>
                  <w:r>
                    <w:rPr>
                      <w:rFonts w:hint="eastAsia" w:cs="Times New Roman"/>
                      <w:b/>
                      <w:bCs/>
                      <w:color w:val="auto"/>
                      <w:highlight w:val="none"/>
                      <w:u w:val="single" w:color="auto"/>
                      <w:vertAlign w:val="baseline"/>
                      <w:lang w:val="en-US" w:eastAsia="zh-CN"/>
                    </w:rPr>
                    <w:t>变动后</w:t>
                  </w:r>
                  <w:r>
                    <w:rPr>
                      <w:rFonts w:hint="default" w:ascii="Times New Roman" w:hAnsi="Times New Roman" w:cs="Times New Roman"/>
                      <w:b/>
                      <w:bCs/>
                      <w:color w:val="auto"/>
                      <w:highlight w:val="none"/>
                      <w:u w:val="single" w:color="auto"/>
                      <w:vertAlign w:val="baseline"/>
                      <w:lang w:val="en-US" w:eastAsia="zh-CN"/>
                    </w:rPr>
                    <w:t>年</w:t>
                  </w:r>
                  <w:r>
                    <w:rPr>
                      <w:rFonts w:hint="eastAsia" w:cs="Times New Roman"/>
                      <w:b/>
                      <w:bCs/>
                      <w:color w:val="auto"/>
                      <w:highlight w:val="none"/>
                      <w:u w:val="single" w:color="auto"/>
                      <w:vertAlign w:val="baseline"/>
                      <w:lang w:val="en-US" w:eastAsia="zh-CN"/>
                    </w:rPr>
                    <w:t>报废</w:t>
                  </w:r>
                  <w:r>
                    <w:rPr>
                      <w:rFonts w:hint="default" w:ascii="Times New Roman" w:hAnsi="Times New Roman" w:cs="Times New Roman"/>
                      <w:b/>
                      <w:bCs/>
                      <w:color w:val="auto"/>
                      <w:highlight w:val="none"/>
                      <w:u w:val="single" w:color="auto"/>
                      <w:vertAlign w:val="baseline"/>
                      <w:lang w:val="en-US" w:eastAsia="zh-CN"/>
                    </w:rPr>
                    <w:t>量</w:t>
                  </w:r>
                </w:p>
              </w:tc>
              <w:tc>
                <w:tcPr>
                  <w:tcW w:w="879" w:type="pct"/>
                  <w:tcBorders>
                    <w:tl2br w:val="nil"/>
                    <w:tr2bl w:val="nil"/>
                  </w:tcBorders>
                  <w:noWrap w:val="0"/>
                  <w:vAlign w:val="center"/>
                </w:tcPr>
                <w:p w14:paraId="38A7658C">
                  <w:pPr>
                    <w:spacing w:line="240" w:lineRule="auto"/>
                    <w:jc w:val="center"/>
                    <w:rPr>
                      <w:rFonts w:hint="default" w:ascii="Times New Roman" w:hAnsi="Times New Roman" w:cs="Times New Roman"/>
                      <w:b/>
                      <w:bCs/>
                      <w:color w:val="auto"/>
                      <w:highlight w:val="none"/>
                      <w:u w:val="single" w:color="auto"/>
                      <w:vertAlign w:val="baseline"/>
                      <w:lang w:val="en-US" w:eastAsia="zh-CN"/>
                    </w:rPr>
                  </w:pPr>
                  <w:r>
                    <w:rPr>
                      <w:rFonts w:hint="eastAsia" w:cs="Times New Roman"/>
                      <w:b/>
                      <w:bCs/>
                      <w:color w:val="auto"/>
                      <w:highlight w:val="none"/>
                      <w:u w:val="single" w:color="auto"/>
                      <w:vertAlign w:val="baseline"/>
                      <w:lang w:val="en-US" w:eastAsia="zh-CN"/>
                    </w:rPr>
                    <w:t>去向</w:t>
                  </w:r>
                </w:p>
              </w:tc>
              <w:tc>
                <w:tcPr>
                  <w:tcW w:w="756" w:type="pct"/>
                  <w:tcBorders>
                    <w:tl2br w:val="nil"/>
                    <w:tr2bl w:val="nil"/>
                  </w:tcBorders>
                  <w:noWrap w:val="0"/>
                  <w:vAlign w:val="center"/>
                </w:tcPr>
                <w:p w14:paraId="14A7AF04">
                  <w:pPr>
                    <w:spacing w:line="240" w:lineRule="auto"/>
                    <w:jc w:val="center"/>
                    <w:rPr>
                      <w:rFonts w:hint="eastAsia" w:cs="Times New Roman"/>
                      <w:b/>
                      <w:bCs/>
                      <w:color w:val="auto"/>
                      <w:highlight w:val="none"/>
                      <w:u w:val="single" w:color="auto"/>
                      <w:vertAlign w:val="baseline"/>
                      <w:lang w:val="en-US" w:eastAsia="zh-CN"/>
                    </w:rPr>
                  </w:pPr>
                  <w:r>
                    <w:rPr>
                      <w:rFonts w:hint="eastAsia" w:cs="Times New Roman"/>
                      <w:b/>
                      <w:bCs w:val="0"/>
                      <w:color w:val="auto"/>
                      <w:sz w:val="21"/>
                      <w:szCs w:val="21"/>
                      <w:highlight w:val="none"/>
                      <w:u w:val="single" w:color="auto"/>
                      <w:lang w:val="en-US" w:eastAsia="zh-CN"/>
                    </w:rPr>
                    <w:t>备注</w:t>
                  </w:r>
                </w:p>
              </w:tc>
            </w:tr>
            <w:tr w14:paraId="2BE5F6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42" w:type="pct"/>
                  <w:tcBorders>
                    <w:tl2br w:val="nil"/>
                    <w:tr2bl w:val="nil"/>
                  </w:tcBorders>
                  <w:noWrap w:val="0"/>
                  <w:vAlign w:val="center"/>
                </w:tcPr>
                <w:p w14:paraId="0B9E6075">
                  <w:pPr>
                    <w:spacing w:line="240" w:lineRule="auto"/>
                    <w:jc w:val="center"/>
                    <w:rPr>
                      <w:rFonts w:hint="default" w:ascii="Times New Roman" w:hAnsi="Times New Roman" w:eastAsia="宋体" w:cs="Times New Roman"/>
                      <w:color w:val="auto"/>
                      <w:highlight w:val="none"/>
                      <w:u w:val="single" w:color="auto"/>
                      <w:vertAlign w:val="baseline"/>
                      <w:lang w:val="en-US" w:eastAsia="zh-CN"/>
                    </w:rPr>
                  </w:pPr>
                  <w:r>
                    <w:rPr>
                      <w:rFonts w:hint="default" w:ascii="Times New Roman" w:hAnsi="Times New Roman" w:eastAsia="宋体" w:cs="Times New Roman"/>
                      <w:color w:val="auto"/>
                      <w:highlight w:val="none"/>
                      <w:u w:val="single" w:color="auto"/>
                      <w:vertAlign w:val="baseline"/>
                      <w:lang w:val="en-US" w:eastAsia="zh-CN"/>
                    </w:rPr>
                    <w:t>报废液化气钢瓶</w:t>
                  </w:r>
                </w:p>
              </w:tc>
              <w:tc>
                <w:tcPr>
                  <w:tcW w:w="838" w:type="pct"/>
                  <w:tcBorders>
                    <w:tl2br w:val="nil"/>
                    <w:tr2bl w:val="nil"/>
                  </w:tcBorders>
                  <w:noWrap w:val="0"/>
                  <w:vAlign w:val="center"/>
                </w:tcPr>
                <w:p w14:paraId="533C2AC5">
                  <w:pPr>
                    <w:spacing w:line="240" w:lineRule="auto"/>
                    <w:jc w:val="center"/>
                    <w:rPr>
                      <w:rFonts w:hint="default"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16.5公斤</w:t>
                  </w:r>
                  <w:r>
                    <w:rPr>
                      <w:rFonts w:hint="eastAsia"/>
                      <w:color w:val="auto"/>
                      <w:highlight w:val="none"/>
                      <w:u w:val="single" w:color="auto"/>
                      <w:lang w:val="en-US" w:eastAsia="zh-CN"/>
                    </w:rPr>
                    <w:t>/只</w:t>
                  </w:r>
                </w:p>
              </w:tc>
              <w:tc>
                <w:tcPr>
                  <w:tcW w:w="815" w:type="pct"/>
                  <w:tcBorders>
                    <w:tl2br w:val="nil"/>
                    <w:tr2bl w:val="nil"/>
                  </w:tcBorders>
                  <w:noWrap w:val="0"/>
                  <w:vAlign w:val="center"/>
                </w:tcPr>
                <w:p w14:paraId="56415A26">
                  <w:pPr>
                    <w:spacing w:line="240" w:lineRule="auto"/>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12万只</w:t>
                  </w:r>
                </w:p>
              </w:tc>
              <w:tc>
                <w:tcPr>
                  <w:tcW w:w="767" w:type="pct"/>
                  <w:tcBorders>
                    <w:tl2br w:val="nil"/>
                    <w:tr2bl w:val="nil"/>
                  </w:tcBorders>
                  <w:noWrap w:val="0"/>
                  <w:vAlign w:val="center"/>
                </w:tcPr>
                <w:p w14:paraId="34A260C1">
                  <w:pPr>
                    <w:spacing w:line="240" w:lineRule="auto"/>
                    <w:jc w:val="center"/>
                    <w:rPr>
                      <w:rFonts w:hint="eastAsia"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12万只</w:t>
                  </w:r>
                </w:p>
              </w:tc>
              <w:tc>
                <w:tcPr>
                  <w:tcW w:w="879" w:type="pct"/>
                  <w:tcBorders>
                    <w:tl2br w:val="nil"/>
                    <w:tr2bl w:val="nil"/>
                  </w:tcBorders>
                  <w:noWrap w:val="0"/>
                  <w:vAlign w:val="center"/>
                </w:tcPr>
                <w:p w14:paraId="0DF7F96A">
                  <w:pPr>
                    <w:spacing w:line="240" w:lineRule="auto"/>
                    <w:jc w:val="center"/>
                    <w:rPr>
                      <w:rFonts w:hint="default" w:cs="Times New Roman"/>
                      <w:color w:val="auto"/>
                      <w:highlight w:val="none"/>
                      <w:u w:val="single" w:color="auto"/>
                      <w:vertAlign w:val="baseline"/>
                      <w:lang w:val="en-US" w:eastAsia="zh-CN"/>
                    </w:rPr>
                  </w:pPr>
                  <w:r>
                    <w:rPr>
                      <w:rFonts w:hint="default" w:cs="Times New Roman"/>
                      <w:color w:val="auto"/>
                      <w:highlight w:val="none"/>
                      <w:u w:val="single" w:color="auto"/>
                      <w:vertAlign w:val="baseline"/>
                      <w:lang w:val="en-US" w:eastAsia="zh-CN"/>
                    </w:rPr>
                    <w:t>外售至钢厂回收</w:t>
                  </w:r>
                  <w:r>
                    <w:rPr>
                      <w:rFonts w:hint="eastAsia" w:cs="Times New Roman"/>
                      <w:color w:val="auto"/>
                      <w:highlight w:val="none"/>
                      <w:u w:val="single" w:color="auto"/>
                      <w:vertAlign w:val="baseline"/>
                      <w:lang w:val="en-US" w:eastAsia="zh-CN"/>
                    </w:rPr>
                    <w:t>利用</w:t>
                  </w:r>
                </w:p>
              </w:tc>
              <w:tc>
                <w:tcPr>
                  <w:tcW w:w="756" w:type="pct"/>
                  <w:tcBorders>
                    <w:tl2br w:val="nil"/>
                    <w:tr2bl w:val="nil"/>
                  </w:tcBorders>
                  <w:noWrap w:val="0"/>
                  <w:vAlign w:val="center"/>
                </w:tcPr>
                <w:p w14:paraId="1EAEF065">
                  <w:pPr>
                    <w:spacing w:line="240" w:lineRule="auto"/>
                    <w:jc w:val="center"/>
                    <w:rPr>
                      <w:rFonts w:hint="default" w:cs="Times New Roman"/>
                      <w:color w:val="auto"/>
                      <w:highlight w:val="none"/>
                      <w:u w:val="single" w:color="auto"/>
                      <w:vertAlign w:val="baseline"/>
                      <w:lang w:val="en-US" w:eastAsia="zh-CN"/>
                    </w:rPr>
                  </w:pPr>
                  <w:r>
                    <w:rPr>
                      <w:rFonts w:hint="eastAsia" w:ascii="Times New Roman" w:hAnsi="Times New Roman" w:eastAsia="宋体" w:cs="Times New Roman"/>
                      <w:color w:val="auto"/>
                      <w:sz w:val="21"/>
                      <w:szCs w:val="21"/>
                      <w:u w:val="single" w:color="auto"/>
                      <w:lang w:val="en-US" w:eastAsia="zh-CN"/>
                    </w:rPr>
                    <w:t>无变化</w:t>
                  </w:r>
                </w:p>
              </w:tc>
            </w:tr>
            <w:tr w14:paraId="0151ED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000" w:type="pct"/>
                  <w:gridSpan w:val="6"/>
                  <w:tcBorders>
                    <w:tl2br w:val="nil"/>
                    <w:tr2bl w:val="nil"/>
                  </w:tcBorders>
                  <w:noWrap w:val="0"/>
                  <w:vAlign w:val="center"/>
                </w:tcPr>
                <w:p w14:paraId="157330D4">
                  <w:pPr>
                    <w:spacing w:line="240" w:lineRule="auto"/>
                    <w:jc w:val="left"/>
                    <w:rPr>
                      <w:rFonts w:hint="default" w:ascii="Times New Roman" w:hAnsi="Times New Roman" w:eastAsia="宋体" w:cs="Times New Roman"/>
                      <w:color w:val="auto"/>
                      <w:sz w:val="21"/>
                      <w:szCs w:val="21"/>
                      <w:u w:val="single" w:color="auto"/>
                      <w:lang w:val="en-US" w:eastAsia="zh-CN"/>
                    </w:rPr>
                  </w:pPr>
                  <w:r>
                    <w:rPr>
                      <w:rFonts w:hint="eastAsia" w:cs="Times New Roman"/>
                      <w:color w:val="auto"/>
                      <w:sz w:val="21"/>
                      <w:szCs w:val="21"/>
                      <w:u w:val="single" w:color="auto"/>
                      <w:lang w:val="en-US" w:eastAsia="zh-CN"/>
                    </w:rPr>
                    <w:t>产能计算：</w:t>
                  </w:r>
                  <w:r>
                    <w:rPr>
                      <w:rFonts w:hint="default" w:ascii="Times New Roman" w:hAnsi="Times New Roman" w:eastAsia="宋体" w:cs="Times New Roman"/>
                      <w:color w:val="auto"/>
                      <w:sz w:val="21"/>
                      <w:szCs w:val="21"/>
                      <w:u w:val="single" w:color="auto"/>
                      <w:lang w:val="en-US" w:eastAsia="zh-CN"/>
                    </w:rPr>
                    <w:t>焚烧炉焚烧通道长度16m，单批次可容纳10个废钢瓶进行焚烧，物料焚烧时间4min /批；考虑废钢瓶装料、出料及安全间隔时间，每小时运行7批次，废钢瓶处理量控制为70个/h。</w:t>
                  </w:r>
                  <w:r>
                    <w:rPr>
                      <w:rFonts w:hint="eastAsia" w:cs="Times New Roman"/>
                      <w:color w:val="auto"/>
                      <w:sz w:val="21"/>
                      <w:szCs w:val="21"/>
                      <w:u w:val="single" w:color="auto"/>
                      <w:lang w:val="en-US" w:eastAsia="zh-CN"/>
                    </w:rPr>
                    <w:t>焚烧炉年工作时间6*300=1800h，可燃烧12.6万只/年，除去检修、停电等情况下预计年最大产能12万只。</w:t>
                  </w:r>
                </w:p>
              </w:tc>
            </w:tr>
          </w:tbl>
          <w:p w14:paraId="2662E890">
            <w:pPr>
              <w:adjustRightInd w:val="0"/>
              <w:snapToGrid w:val="0"/>
              <w:spacing w:line="360" w:lineRule="auto"/>
              <w:jc w:val="left"/>
              <w:rPr>
                <w:rFonts w:hint="default" w:ascii="Times New Roman" w:hAnsi="Times New Roman" w:cs="Times New Roman"/>
                <w:b/>
                <w:bCs/>
                <w:color w:val="auto"/>
                <w:sz w:val="24"/>
                <w:highlight w:val="none"/>
              </w:rPr>
            </w:pPr>
            <w:r>
              <w:rPr>
                <w:rFonts w:hint="eastAsia" w:cs="Times New Roman"/>
                <w:b/>
                <w:bCs/>
                <w:color w:val="auto"/>
                <w:sz w:val="24"/>
                <w:highlight w:val="none"/>
                <w:lang w:val="en-US" w:eastAsia="zh-CN"/>
              </w:rPr>
              <w:t>7</w:t>
            </w:r>
            <w:r>
              <w:rPr>
                <w:rFonts w:hint="default" w:ascii="Times New Roman" w:hAnsi="Times New Roman" w:cs="Times New Roman"/>
                <w:b/>
                <w:bCs/>
                <w:color w:val="auto"/>
                <w:sz w:val="24"/>
                <w:highlight w:val="none"/>
              </w:rPr>
              <w:t>、项目总平面布置</w:t>
            </w:r>
          </w:p>
          <w:p w14:paraId="3EFC0337">
            <w:pPr>
              <w:pStyle w:val="8"/>
              <w:spacing w:line="360" w:lineRule="auto"/>
              <w:ind w:firstLine="480" w:firstLineChars="200"/>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color w:val="auto"/>
                <w:sz w:val="24"/>
                <w:szCs w:val="24"/>
              </w:rPr>
              <w:t>本项目重新选址，厂区整体平面布置</w:t>
            </w:r>
            <w:r>
              <w:rPr>
                <w:rFonts w:hint="eastAsia" w:cs="Times New Roman"/>
                <w:color w:val="auto"/>
                <w:sz w:val="24"/>
                <w:szCs w:val="24"/>
                <w:lang w:val="en-US" w:eastAsia="zh-CN"/>
              </w:rPr>
              <w:t>将所有</w:t>
            </w:r>
            <w:r>
              <w:rPr>
                <w:rFonts w:hint="default" w:ascii="Times New Roman" w:hAnsi="Times New Roman" w:eastAsia="宋体" w:cs="Times New Roman"/>
                <w:color w:val="auto"/>
                <w:sz w:val="24"/>
                <w:szCs w:val="24"/>
              </w:rPr>
              <w:t>变动：焚烧区建筑面积由200㎡增至300㎡，焚烧炉数量不变；办公室由砖混单层改为集装箱式，面积由25㎡调整为20㎡；抽残液区、拆卸瓶阀区建筑面积、功能无变化</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具体分析如下：</w:t>
            </w:r>
          </w:p>
          <w:p w14:paraId="37E2612C">
            <w:pPr>
              <w:pStyle w:val="8"/>
              <w:spacing w:line="360" w:lineRule="auto"/>
              <w:ind w:firstLine="480" w:firstLineChars="200"/>
              <w:rPr>
                <w:rFonts w:ascii="Times New Roman" w:hAnsi="Times New Roman" w:eastAsia="宋体" w:cs="Times New Roman"/>
                <w:color w:val="auto"/>
                <w:sz w:val="24"/>
                <w:u w:val="none"/>
                <w:lang w:val="en-US" w:eastAsia="zh-CN"/>
              </w:rPr>
            </w:pPr>
            <w:r>
              <w:rPr>
                <w:rFonts w:ascii="Times New Roman" w:hAnsi="Times New Roman" w:eastAsia="宋体" w:cs="Times New Roman"/>
                <w:color w:val="auto"/>
                <w:sz w:val="24"/>
                <w:u w:val="none"/>
                <w:lang w:val="en-US" w:eastAsia="zh-CN"/>
              </w:rPr>
              <w:t>本项目选址于岳阳县新墙镇燎原村沙河片二组，租赁岳阳县万来新能源科技有限公司北侧钢筋棚结构厂房开展生产经营活动，厂房总建筑面积3240m²。项目生产车间整体为长方形结构，厂区主出入口设置于厂区南侧，厂区内部由南至北依次规划布设办公区、抽残液区、拆卸瓶阀区、原材料堆放区、成品堆放区、焚烧区及固废暂存区，功能分区序列清晰、生产动线规整。废旧液化石油气钢瓶由运输车辆统一运送至原辅材料堆场后，按照标准化生产工序依次流转至各专项处理区域，可有效保障生产作业连续高效开展，整体物流组织有序、衔接顺畅。</w:t>
            </w:r>
          </w:p>
          <w:p w14:paraId="49D7114E">
            <w:pPr>
              <w:pStyle w:val="8"/>
              <w:spacing w:line="360" w:lineRule="auto"/>
              <w:ind w:firstLine="480" w:firstLineChars="200"/>
              <w:rPr>
                <w:rFonts w:ascii="Times New Roman" w:hAnsi="Times New Roman" w:eastAsia="宋体" w:cs="Times New Roman"/>
                <w:color w:val="auto"/>
                <w:sz w:val="24"/>
                <w:u w:val="none"/>
                <w:lang w:val="en-US" w:eastAsia="zh-CN"/>
              </w:rPr>
            </w:pPr>
            <w:r>
              <w:rPr>
                <w:rFonts w:ascii="Times New Roman" w:hAnsi="Times New Roman" w:eastAsia="宋体" w:cs="Times New Roman"/>
                <w:color w:val="auto"/>
                <w:sz w:val="24"/>
                <w:u w:val="none"/>
                <w:lang w:val="en-US" w:eastAsia="zh-CN"/>
              </w:rPr>
              <w:t>环保布局方面，项目废气处理设施布置于厂房西北侧，处于区域主导风向</w:t>
            </w:r>
            <w:r>
              <w:rPr>
                <w:rFonts w:hint="eastAsia" w:cs="Times New Roman"/>
                <w:color w:val="auto"/>
                <w:sz w:val="24"/>
                <w:u w:val="none"/>
                <w:lang w:val="en-US" w:eastAsia="zh-CN"/>
              </w:rPr>
              <w:t>的侧</w:t>
            </w:r>
            <w:r>
              <w:rPr>
                <w:rFonts w:ascii="Times New Roman" w:hAnsi="Times New Roman" w:eastAsia="宋体" w:cs="Times New Roman"/>
                <w:color w:val="auto"/>
                <w:sz w:val="24"/>
                <w:u w:val="none"/>
                <w:lang w:val="en-US" w:eastAsia="zh-CN"/>
              </w:rPr>
              <w:t>风向位置，可最大限度削减废气污染物对厂区内部及周边区域环境的不利影响；在厂区北侧规范设置</w:t>
            </w:r>
            <w:r>
              <w:rPr>
                <w:rFonts w:hint="eastAsia" w:cs="Times New Roman"/>
                <w:color w:val="auto"/>
                <w:sz w:val="24"/>
                <w:u w:val="none"/>
                <w:lang w:val="en-US" w:eastAsia="zh-CN"/>
              </w:rPr>
              <w:t>一般固废暂存间及</w:t>
            </w:r>
            <w:r>
              <w:rPr>
                <w:rFonts w:ascii="Times New Roman" w:hAnsi="Times New Roman" w:eastAsia="宋体" w:cs="Times New Roman"/>
                <w:color w:val="auto"/>
                <w:sz w:val="24"/>
                <w:u w:val="none"/>
                <w:lang w:val="en-US" w:eastAsia="zh-CN"/>
              </w:rPr>
              <w:t>危险废物暂存间，可实现项目各类固体废物的分类、安全暂存，保障固废后续合法合规处置。同时，项目各类高噪声生产设备均集中布置于厂房中部生产区域，项目周边环境敏感点位数量较少，设备运营产生的噪声对周边声环境影响程度较低。厂房严格依照国家防火规范标准要求，科学划分防火分区、规范设置安全疏散通道，全面筑牢生产安全防线，保障生产作业安全有序开展。</w:t>
            </w:r>
          </w:p>
          <w:p w14:paraId="7EB00661">
            <w:pPr>
              <w:pStyle w:val="8"/>
              <w:spacing w:line="360" w:lineRule="auto"/>
              <w:ind w:firstLine="480" w:firstLineChars="200"/>
              <w:rPr>
                <w:rFonts w:ascii="Times New Roman" w:hAnsi="Times New Roman" w:eastAsia="宋体" w:cs="Times New Roman"/>
                <w:color w:val="auto"/>
                <w:sz w:val="24"/>
                <w:u w:val="none"/>
                <w:lang w:val="en-US" w:eastAsia="zh-CN"/>
              </w:rPr>
            </w:pPr>
            <w:r>
              <w:rPr>
                <w:rFonts w:ascii="Times New Roman" w:hAnsi="Times New Roman" w:eastAsia="宋体" w:cs="Times New Roman"/>
                <w:color w:val="auto"/>
                <w:sz w:val="24"/>
                <w:u w:val="none"/>
                <w:lang w:val="en-US" w:eastAsia="zh-CN"/>
              </w:rPr>
              <w:t>综上所述，从环保角度分析，本项目厂区平面布置科学合理、合规可行，项目具体厂区平面布置详见附图2。</w:t>
            </w:r>
          </w:p>
          <w:p w14:paraId="6A330A5B">
            <w:pPr>
              <w:numPr>
                <w:ilvl w:val="0"/>
                <w:numId w:val="0"/>
              </w:numPr>
              <w:spacing w:line="360" w:lineRule="auto"/>
              <w:ind w:leftChars="0"/>
              <w:rPr>
                <w:rFonts w:hint="eastAsia" w:cs="Times New Roman"/>
                <w:b/>
                <w:bCs/>
                <w:color w:val="auto"/>
                <w:sz w:val="24"/>
                <w:highlight w:val="none"/>
                <w:lang w:eastAsia="zh-CN"/>
              </w:rPr>
            </w:pPr>
            <w:r>
              <w:rPr>
                <w:rFonts w:hint="eastAsia" w:cs="Times New Roman"/>
                <w:b/>
                <w:bCs/>
                <w:color w:val="auto"/>
                <w:sz w:val="24"/>
                <w:highlight w:val="none"/>
                <w:lang w:val="en-US" w:eastAsia="zh-CN"/>
              </w:rPr>
              <w:t>8、</w:t>
            </w:r>
            <w:r>
              <w:rPr>
                <w:rFonts w:hint="default" w:ascii="Times New Roman" w:hAnsi="Times New Roman" w:cs="Times New Roman"/>
                <w:b/>
                <w:bCs/>
                <w:color w:val="auto"/>
                <w:sz w:val="24"/>
                <w:highlight w:val="none"/>
              </w:rPr>
              <w:t>公用工程</w:t>
            </w:r>
          </w:p>
          <w:p w14:paraId="5795B2C9">
            <w:pPr>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（1）给水工程</w:t>
            </w:r>
          </w:p>
          <w:p w14:paraId="6A3E65F9">
            <w:pPr>
              <w:pStyle w:val="149"/>
              <w:adjustRightInd w:val="0"/>
              <w:snapToGrid w:val="0"/>
              <w:ind w:firstLine="496"/>
              <w:rPr>
                <w:rFonts w:hint="default" w:ascii="Times New Roman" w:hAnsi="Times New Roman" w:cs="Times New Roman"/>
                <w:bCs/>
                <w:color w:val="auto"/>
                <w:sz w:val="24"/>
                <w:u w:val="single" w:color="auto"/>
              </w:rPr>
            </w:pPr>
            <w:r>
              <w:rPr>
                <w:rFonts w:hint="default" w:ascii="Times New Roman" w:hAnsi="Times New Roman" w:cs="Times New Roman"/>
                <w:bCs/>
                <w:color w:val="auto"/>
                <w:sz w:val="24"/>
                <w:u w:val="single" w:color="auto"/>
                <w:lang w:val="en-US" w:eastAsia="zh-CN"/>
              </w:rPr>
              <w:t>本项目用水水源为乡镇供水管网供给的自来水，水源稳定、水质符合生产生活使用标准。项目</w:t>
            </w:r>
            <w:r>
              <w:rPr>
                <w:rFonts w:hint="eastAsia" w:ascii="Times New Roman" w:hAnsi="Times New Roman" w:cs="Times New Roman"/>
                <w:bCs/>
                <w:color w:val="auto"/>
                <w:sz w:val="24"/>
                <w:u w:val="single" w:color="auto"/>
                <w:lang w:val="en-US" w:eastAsia="zh-CN"/>
              </w:rPr>
              <w:t>生产过程无需使用水，</w:t>
            </w:r>
            <w:r>
              <w:rPr>
                <w:rFonts w:hint="default" w:ascii="Times New Roman" w:hAnsi="Times New Roman" w:cs="Times New Roman"/>
                <w:bCs/>
                <w:color w:val="auto"/>
                <w:sz w:val="24"/>
                <w:u w:val="single" w:color="auto"/>
                <w:lang w:val="en-US" w:eastAsia="zh-CN"/>
              </w:rPr>
              <w:t>用水</w:t>
            </w:r>
            <w:r>
              <w:rPr>
                <w:rFonts w:hint="eastAsia" w:ascii="Times New Roman" w:hAnsi="Times New Roman" w:cs="Times New Roman"/>
                <w:bCs/>
                <w:color w:val="auto"/>
                <w:sz w:val="24"/>
                <w:u w:val="single" w:color="auto"/>
                <w:lang w:val="en-US" w:eastAsia="zh-CN"/>
              </w:rPr>
              <w:t>主要</w:t>
            </w:r>
            <w:r>
              <w:rPr>
                <w:rFonts w:hint="default" w:ascii="Times New Roman" w:hAnsi="Times New Roman" w:cs="Times New Roman"/>
                <w:bCs/>
                <w:color w:val="auto"/>
                <w:sz w:val="24"/>
                <w:u w:val="single" w:color="auto"/>
                <w:lang w:val="en-US" w:eastAsia="zh-CN"/>
              </w:rPr>
              <w:t>员工日常生活用水。</w:t>
            </w:r>
          </w:p>
          <w:p w14:paraId="6D1D73CD">
            <w:pPr>
              <w:pStyle w:val="149"/>
              <w:adjustRightInd w:val="0"/>
              <w:snapToGrid w:val="0"/>
              <w:ind w:firstLine="496"/>
              <w:rPr>
                <w:rFonts w:hint="default" w:ascii="Times New Roman" w:hAnsi="Times New Roman" w:cs="Times New Roman"/>
                <w:color w:val="auto"/>
                <w:sz w:val="24"/>
                <w:highlight w:val="none"/>
                <w:u w:val="single" w:color="auto"/>
                <w:lang w:eastAsia="zh-CN"/>
              </w:rPr>
            </w:pPr>
            <w:r>
              <w:rPr>
                <w:rFonts w:hint="default" w:ascii="Times New Roman" w:hAnsi="Times New Roman" w:cs="Times New Roman"/>
                <w:bCs/>
                <w:color w:val="auto"/>
                <w:sz w:val="24"/>
                <w:u w:val="single" w:color="auto"/>
                <w:lang w:val="en-US" w:eastAsia="zh-CN"/>
              </w:rPr>
              <w:t>生活用水：</w:t>
            </w:r>
            <w:r>
              <w:rPr>
                <w:rFonts w:hint="eastAsia" w:ascii="Times New Roman" w:hAnsi="Times New Roman" w:cs="Times New Roman"/>
                <w:bCs/>
                <w:color w:val="auto"/>
                <w:sz w:val="24"/>
                <w:u w:val="single" w:color="auto"/>
                <w:lang w:val="en-US" w:eastAsia="zh-CN"/>
              </w:rPr>
              <w:t>重大变动</w:t>
            </w:r>
            <w:r>
              <w:rPr>
                <w:rFonts w:hint="default" w:ascii="Times New Roman" w:hAnsi="Times New Roman" w:cs="Times New Roman"/>
                <w:bCs/>
                <w:color w:val="auto"/>
                <w:sz w:val="24"/>
                <w:u w:val="single" w:color="auto"/>
                <w:lang w:val="en-US" w:eastAsia="zh-CN"/>
              </w:rPr>
              <w:t>企业在岗员工人数无新增，维持原有5人配置，企业年生产工作天数为300天</w:t>
            </w:r>
            <w:r>
              <w:rPr>
                <w:rFonts w:hint="eastAsia" w:ascii="Times New Roman" w:hAnsi="Times New Roman" w:cs="Times New Roman"/>
                <w:bCs/>
                <w:color w:val="auto"/>
                <w:sz w:val="24"/>
                <w:u w:val="single" w:color="auto"/>
                <w:lang w:val="en-US" w:eastAsia="zh-CN"/>
              </w:rPr>
              <w:t>，一班制</w:t>
            </w:r>
            <w:r>
              <w:rPr>
                <w:rFonts w:hint="default" w:ascii="Times New Roman" w:hAnsi="Times New Roman" w:cs="Times New Roman"/>
                <w:bCs/>
                <w:color w:val="auto"/>
                <w:sz w:val="24"/>
                <w:u w:val="single" w:color="auto"/>
                <w:lang w:val="en-US" w:eastAsia="zh-CN"/>
              </w:rPr>
              <w:t>。</w:t>
            </w:r>
            <w:bookmarkStart w:id="15" w:name="OLE_LINK14"/>
            <w:r>
              <w:rPr>
                <w:rFonts w:hint="default" w:ascii="Times New Roman" w:hAnsi="Times New Roman" w:cs="Times New Roman"/>
                <w:color w:val="auto"/>
                <w:sz w:val="24"/>
                <w:highlight w:val="none"/>
                <w:u w:val="single" w:color="auto"/>
              </w:rPr>
              <w:t>厂区</w:t>
            </w:r>
            <w:r>
              <w:rPr>
                <w:rFonts w:hint="default" w:ascii="Times New Roman" w:hAnsi="Times New Roman" w:cs="Times New Roman"/>
                <w:color w:val="auto"/>
                <w:sz w:val="24"/>
                <w:highlight w:val="none"/>
                <w:u w:val="single" w:color="auto"/>
                <w:lang w:val="en-US" w:eastAsia="zh-CN"/>
              </w:rPr>
              <w:t>不</w:t>
            </w:r>
            <w:r>
              <w:rPr>
                <w:rFonts w:hint="default" w:ascii="Times New Roman" w:hAnsi="Times New Roman" w:cs="Times New Roman"/>
                <w:color w:val="auto"/>
                <w:sz w:val="24"/>
                <w:highlight w:val="none"/>
                <w:u w:val="single" w:color="auto"/>
              </w:rPr>
              <w:t>提供</w:t>
            </w:r>
            <w:r>
              <w:rPr>
                <w:rFonts w:hint="eastAsia" w:ascii="Times New Roman" w:hAnsi="Times New Roman" w:cs="Times New Roman"/>
                <w:color w:val="auto"/>
                <w:sz w:val="24"/>
                <w:highlight w:val="none"/>
                <w:u w:val="single" w:color="auto"/>
                <w:lang w:val="en-US" w:eastAsia="zh-CN"/>
              </w:rPr>
              <w:t>住</w:t>
            </w:r>
            <w:r>
              <w:rPr>
                <w:rFonts w:hint="default" w:ascii="Times New Roman" w:hAnsi="Times New Roman" w:cs="Times New Roman"/>
                <w:color w:val="auto"/>
                <w:sz w:val="24"/>
                <w:highlight w:val="none"/>
                <w:u w:val="single" w:color="auto"/>
              </w:rPr>
              <w:t>宿</w:t>
            </w:r>
            <w:r>
              <w:rPr>
                <w:rFonts w:hint="eastAsia" w:ascii="Times New Roman" w:hAnsi="Times New Roman" w:cs="Times New Roman"/>
                <w:color w:val="auto"/>
                <w:sz w:val="24"/>
                <w:highlight w:val="none"/>
                <w:u w:val="single" w:color="auto"/>
                <w:lang w:eastAsia="zh-CN"/>
              </w:rPr>
              <w:t>，</w:t>
            </w:r>
            <w:r>
              <w:rPr>
                <w:rFonts w:hint="default" w:ascii="Times New Roman" w:hAnsi="Times New Roman" w:cs="Times New Roman"/>
                <w:color w:val="auto"/>
                <w:sz w:val="24"/>
                <w:highlight w:val="none"/>
                <w:u w:val="single" w:color="auto"/>
                <w:lang w:eastAsia="zh-CN"/>
              </w:rPr>
              <w:t>按《湖南省用水定额》（DB43/T388.3-2025）中的指标计算，用水量按</w:t>
            </w:r>
            <w:r>
              <w:rPr>
                <w:rFonts w:hint="default" w:ascii="Times New Roman" w:hAnsi="Times New Roman" w:cs="Times New Roman"/>
                <w:color w:val="auto"/>
                <w:sz w:val="24"/>
                <w:highlight w:val="none"/>
                <w:u w:val="single" w:color="auto"/>
                <w:lang w:val="en-US" w:eastAsia="zh-CN"/>
              </w:rPr>
              <w:t>38m</w:t>
            </w:r>
            <w:r>
              <w:rPr>
                <w:rFonts w:hint="default" w:ascii="Times New Roman" w:hAnsi="Times New Roman" w:cs="Times New Roman"/>
                <w:color w:val="auto"/>
                <w:sz w:val="24"/>
                <w:highlight w:val="none"/>
                <w:u w:val="single" w:color="auto"/>
                <w:vertAlign w:val="superscript"/>
                <w:lang w:val="en-US" w:eastAsia="zh-CN"/>
              </w:rPr>
              <w:t>3</w:t>
            </w:r>
            <w:r>
              <w:rPr>
                <w:rFonts w:hint="default" w:ascii="Times New Roman" w:hAnsi="Times New Roman" w:cs="Times New Roman"/>
                <w:color w:val="auto"/>
                <w:sz w:val="24"/>
                <w:highlight w:val="none"/>
                <w:u w:val="single" w:color="auto"/>
                <w:lang w:val="en-US" w:eastAsia="zh-CN"/>
              </w:rPr>
              <w:t>/a·人</w:t>
            </w:r>
            <w:r>
              <w:rPr>
                <w:rFonts w:hint="default" w:ascii="Times New Roman" w:hAnsi="Times New Roman" w:cs="Times New Roman"/>
                <w:color w:val="auto"/>
                <w:sz w:val="24"/>
                <w:highlight w:val="none"/>
                <w:u w:val="single" w:color="auto"/>
                <w:lang w:eastAsia="zh-CN"/>
              </w:rPr>
              <w:t>计，则本项目生活用水量为</w:t>
            </w:r>
            <w:r>
              <w:rPr>
                <w:rStyle w:val="136"/>
                <w:rFonts w:hint="default" w:ascii="Times New Roman" w:hAnsi="Times New Roman" w:cs="Times New Roman"/>
                <w:color w:val="auto"/>
                <w:highlight w:val="none"/>
                <w:u w:val="single" w:color="auto"/>
              </w:rPr>
              <w:t>0.63</w:t>
            </w:r>
            <w:r>
              <w:rPr>
                <w:rFonts w:hint="default" w:ascii="Times New Roman" w:hAnsi="Times New Roman" w:cs="Times New Roman"/>
                <w:color w:val="auto"/>
                <w:sz w:val="24"/>
                <w:highlight w:val="none"/>
                <w:u w:val="single" w:color="auto"/>
                <w:lang w:eastAsia="zh-CN"/>
              </w:rPr>
              <w:t>m</w:t>
            </w:r>
            <w:r>
              <w:rPr>
                <w:rFonts w:hint="default" w:ascii="Times New Roman" w:hAnsi="Times New Roman" w:cs="Times New Roman"/>
                <w:color w:val="auto"/>
                <w:sz w:val="24"/>
                <w:highlight w:val="none"/>
                <w:u w:val="single" w:color="auto"/>
                <w:vertAlign w:val="superscript"/>
                <w:lang w:eastAsia="zh-CN"/>
              </w:rPr>
              <w:t>3</w:t>
            </w:r>
            <w:r>
              <w:rPr>
                <w:rFonts w:hint="default" w:ascii="Times New Roman" w:hAnsi="Times New Roman" w:cs="Times New Roman"/>
                <w:color w:val="auto"/>
                <w:sz w:val="24"/>
                <w:highlight w:val="none"/>
                <w:u w:val="single" w:color="auto"/>
                <w:lang w:eastAsia="zh-CN"/>
              </w:rPr>
              <w:t>/d</w:t>
            </w:r>
            <w:r>
              <w:rPr>
                <w:rStyle w:val="136"/>
                <w:rFonts w:hint="default" w:ascii="Times New Roman" w:hAnsi="Times New Roman" w:cs="Times New Roman"/>
                <w:color w:val="auto"/>
                <w:highlight w:val="none"/>
                <w:u w:val="single" w:color="auto"/>
                <w:lang w:eastAsia="zh-CN"/>
              </w:rPr>
              <w:t>（</w:t>
            </w:r>
            <w:r>
              <w:rPr>
                <w:rStyle w:val="136"/>
                <w:rFonts w:hint="default" w:ascii="Times New Roman" w:hAnsi="Times New Roman" w:cs="Times New Roman"/>
                <w:color w:val="auto"/>
                <w:highlight w:val="none"/>
                <w:u w:val="single" w:color="auto"/>
              </w:rPr>
              <w:t>190</w:t>
            </w:r>
            <w:r>
              <w:rPr>
                <w:rFonts w:hint="default" w:ascii="Times New Roman" w:hAnsi="Times New Roman" w:cs="Times New Roman"/>
                <w:color w:val="auto"/>
                <w:sz w:val="24"/>
                <w:highlight w:val="none"/>
                <w:u w:val="single" w:color="auto"/>
                <w:lang w:eastAsia="zh-CN"/>
              </w:rPr>
              <w:t>m</w:t>
            </w:r>
            <w:r>
              <w:rPr>
                <w:rFonts w:hint="default" w:ascii="Times New Roman" w:hAnsi="Times New Roman" w:cs="Times New Roman"/>
                <w:color w:val="auto"/>
                <w:sz w:val="24"/>
                <w:highlight w:val="none"/>
                <w:u w:val="single" w:color="auto"/>
                <w:vertAlign w:val="superscript"/>
                <w:lang w:eastAsia="zh-CN"/>
              </w:rPr>
              <w:t>3</w:t>
            </w:r>
            <w:r>
              <w:rPr>
                <w:rFonts w:hint="default" w:ascii="Times New Roman" w:hAnsi="Times New Roman" w:cs="Times New Roman"/>
                <w:color w:val="auto"/>
                <w:sz w:val="24"/>
                <w:highlight w:val="none"/>
                <w:u w:val="single" w:color="auto"/>
                <w:lang w:eastAsia="zh-CN"/>
              </w:rPr>
              <w:t>/a）。</w:t>
            </w:r>
          </w:p>
          <w:bookmarkEnd w:id="15"/>
          <w:p w14:paraId="035377FE">
            <w:pPr>
              <w:snapToGrid w:val="0"/>
              <w:spacing w:line="360" w:lineRule="auto"/>
              <w:rPr>
                <w:rFonts w:hint="default" w:ascii="Times New Roman" w:hAnsi="Times New Roman" w:cs="Times New Roman"/>
                <w:b/>
                <w:color w:val="auto"/>
                <w:sz w:val="24"/>
                <w:highlight w:val="none"/>
                <w:u w:val="none"/>
              </w:rPr>
            </w:pPr>
            <w:r>
              <w:rPr>
                <w:rFonts w:hint="default" w:ascii="Times New Roman" w:hAnsi="Times New Roman" w:cs="Times New Roman"/>
                <w:b/>
                <w:color w:val="auto"/>
                <w:sz w:val="24"/>
                <w:highlight w:val="none"/>
                <w:u w:val="none"/>
              </w:rPr>
              <w:t>（2）排水工程</w:t>
            </w:r>
          </w:p>
          <w:p w14:paraId="0325C5A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本项目排水采用雨污分流制，初期雨水</w:t>
            </w:r>
            <w:r>
              <w:rPr>
                <w:rFonts w:hint="eastAsia" w:ascii="Times New Roman" w:hAnsi="Times New Roman" w:cs="Times New Roman"/>
                <w:color w:val="auto"/>
                <w:sz w:val="24"/>
                <w:szCs w:val="24"/>
                <w:lang w:val="en-US" w:eastAsia="zh-CN"/>
              </w:rPr>
              <w:t>外排至</w:t>
            </w:r>
            <w:r>
              <w:rPr>
                <w:rFonts w:hint="eastAsia" w:cs="Times New Roman"/>
                <w:color w:val="auto"/>
                <w:sz w:val="24"/>
                <w:szCs w:val="24"/>
                <w:lang w:val="en-US" w:eastAsia="zh-CN"/>
              </w:rPr>
              <w:t>南侧无名水沟</w:t>
            </w:r>
            <w:r>
              <w:rPr>
                <w:rFonts w:hint="default" w:ascii="Times New Roman" w:hAnsi="Times New Roman" w:cs="Times New Roman"/>
                <w:color w:val="auto"/>
                <w:sz w:val="24"/>
                <w:szCs w:val="24"/>
              </w:rPr>
              <w:t>；生活污水</w:t>
            </w:r>
            <w:r>
              <w:rPr>
                <w:rFonts w:hint="default" w:ascii="Times New Roman" w:hAnsi="Times New Roman" w:cs="Times New Roman"/>
                <w:color w:val="auto"/>
                <w:sz w:val="24"/>
                <w:highlight w:val="none"/>
                <w:u w:val="none" w:color="auto"/>
                <w:lang w:eastAsia="zh-CN"/>
              </w:rPr>
              <w:t>排放量以用水量的80%计，则生活污水排放量为</w:t>
            </w:r>
            <w:r>
              <w:rPr>
                <w:rStyle w:val="136"/>
                <w:rFonts w:hint="default" w:ascii="Times New Roman" w:hAnsi="Times New Roman" w:cs="Times New Roman"/>
                <w:color w:val="auto"/>
                <w:highlight w:val="none"/>
                <w:u w:val="none" w:color="auto"/>
              </w:rPr>
              <w:t>0.51</w:t>
            </w:r>
            <w:r>
              <w:rPr>
                <w:rFonts w:hint="default" w:ascii="Times New Roman" w:hAnsi="Times New Roman" w:cs="Times New Roman"/>
                <w:color w:val="auto"/>
                <w:sz w:val="24"/>
                <w:highlight w:val="none"/>
                <w:u w:val="none" w:color="auto"/>
                <w:lang w:eastAsia="zh-CN"/>
              </w:rPr>
              <w:t>m</w:t>
            </w:r>
            <w:r>
              <w:rPr>
                <w:rFonts w:hint="default" w:ascii="Times New Roman" w:hAnsi="Times New Roman" w:cs="Times New Roman"/>
                <w:color w:val="auto"/>
                <w:sz w:val="24"/>
                <w:highlight w:val="none"/>
                <w:u w:val="none" w:color="auto"/>
                <w:vertAlign w:val="superscript"/>
                <w:lang w:eastAsia="zh-CN"/>
              </w:rPr>
              <w:t>3</w:t>
            </w:r>
            <w:r>
              <w:rPr>
                <w:rFonts w:hint="default" w:ascii="Times New Roman" w:hAnsi="Times New Roman" w:cs="Times New Roman"/>
                <w:color w:val="auto"/>
                <w:sz w:val="24"/>
                <w:highlight w:val="none"/>
                <w:u w:val="none" w:color="auto"/>
                <w:lang w:eastAsia="zh-CN"/>
              </w:rPr>
              <w:t>/d（</w:t>
            </w:r>
            <w:r>
              <w:rPr>
                <w:rStyle w:val="136"/>
                <w:rFonts w:hint="default" w:ascii="Times New Roman" w:hAnsi="Times New Roman" w:cs="Times New Roman"/>
                <w:color w:val="auto"/>
                <w:highlight w:val="none"/>
                <w:u w:val="none" w:color="auto"/>
              </w:rPr>
              <w:t>152</w:t>
            </w:r>
            <w:r>
              <w:rPr>
                <w:rFonts w:hint="default" w:ascii="Times New Roman" w:hAnsi="Times New Roman" w:cs="Times New Roman"/>
                <w:color w:val="auto"/>
                <w:sz w:val="24"/>
                <w:highlight w:val="none"/>
                <w:u w:val="none" w:color="auto"/>
                <w:lang w:eastAsia="zh-CN"/>
              </w:rPr>
              <w:t>m</w:t>
            </w:r>
            <w:r>
              <w:rPr>
                <w:rFonts w:hint="default" w:ascii="Times New Roman" w:hAnsi="Times New Roman" w:cs="Times New Roman"/>
                <w:color w:val="auto"/>
                <w:sz w:val="24"/>
                <w:highlight w:val="none"/>
                <w:u w:val="none" w:color="auto"/>
                <w:vertAlign w:val="superscript"/>
                <w:lang w:eastAsia="zh-CN"/>
              </w:rPr>
              <w:t>3</w:t>
            </w:r>
            <w:r>
              <w:rPr>
                <w:rFonts w:hint="default" w:ascii="Times New Roman" w:hAnsi="Times New Roman" w:cs="Times New Roman"/>
                <w:color w:val="auto"/>
                <w:sz w:val="24"/>
                <w:highlight w:val="none"/>
                <w:u w:val="none" w:color="auto"/>
                <w:lang w:eastAsia="zh-CN"/>
              </w:rPr>
              <w:t>/a）</w:t>
            </w:r>
            <w:r>
              <w:rPr>
                <w:rFonts w:hint="eastAsia" w:ascii="Times New Roman" w:hAnsi="Times New Roman" w:cs="Times New Roman"/>
                <w:color w:val="auto"/>
                <w:sz w:val="24"/>
                <w:highlight w:val="none"/>
                <w:u w:val="none" w:color="auto"/>
                <w:lang w:eastAsia="zh-CN"/>
              </w:rPr>
              <w:t>，</w:t>
            </w:r>
            <w:r>
              <w:rPr>
                <w:rFonts w:hint="eastAsia" w:ascii="Times New Roman" w:hAnsi="Times New Roman" w:cs="Times New Roman"/>
                <w:color w:val="auto"/>
                <w:sz w:val="24"/>
                <w:highlight w:val="none"/>
                <w:u w:val="none" w:color="auto"/>
                <w:lang w:val="en-US" w:eastAsia="zh-CN"/>
              </w:rPr>
              <w:t>依托厂区外砖厂办公楼现有</w:t>
            </w:r>
            <w:r>
              <w:rPr>
                <w:rFonts w:hint="default" w:ascii="Times New Roman" w:hAnsi="Times New Roman" w:cs="Times New Roman"/>
                <w:color w:val="auto"/>
                <w:sz w:val="24"/>
                <w:szCs w:val="24"/>
              </w:rPr>
              <w:t>化粪池处理后作农肥</w:t>
            </w:r>
            <w:r>
              <w:rPr>
                <w:rFonts w:hint="eastAsia" w:ascii="Times New Roman" w:hAnsi="Times New Roman" w:cs="Times New Roman"/>
                <w:color w:val="auto"/>
                <w:szCs w:val="24"/>
                <w:u w:val="none"/>
                <w:lang w:eastAsia="zh-CN" w:bidi="ar"/>
              </w:rPr>
              <w:t>。</w:t>
            </w:r>
          </w:p>
          <w:p w14:paraId="4CE7507E">
            <w:pPr>
              <w:adjustRightInd w:val="0"/>
              <w:snapToGrid w:val="0"/>
              <w:spacing w:line="360" w:lineRule="auto"/>
              <w:jc w:val="left"/>
              <w:rPr>
                <w:rFonts w:hint="eastAsia" w:ascii="Times New Roman" w:hAnsi="Times New Roman" w:eastAsia="宋体" w:cs="Times New Roman"/>
                <w:b/>
                <w:color w:val="auto"/>
                <w:sz w:val="24"/>
                <w:highlight w:val="none"/>
                <w:u w:val="none"/>
                <w:lang w:val="en-US" w:eastAsia="zh-CN"/>
              </w:rPr>
            </w:pPr>
            <w:r>
              <w:rPr>
                <w:rFonts w:hint="default" w:ascii="Times New Roman" w:hAnsi="Times New Roman" w:cs="Times New Roman"/>
                <w:b/>
                <w:color w:val="auto"/>
                <w:sz w:val="24"/>
                <w:highlight w:val="none"/>
                <w:u w:val="none"/>
              </w:rPr>
              <w:t>（</w:t>
            </w:r>
            <w:r>
              <w:rPr>
                <w:rFonts w:hint="eastAsia" w:ascii="Times New Roman" w:hAnsi="Times New Roman" w:cs="Times New Roman"/>
                <w:b/>
                <w:color w:val="auto"/>
                <w:sz w:val="24"/>
                <w:highlight w:val="none"/>
                <w:u w:val="none"/>
                <w:lang w:val="en-US" w:eastAsia="zh-CN"/>
              </w:rPr>
              <w:t>3</w:t>
            </w:r>
            <w:r>
              <w:rPr>
                <w:rFonts w:hint="default" w:ascii="Times New Roman" w:hAnsi="Times New Roman" w:cs="Times New Roman"/>
                <w:b/>
                <w:color w:val="auto"/>
                <w:sz w:val="24"/>
                <w:highlight w:val="none"/>
                <w:u w:val="none"/>
              </w:rPr>
              <w:t>）供电</w:t>
            </w:r>
            <w:r>
              <w:rPr>
                <w:rFonts w:hint="eastAsia" w:ascii="Times New Roman" w:hAnsi="Times New Roman" w:cs="Times New Roman"/>
                <w:b/>
                <w:color w:val="auto"/>
                <w:sz w:val="24"/>
                <w:highlight w:val="none"/>
                <w:u w:val="none"/>
                <w:lang w:val="en-US" w:eastAsia="zh-CN"/>
              </w:rPr>
              <w:t>工程</w:t>
            </w:r>
          </w:p>
          <w:p w14:paraId="4ED715E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本项目供电由市政</w:t>
            </w:r>
            <w:r>
              <w:rPr>
                <w:rFonts w:hint="eastAsia" w:ascii="Times New Roman" w:hAnsi="Times New Roman" w:eastAsia="宋体" w:cs="Times New Roman"/>
                <w:color w:val="auto"/>
                <w:sz w:val="24"/>
                <w:szCs w:val="24"/>
                <w:lang w:val="en-US" w:eastAsia="zh-CN"/>
              </w:rPr>
              <w:t>电网</w:t>
            </w:r>
            <w:r>
              <w:rPr>
                <w:rFonts w:hint="default" w:ascii="Times New Roman" w:hAnsi="Times New Roman" w:eastAsia="宋体" w:cs="Times New Roman"/>
                <w:color w:val="auto"/>
                <w:sz w:val="24"/>
                <w:szCs w:val="24"/>
                <w:lang w:val="en-US" w:eastAsia="zh-CN"/>
              </w:rPr>
              <w:t>提供，可满足本项目用电需求。</w:t>
            </w:r>
          </w:p>
          <w:p w14:paraId="7579DE83">
            <w:pPr>
              <w:snapToGrid w:val="0"/>
              <w:spacing w:line="360" w:lineRule="auto"/>
              <w:rPr>
                <w:rFonts w:hint="default" w:ascii="Times New Roman" w:hAnsi="Times New Roman" w:cs="Times New Roman"/>
                <w:b/>
                <w:color w:val="auto"/>
                <w:sz w:val="24"/>
                <w:highlight w:val="none"/>
              </w:rPr>
            </w:pPr>
            <w:r>
              <w:rPr>
                <w:rFonts w:hint="eastAsia" w:cs="Times New Roman"/>
                <w:b/>
                <w:color w:val="auto"/>
                <w:sz w:val="24"/>
                <w:highlight w:val="none"/>
                <w:lang w:val="en-US" w:eastAsia="zh-CN"/>
              </w:rPr>
              <w:t>9</w:t>
            </w:r>
            <w:r>
              <w:rPr>
                <w:rFonts w:hint="default" w:ascii="Times New Roman" w:hAnsi="Times New Roman" w:cs="Times New Roman"/>
                <w:b/>
                <w:color w:val="auto"/>
                <w:sz w:val="24"/>
                <w:highlight w:val="none"/>
              </w:rPr>
              <w:t>、</w:t>
            </w:r>
            <w:r>
              <w:rPr>
                <w:rFonts w:hint="eastAsia" w:cs="Times New Roman"/>
                <w:b/>
                <w:color w:val="auto"/>
                <w:sz w:val="24"/>
                <w:highlight w:val="none"/>
                <w:lang w:val="en-US" w:eastAsia="zh-CN"/>
              </w:rPr>
              <w:t>生产</w:t>
            </w:r>
            <w:r>
              <w:rPr>
                <w:rFonts w:hint="default" w:ascii="Times New Roman" w:hAnsi="Times New Roman" w:cs="Times New Roman"/>
                <w:b/>
                <w:color w:val="auto"/>
                <w:sz w:val="24"/>
                <w:highlight w:val="none"/>
              </w:rPr>
              <w:t>班制及劳动定员：</w:t>
            </w:r>
          </w:p>
          <w:p w14:paraId="41F723A8">
            <w:pPr>
              <w:spacing w:line="360" w:lineRule="auto"/>
              <w:ind w:firstLine="480" w:firstLineChars="200"/>
              <w:rPr>
                <w:rFonts w:hint="eastAsia" w:ascii="Times New Roman" w:hAnsi="Times New Roman" w:cs="Times New Roman"/>
                <w:i w:val="0"/>
                <w:iCs w:val="0"/>
                <w:color w:val="auto"/>
                <w:sz w:val="24"/>
                <w:highlight w:val="none"/>
                <w:u w:val="none"/>
                <w:lang w:eastAsia="zh-CN"/>
              </w:rPr>
            </w:pPr>
            <w:r>
              <w:rPr>
                <w:rFonts w:hint="eastAsia"/>
                <w:color w:val="auto"/>
                <w:sz w:val="24"/>
                <w:lang w:val="en-US" w:eastAsia="zh-CN"/>
              </w:rPr>
              <w:t>变动前后员工</w:t>
            </w:r>
            <w:r>
              <w:rPr>
                <w:rFonts w:hint="default" w:ascii="Times New Roman" w:hAnsi="Times New Roman" w:cs="Times New Roman"/>
                <w:bCs/>
                <w:color w:val="auto"/>
                <w:sz w:val="24"/>
                <w:u w:val="none"/>
                <w:lang w:val="en-US" w:eastAsia="zh-CN"/>
              </w:rPr>
              <w:t>维持原有</w:t>
            </w:r>
            <w:r>
              <w:rPr>
                <w:rFonts w:hint="eastAsia" w:cs="Times New Roman"/>
                <w:bCs/>
                <w:color w:val="auto"/>
                <w:sz w:val="24"/>
                <w:u w:val="none"/>
                <w:lang w:val="en-US" w:eastAsia="zh-CN"/>
              </w:rPr>
              <w:t>5</w:t>
            </w:r>
            <w:r>
              <w:rPr>
                <w:rFonts w:hint="default" w:ascii="Times New Roman" w:hAnsi="Times New Roman" w:cs="Times New Roman"/>
                <w:bCs/>
                <w:color w:val="auto"/>
                <w:sz w:val="24"/>
                <w:u w:val="none"/>
                <w:lang w:val="en-US" w:eastAsia="zh-CN"/>
              </w:rPr>
              <w:t>人配置，企业年生产工作天数为300天</w:t>
            </w:r>
            <w:r>
              <w:rPr>
                <w:rFonts w:hint="eastAsia" w:ascii="Times New Roman" w:hAnsi="Times New Roman" w:cs="Times New Roman"/>
                <w:bCs/>
                <w:color w:val="auto"/>
                <w:sz w:val="24"/>
                <w:u w:val="none"/>
                <w:lang w:val="en-US" w:eastAsia="zh-CN"/>
              </w:rPr>
              <w:t>，</w:t>
            </w:r>
            <w:r>
              <w:rPr>
                <w:rFonts w:hint="eastAsia"/>
                <w:color w:val="auto"/>
                <w:sz w:val="24"/>
                <w:lang w:val="en-US" w:eastAsia="zh-CN"/>
              </w:rPr>
              <w:t>一班制</w:t>
            </w:r>
            <w:r>
              <w:rPr>
                <w:color w:val="auto"/>
                <w:sz w:val="24"/>
              </w:rPr>
              <w:t>8小时</w:t>
            </w:r>
            <w:r>
              <w:rPr>
                <w:rFonts w:hint="eastAsia"/>
                <w:color w:val="auto"/>
                <w:sz w:val="24"/>
                <w:lang w:eastAsia="zh-CN"/>
              </w:rPr>
              <w:t>，</w:t>
            </w:r>
            <w:r>
              <w:rPr>
                <w:rFonts w:hint="eastAsia"/>
                <w:color w:val="auto"/>
                <w:sz w:val="24"/>
                <w:lang w:val="en-US" w:eastAsia="zh-CN"/>
              </w:rPr>
              <w:t>焚烧炉每天运行6小时，</w:t>
            </w:r>
            <w:r>
              <w:rPr>
                <w:rFonts w:hint="default" w:ascii="Times New Roman" w:hAnsi="Times New Roman" w:cs="Times New Roman"/>
                <w:color w:val="auto"/>
                <w:sz w:val="24"/>
                <w:highlight w:val="none"/>
                <w:u w:val="none" w:color="auto"/>
              </w:rPr>
              <w:t>厂区</w:t>
            </w:r>
            <w:r>
              <w:rPr>
                <w:rFonts w:hint="default" w:ascii="Times New Roman" w:hAnsi="Times New Roman" w:cs="Times New Roman"/>
                <w:color w:val="auto"/>
                <w:sz w:val="24"/>
                <w:highlight w:val="none"/>
                <w:u w:val="none" w:color="auto"/>
                <w:lang w:val="en-US" w:eastAsia="zh-CN"/>
              </w:rPr>
              <w:t>不</w:t>
            </w:r>
            <w:r>
              <w:rPr>
                <w:rFonts w:hint="default" w:ascii="Times New Roman" w:hAnsi="Times New Roman" w:cs="Times New Roman"/>
                <w:color w:val="auto"/>
                <w:sz w:val="24"/>
                <w:highlight w:val="none"/>
                <w:u w:val="none" w:color="auto"/>
              </w:rPr>
              <w:t>提供</w:t>
            </w:r>
            <w:r>
              <w:rPr>
                <w:rFonts w:hint="eastAsia" w:ascii="Times New Roman" w:hAnsi="Times New Roman" w:cs="Times New Roman"/>
                <w:color w:val="auto"/>
                <w:sz w:val="24"/>
                <w:highlight w:val="none"/>
                <w:u w:val="none" w:color="auto"/>
                <w:lang w:val="en-US" w:eastAsia="zh-CN"/>
              </w:rPr>
              <w:t>住</w:t>
            </w:r>
            <w:r>
              <w:rPr>
                <w:rFonts w:hint="default" w:ascii="Times New Roman" w:hAnsi="Times New Roman" w:cs="Times New Roman"/>
                <w:color w:val="auto"/>
                <w:sz w:val="24"/>
                <w:highlight w:val="none"/>
                <w:u w:val="none" w:color="auto"/>
              </w:rPr>
              <w:t>宿</w:t>
            </w:r>
            <w:r>
              <w:rPr>
                <w:rFonts w:hint="eastAsia" w:ascii="Times New Roman" w:hAnsi="Times New Roman" w:cs="Times New Roman"/>
                <w:color w:val="auto"/>
                <w:sz w:val="24"/>
                <w:highlight w:val="none"/>
                <w:u w:val="none" w:color="auto"/>
                <w:lang w:eastAsia="zh-CN"/>
              </w:rPr>
              <w:t>，</w:t>
            </w:r>
            <w:r>
              <w:rPr>
                <w:rFonts w:hint="eastAsia"/>
                <w:color w:val="auto"/>
                <w:sz w:val="24"/>
                <w:lang w:val="en-US" w:eastAsia="zh-CN"/>
              </w:rPr>
              <w:t>年工作时间约2400h</w:t>
            </w:r>
            <w:r>
              <w:rPr>
                <w:rFonts w:hint="eastAsia"/>
                <w:color w:val="auto"/>
                <w:sz w:val="24"/>
                <w:lang w:eastAsia="zh-CN"/>
              </w:rPr>
              <w:t>。</w:t>
            </w:r>
          </w:p>
        </w:tc>
      </w:tr>
    </w:tbl>
    <w:p w14:paraId="035E1D2B">
      <w:pPr>
        <w:pStyle w:val="28"/>
        <w:jc w:val="center"/>
        <w:rPr>
          <w:rFonts w:ascii="Times New Roman" w:hAnsi="Times New Roman" w:eastAsia="黑体"/>
          <w:snapToGrid w:val="0"/>
          <w:color w:val="auto"/>
          <w:sz w:val="36"/>
          <w:szCs w:val="36"/>
          <w:highlight w:val="none"/>
        </w:rPr>
        <w:sectPr>
          <w:pgSz w:w="11906" w:h="16838"/>
          <w:pgMar w:top="1134" w:right="1531" w:bottom="1134" w:left="1531" w:header="851" w:footer="850" w:gutter="0"/>
          <w:pgBorders>
            <w:top w:val="none" w:sz="0" w:space="0"/>
            <w:left w:val="none" w:sz="0" w:space="0"/>
            <w:bottom w:val="none" w:sz="0" w:space="0"/>
            <w:right w:val="none" w:sz="0" w:space="0"/>
          </w:pgBorders>
          <w:pgNumType w:fmt="decimal"/>
          <w:cols w:space="720" w:num="1"/>
          <w:docGrid w:linePitch="312" w:charSpace="0"/>
        </w:sectPr>
      </w:pPr>
    </w:p>
    <w:tbl>
      <w:tblPr>
        <w:tblStyle w:val="3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6"/>
        <w:gridCol w:w="8605"/>
      </w:tblGrid>
      <w:tr w14:paraId="6C6EAF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17" w:hRule="atLeast"/>
          <w:jc w:val="center"/>
        </w:trPr>
        <w:tc>
          <w:tcPr>
            <w:tcW w:w="156" w:type="pct"/>
            <w:shd w:val="clear" w:color="auto" w:fill="auto"/>
            <w:noWrap w:val="0"/>
            <w:vAlign w:val="center"/>
          </w:tcPr>
          <w:p w14:paraId="02230CC5">
            <w:pPr>
              <w:pStyle w:val="28"/>
              <w:adjustRightInd w:val="0"/>
              <w:snapToGrid w:val="0"/>
              <w:spacing w:before="0" w:beforeAutospacing="0" w:after="0" w:afterAutospacing="0" w:line="360" w:lineRule="auto"/>
              <w:jc w:val="center"/>
              <w:rPr>
                <w:rFonts w:hint="default" w:ascii="Times New Roman" w:hAnsi="Times New Roman" w:eastAsia="宋体" w:cs="Times New Roman"/>
                <w:color w:val="auto"/>
                <w:kern w:val="0"/>
                <w:sz w:val="21"/>
                <w:szCs w:val="21"/>
                <w:highlight w:val="none"/>
                <w:lang w:val="en-US" w:eastAsia="zh-CN" w:bidi="ar-SA"/>
              </w:rPr>
            </w:pPr>
            <w:bookmarkStart w:id="16" w:name="_Toc6062"/>
            <w:bookmarkStart w:id="17" w:name="_Toc23070_WPSOffice_Level1"/>
            <w:bookmarkStart w:id="18" w:name="_Toc13386"/>
            <w:r>
              <w:rPr>
                <w:rFonts w:hint="default" w:ascii="Times New Roman" w:hAnsi="Times New Roman" w:cs="Times New Roman"/>
                <w:color w:val="auto"/>
                <w:szCs w:val="24"/>
                <w:highlight w:val="none"/>
              </w:rPr>
              <w:t>工艺流程和产排污环节</w:t>
            </w:r>
          </w:p>
        </w:tc>
        <w:tc>
          <w:tcPr>
            <w:tcW w:w="4843" w:type="pct"/>
            <w:noWrap w:val="0"/>
            <w:vAlign w:val="top"/>
          </w:tcPr>
          <w:p w14:paraId="627D0973">
            <w:pPr>
              <w:adjustRightInd w:val="0"/>
              <w:snapToGrid w:val="0"/>
              <w:spacing w:line="360" w:lineRule="auto"/>
              <w:rPr>
                <w:b/>
                <w:bCs/>
                <w:color w:val="auto"/>
                <w:sz w:val="24"/>
              </w:rPr>
            </w:pPr>
            <w:r>
              <w:rPr>
                <w:b/>
                <w:bCs/>
                <w:color w:val="auto"/>
                <w:sz w:val="24"/>
              </w:rPr>
              <w:t>1、施工期工艺流程</w:t>
            </w:r>
          </w:p>
          <w:bookmarkEnd w:id="16"/>
          <w:p w14:paraId="6BC23405">
            <w:pPr>
              <w:spacing w:line="360" w:lineRule="auto"/>
              <w:ind w:firstLine="500" w:firstLineChars="200"/>
              <w:rPr>
                <w:rFonts w:hint="default" w:ascii="Times New Roman" w:hAnsi="Times New Roman" w:eastAsia="宋体" w:cs="Times New Roman"/>
                <w:color w:val="auto"/>
                <w:spacing w:val="5"/>
                <w:sz w:val="24"/>
                <w:szCs w:val="24"/>
                <w:lang w:val="en-US" w:eastAsia="zh-CN"/>
              </w:rPr>
            </w:pPr>
            <w:r>
              <w:rPr>
                <w:rFonts w:hint="default" w:ascii="Times New Roman" w:hAnsi="Times New Roman" w:eastAsia="宋体" w:cs="Times New Roman"/>
                <w:color w:val="auto"/>
                <w:spacing w:val="5"/>
                <w:sz w:val="24"/>
                <w:szCs w:val="24"/>
                <w:lang w:val="en-US" w:eastAsia="zh-CN"/>
              </w:rPr>
              <w:t>本项目租赁已建</w:t>
            </w:r>
            <w:r>
              <w:rPr>
                <w:rFonts w:hint="eastAsia" w:ascii="Times New Roman" w:hAnsi="Times New Roman" w:eastAsia="宋体" w:cs="Times New Roman"/>
                <w:color w:val="auto"/>
                <w:spacing w:val="5"/>
                <w:sz w:val="24"/>
                <w:szCs w:val="24"/>
                <w:lang w:val="en-US" w:eastAsia="zh-CN"/>
              </w:rPr>
              <w:t>钢筋棚</w:t>
            </w:r>
            <w:r>
              <w:rPr>
                <w:rFonts w:hint="default" w:ascii="Times New Roman" w:hAnsi="Times New Roman" w:eastAsia="宋体" w:cs="Times New Roman"/>
                <w:color w:val="auto"/>
                <w:spacing w:val="5"/>
                <w:sz w:val="24"/>
                <w:szCs w:val="24"/>
                <w:lang w:val="en-US" w:eastAsia="zh-CN"/>
              </w:rPr>
              <w:t>厂房，</w:t>
            </w:r>
            <w:r>
              <w:rPr>
                <w:rFonts w:hint="eastAsia" w:cs="Times New Roman"/>
                <w:color w:val="auto"/>
                <w:spacing w:val="5"/>
                <w:sz w:val="24"/>
                <w:szCs w:val="24"/>
                <w:lang w:val="en-US" w:eastAsia="zh-CN"/>
              </w:rPr>
              <w:t>根据现场踏勘，厂房地面未硬化，</w:t>
            </w:r>
            <w:r>
              <w:rPr>
                <w:rFonts w:hint="default" w:ascii="Times New Roman" w:hAnsi="Times New Roman" w:eastAsia="宋体" w:cs="Times New Roman"/>
                <w:color w:val="auto"/>
                <w:spacing w:val="5"/>
                <w:sz w:val="24"/>
                <w:szCs w:val="24"/>
                <w:lang w:val="en-US" w:eastAsia="zh-CN"/>
              </w:rPr>
              <w:t>项目施工</w:t>
            </w:r>
            <w:r>
              <w:rPr>
                <w:rFonts w:hint="eastAsia" w:cs="Times New Roman"/>
                <w:color w:val="auto"/>
                <w:spacing w:val="5"/>
                <w:sz w:val="24"/>
                <w:szCs w:val="24"/>
                <w:lang w:val="en-US" w:eastAsia="zh-CN"/>
              </w:rPr>
              <w:t>内容主要为地面硬化、</w:t>
            </w:r>
            <w:r>
              <w:rPr>
                <w:rFonts w:hint="default" w:ascii="Times New Roman" w:hAnsi="Times New Roman" w:eastAsia="宋体" w:cs="Times New Roman"/>
                <w:color w:val="auto"/>
                <w:spacing w:val="5"/>
                <w:sz w:val="24"/>
                <w:szCs w:val="24"/>
                <w:lang w:val="en-US" w:eastAsia="zh-CN"/>
              </w:rPr>
              <w:t>厂房内部装饰装修、设备就位安装及调试，施工周期短、作业范围局限于厂房内部，且不涉及大规模机械作业</w:t>
            </w:r>
            <w:r>
              <w:rPr>
                <w:rFonts w:hint="eastAsia" w:ascii="Times New Roman" w:hAnsi="Times New Roman" w:eastAsia="宋体" w:cs="Times New Roman"/>
                <w:color w:val="auto"/>
                <w:spacing w:val="5"/>
                <w:sz w:val="24"/>
                <w:szCs w:val="24"/>
                <w:lang w:val="en-US" w:eastAsia="zh-CN"/>
              </w:rPr>
              <w:t>，施工期1个月。</w:t>
            </w:r>
          </w:p>
          <w:p w14:paraId="22959790">
            <w:pPr>
              <w:pStyle w:val="12"/>
              <w:numPr>
                <w:ilvl w:val="0"/>
                <w:numId w:val="4"/>
              </w:numPr>
              <w:rPr>
                <w:rFonts w:hint="default" w:ascii="Times New Roman" w:hAnsi="Times New Roman" w:cs="Times New Roman"/>
                <w:b/>
                <w:bCs/>
                <w:color w:val="auto"/>
                <w:sz w:val="24"/>
                <w:highlight w:val="none"/>
                <w:u w:val="none"/>
              </w:rPr>
            </w:pPr>
            <w:r>
              <w:rPr>
                <w:rFonts w:hint="default" w:ascii="Times New Roman" w:hAnsi="Times New Roman" w:cs="Times New Roman"/>
                <w:b/>
                <w:bCs/>
                <w:color w:val="auto"/>
                <w:sz w:val="24"/>
                <w:highlight w:val="none"/>
                <w:u w:val="none"/>
              </w:rPr>
              <w:t>营运期工艺流程</w:t>
            </w:r>
          </w:p>
          <w:p w14:paraId="1F3C50D5">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bCs/>
                <w:color w:val="auto"/>
                <w:highlight w:val="none"/>
                <w:u w:val="none" w:color="auto"/>
                <w:lang w:val="en-US" w:eastAsia="zh-CN"/>
              </w:rPr>
            </w:pPr>
            <w:r>
              <w:rPr>
                <w:rStyle w:val="136"/>
                <w:rFonts w:hint="eastAsia"/>
                <w:color w:val="auto"/>
                <w:highlight w:val="none"/>
                <w:u w:val="none" w:color="auto"/>
                <w:lang w:val="en-US" w:eastAsia="zh-CN"/>
              </w:rPr>
              <w:t>本项目变动前后工艺不变，</w:t>
            </w:r>
            <w:r>
              <w:rPr>
                <w:rStyle w:val="136"/>
                <w:rFonts w:hint="default"/>
                <w:color w:val="auto"/>
                <w:highlight w:val="none"/>
                <w:u w:val="none" w:color="auto"/>
                <w:lang w:val="en-US" w:eastAsia="zh-CN"/>
              </w:rPr>
              <w:t>流程图如下：</w:t>
            </w:r>
          </w:p>
          <w:p w14:paraId="02C0DE03">
            <w:pPr>
              <w:pStyle w:val="54"/>
              <w:tabs>
                <w:tab w:val="left" w:pos="1021"/>
              </w:tabs>
              <w:bidi w:val="0"/>
              <w:ind w:left="0" w:leftChars="0" w:firstLine="0" w:firstLineChars="0"/>
              <w:jc w:val="center"/>
              <w:rPr>
                <w:rFonts w:hint="eastAsia" w:ascii="Times New Roman" w:hAnsi="Times New Roman" w:eastAsia="宋体" w:cs="Times New Roman"/>
                <w:b/>
                <w:bCs/>
                <w:color w:val="auto"/>
                <w:highlight w:val="none"/>
                <w:u w:val="none" w:color="auto"/>
                <w:lang w:val="en-US" w:eastAsia="zh-CN"/>
              </w:rPr>
            </w:pPr>
            <w:r>
              <w:rPr>
                <w:rFonts w:hint="eastAsia" w:ascii="Times New Roman" w:hAnsi="Times New Roman" w:eastAsia="宋体" w:cs="Times New Roman"/>
                <w:b/>
                <w:bCs/>
                <w:color w:val="auto"/>
                <w:highlight w:val="none"/>
                <w:u w:val="none" w:color="auto"/>
                <w:lang w:val="en-US" w:eastAsia="zh-CN"/>
              </w:rPr>
              <w:drawing>
                <wp:inline distT="0" distB="0" distL="114300" distR="114300">
                  <wp:extent cx="4972050" cy="4822825"/>
                  <wp:effectExtent l="0" t="0" r="0" b="15875"/>
                  <wp:docPr id="61" name="图片 61" descr="未命名文件(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未命名文件(123)"/>
                          <pic:cNvPicPr>
                            <a:picLocks noChangeAspect="1"/>
                          </pic:cNvPicPr>
                        </pic:nvPicPr>
                        <pic:blipFill>
                          <a:blip r:embed="rId10"/>
                          <a:stretch>
                            <a:fillRect/>
                          </a:stretch>
                        </pic:blipFill>
                        <pic:spPr>
                          <a:xfrm>
                            <a:off x="0" y="0"/>
                            <a:ext cx="4972050" cy="4822825"/>
                          </a:xfrm>
                          <a:prstGeom prst="rect">
                            <a:avLst/>
                          </a:prstGeom>
                        </pic:spPr>
                      </pic:pic>
                    </a:graphicData>
                  </a:graphic>
                </wp:inline>
              </w:drawing>
            </w:r>
          </w:p>
          <w:p w14:paraId="051F80AC">
            <w:pPr>
              <w:pStyle w:val="63"/>
              <w:tabs>
                <w:tab w:val="left" w:pos="1021"/>
              </w:tabs>
              <w:bidi w:val="0"/>
              <w:jc w:val="center"/>
              <w:rPr>
                <w:rFonts w:hint="default" w:ascii="Times New Roman" w:hAnsi="Times New Roman"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图2-1   项目工艺流程及产污节点图</w:t>
            </w:r>
          </w:p>
          <w:p w14:paraId="7A2D120D">
            <w:pPr>
              <w:spacing w:line="360" w:lineRule="auto"/>
              <w:ind w:firstLine="500" w:firstLineChars="200"/>
              <w:rPr>
                <w:rFonts w:hint="default" w:ascii="Times New Roman" w:hAnsi="Times New Roman" w:eastAsia="宋体" w:cs="Times New Roman"/>
                <w:color w:val="auto"/>
                <w:spacing w:val="5"/>
                <w:sz w:val="24"/>
                <w:szCs w:val="24"/>
                <w:lang w:val="en-US" w:eastAsia="zh-CN"/>
              </w:rPr>
            </w:pPr>
            <w:r>
              <w:rPr>
                <w:rFonts w:hint="default" w:ascii="Times New Roman" w:hAnsi="Times New Roman" w:eastAsia="宋体" w:cs="Times New Roman"/>
                <w:color w:val="auto"/>
                <w:spacing w:val="5"/>
                <w:sz w:val="24"/>
                <w:szCs w:val="24"/>
                <w:lang w:val="en-US" w:eastAsia="zh-CN"/>
              </w:rPr>
              <w:t>工艺流程说明如下：</w:t>
            </w:r>
          </w:p>
          <w:p w14:paraId="6D1A1AE4">
            <w:pPr>
              <w:spacing w:line="360" w:lineRule="auto"/>
              <w:ind w:firstLine="500" w:firstLineChars="200"/>
              <w:rPr>
                <w:rFonts w:hint="default" w:ascii="Times New Roman" w:hAnsi="Times New Roman" w:eastAsia="宋体" w:cs="Times New Roman"/>
                <w:color w:val="auto"/>
                <w:spacing w:val="5"/>
                <w:sz w:val="24"/>
                <w:szCs w:val="24"/>
                <w:lang w:val="en-US" w:eastAsia="zh-CN"/>
              </w:rPr>
            </w:pPr>
            <w:r>
              <w:rPr>
                <w:rFonts w:hint="default" w:ascii="Times New Roman" w:hAnsi="Times New Roman" w:eastAsia="宋体" w:cs="Times New Roman"/>
                <w:color w:val="auto"/>
                <w:spacing w:val="5"/>
                <w:sz w:val="24"/>
                <w:szCs w:val="24"/>
                <w:lang w:val="en-US" w:eastAsia="zh-CN"/>
              </w:rPr>
              <w:t>（1）登记送检：报废钢瓶由专用运输车辆运送至厂区后，首先开展称重作业，同步完成信息登记、建立专属处置档案。工作人员对钢瓶开展初步外观检查，核对钢瓶相关参数、使用信息等内容，严格核验钢瓶资质与状态，确认其符合合规报废标准、纳入报废处置范围，完成后续工序前置准备工作。</w:t>
            </w:r>
          </w:p>
          <w:p w14:paraId="79CA2EBB">
            <w:pPr>
              <w:spacing w:line="360" w:lineRule="auto"/>
              <w:ind w:firstLine="500" w:firstLineChars="200"/>
              <w:rPr>
                <w:rFonts w:hint="default" w:ascii="Times New Roman" w:hAnsi="Times New Roman" w:eastAsia="宋体" w:cs="Times New Roman"/>
                <w:color w:val="auto"/>
                <w:spacing w:val="5"/>
                <w:sz w:val="24"/>
                <w:szCs w:val="24"/>
                <w:lang w:val="en-US" w:eastAsia="zh-CN"/>
              </w:rPr>
            </w:pPr>
            <w:r>
              <w:rPr>
                <w:rFonts w:hint="default" w:ascii="Times New Roman" w:hAnsi="Times New Roman" w:eastAsia="宋体" w:cs="Times New Roman"/>
                <w:color w:val="auto"/>
                <w:spacing w:val="5"/>
                <w:sz w:val="24"/>
                <w:szCs w:val="24"/>
                <w:lang w:val="en-US" w:eastAsia="zh-CN"/>
              </w:rPr>
              <w:t>（2）抽残液：对登记核验完成的报废钢瓶，采用专用抽残装置抽取瓶内残留气体与残液。</w:t>
            </w:r>
            <w:r>
              <w:rPr>
                <w:rFonts w:ascii="宋体" w:hAnsi="宋体" w:eastAsia="宋体" w:cs="宋体"/>
                <w:color w:val="auto"/>
                <w:sz w:val="24"/>
                <w:szCs w:val="24"/>
                <w:u w:val="single"/>
              </w:rPr>
              <w:t>抽残整套是负压密闭成套设备，钢瓶对接密封接头后抽残，残液进</w:t>
            </w:r>
            <w:r>
              <w:rPr>
                <w:rFonts w:hint="eastAsia" w:ascii="宋体" w:hAnsi="宋体" w:eastAsia="宋体" w:cs="宋体"/>
                <w:color w:val="auto"/>
                <w:sz w:val="24"/>
                <w:szCs w:val="24"/>
                <w:u w:val="single"/>
                <w:lang w:val="en-US" w:eastAsia="zh-CN"/>
              </w:rPr>
              <w:t>0.6</w:t>
            </w:r>
            <w:r>
              <w:rPr>
                <w:rFonts w:ascii="宋体" w:hAnsi="宋体" w:eastAsia="宋体" w:cs="宋体"/>
                <w:color w:val="auto"/>
                <w:sz w:val="24"/>
                <w:szCs w:val="24"/>
                <w:u w:val="single"/>
              </w:rPr>
              <w:t>m³密闭</w:t>
            </w:r>
            <w:r>
              <w:rPr>
                <w:rFonts w:hint="eastAsia" w:ascii="宋体" w:hAnsi="宋体" w:eastAsia="宋体" w:cs="宋体"/>
                <w:color w:val="auto"/>
                <w:sz w:val="24"/>
                <w:szCs w:val="24"/>
                <w:u w:val="single"/>
                <w:lang w:val="en-US" w:eastAsia="zh-CN"/>
              </w:rPr>
              <w:t>残液</w:t>
            </w:r>
            <w:r>
              <w:rPr>
                <w:rFonts w:ascii="宋体" w:hAnsi="宋体" w:eastAsia="宋体" w:cs="宋体"/>
                <w:color w:val="auto"/>
                <w:sz w:val="24"/>
                <w:szCs w:val="24"/>
                <w:u w:val="single"/>
              </w:rPr>
              <w:t>回收罐，不长期囤料，残液全部</w:t>
            </w:r>
            <w:r>
              <w:rPr>
                <w:rFonts w:hint="eastAsia" w:ascii="宋体" w:hAnsi="宋体" w:eastAsia="宋体" w:cs="宋体"/>
                <w:color w:val="auto"/>
                <w:sz w:val="24"/>
                <w:szCs w:val="24"/>
                <w:u w:val="single"/>
                <w:lang w:val="en-US" w:eastAsia="zh-CN"/>
              </w:rPr>
              <w:t>由</w:t>
            </w:r>
            <w:r>
              <w:rPr>
                <w:rFonts w:ascii="宋体" w:hAnsi="宋体" w:eastAsia="宋体" w:cs="宋体"/>
                <w:color w:val="auto"/>
                <w:sz w:val="24"/>
                <w:szCs w:val="24"/>
                <w:u w:val="single"/>
              </w:rPr>
              <w:t>管道送焚烧炉</w:t>
            </w:r>
            <w:r>
              <w:rPr>
                <w:rFonts w:hint="default" w:ascii="Times New Roman" w:hAnsi="Times New Roman" w:eastAsia="宋体" w:cs="Times New Roman"/>
                <w:color w:val="auto"/>
                <w:spacing w:val="5"/>
                <w:sz w:val="24"/>
                <w:szCs w:val="24"/>
                <w:u w:val="single"/>
                <w:lang w:val="en-US" w:eastAsia="zh-CN"/>
              </w:rPr>
              <w:t>作为后续焚烧工序的辅助燃料，实现资源回收利用。</w:t>
            </w:r>
            <w:r>
              <w:rPr>
                <w:rFonts w:hint="default" w:ascii="Times New Roman" w:hAnsi="Times New Roman" w:eastAsia="宋体" w:cs="Times New Roman"/>
                <w:color w:val="auto"/>
                <w:spacing w:val="5"/>
                <w:sz w:val="24"/>
                <w:szCs w:val="24"/>
                <w:lang w:val="en-US" w:eastAsia="zh-CN"/>
              </w:rPr>
              <w:t>残液抽取作业完成后，清空残液的钢瓶流转至下一工序。本工序主要产生的污染物为作业过程中逸散的废气及设备运行产生的噪声。</w:t>
            </w:r>
          </w:p>
          <w:p w14:paraId="0C6BD303">
            <w:pPr>
              <w:spacing w:line="360" w:lineRule="auto"/>
              <w:ind w:firstLine="500" w:firstLineChars="200"/>
              <w:rPr>
                <w:rFonts w:hint="default" w:ascii="Times New Roman" w:hAnsi="Times New Roman" w:eastAsia="宋体" w:cs="Times New Roman"/>
                <w:color w:val="auto"/>
                <w:spacing w:val="5"/>
                <w:sz w:val="24"/>
                <w:szCs w:val="24"/>
                <w:lang w:val="en-US" w:eastAsia="zh-CN"/>
              </w:rPr>
            </w:pPr>
            <w:r>
              <w:rPr>
                <w:rFonts w:hint="default" w:ascii="Times New Roman" w:hAnsi="Times New Roman" w:eastAsia="宋体" w:cs="Times New Roman"/>
                <w:color w:val="auto"/>
                <w:spacing w:val="5"/>
                <w:sz w:val="24"/>
                <w:szCs w:val="24"/>
                <w:lang w:val="en-US" w:eastAsia="zh-CN"/>
              </w:rPr>
              <w:t>（3）拆卸瓶阀：确认钢瓶内部残液、残气完全抽取干净后，工作人员使用专用防爆工具，对钢瓶瓶阀进行强制拆卸作业，全程遵守防爆、安全操作规范。拆卸下来的瓶阀需单独分类收集、专项存放，确保流转至下一工序的钢瓶主体无任何附加零部件，保障后续处置作业顺利开展。本工序主要污染物为少量残留废气、废弃瓶阀固体废物及设备作业产生的噪声。</w:t>
            </w:r>
          </w:p>
          <w:p w14:paraId="066A7AF0">
            <w:pPr>
              <w:spacing w:line="360" w:lineRule="auto"/>
              <w:ind w:firstLine="500" w:firstLineChars="200"/>
              <w:rPr>
                <w:rFonts w:hint="default" w:ascii="Times New Roman" w:hAnsi="Times New Roman" w:eastAsia="宋体" w:cs="Times New Roman"/>
                <w:color w:val="auto"/>
                <w:spacing w:val="5"/>
                <w:sz w:val="24"/>
                <w:szCs w:val="24"/>
                <w:u w:val="single"/>
                <w:lang w:val="en-US" w:eastAsia="zh-CN"/>
              </w:rPr>
            </w:pPr>
            <w:r>
              <w:rPr>
                <w:rFonts w:hint="default" w:ascii="Times New Roman" w:hAnsi="Times New Roman" w:eastAsia="宋体" w:cs="Times New Roman"/>
                <w:color w:val="auto"/>
                <w:spacing w:val="5"/>
                <w:sz w:val="24"/>
                <w:szCs w:val="24"/>
                <w:u w:val="single"/>
                <w:lang w:val="en-US" w:eastAsia="zh-CN"/>
              </w:rPr>
              <w:t>（4）焚烧：为彻底清除钢瓶内壁残留杂质、油污及外表面涂层，需对已完成瓶阀拆卸的钢瓶实施高温焚烧预处理</w:t>
            </w:r>
            <w:r>
              <w:rPr>
                <w:rFonts w:hint="eastAsia" w:cs="Times New Roman"/>
                <w:color w:val="auto"/>
                <w:spacing w:val="5"/>
                <w:sz w:val="24"/>
                <w:szCs w:val="24"/>
                <w:u w:val="single"/>
                <w:lang w:val="en-US" w:eastAsia="zh-CN"/>
              </w:rPr>
              <w:t>，项目配套2台焚烧炉并排布置、共用一条烟气收集主通道，两台焚烧炉对开同步运行，焚烧工序每日作业时长 6h</w:t>
            </w:r>
            <w:r>
              <w:rPr>
                <w:rFonts w:hint="default" w:ascii="Times New Roman" w:hAnsi="Times New Roman" w:eastAsia="宋体" w:cs="Times New Roman"/>
                <w:color w:val="auto"/>
                <w:spacing w:val="5"/>
                <w:sz w:val="24"/>
                <w:szCs w:val="24"/>
                <w:u w:val="single"/>
                <w:lang w:val="en-US" w:eastAsia="zh-CN"/>
              </w:rPr>
              <w:t>，</w:t>
            </w:r>
            <w:r>
              <w:rPr>
                <w:rFonts w:hint="eastAsia" w:cs="Times New Roman"/>
                <w:color w:val="auto"/>
                <w:spacing w:val="5"/>
                <w:sz w:val="24"/>
                <w:szCs w:val="24"/>
                <w:u w:val="single"/>
                <w:lang w:val="en-US" w:eastAsia="zh-CN"/>
              </w:rPr>
              <w:t>燃烧过程</w:t>
            </w:r>
            <w:r>
              <w:rPr>
                <w:rFonts w:hint="default" w:ascii="Times New Roman" w:hAnsi="Times New Roman" w:eastAsia="宋体" w:cs="Times New Roman"/>
                <w:color w:val="auto"/>
                <w:spacing w:val="5"/>
                <w:sz w:val="24"/>
                <w:szCs w:val="24"/>
                <w:u w:val="single"/>
                <w:lang w:val="en-US" w:eastAsia="zh-CN"/>
              </w:rPr>
              <w:t>通过焚烧炉预设的三个专属进料口同步进料燃烧，其中包含两个生物质颗粒进料口、一个残液进料口，保障燃料混合均匀、燃烧充分。</w:t>
            </w:r>
          </w:p>
          <w:p w14:paraId="02776A37">
            <w:pPr>
              <w:spacing w:line="360" w:lineRule="auto"/>
              <w:ind w:firstLine="500" w:firstLineChars="200"/>
              <w:rPr>
                <w:rFonts w:hint="default" w:ascii="Times New Roman" w:hAnsi="Times New Roman" w:eastAsia="宋体" w:cs="Times New Roman"/>
                <w:color w:val="auto"/>
                <w:spacing w:val="5"/>
                <w:sz w:val="24"/>
                <w:szCs w:val="24"/>
                <w:u w:val="single"/>
                <w:lang w:val="en-US" w:eastAsia="zh-CN"/>
              </w:rPr>
            </w:pPr>
            <w:r>
              <w:rPr>
                <w:rFonts w:hint="default" w:ascii="Times New Roman" w:hAnsi="Times New Roman" w:eastAsia="宋体" w:cs="Times New Roman"/>
                <w:color w:val="auto"/>
                <w:spacing w:val="5"/>
                <w:sz w:val="24"/>
                <w:szCs w:val="24"/>
                <w:u w:val="single"/>
                <w:lang w:val="en-US" w:eastAsia="zh-CN"/>
              </w:rPr>
              <w:t>焚烧过程中严格管控炉内温度，恒定维持在400℃~650℃区间，保证钢瓶整体均匀受热，持续焚烧时长为4分钟。在该恒温工况下，</w:t>
            </w:r>
            <w:r>
              <w:rPr>
                <w:rFonts w:hint="eastAsia" w:cs="Times New Roman"/>
                <w:color w:val="auto"/>
                <w:spacing w:val="5"/>
                <w:sz w:val="24"/>
                <w:szCs w:val="24"/>
                <w:u w:val="single"/>
                <w:lang w:val="en-US" w:eastAsia="zh-CN"/>
              </w:rPr>
              <w:t>可</w:t>
            </w:r>
            <w:r>
              <w:rPr>
                <w:rFonts w:hint="default" w:ascii="Times New Roman" w:hAnsi="Times New Roman" w:eastAsia="宋体" w:cs="Times New Roman"/>
                <w:color w:val="auto"/>
                <w:spacing w:val="5"/>
                <w:sz w:val="24"/>
                <w:szCs w:val="24"/>
                <w:u w:val="single"/>
                <w:lang w:val="en-US" w:eastAsia="zh-CN"/>
              </w:rPr>
              <w:t>彻底去除钢瓶内外附着污染物。本工序核心污染物为焚烧作业产生的废气。</w:t>
            </w:r>
          </w:p>
          <w:p w14:paraId="0F1D80CB">
            <w:pPr>
              <w:spacing w:line="360" w:lineRule="auto"/>
              <w:ind w:firstLine="500" w:firstLineChars="200"/>
              <w:rPr>
                <w:rFonts w:hint="default" w:ascii="Times New Roman" w:hAnsi="Times New Roman" w:eastAsia="宋体" w:cs="Times New Roman"/>
                <w:color w:val="auto"/>
                <w:spacing w:val="5"/>
                <w:sz w:val="24"/>
                <w:szCs w:val="24"/>
                <w:u w:val="single"/>
                <w:lang w:val="en-US" w:eastAsia="zh-CN"/>
              </w:rPr>
            </w:pPr>
            <w:r>
              <w:rPr>
                <w:rFonts w:hint="default" w:ascii="Times New Roman" w:hAnsi="Times New Roman" w:eastAsia="宋体" w:cs="Times New Roman"/>
                <w:color w:val="auto"/>
                <w:spacing w:val="5"/>
                <w:sz w:val="24"/>
                <w:szCs w:val="24"/>
                <w:u w:val="single"/>
                <w:lang w:val="en-US" w:eastAsia="zh-CN"/>
              </w:rPr>
              <w:t>（5）压扁：待钢瓶高温焚烧作业完成</w:t>
            </w:r>
            <w:r>
              <w:rPr>
                <w:rFonts w:hint="eastAsia" w:cs="Times New Roman"/>
                <w:color w:val="auto"/>
                <w:spacing w:val="5"/>
                <w:sz w:val="24"/>
                <w:szCs w:val="24"/>
                <w:u w:val="single"/>
                <w:lang w:val="en-US" w:eastAsia="zh-CN"/>
              </w:rPr>
              <w:t>后，通过150m长的链条输送至</w:t>
            </w:r>
            <w:r>
              <w:rPr>
                <w:rFonts w:hint="default" w:ascii="Times New Roman" w:hAnsi="Times New Roman" w:eastAsia="宋体" w:cs="Times New Roman"/>
                <w:color w:val="auto"/>
                <w:spacing w:val="5"/>
                <w:sz w:val="24"/>
                <w:szCs w:val="24"/>
                <w:u w:val="single"/>
                <w:lang w:val="en-US" w:eastAsia="zh-CN"/>
              </w:rPr>
              <w:t>裁剪机</w:t>
            </w:r>
            <w:r>
              <w:rPr>
                <w:rFonts w:hint="eastAsia" w:cs="Times New Roman"/>
                <w:color w:val="auto"/>
                <w:spacing w:val="5"/>
                <w:sz w:val="24"/>
                <w:szCs w:val="24"/>
                <w:u w:val="single"/>
                <w:lang w:val="en-US" w:eastAsia="zh-CN"/>
              </w:rPr>
              <w:t>区域</w:t>
            </w:r>
            <w:r>
              <w:rPr>
                <w:rFonts w:hint="default" w:ascii="Times New Roman" w:hAnsi="Times New Roman" w:eastAsia="宋体" w:cs="Times New Roman"/>
                <w:color w:val="auto"/>
                <w:spacing w:val="5"/>
                <w:sz w:val="24"/>
                <w:szCs w:val="24"/>
                <w:u w:val="single"/>
                <w:lang w:val="en-US" w:eastAsia="zh-CN"/>
              </w:rPr>
              <w:t>，采用液压一体化裁剪机对钢瓶整体进行压扁压实处理，完成报废钢瓶的形体拆解处置，最终得到规整的废钢材料，便于后续回收处置与转运。</w:t>
            </w:r>
          </w:p>
          <w:p w14:paraId="427E2FFF">
            <w:pPr>
              <w:spacing w:line="360" w:lineRule="auto"/>
              <w:ind w:firstLine="500" w:firstLineChars="200"/>
              <w:rPr>
                <w:rFonts w:hint="default" w:ascii="Times New Roman" w:hAnsi="Times New Roman" w:eastAsia="宋体" w:cs="Times New Roman"/>
                <w:color w:val="auto"/>
                <w:spacing w:val="5"/>
                <w:sz w:val="24"/>
                <w:szCs w:val="24"/>
                <w:lang w:val="en-US" w:eastAsia="zh-CN"/>
              </w:rPr>
            </w:pPr>
            <w:r>
              <w:rPr>
                <w:rFonts w:hint="default" w:ascii="Times New Roman" w:hAnsi="Times New Roman" w:eastAsia="宋体" w:cs="Times New Roman"/>
                <w:color w:val="auto"/>
                <w:spacing w:val="5"/>
                <w:sz w:val="24"/>
                <w:szCs w:val="24"/>
                <w:lang w:val="en-US" w:eastAsia="zh-CN"/>
              </w:rPr>
              <w:t>根据运营期生产工艺分析，项目产污环节情况具体见下表：</w:t>
            </w:r>
          </w:p>
          <w:p w14:paraId="31A1DD9E">
            <w:pPr>
              <w:pStyle w:val="63"/>
              <w:tabs>
                <w:tab w:val="left" w:pos="1021"/>
              </w:tabs>
              <w:bidi w:val="0"/>
              <w:jc w:val="center"/>
              <w:rPr>
                <w:rFonts w:hint="default" w:ascii="Times New Roman" w:hAnsi="Times New Roman" w:cs="Times New Roman"/>
                <w:color w:val="auto"/>
                <w:highlight w:val="none"/>
                <w:u w:val="none" w:color="auto"/>
              </w:rPr>
            </w:pPr>
            <w:r>
              <w:rPr>
                <w:rFonts w:hint="default" w:ascii="Times New Roman" w:hAnsi="Times New Roman" w:cs="Times New Roman"/>
                <w:b/>
                <w:bCs/>
                <w:color w:val="auto"/>
                <w:highlight w:val="none"/>
                <w:u w:val="none" w:color="auto"/>
              </w:rPr>
              <w:t>表</w:t>
            </w:r>
            <w:r>
              <w:rPr>
                <w:rFonts w:hint="default" w:ascii="Times New Roman" w:hAnsi="Times New Roman" w:cs="Times New Roman"/>
                <w:b/>
                <w:bCs/>
                <w:color w:val="auto"/>
                <w:highlight w:val="none"/>
                <w:u w:val="none" w:color="auto"/>
                <w:lang w:val="en-US" w:eastAsia="zh-CN"/>
              </w:rPr>
              <w:t xml:space="preserve">2-7   </w:t>
            </w:r>
            <w:r>
              <w:rPr>
                <w:rFonts w:hint="default" w:ascii="Times New Roman" w:hAnsi="Times New Roman" w:cs="Times New Roman"/>
                <w:b/>
                <w:bCs/>
                <w:color w:val="auto"/>
                <w:highlight w:val="none"/>
                <w:u w:val="none" w:color="auto"/>
              </w:rPr>
              <w:t>项目运营期主要产污环节一览表</w:t>
            </w:r>
          </w:p>
          <w:tbl>
            <w:tblPr>
              <w:tblStyle w:val="12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425"/>
              <w:gridCol w:w="443"/>
              <w:gridCol w:w="570"/>
              <w:gridCol w:w="1424"/>
              <w:gridCol w:w="1622"/>
              <w:gridCol w:w="1936"/>
              <w:gridCol w:w="1936"/>
            </w:tblGrid>
            <w:tr w14:paraId="655F55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254" w:type="pct"/>
                  <w:tcBorders>
                    <w:tl2br w:val="nil"/>
                    <w:tr2bl w:val="nil"/>
                  </w:tcBorders>
                  <w:noWrap w:val="0"/>
                  <w:vAlign w:val="center"/>
                </w:tcPr>
                <w:p w14:paraId="217196D5">
                  <w:pPr>
                    <w:pStyle w:val="114"/>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spacing w:val="6"/>
                      <w:sz w:val="21"/>
                      <w:szCs w:val="21"/>
                      <w:highlight w:val="none"/>
                      <w:u w:val="none" w:color="auto"/>
                    </w:rPr>
                    <w:t>类别</w:t>
                  </w:r>
                </w:p>
              </w:tc>
              <w:tc>
                <w:tcPr>
                  <w:tcW w:w="606" w:type="pct"/>
                  <w:gridSpan w:val="2"/>
                  <w:tcBorders>
                    <w:tl2br w:val="nil"/>
                    <w:tr2bl w:val="nil"/>
                  </w:tcBorders>
                  <w:noWrap w:val="0"/>
                  <w:vAlign w:val="center"/>
                </w:tcPr>
                <w:p w14:paraId="25815589">
                  <w:pPr>
                    <w:pStyle w:val="114"/>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spacing w:val="8"/>
                      <w:sz w:val="21"/>
                      <w:szCs w:val="21"/>
                      <w:highlight w:val="none"/>
                      <w:u w:val="none" w:color="auto"/>
                    </w:rPr>
                    <w:t>产生环节</w:t>
                  </w:r>
                </w:p>
              </w:tc>
              <w:tc>
                <w:tcPr>
                  <w:tcW w:w="852" w:type="pct"/>
                  <w:tcBorders>
                    <w:tl2br w:val="nil"/>
                    <w:tr2bl w:val="nil"/>
                  </w:tcBorders>
                  <w:noWrap w:val="0"/>
                  <w:vAlign w:val="center"/>
                </w:tcPr>
                <w:p w14:paraId="210D95FA">
                  <w:pPr>
                    <w:pStyle w:val="114"/>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spacing w:val="8"/>
                      <w:sz w:val="21"/>
                      <w:szCs w:val="21"/>
                      <w:highlight w:val="none"/>
                      <w:u w:val="none" w:color="auto"/>
                    </w:rPr>
                    <w:t>污染因子</w:t>
                  </w:r>
                </w:p>
              </w:tc>
              <w:tc>
                <w:tcPr>
                  <w:tcW w:w="970" w:type="pct"/>
                  <w:tcBorders>
                    <w:tl2br w:val="nil"/>
                    <w:tr2bl w:val="nil"/>
                  </w:tcBorders>
                  <w:noWrap w:val="0"/>
                  <w:vAlign w:val="center"/>
                </w:tcPr>
                <w:p w14:paraId="55683666">
                  <w:pPr>
                    <w:pStyle w:val="114"/>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auto"/>
                      <w:sz w:val="21"/>
                      <w:szCs w:val="21"/>
                      <w:highlight w:val="none"/>
                      <w:u w:val="none" w:color="auto"/>
                    </w:rPr>
                  </w:pPr>
                  <w:r>
                    <w:rPr>
                      <w:rFonts w:hint="eastAsia" w:ascii="Times New Roman" w:hAnsi="Times New Roman" w:cs="Times New Roman"/>
                      <w:b/>
                      <w:bCs/>
                      <w:color w:val="auto"/>
                      <w:spacing w:val="9"/>
                      <w:sz w:val="21"/>
                      <w:szCs w:val="21"/>
                      <w:highlight w:val="none"/>
                      <w:u w:val="none" w:color="auto"/>
                      <w:lang w:val="en-US" w:eastAsia="zh-CN"/>
                    </w:rPr>
                    <w:t>变动前处理</w:t>
                  </w:r>
                  <w:r>
                    <w:rPr>
                      <w:rFonts w:hint="default" w:ascii="Times New Roman" w:hAnsi="Times New Roman" w:eastAsia="宋体" w:cs="Times New Roman"/>
                      <w:b/>
                      <w:bCs/>
                      <w:color w:val="auto"/>
                      <w:spacing w:val="9"/>
                      <w:sz w:val="21"/>
                      <w:szCs w:val="21"/>
                      <w:highlight w:val="none"/>
                      <w:u w:val="none" w:color="auto"/>
                    </w:rPr>
                    <w:t>措施</w:t>
                  </w:r>
                </w:p>
              </w:tc>
              <w:tc>
                <w:tcPr>
                  <w:tcW w:w="1158" w:type="pct"/>
                  <w:tcBorders>
                    <w:tl2br w:val="nil"/>
                    <w:tr2bl w:val="nil"/>
                  </w:tcBorders>
                  <w:noWrap w:val="0"/>
                  <w:vAlign w:val="center"/>
                </w:tcPr>
                <w:p w14:paraId="06792C23">
                  <w:pPr>
                    <w:pStyle w:val="114"/>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auto"/>
                      <w:spacing w:val="9"/>
                      <w:sz w:val="21"/>
                      <w:szCs w:val="21"/>
                      <w:highlight w:val="none"/>
                      <w:u w:val="none" w:color="auto"/>
                    </w:rPr>
                  </w:pPr>
                  <w:r>
                    <w:rPr>
                      <w:rFonts w:hint="eastAsia" w:ascii="Times New Roman" w:hAnsi="Times New Roman" w:cs="Times New Roman"/>
                      <w:b/>
                      <w:bCs/>
                      <w:color w:val="auto"/>
                      <w:spacing w:val="9"/>
                      <w:sz w:val="21"/>
                      <w:szCs w:val="21"/>
                      <w:highlight w:val="none"/>
                      <w:u w:val="none" w:color="auto"/>
                      <w:lang w:val="en-US" w:eastAsia="zh-CN"/>
                    </w:rPr>
                    <w:t>变动后处理</w:t>
                  </w:r>
                  <w:r>
                    <w:rPr>
                      <w:rFonts w:hint="default" w:ascii="Times New Roman" w:hAnsi="Times New Roman" w:eastAsia="宋体" w:cs="Times New Roman"/>
                      <w:b/>
                      <w:bCs/>
                      <w:color w:val="auto"/>
                      <w:spacing w:val="9"/>
                      <w:sz w:val="21"/>
                      <w:szCs w:val="21"/>
                      <w:highlight w:val="none"/>
                      <w:u w:val="none" w:color="auto"/>
                    </w:rPr>
                    <w:t>措施</w:t>
                  </w:r>
                </w:p>
              </w:tc>
              <w:tc>
                <w:tcPr>
                  <w:tcW w:w="1158" w:type="pct"/>
                  <w:tcBorders>
                    <w:tl2br w:val="nil"/>
                    <w:tr2bl w:val="nil"/>
                  </w:tcBorders>
                  <w:noWrap w:val="0"/>
                  <w:vAlign w:val="center"/>
                </w:tcPr>
                <w:p w14:paraId="7E5CB86B">
                  <w:pPr>
                    <w:pStyle w:val="114"/>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cs="Times New Roman"/>
                      <w:b/>
                      <w:bCs/>
                      <w:color w:val="auto"/>
                      <w:spacing w:val="9"/>
                      <w:sz w:val="21"/>
                      <w:szCs w:val="21"/>
                      <w:highlight w:val="none"/>
                      <w:u w:val="none" w:color="auto"/>
                      <w:lang w:val="en-US" w:eastAsia="zh-CN"/>
                    </w:rPr>
                  </w:pPr>
                  <w:r>
                    <w:rPr>
                      <w:rFonts w:hint="eastAsia" w:ascii="Times New Roman" w:hAnsi="Times New Roman" w:cs="Times New Roman"/>
                      <w:b/>
                      <w:bCs/>
                      <w:color w:val="auto"/>
                      <w:spacing w:val="9"/>
                      <w:sz w:val="21"/>
                      <w:szCs w:val="21"/>
                      <w:highlight w:val="none"/>
                      <w:u w:val="none" w:color="auto"/>
                      <w:lang w:val="en-US" w:eastAsia="zh-CN"/>
                    </w:rPr>
                    <w:t>备注</w:t>
                  </w:r>
                </w:p>
              </w:tc>
            </w:tr>
            <w:tr w14:paraId="291F70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54" w:type="pct"/>
                  <w:vMerge w:val="restart"/>
                  <w:tcBorders>
                    <w:tl2br w:val="nil"/>
                    <w:tr2bl w:val="nil"/>
                  </w:tcBorders>
                  <w:noWrap w:val="0"/>
                  <w:vAlign w:val="center"/>
                </w:tcPr>
                <w:p w14:paraId="50E5D631">
                  <w:pPr>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废气</w:t>
                  </w:r>
                </w:p>
              </w:tc>
              <w:tc>
                <w:tcPr>
                  <w:tcW w:w="606" w:type="pct"/>
                  <w:gridSpan w:val="2"/>
                  <w:tcBorders>
                    <w:tl2br w:val="nil"/>
                    <w:tr2bl w:val="nil"/>
                  </w:tcBorders>
                  <w:noWrap w:val="0"/>
                  <w:vAlign w:val="center"/>
                </w:tcPr>
                <w:p w14:paraId="20D8FA12">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抽残</w:t>
                  </w:r>
                  <w:r>
                    <w:rPr>
                      <w:rFonts w:hint="eastAsia" w:ascii="Times New Roman" w:hAnsi="Times New Roman" w:eastAsia="宋体" w:cs="Times New Roman"/>
                      <w:color w:val="auto"/>
                      <w:sz w:val="21"/>
                      <w:szCs w:val="21"/>
                      <w:highlight w:val="none"/>
                      <w:u w:val="none" w:color="auto"/>
                      <w:lang w:val="en-US" w:eastAsia="zh-CN"/>
                    </w:rPr>
                    <w:t>液</w:t>
                  </w:r>
                </w:p>
              </w:tc>
              <w:tc>
                <w:tcPr>
                  <w:tcW w:w="852" w:type="pct"/>
                  <w:tcBorders>
                    <w:tl2br w:val="nil"/>
                    <w:tr2bl w:val="nil"/>
                  </w:tcBorders>
                  <w:noWrap w:val="0"/>
                  <w:vAlign w:val="center"/>
                </w:tcPr>
                <w:p w14:paraId="061B3428">
                  <w:pPr>
                    <w:pStyle w:val="114"/>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cs="Times New Roman"/>
                      <w:color w:val="auto"/>
                      <w:spacing w:val="8"/>
                      <w:sz w:val="21"/>
                      <w:szCs w:val="21"/>
                      <w:highlight w:val="none"/>
                      <w:u w:val="none" w:color="auto"/>
                      <w:lang w:val="en-US" w:eastAsia="zh-CN"/>
                    </w:rPr>
                  </w:pPr>
                  <w:r>
                    <w:rPr>
                      <w:rFonts w:hint="eastAsia" w:ascii="Times New Roman" w:hAnsi="Times New Roman" w:cs="Times New Roman"/>
                      <w:color w:val="auto"/>
                      <w:spacing w:val="8"/>
                      <w:sz w:val="21"/>
                      <w:szCs w:val="21"/>
                      <w:highlight w:val="none"/>
                      <w:u w:val="none" w:color="auto"/>
                      <w:lang w:val="en-US" w:eastAsia="zh-CN"/>
                    </w:rPr>
                    <w:t>非甲烷总烃、恶臭（以臭气浓度为表征）</w:t>
                  </w:r>
                </w:p>
              </w:tc>
              <w:tc>
                <w:tcPr>
                  <w:tcW w:w="970" w:type="pct"/>
                  <w:tcBorders>
                    <w:tl2br w:val="nil"/>
                    <w:tr2bl w:val="nil"/>
                  </w:tcBorders>
                  <w:noWrap w:val="0"/>
                  <w:vAlign w:val="center"/>
                </w:tcPr>
                <w:p w14:paraId="0A3593C3">
                  <w:pPr>
                    <w:pStyle w:val="63"/>
                    <w:keepNext w:val="0"/>
                    <w:keepLines w:val="0"/>
                    <w:pageBreakBefore w:val="0"/>
                    <w:widowControl w:val="0"/>
                    <w:tabs>
                      <w:tab w:val="left" w:pos="1021"/>
                    </w:tabs>
                    <w:kinsoku/>
                    <w:overflowPunct/>
                    <w:autoSpaceDE/>
                    <w:autoSpaceDN/>
                    <w:bidi w:val="0"/>
                    <w:adjustRightInd/>
                    <w:snapToGrid/>
                    <w:spacing w:before="0" w:after="0" w:line="240" w:lineRule="auto"/>
                    <w:ind w:left="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kern w:val="2"/>
                      <w:sz w:val="21"/>
                      <w:szCs w:val="21"/>
                      <w:highlight w:val="none"/>
                      <w:u w:val="none" w:color="auto"/>
                      <w:lang w:val="en-US" w:eastAsia="zh-CN" w:bidi="ar-SA"/>
                    </w:rPr>
                    <w:t>无组织扩散</w:t>
                  </w:r>
                </w:p>
              </w:tc>
              <w:tc>
                <w:tcPr>
                  <w:tcW w:w="1158" w:type="pct"/>
                  <w:tcBorders>
                    <w:tl2br w:val="nil"/>
                    <w:tr2bl w:val="nil"/>
                  </w:tcBorders>
                  <w:shd w:val="clear" w:color="auto" w:fill="auto"/>
                  <w:noWrap w:val="0"/>
                  <w:vAlign w:val="center"/>
                </w:tcPr>
                <w:p w14:paraId="7F07B9B6">
                  <w:pPr>
                    <w:pStyle w:val="63"/>
                    <w:keepNext w:val="0"/>
                    <w:keepLines w:val="0"/>
                    <w:pageBreakBefore w:val="0"/>
                    <w:widowControl w:val="0"/>
                    <w:tabs>
                      <w:tab w:val="left" w:pos="1021"/>
                    </w:tabs>
                    <w:kinsoku/>
                    <w:overflowPunct/>
                    <w:autoSpaceDE/>
                    <w:autoSpaceDN/>
                    <w:bidi w:val="0"/>
                    <w:adjustRightInd/>
                    <w:snapToGrid/>
                    <w:spacing w:before="0" w:after="0" w:line="240" w:lineRule="auto"/>
                    <w:ind w:left="0" w:leftChars="0" w:firstLine="0" w:firstLineChars="0"/>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kern w:val="2"/>
                      <w:sz w:val="21"/>
                      <w:szCs w:val="21"/>
                      <w:highlight w:val="none"/>
                      <w:u w:val="none" w:color="auto"/>
                      <w:lang w:val="en-US" w:eastAsia="zh-CN" w:bidi="ar-SA"/>
                    </w:rPr>
                    <w:t>无组织扩散</w:t>
                  </w:r>
                </w:p>
              </w:tc>
              <w:tc>
                <w:tcPr>
                  <w:tcW w:w="1158" w:type="pct"/>
                  <w:tcBorders>
                    <w:tl2br w:val="nil"/>
                    <w:tr2bl w:val="nil"/>
                  </w:tcBorders>
                  <w:noWrap w:val="0"/>
                  <w:vAlign w:val="center"/>
                </w:tcPr>
                <w:p w14:paraId="3454CF77">
                  <w:pPr>
                    <w:pStyle w:val="63"/>
                    <w:keepNext w:val="0"/>
                    <w:keepLines w:val="0"/>
                    <w:pageBreakBefore w:val="0"/>
                    <w:widowControl w:val="0"/>
                    <w:tabs>
                      <w:tab w:val="left" w:pos="1021"/>
                    </w:tabs>
                    <w:kinsoku/>
                    <w:overflowPunct/>
                    <w:autoSpaceDE/>
                    <w:autoSpaceDN/>
                    <w:bidi w:val="0"/>
                    <w:adjustRightInd/>
                    <w:snapToGrid/>
                    <w:spacing w:before="0" w:after="0" w:line="240" w:lineRule="auto"/>
                    <w:ind w:left="0"/>
                    <w:jc w:val="center"/>
                    <w:rPr>
                      <w:rFonts w:hint="default" w:ascii="Times New Roman" w:hAnsi="Times New Roman" w:cs="Times New Roman"/>
                      <w:color w:val="auto"/>
                      <w:kern w:val="2"/>
                      <w:sz w:val="21"/>
                      <w:szCs w:val="21"/>
                      <w:highlight w:val="none"/>
                      <w:u w:val="none" w:color="auto"/>
                      <w:lang w:val="en-US" w:eastAsia="zh-CN" w:bidi="ar-SA"/>
                    </w:rPr>
                  </w:pPr>
                  <w:r>
                    <w:rPr>
                      <w:rFonts w:hint="eastAsia" w:ascii="Times New Roman" w:hAnsi="Times New Roman" w:cs="Times New Roman"/>
                      <w:color w:val="auto"/>
                      <w:kern w:val="2"/>
                      <w:sz w:val="21"/>
                      <w:szCs w:val="21"/>
                      <w:highlight w:val="none"/>
                      <w:u w:val="none" w:color="auto"/>
                      <w:lang w:val="en-US" w:eastAsia="zh-CN" w:bidi="ar-SA"/>
                    </w:rPr>
                    <w:t>无变化</w:t>
                  </w:r>
                </w:p>
              </w:tc>
            </w:tr>
            <w:tr w14:paraId="624B23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54" w:type="pct"/>
                  <w:vMerge w:val="continue"/>
                  <w:tcBorders>
                    <w:tl2br w:val="nil"/>
                    <w:tr2bl w:val="nil"/>
                  </w:tcBorders>
                  <w:noWrap w:val="0"/>
                  <w:vAlign w:val="center"/>
                </w:tcPr>
                <w:p w14:paraId="3C59DDB6">
                  <w:pPr>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u w:val="none" w:color="auto"/>
                      <w:lang w:val="en-US" w:eastAsia="zh-CN"/>
                    </w:rPr>
                  </w:pPr>
                </w:p>
              </w:tc>
              <w:tc>
                <w:tcPr>
                  <w:tcW w:w="606" w:type="pct"/>
                  <w:gridSpan w:val="2"/>
                  <w:tcBorders>
                    <w:tl2br w:val="nil"/>
                    <w:tr2bl w:val="nil"/>
                  </w:tcBorders>
                  <w:noWrap w:val="0"/>
                  <w:vAlign w:val="center"/>
                </w:tcPr>
                <w:p w14:paraId="5F0AF6FD">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eastAsia"/>
                      <w:color w:val="auto"/>
                      <w:highlight w:val="none"/>
                      <w:u w:val="none" w:color="auto"/>
                      <w:lang w:val="en-US" w:eastAsia="zh-CN"/>
                    </w:rPr>
                    <w:t>拆卸瓶阀</w:t>
                  </w:r>
                </w:p>
              </w:tc>
              <w:tc>
                <w:tcPr>
                  <w:tcW w:w="852" w:type="pct"/>
                  <w:tcBorders>
                    <w:tl2br w:val="nil"/>
                    <w:tr2bl w:val="nil"/>
                  </w:tcBorders>
                  <w:noWrap w:val="0"/>
                  <w:vAlign w:val="center"/>
                </w:tcPr>
                <w:p w14:paraId="0742ECDB">
                  <w:pPr>
                    <w:pStyle w:val="114"/>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eastAsia" w:ascii="Times New Roman" w:hAnsi="Times New Roman" w:cs="Times New Roman"/>
                      <w:color w:val="auto"/>
                      <w:spacing w:val="8"/>
                      <w:sz w:val="21"/>
                      <w:szCs w:val="21"/>
                      <w:highlight w:val="none"/>
                      <w:u w:val="none" w:color="auto"/>
                      <w:lang w:val="en-US" w:eastAsia="zh-CN"/>
                    </w:rPr>
                  </w:pPr>
                  <w:r>
                    <w:rPr>
                      <w:rFonts w:hint="eastAsia" w:ascii="Times New Roman" w:hAnsi="Times New Roman" w:cs="Times New Roman"/>
                      <w:color w:val="auto"/>
                      <w:spacing w:val="8"/>
                      <w:sz w:val="21"/>
                      <w:szCs w:val="21"/>
                      <w:highlight w:val="none"/>
                      <w:u w:val="none" w:color="auto"/>
                      <w:lang w:val="en-US" w:eastAsia="zh-CN"/>
                    </w:rPr>
                    <w:t>非甲烷总烃、恶臭（以臭气浓度为表征）</w:t>
                  </w:r>
                </w:p>
              </w:tc>
              <w:tc>
                <w:tcPr>
                  <w:tcW w:w="970" w:type="pct"/>
                  <w:tcBorders>
                    <w:tl2br w:val="nil"/>
                    <w:tr2bl w:val="nil"/>
                  </w:tcBorders>
                  <w:noWrap w:val="0"/>
                  <w:vAlign w:val="center"/>
                </w:tcPr>
                <w:p w14:paraId="0449E677">
                  <w:pPr>
                    <w:pStyle w:val="63"/>
                    <w:keepNext w:val="0"/>
                    <w:keepLines w:val="0"/>
                    <w:pageBreakBefore w:val="0"/>
                    <w:widowControl w:val="0"/>
                    <w:tabs>
                      <w:tab w:val="left" w:pos="1021"/>
                    </w:tabs>
                    <w:kinsoku/>
                    <w:overflowPunct/>
                    <w:autoSpaceDE/>
                    <w:autoSpaceDN/>
                    <w:bidi w:val="0"/>
                    <w:adjustRightInd/>
                    <w:snapToGrid/>
                    <w:spacing w:before="0" w:after="0" w:line="240" w:lineRule="auto"/>
                    <w:ind w:left="0" w:leftChars="0" w:firstLine="0" w:firstLineChars="0"/>
                    <w:jc w:val="center"/>
                    <w:rPr>
                      <w:rFonts w:hint="eastAsia" w:ascii="Times New Roman" w:hAnsi="Times New Roman" w:cs="Times New Roman"/>
                      <w:color w:val="auto"/>
                      <w:kern w:val="2"/>
                      <w:sz w:val="21"/>
                      <w:szCs w:val="21"/>
                      <w:highlight w:val="none"/>
                      <w:u w:val="none" w:color="auto"/>
                      <w:lang w:val="en-US" w:eastAsia="zh-CN" w:bidi="ar-SA"/>
                    </w:rPr>
                  </w:pPr>
                  <w:r>
                    <w:rPr>
                      <w:rFonts w:hint="eastAsia" w:ascii="Times New Roman" w:hAnsi="Times New Roman" w:cs="Times New Roman"/>
                      <w:color w:val="auto"/>
                      <w:kern w:val="2"/>
                      <w:sz w:val="21"/>
                      <w:szCs w:val="21"/>
                      <w:highlight w:val="none"/>
                      <w:u w:val="none" w:color="auto"/>
                      <w:lang w:val="en-US" w:eastAsia="zh-CN" w:bidi="ar-SA"/>
                    </w:rPr>
                    <w:t>无组织扩散</w:t>
                  </w:r>
                </w:p>
              </w:tc>
              <w:tc>
                <w:tcPr>
                  <w:tcW w:w="1158" w:type="pct"/>
                  <w:tcBorders>
                    <w:tl2br w:val="nil"/>
                    <w:tr2bl w:val="nil"/>
                  </w:tcBorders>
                  <w:shd w:val="clear" w:color="auto" w:fill="auto"/>
                  <w:noWrap w:val="0"/>
                  <w:vAlign w:val="center"/>
                </w:tcPr>
                <w:p w14:paraId="340BA8C5">
                  <w:pPr>
                    <w:pStyle w:val="63"/>
                    <w:keepNext w:val="0"/>
                    <w:keepLines w:val="0"/>
                    <w:pageBreakBefore w:val="0"/>
                    <w:widowControl w:val="0"/>
                    <w:tabs>
                      <w:tab w:val="left" w:pos="1021"/>
                    </w:tabs>
                    <w:kinsoku/>
                    <w:overflowPunct/>
                    <w:autoSpaceDE/>
                    <w:autoSpaceDN/>
                    <w:bidi w:val="0"/>
                    <w:adjustRightInd/>
                    <w:snapToGrid/>
                    <w:spacing w:before="0" w:after="0" w:line="240" w:lineRule="auto"/>
                    <w:ind w:left="0" w:leftChars="0" w:firstLine="0" w:firstLineChars="0"/>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kern w:val="2"/>
                      <w:sz w:val="21"/>
                      <w:szCs w:val="21"/>
                      <w:highlight w:val="none"/>
                      <w:u w:val="none" w:color="auto"/>
                      <w:lang w:val="en-US" w:eastAsia="zh-CN" w:bidi="ar-SA"/>
                    </w:rPr>
                    <w:t>无组织扩散</w:t>
                  </w:r>
                </w:p>
              </w:tc>
              <w:tc>
                <w:tcPr>
                  <w:tcW w:w="1158" w:type="pct"/>
                  <w:tcBorders>
                    <w:tl2br w:val="nil"/>
                    <w:tr2bl w:val="nil"/>
                  </w:tcBorders>
                  <w:noWrap w:val="0"/>
                  <w:vAlign w:val="center"/>
                </w:tcPr>
                <w:p w14:paraId="7CDFE40C">
                  <w:pPr>
                    <w:pStyle w:val="63"/>
                    <w:keepNext w:val="0"/>
                    <w:keepLines w:val="0"/>
                    <w:pageBreakBefore w:val="0"/>
                    <w:widowControl w:val="0"/>
                    <w:tabs>
                      <w:tab w:val="left" w:pos="1021"/>
                    </w:tabs>
                    <w:kinsoku/>
                    <w:overflowPunct/>
                    <w:autoSpaceDE/>
                    <w:autoSpaceDN/>
                    <w:bidi w:val="0"/>
                    <w:adjustRightInd/>
                    <w:snapToGrid/>
                    <w:spacing w:before="0" w:after="0" w:line="240" w:lineRule="auto"/>
                    <w:ind w:left="0" w:leftChars="0" w:firstLine="0" w:firstLineChars="0"/>
                    <w:jc w:val="center"/>
                    <w:rPr>
                      <w:rFonts w:hint="eastAsia" w:ascii="Times New Roman" w:hAnsi="Times New Roman" w:cs="Times New Roman"/>
                      <w:color w:val="auto"/>
                      <w:kern w:val="2"/>
                      <w:sz w:val="21"/>
                      <w:szCs w:val="21"/>
                      <w:highlight w:val="none"/>
                      <w:u w:val="none" w:color="auto"/>
                      <w:lang w:val="en-US" w:eastAsia="zh-CN" w:bidi="ar-SA"/>
                    </w:rPr>
                  </w:pPr>
                  <w:r>
                    <w:rPr>
                      <w:rFonts w:hint="eastAsia" w:ascii="Times New Roman" w:hAnsi="Times New Roman" w:cs="Times New Roman"/>
                      <w:color w:val="auto"/>
                      <w:kern w:val="2"/>
                      <w:sz w:val="21"/>
                      <w:szCs w:val="21"/>
                      <w:highlight w:val="none"/>
                      <w:u w:val="none" w:color="auto"/>
                      <w:lang w:val="en-US" w:eastAsia="zh-CN" w:bidi="ar-SA"/>
                    </w:rPr>
                    <w:t>无变化</w:t>
                  </w:r>
                </w:p>
              </w:tc>
            </w:tr>
            <w:tr w14:paraId="2E209A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54" w:type="pct"/>
                  <w:vMerge w:val="continue"/>
                  <w:tcBorders>
                    <w:tl2br w:val="nil"/>
                    <w:tr2bl w:val="nil"/>
                  </w:tcBorders>
                  <w:noWrap w:val="0"/>
                  <w:vAlign w:val="center"/>
                </w:tcPr>
                <w:p w14:paraId="2CE50BB6">
                  <w:pPr>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u w:val="none" w:color="auto"/>
                      <w:lang w:val="en-US" w:eastAsia="zh-CN"/>
                    </w:rPr>
                  </w:pPr>
                </w:p>
              </w:tc>
              <w:tc>
                <w:tcPr>
                  <w:tcW w:w="265" w:type="pct"/>
                  <w:vMerge w:val="restart"/>
                  <w:tcBorders>
                    <w:tl2br w:val="nil"/>
                    <w:tr2bl w:val="nil"/>
                  </w:tcBorders>
                  <w:noWrap w:val="0"/>
                  <w:vAlign w:val="center"/>
                </w:tcPr>
                <w:p w14:paraId="69913F87">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焚烧</w:t>
                  </w:r>
                </w:p>
              </w:tc>
              <w:tc>
                <w:tcPr>
                  <w:tcW w:w="341" w:type="pct"/>
                  <w:tcBorders>
                    <w:tl2br w:val="nil"/>
                    <w:tr2bl w:val="nil"/>
                  </w:tcBorders>
                  <w:noWrap w:val="0"/>
                  <w:vAlign w:val="center"/>
                </w:tcPr>
                <w:p w14:paraId="1F7AB4A1">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燃料</w:t>
                  </w:r>
                </w:p>
              </w:tc>
              <w:tc>
                <w:tcPr>
                  <w:tcW w:w="852" w:type="pct"/>
                  <w:tcBorders>
                    <w:tl2br w:val="nil"/>
                    <w:tr2bl w:val="nil"/>
                  </w:tcBorders>
                  <w:noWrap w:val="0"/>
                  <w:vAlign w:val="center"/>
                </w:tcPr>
                <w:p w14:paraId="29702ACF">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pacing w:val="8"/>
                      <w:sz w:val="21"/>
                      <w:szCs w:val="21"/>
                      <w:highlight w:val="none"/>
                      <w:u w:val="none" w:color="auto"/>
                      <w:lang w:val="en-US" w:eastAsia="zh-CN"/>
                    </w:rPr>
                  </w:pPr>
                  <w:r>
                    <w:rPr>
                      <w:rFonts w:hint="eastAsia" w:ascii="Times New Roman" w:hAnsi="Times New Roman" w:cs="Times New Roman"/>
                      <w:color w:val="auto"/>
                      <w:spacing w:val="8"/>
                      <w:sz w:val="21"/>
                      <w:szCs w:val="21"/>
                      <w:highlight w:val="none"/>
                      <w:u w:val="none" w:color="auto"/>
                      <w:lang w:val="en-US" w:eastAsia="zh-CN"/>
                    </w:rPr>
                    <w:t>SO</w:t>
                  </w:r>
                  <w:r>
                    <w:rPr>
                      <w:rFonts w:hint="eastAsia" w:ascii="Times New Roman" w:hAnsi="Times New Roman" w:cs="Times New Roman"/>
                      <w:color w:val="auto"/>
                      <w:spacing w:val="8"/>
                      <w:sz w:val="21"/>
                      <w:szCs w:val="21"/>
                      <w:highlight w:val="none"/>
                      <w:u w:val="none" w:color="auto"/>
                      <w:vertAlign w:val="subscript"/>
                      <w:lang w:val="en-US" w:eastAsia="zh-CN"/>
                    </w:rPr>
                    <w:t>2</w:t>
                  </w:r>
                  <w:r>
                    <w:rPr>
                      <w:rFonts w:hint="eastAsia" w:ascii="Times New Roman" w:hAnsi="Times New Roman" w:cs="Times New Roman"/>
                      <w:color w:val="auto"/>
                      <w:spacing w:val="8"/>
                      <w:sz w:val="21"/>
                      <w:szCs w:val="21"/>
                      <w:highlight w:val="none"/>
                      <w:u w:val="none" w:color="auto"/>
                      <w:lang w:val="en-US" w:eastAsia="zh-CN"/>
                    </w:rPr>
                    <w:t>、NO</w:t>
                  </w:r>
                  <w:r>
                    <w:rPr>
                      <w:rFonts w:hint="eastAsia" w:ascii="Times New Roman" w:hAnsi="Times New Roman" w:cs="Times New Roman"/>
                      <w:color w:val="auto"/>
                      <w:spacing w:val="8"/>
                      <w:sz w:val="21"/>
                      <w:szCs w:val="21"/>
                      <w:highlight w:val="none"/>
                      <w:u w:val="none" w:color="auto"/>
                      <w:vertAlign w:val="subscript"/>
                      <w:lang w:val="en-US" w:eastAsia="zh-CN"/>
                    </w:rPr>
                    <w:t>X</w:t>
                  </w:r>
                  <w:r>
                    <w:rPr>
                      <w:rFonts w:hint="eastAsia" w:ascii="Times New Roman" w:hAnsi="Times New Roman" w:cs="Times New Roman"/>
                      <w:color w:val="auto"/>
                      <w:spacing w:val="8"/>
                      <w:sz w:val="21"/>
                      <w:szCs w:val="21"/>
                      <w:highlight w:val="none"/>
                      <w:u w:val="none" w:color="auto"/>
                      <w:lang w:val="en-US" w:eastAsia="zh-CN"/>
                    </w:rPr>
                    <w:t>、颗粒物</w:t>
                  </w:r>
                </w:p>
              </w:tc>
              <w:tc>
                <w:tcPr>
                  <w:tcW w:w="970" w:type="pct"/>
                  <w:vMerge w:val="restart"/>
                  <w:tcBorders>
                    <w:tl2br w:val="nil"/>
                    <w:tr2bl w:val="nil"/>
                  </w:tcBorders>
                  <w:noWrap w:val="0"/>
                  <w:vAlign w:val="center"/>
                </w:tcPr>
                <w:p w14:paraId="18015007">
                  <w:pPr>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经高效高温除尘装置+一根15m排气筒（DA001）外排</w:t>
                  </w:r>
                </w:p>
              </w:tc>
              <w:tc>
                <w:tcPr>
                  <w:tcW w:w="1158" w:type="pct"/>
                  <w:vMerge w:val="restart"/>
                  <w:tcBorders>
                    <w:tl2br w:val="nil"/>
                    <w:tr2bl w:val="nil"/>
                  </w:tcBorders>
                  <w:noWrap w:val="0"/>
                  <w:vAlign w:val="center"/>
                </w:tcPr>
                <w:p w14:paraId="1C126FB7">
                  <w:pPr>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经</w:t>
                  </w:r>
                  <w:r>
                    <w:rPr>
                      <w:rFonts w:hint="eastAsia"/>
                      <w:color w:val="auto"/>
                      <w:u w:val="none" w:color="auto"/>
                      <w:lang w:val="en-US" w:eastAsia="zh-CN"/>
                    </w:rPr>
                    <w:t>旋风除尘+高温布袋除尘</w:t>
                  </w:r>
                  <w:r>
                    <w:rPr>
                      <w:rFonts w:hint="eastAsia"/>
                      <w:color w:val="auto"/>
                      <w:highlight w:val="none"/>
                      <w:u w:val="none" w:color="auto"/>
                      <w:lang w:val="en-US" w:eastAsia="zh-CN"/>
                    </w:rPr>
                    <w:t>+15m排气筒（DA001）外排</w:t>
                  </w:r>
                </w:p>
              </w:tc>
              <w:tc>
                <w:tcPr>
                  <w:tcW w:w="1158" w:type="pct"/>
                  <w:vMerge w:val="restart"/>
                  <w:tcBorders>
                    <w:tl2br w:val="nil"/>
                    <w:tr2bl w:val="nil"/>
                  </w:tcBorders>
                  <w:noWrap w:val="0"/>
                  <w:vAlign w:val="center"/>
                </w:tcPr>
                <w:p w14:paraId="5F57C63B">
                  <w:pPr>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u w:val="none" w:color="auto"/>
                      <w:lang w:val="en-US" w:eastAsia="zh-CN"/>
                    </w:rPr>
                  </w:pPr>
                  <w:r>
                    <w:rPr>
                      <w:rFonts w:hint="eastAsia" w:cs="Times New Roman"/>
                      <w:color w:val="auto"/>
                      <w:kern w:val="2"/>
                      <w:sz w:val="21"/>
                      <w:szCs w:val="24"/>
                      <w:highlight w:val="none"/>
                      <w:u w:val="none" w:color="auto"/>
                      <w:lang w:val="en-US" w:eastAsia="zh-CN" w:bidi="ar-SA"/>
                    </w:rPr>
                    <w:t>淘汰原有高温布袋除尘装置，新建“</w:t>
                  </w:r>
                  <w:r>
                    <w:rPr>
                      <w:rFonts w:hint="eastAsia"/>
                      <w:color w:val="auto"/>
                      <w:u w:val="none" w:color="auto"/>
                      <w:lang w:val="en-US" w:eastAsia="zh-CN"/>
                    </w:rPr>
                    <w:t>旋风除尘+高温布袋除尘</w:t>
                  </w:r>
                  <w:r>
                    <w:rPr>
                      <w:rFonts w:hint="eastAsia" w:cs="Times New Roman"/>
                      <w:color w:val="auto"/>
                      <w:kern w:val="2"/>
                      <w:sz w:val="21"/>
                      <w:szCs w:val="24"/>
                      <w:highlight w:val="none"/>
                      <w:u w:val="none" w:color="auto"/>
                      <w:lang w:val="en-US" w:eastAsia="zh-CN" w:bidi="ar-SA"/>
                    </w:rPr>
                    <w:t>”组合工艺</w:t>
                  </w:r>
                </w:p>
              </w:tc>
            </w:tr>
            <w:tr w14:paraId="2C6DD1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54" w:type="pct"/>
                  <w:vMerge w:val="continue"/>
                  <w:tcBorders>
                    <w:tl2br w:val="nil"/>
                    <w:tr2bl w:val="nil"/>
                  </w:tcBorders>
                  <w:noWrap w:val="0"/>
                  <w:vAlign w:val="center"/>
                </w:tcPr>
                <w:p w14:paraId="48C0D233">
                  <w:pPr>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u w:val="none" w:color="auto"/>
                      <w:lang w:val="en-US" w:eastAsia="zh-CN"/>
                    </w:rPr>
                  </w:pPr>
                </w:p>
              </w:tc>
              <w:tc>
                <w:tcPr>
                  <w:tcW w:w="265" w:type="pct"/>
                  <w:vMerge w:val="continue"/>
                  <w:tcBorders>
                    <w:tl2br w:val="nil"/>
                    <w:tr2bl w:val="nil"/>
                  </w:tcBorders>
                  <w:noWrap w:val="0"/>
                  <w:vAlign w:val="center"/>
                </w:tcPr>
                <w:p w14:paraId="5E59550C">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21"/>
                      <w:szCs w:val="21"/>
                      <w:highlight w:val="none"/>
                      <w:u w:val="none" w:color="auto"/>
                      <w:lang w:val="en-US" w:eastAsia="zh-CN"/>
                    </w:rPr>
                  </w:pPr>
                </w:p>
              </w:tc>
              <w:tc>
                <w:tcPr>
                  <w:tcW w:w="341" w:type="pct"/>
                  <w:tcBorders>
                    <w:tl2br w:val="nil"/>
                    <w:tr2bl w:val="nil"/>
                  </w:tcBorders>
                  <w:noWrap w:val="0"/>
                  <w:vAlign w:val="center"/>
                </w:tcPr>
                <w:p w14:paraId="35F0CDCD">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涂料尘</w:t>
                  </w:r>
                </w:p>
              </w:tc>
              <w:tc>
                <w:tcPr>
                  <w:tcW w:w="852" w:type="pct"/>
                  <w:tcBorders>
                    <w:tl2br w:val="nil"/>
                    <w:tr2bl w:val="nil"/>
                  </w:tcBorders>
                  <w:noWrap w:val="0"/>
                  <w:vAlign w:val="center"/>
                </w:tcPr>
                <w:p w14:paraId="51990EDE">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pacing w:val="8"/>
                      <w:sz w:val="21"/>
                      <w:szCs w:val="21"/>
                      <w:highlight w:val="none"/>
                      <w:u w:val="none" w:color="auto"/>
                      <w:lang w:val="en-US" w:eastAsia="zh-CN"/>
                    </w:rPr>
                  </w:pPr>
                  <w:r>
                    <w:rPr>
                      <w:rFonts w:hint="eastAsia" w:ascii="Times New Roman" w:hAnsi="Times New Roman" w:cs="Times New Roman"/>
                      <w:color w:val="auto"/>
                      <w:spacing w:val="8"/>
                      <w:sz w:val="21"/>
                      <w:szCs w:val="21"/>
                      <w:highlight w:val="none"/>
                      <w:u w:val="none" w:color="auto"/>
                      <w:lang w:val="en-US" w:eastAsia="zh-CN"/>
                    </w:rPr>
                    <w:t>颗粒物</w:t>
                  </w:r>
                </w:p>
              </w:tc>
              <w:tc>
                <w:tcPr>
                  <w:tcW w:w="970" w:type="pct"/>
                  <w:vMerge w:val="continue"/>
                  <w:tcBorders>
                    <w:tl2br w:val="nil"/>
                    <w:tr2bl w:val="nil"/>
                  </w:tcBorders>
                  <w:noWrap w:val="0"/>
                  <w:vAlign w:val="center"/>
                </w:tcPr>
                <w:p w14:paraId="7F0AF697">
                  <w:pPr>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u w:val="none" w:color="auto"/>
                      <w:lang w:val="en-US" w:eastAsia="zh-CN"/>
                    </w:rPr>
                  </w:pPr>
                </w:p>
              </w:tc>
              <w:tc>
                <w:tcPr>
                  <w:tcW w:w="1158" w:type="pct"/>
                  <w:vMerge w:val="continue"/>
                  <w:tcBorders>
                    <w:tl2br w:val="nil"/>
                    <w:tr2bl w:val="nil"/>
                  </w:tcBorders>
                  <w:noWrap w:val="0"/>
                  <w:vAlign w:val="center"/>
                </w:tcPr>
                <w:p w14:paraId="3FFCD889">
                  <w:pPr>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u w:val="none" w:color="auto"/>
                      <w:lang w:val="en-US" w:eastAsia="zh-CN"/>
                    </w:rPr>
                  </w:pPr>
                </w:p>
              </w:tc>
              <w:tc>
                <w:tcPr>
                  <w:tcW w:w="1158" w:type="pct"/>
                  <w:vMerge w:val="continue"/>
                  <w:tcBorders>
                    <w:tl2br w:val="nil"/>
                    <w:tr2bl w:val="nil"/>
                  </w:tcBorders>
                  <w:noWrap w:val="0"/>
                  <w:vAlign w:val="center"/>
                </w:tcPr>
                <w:p w14:paraId="20056128">
                  <w:pPr>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u w:val="none" w:color="auto"/>
                      <w:lang w:val="en-US" w:eastAsia="zh-CN"/>
                    </w:rPr>
                  </w:pPr>
                </w:p>
              </w:tc>
            </w:tr>
            <w:tr w14:paraId="272665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4" w:type="pct"/>
                  <w:tcBorders>
                    <w:tl2br w:val="nil"/>
                    <w:tr2bl w:val="nil"/>
                  </w:tcBorders>
                  <w:noWrap w:val="0"/>
                  <w:vAlign w:val="center"/>
                </w:tcPr>
                <w:p w14:paraId="113585AB">
                  <w:pPr>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废水</w:t>
                  </w:r>
                </w:p>
              </w:tc>
              <w:tc>
                <w:tcPr>
                  <w:tcW w:w="606" w:type="pct"/>
                  <w:gridSpan w:val="2"/>
                  <w:tcBorders>
                    <w:tl2br w:val="nil"/>
                    <w:tr2bl w:val="nil"/>
                  </w:tcBorders>
                  <w:noWrap w:val="0"/>
                  <w:vAlign w:val="center"/>
                </w:tcPr>
                <w:p w14:paraId="1546D1CA">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spacing w:val="6"/>
                      <w:sz w:val="21"/>
                      <w:szCs w:val="21"/>
                      <w:highlight w:val="none"/>
                      <w:u w:val="none" w:color="auto"/>
                      <w:lang w:val="en-US" w:eastAsia="zh-CN"/>
                    </w:rPr>
                  </w:pPr>
                  <w:r>
                    <w:rPr>
                      <w:rFonts w:hint="default" w:ascii="Times New Roman" w:hAnsi="Times New Roman" w:eastAsia="宋体" w:cs="Times New Roman"/>
                      <w:color w:val="auto"/>
                      <w:spacing w:val="6"/>
                      <w:sz w:val="21"/>
                      <w:szCs w:val="21"/>
                      <w:highlight w:val="none"/>
                      <w:u w:val="none" w:color="auto"/>
                    </w:rPr>
                    <w:t>生活污水</w:t>
                  </w:r>
                </w:p>
              </w:tc>
              <w:tc>
                <w:tcPr>
                  <w:tcW w:w="852" w:type="pct"/>
                  <w:tcBorders>
                    <w:tl2br w:val="nil"/>
                    <w:tr2bl w:val="nil"/>
                  </w:tcBorders>
                  <w:noWrap w:val="0"/>
                  <w:vAlign w:val="center"/>
                </w:tcPr>
                <w:p w14:paraId="462240E7">
                  <w:pPr>
                    <w:pStyle w:val="114"/>
                    <w:keepNext w:val="0"/>
                    <w:keepLines w:val="0"/>
                    <w:pageBreakBefore w:val="0"/>
                    <w:widowControl w:val="0"/>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pH、</w:t>
                  </w:r>
                  <w:r>
                    <w:rPr>
                      <w:rFonts w:hint="default" w:ascii="Times New Roman" w:hAnsi="Times New Roman" w:eastAsia="宋体" w:cs="Times New Roman"/>
                      <w:color w:val="auto"/>
                      <w:sz w:val="21"/>
                      <w:szCs w:val="21"/>
                      <w:highlight w:val="none"/>
                      <w:u w:val="none" w:color="auto"/>
                    </w:rPr>
                    <w:t>COD</w:t>
                  </w:r>
                  <w:r>
                    <w:rPr>
                      <w:rFonts w:hint="default" w:ascii="Times New Roman" w:hAnsi="Times New Roman" w:eastAsia="宋体" w:cs="Times New Roman"/>
                      <w:color w:val="auto"/>
                      <w:spacing w:val="4"/>
                      <w:sz w:val="21"/>
                      <w:szCs w:val="21"/>
                      <w:highlight w:val="none"/>
                      <w:u w:val="none" w:color="auto"/>
                    </w:rPr>
                    <w:t>、</w:t>
                  </w:r>
                  <w:r>
                    <w:rPr>
                      <w:rFonts w:hint="default" w:ascii="Times New Roman" w:hAnsi="Times New Roman" w:eastAsia="宋体" w:cs="Times New Roman"/>
                      <w:color w:val="auto"/>
                      <w:sz w:val="21"/>
                      <w:szCs w:val="21"/>
                      <w:highlight w:val="none"/>
                      <w:u w:val="none" w:color="auto"/>
                    </w:rPr>
                    <w:t>BOD</w:t>
                  </w:r>
                  <w:r>
                    <w:rPr>
                      <w:rFonts w:hint="default" w:ascii="Times New Roman" w:hAnsi="Times New Roman" w:eastAsia="宋体" w:cs="Times New Roman"/>
                      <w:color w:val="auto"/>
                      <w:spacing w:val="4"/>
                      <w:position w:val="-1"/>
                      <w:sz w:val="21"/>
                      <w:szCs w:val="21"/>
                      <w:highlight w:val="none"/>
                      <w:u w:val="none" w:color="auto"/>
                      <w:vertAlign w:val="subscript"/>
                    </w:rPr>
                    <w:t>5</w:t>
                  </w:r>
                  <w:r>
                    <w:rPr>
                      <w:rFonts w:hint="default" w:ascii="Times New Roman" w:hAnsi="Times New Roman" w:eastAsia="宋体" w:cs="Times New Roman"/>
                      <w:color w:val="auto"/>
                      <w:spacing w:val="4"/>
                      <w:sz w:val="21"/>
                      <w:szCs w:val="21"/>
                      <w:highlight w:val="none"/>
                      <w:u w:val="none" w:color="auto"/>
                    </w:rPr>
                    <w:t>、氨氮、</w:t>
                  </w:r>
                  <w:r>
                    <w:rPr>
                      <w:rFonts w:hint="default" w:ascii="Times New Roman" w:hAnsi="Times New Roman" w:eastAsia="宋体" w:cs="Times New Roman"/>
                      <w:color w:val="auto"/>
                      <w:sz w:val="21"/>
                      <w:szCs w:val="21"/>
                      <w:highlight w:val="none"/>
                      <w:u w:val="none" w:color="auto"/>
                    </w:rPr>
                    <w:t>SS</w:t>
                  </w:r>
                  <w:r>
                    <w:rPr>
                      <w:rFonts w:hint="default" w:ascii="Times New Roman" w:hAnsi="Times New Roman" w:eastAsia="宋体" w:cs="Times New Roman"/>
                      <w:color w:val="auto"/>
                      <w:spacing w:val="4"/>
                      <w:sz w:val="21"/>
                      <w:szCs w:val="21"/>
                      <w:highlight w:val="none"/>
                      <w:u w:val="none" w:color="auto"/>
                    </w:rPr>
                    <w:t>、</w:t>
                  </w:r>
                  <w:r>
                    <w:rPr>
                      <w:rFonts w:hint="default" w:ascii="Times New Roman" w:hAnsi="Times New Roman" w:eastAsia="宋体" w:cs="Times New Roman"/>
                      <w:color w:val="auto"/>
                      <w:sz w:val="21"/>
                      <w:szCs w:val="21"/>
                      <w:highlight w:val="none"/>
                      <w:u w:val="none" w:color="auto"/>
                    </w:rPr>
                    <w:t>TN</w:t>
                  </w:r>
                  <w:r>
                    <w:rPr>
                      <w:rFonts w:hint="default" w:ascii="Times New Roman" w:hAnsi="Times New Roman" w:eastAsia="宋体" w:cs="Times New Roman"/>
                      <w:color w:val="auto"/>
                      <w:spacing w:val="4"/>
                      <w:sz w:val="21"/>
                      <w:szCs w:val="21"/>
                      <w:highlight w:val="none"/>
                      <w:u w:val="none" w:color="auto"/>
                    </w:rPr>
                    <w:t>、</w:t>
                  </w:r>
                  <w:r>
                    <w:rPr>
                      <w:rFonts w:hint="default" w:ascii="Times New Roman" w:hAnsi="Times New Roman" w:eastAsia="宋体" w:cs="Times New Roman"/>
                      <w:color w:val="auto"/>
                      <w:sz w:val="21"/>
                      <w:szCs w:val="21"/>
                      <w:highlight w:val="none"/>
                      <w:u w:val="none" w:color="auto"/>
                    </w:rPr>
                    <w:t>TP等</w:t>
                  </w:r>
                </w:p>
              </w:tc>
              <w:tc>
                <w:tcPr>
                  <w:tcW w:w="970" w:type="pct"/>
                  <w:tcBorders>
                    <w:tl2br w:val="nil"/>
                    <w:tr2bl w:val="nil"/>
                  </w:tcBorders>
                  <w:noWrap w:val="0"/>
                  <w:vAlign w:val="center"/>
                </w:tcPr>
                <w:p w14:paraId="38C8C60E">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pacing w:val="8"/>
                      <w:sz w:val="21"/>
                      <w:szCs w:val="21"/>
                      <w:highlight w:val="none"/>
                      <w:u w:val="none" w:color="auto"/>
                      <w:lang w:val="en-US" w:eastAsia="zh-CN"/>
                    </w:rPr>
                  </w:pPr>
                  <w:r>
                    <w:rPr>
                      <w:rFonts w:hint="eastAsia" w:ascii="Times New Roman" w:hAnsi="Times New Roman" w:cs="Times New Roman"/>
                      <w:color w:val="auto"/>
                      <w:spacing w:val="8"/>
                      <w:sz w:val="21"/>
                      <w:szCs w:val="21"/>
                      <w:highlight w:val="none"/>
                      <w:u w:val="none" w:color="auto"/>
                      <w:lang w:val="en-US" w:eastAsia="zh-CN"/>
                    </w:rPr>
                    <w:t>依托现有</w:t>
                  </w:r>
                  <w:r>
                    <w:rPr>
                      <w:rFonts w:hint="eastAsia" w:ascii="Times New Roman" w:hAnsi="Times New Roman" w:cs="Times New Roman"/>
                      <w:color w:val="auto"/>
                      <w:spacing w:val="8"/>
                      <w:sz w:val="21"/>
                      <w:szCs w:val="21"/>
                      <w:highlight w:val="none"/>
                      <w:u w:val="none" w:color="auto"/>
                      <w:lang w:eastAsia="zh-CN"/>
                    </w:rPr>
                    <w:t>三级化粪池</w:t>
                  </w:r>
                  <w:r>
                    <w:rPr>
                      <w:rFonts w:hint="eastAsia" w:ascii="Times New Roman" w:hAnsi="Times New Roman" w:cs="Times New Roman"/>
                      <w:color w:val="auto"/>
                      <w:spacing w:val="8"/>
                      <w:sz w:val="21"/>
                      <w:szCs w:val="21"/>
                      <w:highlight w:val="none"/>
                      <w:u w:val="none" w:color="auto"/>
                      <w:lang w:val="en-US" w:eastAsia="zh-CN"/>
                    </w:rPr>
                    <w:t>处理后用作农肥</w:t>
                  </w:r>
                </w:p>
              </w:tc>
              <w:tc>
                <w:tcPr>
                  <w:tcW w:w="1158" w:type="pct"/>
                  <w:tcBorders>
                    <w:tl2br w:val="nil"/>
                    <w:tr2bl w:val="nil"/>
                  </w:tcBorders>
                  <w:noWrap w:val="0"/>
                  <w:vAlign w:val="center"/>
                </w:tcPr>
                <w:p w14:paraId="3A89E430">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pacing w:val="8"/>
                      <w:sz w:val="21"/>
                      <w:szCs w:val="21"/>
                      <w:highlight w:val="none"/>
                      <w:u w:val="none" w:color="auto"/>
                      <w:lang w:val="en-US" w:eastAsia="zh-CN"/>
                    </w:rPr>
                  </w:pPr>
                  <w:r>
                    <w:rPr>
                      <w:rFonts w:hint="eastAsia" w:ascii="Times New Roman" w:hAnsi="Times New Roman" w:cs="Times New Roman"/>
                      <w:color w:val="auto"/>
                      <w:spacing w:val="8"/>
                      <w:sz w:val="21"/>
                      <w:szCs w:val="21"/>
                      <w:highlight w:val="none"/>
                      <w:u w:val="none" w:color="auto"/>
                      <w:lang w:val="en-US" w:eastAsia="zh-CN"/>
                    </w:rPr>
                    <w:t>依托现有</w:t>
                  </w:r>
                  <w:r>
                    <w:rPr>
                      <w:rFonts w:hint="eastAsia" w:ascii="Times New Roman" w:hAnsi="Times New Roman" w:cs="Times New Roman"/>
                      <w:color w:val="auto"/>
                      <w:spacing w:val="8"/>
                      <w:sz w:val="21"/>
                      <w:szCs w:val="21"/>
                      <w:highlight w:val="none"/>
                      <w:u w:val="none" w:color="auto"/>
                      <w:lang w:eastAsia="zh-CN"/>
                    </w:rPr>
                    <w:t>三级化粪池</w:t>
                  </w:r>
                  <w:r>
                    <w:rPr>
                      <w:rFonts w:hint="eastAsia" w:ascii="Times New Roman" w:hAnsi="Times New Roman" w:cs="Times New Roman"/>
                      <w:color w:val="auto"/>
                      <w:spacing w:val="8"/>
                      <w:sz w:val="21"/>
                      <w:szCs w:val="21"/>
                      <w:highlight w:val="none"/>
                      <w:u w:val="none" w:color="auto"/>
                      <w:lang w:val="en-US" w:eastAsia="zh-CN"/>
                    </w:rPr>
                    <w:t>处理后用作农肥</w:t>
                  </w:r>
                </w:p>
              </w:tc>
              <w:tc>
                <w:tcPr>
                  <w:tcW w:w="1158" w:type="pct"/>
                  <w:tcBorders>
                    <w:tl2br w:val="nil"/>
                    <w:tr2bl w:val="nil"/>
                  </w:tcBorders>
                  <w:noWrap w:val="0"/>
                  <w:vAlign w:val="center"/>
                </w:tcPr>
                <w:p w14:paraId="405AE71E">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pacing w:val="8"/>
                      <w:sz w:val="21"/>
                      <w:szCs w:val="21"/>
                      <w:highlight w:val="none"/>
                      <w:u w:val="none" w:color="auto"/>
                      <w:lang w:val="en-US" w:eastAsia="zh-CN"/>
                    </w:rPr>
                  </w:pPr>
                  <w:r>
                    <w:rPr>
                      <w:rFonts w:hint="eastAsia" w:ascii="Times New Roman" w:hAnsi="Times New Roman" w:cs="Times New Roman"/>
                      <w:color w:val="auto"/>
                      <w:kern w:val="2"/>
                      <w:sz w:val="21"/>
                      <w:szCs w:val="21"/>
                      <w:highlight w:val="none"/>
                      <w:u w:val="none" w:color="auto"/>
                      <w:lang w:val="en-US" w:eastAsia="zh-CN" w:bidi="ar-SA"/>
                    </w:rPr>
                    <w:t>无变化</w:t>
                  </w:r>
                </w:p>
              </w:tc>
            </w:tr>
            <w:tr w14:paraId="3D7412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54" w:type="pct"/>
                  <w:tcBorders>
                    <w:tl2br w:val="nil"/>
                    <w:tr2bl w:val="nil"/>
                  </w:tcBorders>
                  <w:noWrap w:val="0"/>
                  <w:vAlign w:val="center"/>
                </w:tcPr>
                <w:p w14:paraId="3D8292F7">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pacing w:val="-1"/>
                      <w:sz w:val="21"/>
                      <w:szCs w:val="21"/>
                      <w:highlight w:val="none"/>
                      <w:u w:val="none" w:color="auto"/>
                    </w:rPr>
                    <w:t>噪声</w:t>
                  </w:r>
                </w:p>
              </w:tc>
              <w:tc>
                <w:tcPr>
                  <w:tcW w:w="606" w:type="pct"/>
                  <w:gridSpan w:val="2"/>
                  <w:tcBorders>
                    <w:tl2br w:val="nil"/>
                    <w:tr2bl w:val="nil"/>
                  </w:tcBorders>
                  <w:noWrap w:val="0"/>
                  <w:vAlign w:val="center"/>
                </w:tcPr>
                <w:p w14:paraId="378A846E">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spacing w:val="8"/>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rPr>
                    <w:t>设备运行噪声</w:t>
                  </w:r>
                </w:p>
              </w:tc>
              <w:tc>
                <w:tcPr>
                  <w:tcW w:w="852" w:type="pct"/>
                  <w:tcBorders>
                    <w:tl2br w:val="nil"/>
                    <w:tr2bl w:val="nil"/>
                  </w:tcBorders>
                  <w:noWrap w:val="0"/>
                  <w:vAlign w:val="center"/>
                </w:tcPr>
                <w:p w14:paraId="428A6360">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spacing w:val="-2"/>
                      <w:sz w:val="21"/>
                      <w:szCs w:val="21"/>
                      <w:highlight w:val="none"/>
                      <w:u w:val="none" w:color="auto"/>
                    </w:rPr>
                  </w:pPr>
                  <w:r>
                    <w:rPr>
                      <w:rFonts w:hint="default" w:ascii="Times New Roman" w:hAnsi="Times New Roman" w:eastAsia="宋体" w:cs="Times New Roman"/>
                      <w:color w:val="auto"/>
                      <w:spacing w:val="6"/>
                      <w:sz w:val="21"/>
                      <w:szCs w:val="21"/>
                      <w:highlight w:val="none"/>
                      <w:u w:val="none" w:color="auto"/>
                    </w:rPr>
                    <w:t>等效声级</w:t>
                  </w:r>
                </w:p>
              </w:tc>
              <w:tc>
                <w:tcPr>
                  <w:tcW w:w="970" w:type="pct"/>
                  <w:tcBorders>
                    <w:tl2br w:val="nil"/>
                    <w:tr2bl w:val="nil"/>
                  </w:tcBorders>
                  <w:noWrap w:val="0"/>
                  <w:vAlign w:val="center"/>
                </w:tcPr>
                <w:p w14:paraId="3AB7782D">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8"/>
                      <w:sz w:val="21"/>
                      <w:szCs w:val="21"/>
                      <w:highlight w:val="none"/>
                      <w:u w:val="none" w:color="auto"/>
                      <w:lang w:val="en-US" w:eastAsia="zh-CN"/>
                    </w:rPr>
                  </w:pPr>
                  <w:r>
                    <w:rPr>
                      <w:rFonts w:hint="default" w:ascii="Times New Roman" w:hAnsi="Times New Roman" w:eastAsia="宋体" w:cs="Times New Roman"/>
                      <w:color w:val="auto"/>
                      <w:spacing w:val="3"/>
                      <w:sz w:val="21"/>
                      <w:szCs w:val="21"/>
                      <w:highlight w:val="none"/>
                      <w:u w:val="none" w:color="auto"/>
                    </w:rPr>
                    <w:t>隔声、降噪、减震，采用低</w:t>
                  </w:r>
                  <w:r>
                    <w:rPr>
                      <w:rFonts w:hint="default" w:ascii="Times New Roman" w:hAnsi="Times New Roman" w:eastAsia="宋体" w:cs="Times New Roman"/>
                      <w:color w:val="auto"/>
                      <w:spacing w:val="4"/>
                      <w:sz w:val="21"/>
                      <w:szCs w:val="21"/>
                      <w:highlight w:val="none"/>
                      <w:u w:val="none" w:color="auto"/>
                    </w:rPr>
                    <w:t>噪声设备</w:t>
                  </w:r>
                </w:p>
              </w:tc>
              <w:tc>
                <w:tcPr>
                  <w:tcW w:w="1158" w:type="pct"/>
                  <w:tcBorders>
                    <w:tl2br w:val="nil"/>
                    <w:tr2bl w:val="nil"/>
                  </w:tcBorders>
                  <w:noWrap w:val="0"/>
                  <w:vAlign w:val="center"/>
                </w:tcPr>
                <w:p w14:paraId="3DDA9692">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3"/>
                      <w:sz w:val="21"/>
                      <w:szCs w:val="21"/>
                      <w:highlight w:val="none"/>
                      <w:u w:val="none" w:color="auto"/>
                    </w:rPr>
                  </w:pPr>
                  <w:r>
                    <w:rPr>
                      <w:rFonts w:hint="default" w:ascii="Times New Roman" w:hAnsi="Times New Roman" w:eastAsia="宋体" w:cs="Times New Roman"/>
                      <w:color w:val="auto"/>
                      <w:spacing w:val="3"/>
                      <w:sz w:val="21"/>
                      <w:szCs w:val="21"/>
                      <w:highlight w:val="none"/>
                      <w:u w:val="none" w:color="auto"/>
                    </w:rPr>
                    <w:t>隔声、降噪、减震，采用低</w:t>
                  </w:r>
                  <w:r>
                    <w:rPr>
                      <w:rFonts w:hint="default" w:ascii="Times New Roman" w:hAnsi="Times New Roman" w:eastAsia="宋体" w:cs="Times New Roman"/>
                      <w:color w:val="auto"/>
                      <w:spacing w:val="4"/>
                      <w:sz w:val="21"/>
                      <w:szCs w:val="21"/>
                      <w:highlight w:val="none"/>
                      <w:u w:val="none" w:color="auto"/>
                    </w:rPr>
                    <w:t>噪声设备</w:t>
                  </w:r>
                </w:p>
              </w:tc>
              <w:tc>
                <w:tcPr>
                  <w:tcW w:w="1158" w:type="pct"/>
                  <w:tcBorders>
                    <w:tl2br w:val="nil"/>
                    <w:tr2bl w:val="nil"/>
                  </w:tcBorders>
                  <w:noWrap w:val="0"/>
                  <w:vAlign w:val="center"/>
                </w:tcPr>
                <w:p w14:paraId="14B6B72E">
                  <w:pPr>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3"/>
                      <w:sz w:val="21"/>
                      <w:szCs w:val="21"/>
                      <w:highlight w:val="none"/>
                      <w:u w:val="none" w:color="auto"/>
                    </w:rPr>
                  </w:pPr>
                  <w:r>
                    <w:rPr>
                      <w:rFonts w:hint="eastAsia" w:ascii="Times New Roman" w:hAnsi="Times New Roman" w:cs="Times New Roman"/>
                      <w:color w:val="auto"/>
                      <w:kern w:val="2"/>
                      <w:sz w:val="21"/>
                      <w:szCs w:val="21"/>
                      <w:highlight w:val="none"/>
                      <w:u w:val="none" w:color="auto"/>
                      <w:lang w:val="en-US" w:eastAsia="zh-CN" w:bidi="ar-SA"/>
                    </w:rPr>
                    <w:t>无变化</w:t>
                  </w:r>
                </w:p>
              </w:tc>
            </w:tr>
            <w:tr w14:paraId="0BA9CD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54" w:type="pct"/>
                  <w:vMerge w:val="restart"/>
                  <w:tcBorders>
                    <w:tl2br w:val="nil"/>
                    <w:tr2bl w:val="nil"/>
                  </w:tcBorders>
                  <w:noWrap w:val="0"/>
                  <w:vAlign w:val="center"/>
                </w:tcPr>
                <w:p w14:paraId="0C61C4A1">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固废</w:t>
                  </w:r>
                </w:p>
              </w:tc>
              <w:tc>
                <w:tcPr>
                  <w:tcW w:w="606" w:type="pct"/>
                  <w:gridSpan w:val="2"/>
                  <w:tcBorders>
                    <w:tl2br w:val="nil"/>
                    <w:tr2bl w:val="nil"/>
                  </w:tcBorders>
                  <w:shd w:val="clear" w:color="auto" w:fill="auto"/>
                  <w:noWrap w:val="0"/>
                  <w:vAlign w:val="center"/>
                </w:tcPr>
                <w:p w14:paraId="315A1AC7">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拆卸瓶阀</w:t>
                  </w:r>
                </w:p>
              </w:tc>
              <w:tc>
                <w:tcPr>
                  <w:tcW w:w="852" w:type="pct"/>
                  <w:tcBorders>
                    <w:tl2br w:val="nil"/>
                    <w:tr2bl w:val="nil"/>
                  </w:tcBorders>
                  <w:shd w:val="clear" w:color="auto" w:fill="auto"/>
                  <w:noWrap w:val="0"/>
                  <w:vAlign w:val="center"/>
                </w:tcPr>
                <w:p w14:paraId="73C77E8A">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废角阀</w:t>
                  </w:r>
                </w:p>
              </w:tc>
              <w:tc>
                <w:tcPr>
                  <w:tcW w:w="970" w:type="pct"/>
                  <w:vMerge w:val="restart"/>
                  <w:tcBorders>
                    <w:tl2br w:val="nil"/>
                    <w:tr2bl w:val="nil"/>
                  </w:tcBorders>
                  <w:noWrap w:val="0"/>
                  <w:vAlign w:val="center"/>
                </w:tcPr>
                <w:p w14:paraId="4288C0BE">
                  <w:pPr>
                    <w:pStyle w:val="63"/>
                    <w:tabs>
                      <w:tab w:val="left" w:pos="1021"/>
                    </w:tabs>
                    <w:autoSpaceDE w:val="0"/>
                    <w:autoSpaceDN w:val="0"/>
                    <w:bidi w:val="0"/>
                    <w:jc w:val="center"/>
                    <w:rPr>
                      <w:rFonts w:hint="default"/>
                      <w:color w:val="auto"/>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统一收集后外售综合回收利用</w:t>
                  </w:r>
                </w:p>
              </w:tc>
              <w:tc>
                <w:tcPr>
                  <w:tcW w:w="1936" w:type="dxa"/>
                  <w:vMerge w:val="restart"/>
                  <w:tcBorders>
                    <w:tl2br w:val="nil"/>
                    <w:tr2bl w:val="nil"/>
                  </w:tcBorders>
                  <w:noWrap w:val="0"/>
                  <w:vAlign w:val="center"/>
                </w:tcPr>
                <w:p w14:paraId="66588FA2">
                  <w:pPr>
                    <w:pStyle w:val="63"/>
                    <w:tabs>
                      <w:tab w:val="left" w:pos="1021"/>
                    </w:tabs>
                    <w:autoSpaceDE w:val="0"/>
                    <w:autoSpaceDN w:val="0"/>
                    <w:bidi w:val="0"/>
                    <w:ind w:firstLine="0" w:firstLineChars="0"/>
                    <w:jc w:val="center"/>
                    <w:rPr>
                      <w:rFonts w:hint="eastAsia"/>
                      <w:color w:val="auto"/>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统一收集后外售综合回收利用</w:t>
                  </w:r>
                </w:p>
              </w:tc>
              <w:tc>
                <w:tcPr>
                  <w:tcW w:w="1158" w:type="pct"/>
                  <w:tcBorders>
                    <w:tl2br w:val="nil"/>
                    <w:tr2bl w:val="nil"/>
                  </w:tcBorders>
                  <w:noWrap w:val="0"/>
                  <w:vAlign w:val="center"/>
                </w:tcPr>
                <w:p w14:paraId="187555E4">
                  <w:pPr>
                    <w:autoSpaceDE w:val="0"/>
                    <w:autoSpaceDN w:val="0"/>
                    <w:bidi w:val="0"/>
                    <w:jc w:val="center"/>
                    <w:rPr>
                      <w:rFonts w:hint="eastAsia"/>
                      <w:color w:val="auto"/>
                      <w:highlight w:val="none"/>
                      <w:u w:val="none" w:color="auto"/>
                      <w:lang w:val="en-US" w:eastAsia="zh-CN"/>
                    </w:rPr>
                  </w:pPr>
                  <w:r>
                    <w:rPr>
                      <w:rFonts w:hint="eastAsia" w:ascii="Times New Roman" w:hAnsi="Times New Roman" w:cs="Times New Roman"/>
                      <w:color w:val="auto"/>
                      <w:kern w:val="2"/>
                      <w:sz w:val="21"/>
                      <w:szCs w:val="21"/>
                      <w:highlight w:val="none"/>
                      <w:u w:val="none" w:color="auto"/>
                      <w:lang w:val="en-US" w:eastAsia="zh-CN" w:bidi="ar-SA"/>
                    </w:rPr>
                    <w:t>无变化</w:t>
                  </w:r>
                </w:p>
              </w:tc>
            </w:tr>
            <w:tr w14:paraId="6EF55D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54" w:type="pct"/>
                  <w:vMerge w:val="continue"/>
                  <w:tcBorders>
                    <w:tl2br w:val="nil"/>
                    <w:tr2bl w:val="nil"/>
                  </w:tcBorders>
                  <w:noWrap w:val="0"/>
                  <w:vAlign w:val="center"/>
                </w:tcPr>
                <w:p w14:paraId="3DA1A854">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21"/>
                      <w:szCs w:val="21"/>
                      <w:highlight w:val="none"/>
                      <w:u w:val="none" w:color="auto"/>
                      <w:lang w:val="en-US" w:eastAsia="zh-CN"/>
                    </w:rPr>
                  </w:pPr>
                </w:p>
              </w:tc>
              <w:tc>
                <w:tcPr>
                  <w:tcW w:w="606" w:type="pct"/>
                  <w:gridSpan w:val="2"/>
                  <w:tcBorders>
                    <w:tl2br w:val="nil"/>
                    <w:tr2bl w:val="nil"/>
                  </w:tcBorders>
                  <w:shd w:val="clear" w:color="auto" w:fill="auto"/>
                  <w:noWrap w:val="0"/>
                  <w:vAlign w:val="center"/>
                </w:tcPr>
                <w:p w14:paraId="4518B91B">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kern w:val="2"/>
                      <w:sz w:val="21"/>
                      <w:szCs w:val="24"/>
                      <w:highlight w:val="none"/>
                      <w:u w:val="none" w:color="auto"/>
                      <w:lang w:val="en-US" w:eastAsia="zh-CN" w:bidi="ar-SA"/>
                    </w:rPr>
                    <w:t>除尘装置</w:t>
                  </w:r>
                </w:p>
              </w:tc>
              <w:tc>
                <w:tcPr>
                  <w:tcW w:w="852" w:type="pct"/>
                  <w:tcBorders>
                    <w:tl2br w:val="nil"/>
                    <w:tr2bl w:val="nil"/>
                  </w:tcBorders>
                  <w:shd w:val="clear" w:color="auto" w:fill="auto"/>
                  <w:noWrap w:val="0"/>
                  <w:vAlign w:val="center"/>
                </w:tcPr>
                <w:p w14:paraId="13599ED4">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eastAsia="宋体" w:cs="Times New Roman"/>
                      <w:color w:val="auto"/>
                      <w:kern w:val="2"/>
                      <w:sz w:val="21"/>
                      <w:szCs w:val="24"/>
                      <w:highlight w:val="none"/>
                      <w:u w:val="none" w:color="auto"/>
                      <w:lang w:val="en-US" w:eastAsia="zh-CN" w:bidi="ar-SA"/>
                    </w:rPr>
                    <w:t>收集粉尘</w:t>
                  </w:r>
                </w:p>
              </w:tc>
              <w:tc>
                <w:tcPr>
                  <w:tcW w:w="970" w:type="pct"/>
                  <w:vMerge w:val="continue"/>
                  <w:tcBorders>
                    <w:tl2br w:val="nil"/>
                    <w:tr2bl w:val="nil"/>
                  </w:tcBorders>
                  <w:noWrap w:val="0"/>
                  <w:vAlign w:val="center"/>
                </w:tcPr>
                <w:p w14:paraId="667631AD">
                  <w:pPr>
                    <w:pStyle w:val="63"/>
                    <w:tabs>
                      <w:tab w:val="left" w:pos="1021"/>
                    </w:tabs>
                    <w:autoSpaceDE w:val="0"/>
                    <w:autoSpaceDN w:val="0"/>
                    <w:bidi w:val="0"/>
                    <w:jc w:val="center"/>
                    <w:rPr>
                      <w:rFonts w:hint="eastAsia"/>
                      <w:color w:val="auto"/>
                      <w:highlight w:val="none"/>
                      <w:u w:val="none" w:color="auto"/>
                      <w:lang w:val="en-US" w:eastAsia="zh-CN"/>
                    </w:rPr>
                  </w:pPr>
                </w:p>
              </w:tc>
              <w:tc>
                <w:tcPr>
                  <w:tcW w:w="1158" w:type="pct"/>
                  <w:vMerge w:val="continue"/>
                  <w:tcBorders>
                    <w:tl2br w:val="nil"/>
                    <w:tr2bl w:val="nil"/>
                  </w:tcBorders>
                  <w:noWrap w:val="0"/>
                  <w:vAlign w:val="center"/>
                </w:tcPr>
                <w:p w14:paraId="46C10E04">
                  <w:pPr>
                    <w:pStyle w:val="63"/>
                    <w:tabs>
                      <w:tab w:val="left" w:pos="1021"/>
                    </w:tabs>
                    <w:autoSpaceDE w:val="0"/>
                    <w:autoSpaceDN w:val="0"/>
                    <w:bidi w:val="0"/>
                    <w:jc w:val="center"/>
                    <w:rPr>
                      <w:rFonts w:hint="eastAsia"/>
                      <w:color w:val="auto"/>
                      <w:highlight w:val="none"/>
                      <w:u w:val="none" w:color="auto"/>
                      <w:lang w:val="en-US" w:eastAsia="zh-CN"/>
                    </w:rPr>
                  </w:pPr>
                </w:p>
              </w:tc>
              <w:tc>
                <w:tcPr>
                  <w:tcW w:w="1158" w:type="pct"/>
                  <w:tcBorders>
                    <w:tl2br w:val="nil"/>
                    <w:tr2bl w:val="nil"/>
                  </w:tcBorders>
                  <w:noWrap w:val="0"/>
                  <w:vAlign w:val="center"/>
                </w:tcPr>
                <w:p w14:paraId="44AB5844">
                  <w:pPr>
                    <w:autoSpaceDE w:val="0"/>
                    <w:autoSpaceDN w:val="0"/>
                    <w:bidi w:val="0"/>
                    <w:jc w:val="center"/>
                    <w:rPr>
                      <w:rFonts w:hint="eastAsia"/>
                      <w:color w:val="auto"/>
                      <w:highlight w:val="none"/>
                      <w:u w:val="none" w:color="auto"/>
                      <w:lang w:val="en-US" w:eastAsia="zh-CN"/>
                    </w:rPr>
                  </w:pPr>
                  <w:r>
                    <w:rPr>
                      <w:rFonts w:hint="eastAsia" w:ascii="Times New Roman" w:hAnsi="Times New Roman" w:cs="Times New Roman"/>
                      <w:color w:val="auto"/>
                      <w:kern w:val="2"/>
                      <w:sz w:val="21"/>
                      <w:szCs w:val="21"/>
                      <w:highlight w:val="none"/>
                      <w:u w:val="none" w:color="auto"/>
                      <w:lang w:val="en-US" w:eastAsia="zh-CN" w:bidi="ar-SA"/>
                    </w:rPr>
                    <w:t>无变化</w:t>
                  </w:r>
                </w:p>
              </w:tc>
            </w:tr>
            <w:tr w14:paraId="482902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54" w:type="pct"/>
                  <w:vMerge w:val="continue"/>
                  <w:tcBorders>
                    <w:tl2br w:val="nil"/>
                    <w:tr2bl w:val="nil"/>
                  </w:tcBorders>
                  <w:noWrap w:val="0"/>
                  <w:vAlign w:val="center"/>
                </w:tcPr>
                <w:p w14:paraId="1DECEBE4">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21"/>
                      <w:szCs w:val="21"/>
                      <w:highlight w:val="none"/>
                      <w:u w:val="none" w:color="auto"/>
                      <w:lang w:val="en-US" w:eastAsia="zh-CN"/>
                    </w:rPr>
                  </w:pPr>
                </w:p>
              </w:tc>
              <w:tc>
                <w:tcPr>
                  <w:tcW w:w="606" w:type="pct"/>
                  <w:gridSpan w:val="2"/>
                  <w:tcBorders>
                    <w:tl2br w:val="nil"/>
                    <w:tr2bl w:val="nil"/>
                  </w:tcBorders>
                  <w:shd w:val="clear" w:color="auto" w:fill="auto"/>
                  <w:noWrap w:val="0"/>
                  <w:vAlign w:val="center"/>
                </w:tcPr>
                <w:p w14:paraId="19262892">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4"/>
                      <w:highlight w:val="none"/>
                      <w:u w:val="none" w:color="auto"/>
                      <w:lang w:val="en-US" w:eastAsia="zh-CN" w:bidi="ar-SA"/>
                    </w:rPr>
                    <w:t>除尘装置</w:t>
                  </w:r>
                </w:p>
              </w:tc>
              <w:tc>
                <w:tcPr>
                  <w:tcW w:w="852" w:type="pct"/>
                  <w:tcBorders>
                    <w:tl2br w:val="nil"/>
                    <w:tr2bl w:val="nil"/>
                  </w:tcBorders>
                  <w:shd w:val="clear" w:color="auto" w:fill="auto"/>
                  <w:noWrap w:val="0"/>
                  <w:vAlign w:val="center"/>
                </w:tcPr>
                <w:p w14:paraId="7280E2B3">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kern w:val="2"/>
                      <w:sz w:val="21"/>
                      <w:szCs w:val="21"/>
                      <w:highlight w:val="none"/>
                      <w:u w:val="none" w:color="auto"/>
                      <w:lang w:val="en-US" w:eastAsia="zh-CN" w:bidi="ar-SA"/>
                    </w:rPr>
                    <w:t>废布袋</w:t>
                  </w:r>
                </w:p>
              </w:tc>
              <w:tc>
                <w:tcPr>
                  <w:tcW w:w="970" w:type="pct"/>
                  <w:vMerge w:val="continue"/>
                  <w:tcBorders>
                    <w:tl2br w:val="nil"/>
                    <w:tr2bl w:val="nil"/>
                  </w:tcBorders>
                  <w:noWrap w:val="0"/>
                  <w:vAlign w:val="center"/>
                </w:tcPr>
                <w:p w14:paraId="2D2B7B9C">
                  <w:pPr>
                    <w:pStyle w:val="63"/>
                    <w:tabs>
                      <w:tab w:val="left" w:pos="1021"/>
                    </w:tabs>
                    <w:autoSpaceDE w:val="0"/>
                    <w:autoSpaceDN w:val="0"/>
                    <w:bidi w:val="0"/>
                    <w:jc w:val="center"/>
                    <w:rPr>
                      <w:rFonts w:hint="default"/>
                      <w:color w:val="auto"/>
                      <w:highlight w:val="none"/>
                      <w:u w:val="none" w:color="auto"/>
                      <w:lang w:val="en-US" w:eastAsia="zh-CN"/>
                    </w:rPr>
                  </w:pPr>
                </w:p>
              </w:tc>
              <w:tc>
                <w:tcPr>
                  <w:tcW w:w="1158" w:type="pct"/>
                  <w:vMerge w:val="continue"/>
                  <w:tcBorders>
                    <w:tl2br w:val="nil"/>
                    <w:tr2bl w:val="nil"/>
                  </w:tcBorders>
                  <w:noWrap w:val="0"/>
                  <w:vAlign w:val="center"/>
                </w:tcPr>
                <w:p w14:paraId="5FC3DCB0">
                  <w:pPr>
                    <w:pStyle w:val="63"/>
                    <w:tabs>
                      <w:tab w:val="left" w:pos="1021"/>
                    </w:tabs>
                    <w:autoSpaceDE w:val="0"/>
                    <w:autoSpaceDN w:val="0"/>
                    <w:bidi w:val="0"/>
                    <w:jc w:val="center"/>
                    <w:rPr>
                      <w:rFonts w:hint="eastAsia"/>
                      <w:color w:val="auto"/>
                      <w:highlight w:val="none"/>
                      <w:u w:val="none" w:color="auto"/>
                      <w:lang w:val="en-US" w:eastAsia="zh-CN"/>
                    </w:rPr>
                  </w:pPr>
                </w:p>
              </w:tc>
              <w:tc>
                <w:tcPr>
                  <w:tcW w:w="1158" w:type="pct"/>
                  <w:tcBorders>
                    <w:tl2br w:val="nil"/>
                    <w:tr2bl w:val="nil"/>
                  </w:tcBorders>
                  <w:noWrap w:val="0"/>
                  <w:vAlign w:val="center"/>
                </w:tcPr>
                <w:p w14:paraId="24313180">
                  <w:pPr>
                    <w:autoSpaceDE w:val="0"/>
                    <w:autoSpaceDN w:val="0"/>
                    <w:bidi w:val="0"/>
                    <w:jc w:val="center"/>
                    <w:rPr>
                      <w:rFonts w:hint="eastAsia"/>
                      <w:color w:val="auto"/>
                      <w:highlight w:val="none"/>
                      <w:u w:val="none" w:color="auto"/>
                      <w:lang w:val="en-US" w:eastAsia="zh-CN"/>
                    </w:rPr>
                  </w:pPr>
                  <w:r>
                    <w:rPr>
                      <w:rFonts w:hint="eastAsia" w:ascii="Times New Roman" w:hAnsi="Times New Roman" w:cs="Times New Roman"/>
                      <w:color w:val="auto"/>
                      <w:kern w:val="2"/>
                      <w:sz w:val="21"/>
                      <w:szCs w:val="21"/>
                      <w:highlight w:val="none"/>
                      <w:u w:val="none" w:color="auto"/>
                      <w:lang w:val="en-US" w:eastAsia="zh-CN" w:bidi="ar-SA"/>
                    </w:rPr>
                    <w:t>无变化</w:t>
                  </w:r>
                </w:p>
              </w:tc>
            </w:tr>
            <w:tr w14:paraId="41DC9A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54" w:type="pct"/>
                  <w:vMerge w:val="continue"/>
                  <w:tcBorders>
                    <w:tl2br w:val="nil"/>
                    <w:tr2bl w:val="nil"/>
                  </w:tcBorders>
                  <w:noWrap w:val="0"/>
                  <w:vAlign w:val="center"/>
                </w:tcPr>
                <w:p w14:paraId="1F2467E3">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21"/>
                      <w:szCs w:val="21"/>
                      <w:highlight w:val="none"/>
                      <w:u w:val="none" w:color="auto"/>
                      <w:lang w:val="en-US" w:eastAsia="zh-CN"/>
                    </w:rPr>
                  </w:pPr>
                </w:p>
              </w:tc>
              <w:tc>
                <w:tcPr>
                  <w:tcW w:w="606" w:type="pct"/>
                  <w:gridSpan w:val="2"/>
                  <w:tcBorders>
                    <w:tl2br w:val="nil"/>
                    <w:tr2bl w:val="nil"/>
                  </w:tcBorders>
                  <w:shd w:val="clear" w:color="auto" w:fill="auto"/>
                  <w:noWrap w:val="0"/>
                  <w:vAlign w:val="center"/>
                </w:tcPr>
                <w:p w14:paraId="79E1DE90">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焚烧炉</w:t>
                  </w:r>
                  <w:r>
                    <w:rPr>
                      <w:rFonts w:hint="eastAsia" w:cs="Times New Roman"/>
                      <w:color w:val="auto"/>
                      <w:kern w:val="2"/>
                      <w:sz w:val="21"/>
                      <w:szCs w:val="21"/>
                      <w:highlight w:val="none"/>
                      <w:u w:val="none" w:color="auto"/>
                      <w:lang w:val="en-US" w:eastAsia="zh-CN" w:bidi="ar-SA"/>
                    </w:rPr>
                    <w:t>燃烧</w:t>
                  </w:r>
                </w:p>
              </w:tc>
              <w:tc>
                <w:tcPr>
                  <w:tcW w:w="852" w:type="pct"/>
                  <w:tcBorders>
                    <w:tl2br w:val="nil"/>
                    <w:tr2bl w:val="nil"/>
                  </w:tcBorders>
                  <w:shd w:val="clear" w:color="auto" w:fill="auto"/>
                  <w:noWrap w:val="0"/>
                  <w:vAlign w:val="center"/>
                </w:tcPr>
                <w:p w14:paraId="59EB58C9">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灰</w:t>
                  </w:r>
                  <w:r>
                    <w:rPr>
                      <w:rFonts w:hint="default" w:ascii="Times New Roman" w:hAnsi="Times New Roman" w:eastAsia="宋体" w:cs="Times New Roman"/>
                      <w:color w:val="auto"/>
                      <w:kern w:val="2"/>
                      <w:sz w:val="21"/>
                      <w:szCs w:val="21"/>
                      <w:highlight w:val="none"/>
                      <w:u w:val="none" w:color="auto"/>
                      <w:lang w:val="en-US" w:eastAsia="zh-CN" w:bidi="ar-SA"/>
                    </w:rPr>
                    <w:t>渣</w:t>
                  </w:r>
                </w:p>
              </w:tc>
              <w:tc>
                <w:tcPr>
                  <w:tcW w:w="970" w:type="pct"/>
                  <w:tcBorders>
                    <w:tl2br w:val="nil"/>
                    <w:tr2bl w:val="nil"/>
                  </w:tcBorders>
                  <w:noWrap w:val="0"/>
                  <w:vAlign w:val="center"/>
                </w:tcPr>
                <w:p w14:paraId="436151BD">
                  <w:pPr>
                    <w:pStyle w:val="63"/>
                    <w:tabs>
                      <w:tab w:val="left" w:pos="1021"/>
                    </w:tabs>
                    <w:autoSpaceDE w:val="0"/>
                    <w:autoSpaceDN w:val="0"/>
                    <w:bidi w:val="0"/>
                    <w:jc w:val="center"/>
                    <w:rPr>
                      <w:rFonts w:hint="eastAsia"/>
                      <w:color w:val="auto"/>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外售建材生产企业作为原料综合利用</w:t>
                  </w:r>
                </w:p>
              </w:tc>
              <w:tc>
                <w:tcPr>
                  <w:tcW w:w="1936" w:type="dxa"/>
                  <w:tcBorders>
                    <w:tl2br w:val="nil"/>
                    <w:tr2bl w:val="nil"/>
                  </w:tcBorders>
                  <w:noWrap w:val="0"/>
                  <w:vAlign w:val="center"/>
                </w:tcPr>
                <w:p w14:paraId="084F829E">
                  <w:pPr>
                    <w:pStyle w:val="63"/>
                    <w:tabs>
                      <w:tab w:val="left" w:pos="1021"/>
                    </w:tabs>
                    <w:autoSpaceDE w:val="0"/>
                    <w:autoSpaceDN w:val="0"/>
                    <w:bidi w:val="0"/>
                    <w:ind w:firstLine="0" w:firstLineChars="0"/>
                    <w:jc w:val="center"/>
                    <w:rPr>
                      <w:rFonts w:hint="eastAsia"/>
                      <w:color w:val="auto"/>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外售建材生产企业作为原料综合利用</w:t>
                  </w:r>
                </w:p>
              </w:tc>
              <w:tc>
                <w:tcPr>
                  <w:tcW w:w="1158" w:type="pct"/>
                  <w:tcBorders>
                    <w:tl2br w:val="nil"/>
                    <w:tr2bl w:val="nil"/>
                  </w:tcBorders>
                  <w:noWrap w:val="0"/>
                  <w:vAlign w:val="center"/>
                </w:tcPr>
                <w:p w14:paraId="643F0CF4">
                  <w:pPr>
                    <w:autoSpaceDE w:val="0"/>
                    <w:autoSpaceDN w:val="0"/>
                    <w:bidi w:val="0"/>
                    <w:jc w:val="center"/>
                    <w:rPr>
                      <w:rFonts w:hint="eastAsia"/>
                      <w:color w:val="auto"/>
                      <w:highlight w:val="none"/>
                      <w:u w:val="none" w:color="auto"/>
                      <w:lang w:val="en-US" w:eastAsia="zh-CN"/>
                    </w:rPr>
                  </w:pPr>
                  <w:r>
                    <w:rPr>
                      <w:rFonts w:hint="eastAsia" w:ascii="Times New Roman" w:hAnsi="Times New Roman" w:cs="Times New Roman"/>
                      <w:color w:val="auto"/>
                      <w:kern w:val="2"/>
                      <w:sz w:val="21"/>
                      <w:szCs w:val="21"/>
                      <w:highlight w:val="none"/>
                      <w:u w:val="none" w:color="auto"/>
                      <w:lang w:val="en-US" w:eastAsia="zh-CN" w:bidi="ar-SA"/>
                    </w:rPr>
                    <w:t>无变化</w:t>
                  </w:r>
                </w:p>
              </w:tc>
            </w:tr>
            <w:tr w14:paraId="5D179C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54" w:type="pct"/>
                  <w:vMerge w:val="continue"/>
                  <w:tcBorders>
                    <w:tl2br w:val="nil"/>
                    <w:tr2bl w:val="nil"/>
                  </w:tcBorders>
                  <w:noWrap w:val="0"/>
                  <w:vAlign w:val="center"/>
                </w:tcPr>
                <w:p w14:paraId="2006182C">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21"/>
                      <w:szCs w:val="21"/>
                      <w:highlight w:val="none"/>
                      <w:u w:val="none" w:color="auto"/>
                      <w:lang w:val="en-US" w:eastAsia="zh-CN"/>
                    </w:rPr>
                  </w:pPr>
                </w:p>
              </w:tc>
              <w:tc>
                <w:tcPr>
                  <w:tcW w:w="606" w:type="pct"/>
                  <w:gridSpan w:val="2"/>
                  <w:tcBorders>
                    <w:tl2br w:val="nil"/>
                    <w:tr2bl w:val="nil"/>
                  </w:tcBorders>
                  <w:shd w:val="clear" w:color="auto" w:fill="auto"/>
                  <w:noWrap w:val="0"/>
                  <w:vAlign w:val="center"/>
                </w:tcPr>
                <w:p w14:paraId="3FAF6CA5">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辅料使用</w:t>
                  </w:r>
                </w:p>
              </w:tc>
              <w:tc>
                <w:tcPr>
                  <w:tcW w:w="852" w:type="pct"/>
                  <w:tcBorders>
                    <w:tl2br w:val="nil"/>
                    <w:tr2bl w:val="nil"/>
                  </w:tcBorders>
                  <w:shd w:val="clear" w:color="auto" w:fill="auto"/>
                  <w:noWrap w:val="0"/>
                  <w:vAlign w:val="center"/>
                </w:tcPr>
                <w:p w14:paraId="74855BAE">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废包装材料</w:t>
                  </w:r>
                </w:p>
              </w:tc>
              <w:tc>
                <w:tcPr>
                  <w:tcW w:w="970" w:type="pct"/>
                  <w:tcBorders>
                    <w:tl2br w:val="nil"/>
                    <w:tr2bl w:val="nil"/>
                  </w:tcBorders>
                  <w:noWrap w:val="0"/>
                  <w:vAlign w:val="center"/>
                </w:tcPr>
                <w:p w14:paraId="4639E75D">
                  <w:pPr>
                    <w:adjustRightInd w:val="0"/>
                    <w:snapToGrid w:val="0"/>
                    <w:spacing w:line="240" w:lineRule="exact"/>
                    <w:jc w:val="center"/>
                    <w:rPr>
                      <w:rFonts w:hint="eastAsia"/>
                      <w:color w:val="auto"/>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统一收集后外售综合回收利用</w:t>
                  </w:r>
                </w:p>
              </w:tc>
              <w:tc>
                <w:tcPr>
                  <w:tcW w:w="1936" w:type="dxa"/>
                  <w:tcBorders>
                    <w:tl2br w:val="nil"/>
                    <w:tr2bl w:val="nil"/>
                  </w:tcBorders>
                  <w:noWrap w:val="0"/>
                  <w:vAlign w:val="center"/>
                </w:tcPr>
                <w:p w14:paraId="5FDCBA95">
                  <w:pPr>
                    <w:adjustRightInd w:val="0"/>
                    <w:snapToGrid w:val="0"/>
                    <w:spacing w:line="240" w:lineRule="exact"/>
                    <w:jc w:val="center"/>
                    <w:rPr>
                      <w:rFonts w:hint="eastAsia"/>
                      <w:color w:val="auto"/>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统一收集后外售综合回收利用</w:t>
                  </w:r>
                </w:p>
              </w:tc>
              <w:tc>
                <w:tcPr>
                  <w:tcW w:w="1158" w:type="pct"/>
                  <w:tcBorders>
                    <w:tl2br w:val="nil"/>
                    <w:tr2bl w:val="nil"/>
                  </w:tcBorders>
                  <w:noWrap w:val="0"/>
                  <w:vAlign w:val="center"/>
                </w:tcPr>
                <w:p w14:paraId="1CAA0FC1">
                  <w:pPr>
                    <w:autoSpaceDE w:val="0"/>
                    <w:autoSpaceDN w:val="0"/>
                    <w:bidi w:val="0"/>
                    <w:jc w:val="center"/>
                    <w:rPr>
                      <w:rFonts w:hint="eastAsia"/>
                      <w:color w:val="auto"/>
                      <w:highlight w:val="none"/>
                      <w:u w:val="none" w:color="auto"/>
                      <w:lang w:val="en-US" w:eastAsia="zh-CN"/>
                    </w:rPr>
                  </w:pPr>
                  <w:r>
                    <w:rPr>
                      <w:rFonts w:hint="eastAsia" w:ascii="Times New Roman" w:hAnsi="Times New Roman" w:cs="Times New Roman"/>
                      <w:color w:val="auto"/>
                      <w:kern w:val="2"/>
                      <w:sz w:val="21"/>
                      <w:szCs w:val="21"/>
                      <w:highlight w:val="none"/>
                      <w:u w:val="none" w:color="auto"/>
                      <w:lang w:val="en-US" w:eastAsia="zh-CN" w:bidi="ar-SA"/>
                    </w:rPr>
                    <w:t>无变化</w:t>
                  </w:r>
                </w:p>
              </w:tc>
            </w:tr>
            <w:tr w14:paraId="23F8E3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54" w:type="pct"/>
                  <w:vMerge w:val="continue"/>
                  <w:tcBorders>
                    <w:tl2br w:val="nil"/>
                    <w:tr2bl w:val="nil"/>
                  </w:tcBorders>
                  <w:noWrap w:val="0"/>
                  <w:vAlign w:val="center"/>
                </w:tcPr>
                <w:p w14:paraId="5E13046E">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21"/>
                      <w:szCs w:val="21"/>
                      <w:highlight w:val="none"/>
                      <w:u w:val="none" w:color="auto"/>
                      <w:lang w:val="en-US" w:eastAsia="zh-CN"/>
                    </w:rPr>
                  </w:pPr>
                </w:p>
              </w:tc>
              <w:tc>
                <w:tcPr>
                  <w:tcW w:w="606" w:type="pct"/>
                  <w:gridSpan w:val="2"/>
                  <w:tcBorders>
                    <w:tl2br w:val="nil"/>
                    <w:tr2bl w:val="nil"/>
                  </w:tcBorders>
                  <w:shd w:val="clear" w:color="auto" w:fill="auto"/>
                  <w:noWrap w:val="0"/>
                  <w:vAlign w:val="center"/>
                </w:tcPr>
                <w:p w14:paraId="0326F5CD">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设备维修</w:t>
                  </w:r>
                </w:p>
              </w:tc>
              <w:tc>
                <w:tcPr>
                  <w:tcW w:w="852" w:type="pct"/>
                  <w:tcBorders>
                    <w:tl2br w:val="nil"/>
                    <w:tr2bl w:val="nil"/>
                  </w:tcBorders>
                  <w:shd w:val="clear" w:color="auto" w:fill="auto"/>
                  <w:noWrap w:val="0"/>
                  <w:vAlign w:val="center"/>
                </w:tcPr>
                <w:p w14:paraId="71B66458">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废机油</w:t>
                  </w:r>
                </w:p>
              </w:tc>
              <w:tc>
                <w:tcPr>
                  <w:tcW w:w="970" w:type="pct"/>
                  <w:vMerge w:val="restart"/>
                  <w:tcBorders>
                    <w:tl2br w:val="nil"/>
                    <w:tr2bl w:val="nil"/>
                  </w:tcBorders>
                  <w:noWrap w:val="0"/>
                  <w:vAlign w:val="center"/>
                </w:tcPr>
                <w:p w14:paraId="27BCBE47">
                  <w:pPr>
                    <w:adjustRightInd w:val="0"/>
                    <w:snapToGrid w:val="0"/>
                    <w:spacing w:line="240" w:lineRule="exact"/>
                    <w:jc w:val="center"/>
                    <w:rPr>
                      <w:rFonts w:hint="eastAsia"/>
                      <w:color w:val="auto"/>
                      <w:highlight w:val="none"/>
                      <w:u w:val="none" w:color="auto"/>
                      <w:lang w:val="en-US" w:eastAsia="zh-CN"/>
                    </w:rPr>
                  </w:pPr>
                  <w:r>
                    <w:rPr>
                      <w:rFonts w:hint="eastAsia" w:cs="Times New Roman"/>
                      <w:color w:val="auto"/>
                      <w:highlight w:val="none"/>
                      <w:u w:val="none" w:color="auto"/>
                      <w:lang w:val="en-US" w:eastAsia="zh-CN"/>
                    </w:rPr>
                    <w:t>交有资质单位处理</w:t>
                  </w:r>
                </w:p>
              </w:tc>
              <w:tc>
                <w:tcPr>
                  <w:tcW w:w="1936" w:type="dxa"/>
                  <w:vMerge w:val="restart"/>
                  <w:tcBorders>
                    <w:tl2br w:val="nil"/>
                    <w:tr2bl w:val="nil"/>
                  </w:tcBorders>
                  <w:noWrap w:val="0"/>
                  <w:vAlign w:val="center"/>
                </w:tcPr>
                <w:p w14:paraId="3D5481FA">
                  <w:pPr>
                    <w:adjustRightInd w:val="0"/>
                    <w:snapToGrid w:val="0"/>
                    <w:spacing w:line="240" w:lineRule="exact"/>
                    <w:jc w:val="center"/>
                    <w:rPr>
                      <w:rFonts w:hint="eastAsia"/>
                      <w:color w:val="auto"/>
                      <w:highlight w:val="none"/>
                      <w:u w:val="none" w:color="auto"/>
                      <w:lang w:val="en-US" w:eastAsia="zh-CN"/>
                    </w:rPr>
                  </w:pPr>
                  <w:r>
                    <w:rPr>
                      <w:rFonts w:hint="eastAsia" w:cs="Times New Roman"/>
                      <w:color w:val="auto"/>
                      <w:highlight w:val="none"/>
                      <w:u w:val="none" w:color="auto"/>
                      <w:lang w:val="en-US" w:eastAsia="zh-CN"/>
                    </w:rPr>
                    <w:t>交有资质单位处理</w:t>
                  </w:r>
                </w:p>
              </w:tc>
              <w:tc>
                <w:tcPr>
                  <w:tcW w:w="1158" w:type="pct"/>
                  <w:tcBorders>
                    <w:tl2br w:val="nil"/>
                    <w:tr2bl w:val="nil"/>
                  </w:tcBorders>
                  <w:noWrap w:val="0"/>
                  <w:vAlign w:val="center"/>
                </w:tcPr>
                <w:p w14:paraId="735584E8">
                  <w:pPr>
                    <w:autoSpaceDE w:val="0"/>
                    <w:autoSpaceDN w:val="0"/>
                    <w:bidi w:val="0"/>
                    <w:jc w:val="center"/>
                    <w:rPr>
                      <w:rFonts w:hint="eastAsia"/>
                      <w:color w:val="auto"/>
                      <w:highlight w:val="none"/>
                      <w:u w:val="none" w:color="auto"/>
                      <w:lang w:val="en-US" w:eastAsia="zh-CN"/>
                    </w:rPr>
                  </w:pPr>
                  <w:r>
                    <w:rPr>
                      <w:rFonts w:hint="eastAsia" w:ascii="Times New Roman" w:hAnsi="Times New Roman" w:cs="Times New Roman"/>
                      <w:color w:val="auto"/>
                      <w:kern w:val="2"/>
                      <w:sz w:val="21"/>
                      <w:szCs w:val="21"/>
                      <w:highlight w:val="none"/>
                      <w:u w:val="none" w:color="auto"/>
                      <w:lang w:val="en-US" w:eastAsia="zh-CN" w:bidi="ar-SA"/>
                    </w:rPr>
                    <w:t>无变化</w:t>
                  </w:r>
                </w:p>
              </w:tc>
            </w:tr>
            <w:tr w14:paraId="01B8C6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54" w:type="pct"/>
                  <w:vMerge w:val="continue"/>
                  <w:tcBorders>
                    <w:tl2br w:val="nil"/>
                    <w:tr2bl w:val="nil"/>
                  </w:tcBorders>
                  <w:noWrap w:val="0"/>
                  <w:vAlign w:val="center"/>
                </w:tcPr>
                <w:p w14:paraId="3A946DB6">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z w:val="21"/>
                      <w:szCs w:val="21"/>
                      <w:highlight w:val="none"/>
                      <w:u w:val="none" w:color="auto"/>
                      <w:lang w:val="en-US" w:eastAsia="zh-CN"/>
                    </w:rPr>
                  </w:pPr>
                </w:p>
              </w:tc>
              <w:tc>
                <w:tcPr>
                  <w:tcW w:w="606" w:type="pct"/>
                  <w:gridSpan w:val="2"/>
                  <w:tcBorders>
                    <w:tl2br w:val="nil"/>
                    <w:tr2bl w:val="nil"/>
                  </w:tcBorders>
                  <w:shd w:val="clear" w:color="auto" w:fill="auto"/>
                  <w:noWrap w:val="0"/>
                  <w:vAlign w:val="center"/>
                </w:tcPr>
                <w:p w14:paraId="14819EF3">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设备维修</w:t>
                  </w:r>
                </w:p>
              </w:tc>
              <w:tc>
                <w:tcPr>
                  <w:tcW w:w="852" w:type="pct"/>
                  <w:tcBorders>
                    <w:tl2br w:val="nil"/>
                    <w:tr2bl w:val="nil"/>
                  </w:tcBorders>
                  <w:shd w:val="clear" w:color="auto" w:fill="auto"/>
                  <w:noWrap w:val="0"/>
                  <w:vAlign w:val="center"/>
                </w:tcPr>
                <w:p w14:paraId="5860C2FC">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kern w:val="2"/>
                      <w:sz w:val="21"/>
                      <w:szCs w:val="24"/>
                      <w:highlight w:val="none"/>
                      <w:u w:val="none" w:color="auto"/>
                      <w:lang w:val="en-US" w:eastAsia="zh-CN" w:bidi="ar-SA"/>
                    </w:rPr>
                    <w:t>废机油桶</w:t>
                  </w:r>
                </w:p>
              </w:tc>
              <w:tc>
                <w:tcPr>
                  <w:tcW w:w="970" w:type="pct"/>
                  <w:vMerge w:val="continue"/>
                  <w:tcBorders>
                    <w:tl2br w:val="nil"/>
                    <w:tr2bl w:val="nil"/>
                  </w:tcBorders>
                  <w:noWrap w:val="0"/>
                  <w:vAlign w:val="center"/>
                </w:tcPr>
                <w:p w14:paraId="322D466A">
                  <w:pPr>
                    <w:pStyle w:val="63"/>
                    <w:tabs>
                      <w:tab w:val="left" w:pos="1021"/>
                    </w:tabs>
                    <w:autoSpaceDE w:val="0"/>
                    <w:autoSpaceDN w:val="0"/>
                    <w:bidi w:val="0"/>
                    <w:jc w:val="center"/>
                    <w:rPr>
                      <w:rFonts w:hint="eastAsia"/>
                      <w:color w:val="auto"/>
                      <w:highlight w:val="none"/>
                      <w:u w:val="none" w:color="auto"/>
                      <w:lang w:val="en-US" w:eastAsia="zh-CN"/>
                    </w:rPr>
                  </w:pPr>
                </w:p>
              </w:tc>
              <w:tc>
                <w:tcPr>
                  <w:tcW w:w="1158" w:type="pct"/>
                  <w:vMerge w:val="continue"/>
                  <w:tcBorders>
                    <w:tl2br w:val="nil"/>
                    <w:tr2bl w:val="nil"/>
                  </w:tcBorders>
                  <w:noWrap w:val="0"/>
                  <w:vAlign w:val="center"/>
                </w:tcPr>
                <w:p w14:paraId="415FE9BD">
                  <w:pPr>
                    <w:pStyle w:val="63"/>
                    <w:tabs>
                      <w:tab w:val="left" w:pos="1021"/>
                    </w:tabs>
                    <w:autoSpaceDE w:val="0"/>
                    <w:autoSpaceDN w:val="0"/>
                    <w:bidi w:val="0"/>
                    <w:jc w:val="center"/>
                    <w:rPr>
                      <w:rFonts w:hint="eastAsia"/>
                      <w:color w:val="auto"/>
                      <w:highlight w:val="none"/>
                      <w:u w:val="none" w:color="auto"/>
                      <w:lang w:val="en-US" w:eastAsia="zh-CN"/>
                    </w:rPr>
                  </w:pPr>
                </w:p>
              </w:tc>
              <w:tc>
                <w:tcPr>
                  <w:tcW w:w="1158" w:type="pct"/>
                  <w:tcBorders>
                    <w:tl2br w:val="nil"/>
                    <w:tr2bl w:val="nil"/>
                  </w:tcBorders>
                  <w:noWrap w:val="0"/>
                  <w:vAlign w:val="center"/>
                </w:tcPr>
                <w:p w14:paraId="66374D1A">
                  <w:pPr>
                    <w:autoSpaceDE w:val="0"/>
                    <w:autoSpaceDN w:val="0"/>
                    <w:bidi w:val="0"/>
                    <w:jc w:val="center"/>
                    <w:rPr>
                      <w:rFonts w:hint="eastAsia"/>
                      <w:color w:val="auto"/>
                      <w:highlight w:val="none"/>
                      <w:u w:val="none" w:color="auto"/>
                      <w:lang w:val="en-US" w:eastAsia="zh-CN"/>
                    </w:rPr>
                  </w:pPr>
                  <w:r>
                    <w:rPr>
                      <w:rFonts w:hint="eastAsia" w:ascii="Times New Roman" w:hAnsi="Times New Roman" w:cs="Times New Roman"/>
                      <w:color w:val="auto"/>
                      <w:kern w:val="2"/>
                      <w:sz w:val="21"/>
                      <w:szCs w:val="21"/>
                      <w:highlight w:val="none"/>
                      <w:u w:val="none" w:color="auto"/>
                      <w:lang w:val="en-US" w:eastAsia="zh-CN" w:bidi="ar-SA"/>
                    </w:rPr>
                    <w:t>无变化</w:t>
                  </w:r>
                </w:p>
              </w:tc>
            </w:tr>
            <w:tr w14:paraId="28E5EC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254" w:type="pct"/>
                  <w:vMerge w:val="continue"/>
                  <w:tcBorders>
                    <w:tl2br w:val="nil"/>
                    <w:tr2bl w:val="nil"/>
                  </w:tcBorders>
                  <w:noWrap w:val="0"/>
                  <w:vAlign w:val="center"/>
                </w:tcPr>
                <w:p w14:paraId="02846494">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spacing w:val="-1"/>
                      <w:sz w:val="21"/>
                      <w:szCs w:val="21"/>
                      <w:highlight w:val="none"/>
                      <w:u w:val="none" w:color="auto"/>
                      <w:lang w:val="en-US" w:eastAsia="zh-CN"/>
                    </w:rPr>
                  </w:pPr>
                </w:p>
              </w:tc>
              <w:tc>
                <w:tcPr>
                  <w:tcW w:w="606" w:type="pct"/>
                  <w:gridSpan w:val="2"/>
                  <w:tcBorders>
                    <w:tl2br w:val="nil"/>
                    <w:tr2bl w:val="nil"/>
                  </w:tcBorders>
                  <w:shd w:val="clear" w:color="auto" w:fill="auto"/>
                  <w:noWrap w:val="0"/>
                  <w:vAlign w:val="center"/>
                </w:tcPr>
                <w:p w14:paraId="018B339A">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员工</w:t>
                  </w:r>
                </w:p>
              </w:tc>
              <w:tc>
                <w:tcPr>
                  <w:tcW w:w="852" w:type="pct"/>
                  <w:tcBorders>
                    <w:tl2br w:val="nil"/>
                    <w:tr2bl w:val="nil"/>
                  </w:tcBorders>
                  <w:shd w:val="clear" w:color="auto" w:fill="auto"/>
                  <w:noWrap w:val="0"/>
                  <w:vAlign w:val="center"/>
                </w:tcPr>
                <w:p w14:paraId="4268DC2E">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生活垃圾</w:t>
                  </w:r>
                </w:p>
              </w:tc>
              <w:tc>
                <w:tcPr>
                  <w:tcW w:w="970" w:type="pct"/>
                  <w:tcBorders>
                    <w:tl2br w:val="nil"/>
                    <w:tr2bl w:val="nil"/>
                  </w:tcBorders>
                  <w:noWrap w:val="0"/>
                  <w:vAlign w:val="center"/>
                </w:tcPr>
                <w:p w14:paraId="179D3A38">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3"/>
                      <w:sz w:val="21"/>
                      <w:szCs w:val="21"/>
                      <w:highlight w:val="none"/>
                      <w:u w:val="none" w:color="auto"/>
                    </w:rPr>
                  </w:pPr>
                  <w:r>
                    <w:rPr>
                      <w:rFonts w:hint="default" w:ascii="Times New Roman" w:hAnsi="Times New Roman" w:eastAsia="宋体" w:cs="Times New Roman"/>
                      <w:color w:val="auto"/>
                      <w:spacing w:val="4"/>
                      <w:sz w:val="21"/>
                      <w:szCs w:val="21"/>
                      <w:highlight w:val="none"/>
                      <w:u w:val="none" w:color="auto"/>
                    </w:rPr>
                    <w:t>分类收集，环卫部门统一清</w:t>
                  </w:r>
                  <w:r>
                    <w:rPr>
                      <w:rFonts w:hint="default" w:ascii="Times New Roman" w:hAnsi="Times New Roman" w:eastAsia="宋体" w:cs="Times New Roman"/>
                      <w:color w:val="auto"/>
                      <w:sz w:val="21"/>
                      <w:szCs w:val="21"/>
                      <w:highlight w:val="none"/>
                      <w:u w:val="none" w:color="auto"/>
                    </w:rPr>
                    <w:t>运</w:t>
                  </w:r>
                </w:p>
              </w:tc>
              <w:tc>
                <w:tcPr>
                  <w:tcW w:w="1936" w:type="dxa"/>
                  <w:tcBorders>
                    <w:tl2br w:val="nil"/>
                    <w:tr2bl w:val="nil"/>
                  </w:tcBorders>
                  <w:noWrap w:val="0"/>
                  <w:vAlign w:val="center"/>
                </w:tcPr>
                <w:p w14:paraId="23B6A2E1">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4"/>
                      <w:sz w:val="21"/>
                      <w:szCs w:val="21"/>
                      <w:highlight w:val="none"/>
                      <w:u w:val="none" w:color="auto"/>
                    </w:rPr>
                  </w:pPr>
                  <w:r>
                    <w:rPr>
                      <w:rFonts w:hint="default" w:ascii="Times New Roman" w:hAnsi="Times New Roman" w:eastAsia="宋体" w:cs="Times New Roman"/>
                      <w:color w:val="auto"/>
                      <w:spacing w:val="4"/>
                      <w:sz w:val="21"/>
                      <w:szCs w:val="21"/>
                      <w:highlight w:val="none"/>
                      <w:u w:val="none" w:color="auto"/>
                    </w:rPr>
                    <w:t>分类收集，环卫部门统一清</w:t>
                  </w:r>
                  <w:r>
                    <w:rPr>
                      <w:rFonts w:hint="default" w:ascii="Times New Roman" w:hAnsi="Times New Roman" w:eastAsia="宋体" w:cs="Times New Roman"/>
                      <w:color w:val="auto"/>
                      <w:sz w:val="21"/>
                      <w:szCs w:val="21"/>
                      <w:highlight w:val="none"/>
                      <w:u w:val="none" w:color="auto"/>
                    </w:rPr>
                    <w:t>运</w:t>
                  </w:r>
                </w:p>
              </w:tc>
              <w:tc>
                <w:tcPr>
                  <w:tcW w:w="1158" w:type="pct"/>
                  <w:tcBorders>
                    <w:tl2br w:val="nil"/>
                    <w:tr2bl w:val="nil"/>
                  </w:tcBorders>
                  <w:noWrap w:val="0"/>
                  <w:vAlign w:val="center"/>
                </w:tcPr>
                <w:p w14:paraId="6877E511">
                  <w:pPr>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4"/>
                      <w:sz w:val="21"/>
                      <w:szCs w:val="21"/>
                      <w:highlight w:val="none"/>
                      <w:u w:val="none" w:color="auto"/>
                    </w:rPr>
                  </w:pPr>
                  <w:r>
                    <w:rPr>
                      <w:rFonts w:hint="eastAsia" w:ascii="Times New Roman" w:hAnsi="Times New Roman" w:cs="Times New Roman"/>
                      <w:color w:val="auto"/>
                      <w:kern w:val="2"/>
                      <w:sz w:val="21"/>
                      <w:szCs w:val="21"/>
                      <w:highlight w:val="none"/>
                      <w:u w:val="none" w:color="auto"/>
                      <w:lang w:val="en-US" w:eastAsia="zh-CN" w:bidi="ar-SA"/>
                    </w:rPr>
                    <w:t>无变化</w:t>
                  </w:r>
                </w:p>
              </w:tc>
            </w:tr>
          </w:tbl>
          <w:p w14:paraId="35A152AC">
            <w:pPr>
              <w:adjustRightInd w:val="0"/>
              <w:snapToGrid w:val="0"/>
              <w:spacing w:line="360" w:lineRule="auto"/>
              <w:rPr>
                <w:rFonts w:hint="default" w:ascii="Times New Roman" w:hAnsi="Times New Roman" w:cs="Times New Roman"/>
                <w:color w:val="auto"/>
                <w:sz w:val="28"/>
                <w:szCs w:val="28"/>
                <w:highlight w:val="none"/>
              </w:rPr>
            </w:pPr>
          </w:p>
        </w:tc>
      </w:tr>
      <w:tr w14:paraId="72EFF8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122" w:hRule="atLeast"/>
          <w:jc w:val="center"/>
        </w:trPr>
        <w:tc>
          <w:tcPr>
            <w:tcW w:w="156" w:type="pct"/>
            <w:shd w:val="clear" w:color="auto" w:fill="auto"/>
            <w:noWrap w:val="0"/>
            <w:vAlign w:val="center"/>
          </w:tcPr>
          <w:p w14:paraId="0CA86298">
            <w:pPr>
              <w:pStyle w:val="28"/>
              <w:adjustRightInd w:val="0"/>
              <w:snapToGrid w:val="0"/>
              <w:spacing w:before="0" w:beforeAutospacing="0" w:after="0" w:afterAutospacing="0" w:line="36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bCs/>
                <w:color w:val="auto"/>
                <w:kern w:val="2"/>
                <w:szCs w:val="24"/>
                <w:highlight w:val="none"/>
              </w:rPr>
              <w:t>与项目有关的原有环境污染问题</w:t>
            </w:r>
          </w:p>
        </w:tc>
        <w:tc>
          <w:tcPr>
            <w:tcW w:w="4843" w:type="pct"/>
            <w:noWrap w:val="0"/>
            <w:vAlign w:val="top"/>
          </w:tcPr>
          <w:p w14:paraId="0D3C012E">
            <w:pPr>
              <w:widowControl/>
              <w:snapToGrid w:val="0"/>
              <w:spacing w:line="360" w:lineRule="auto"/>
              <w:jc w:val="left"/>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b/>
                <w:color w:val="auto"/>
                <w:kern w:val="0"/>
                <w:sz w:val="24"/>
                <w:szCs w:val="24"/>
              </w:rPr>
              <w:t>一、</w:t>
            </w:r>
            <w:r>
              <w:rPr>
                <w:rFonts w:hint="eastAsia" w:cs="Times New Roman"/>
                <w:b/>
                <w:color w:val="auto"/>
                <w:kern w:val="0"/>
                <w:sz w:val="24"/>
                <w:szCs w:val="24"/>
                <w:lang w:val="en-US" w:eastAsia="zh-CN"/>
              </w:rPr>
              <w:t>变动前</w:t>
            </w:r>
            <w:r>
              <w:rPr>
                <w:rFonts w:hint="default" w:ascii="Times New Roman" w:hAnsi="Times New Roman" w:eastAsia="宋体" w:cs="Times New Roman"/>
                <w:b/>
                <w:color w:val="auto"/>
                <w:kern w:val="0"/>
                <w:sz w:val="24"/>
                <w:szCs w:val="24"/>
              </w:rPr>
              <w:t>项目基本情况</w:t>
            </w:r>
          </w:p>
          <w:p w14:paraId="6862DB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kern w:val="21"/>
                <w:sz w:val="24"/>
                <w:lang w:val="en-US" w:eastAsia="zh-CN"/>
              </w:rPr>
            </w:pPr>
            <w:r>
              <w:rPr>
                <w:rFonts w:hint="eastAsia"/>
                <w:color w:val="auto"/>
                <w:kern w:val="21"/>
                <w:sz w:val="24"/>
                <w:u w:val="none"/>
                <w:lang w:val="en-US" w:eastAsia="zh-CN"/>
              </w:rPr>
              <w:t>岳阳县长富钢瓶检测厂新墙分厂变动前选址于岳阳县新墙镇老街居委会（原401地质勘探队院内），租赁湖南湘阳食品有限公司闲置厂房建设的年处置 12 万只报废液化石油气钢瓶项目，项目拟投资160万元，占地面积1250m</w:t>
            </w:r>
            <w:r>
              <w:rPr>
                <w:rFonts w:hint="eastAsia"/>
                <w:color w:val="auto"/>
                <w:kern w:val="21"/>
                <w:sz w:val="24"/>
                <w:u w:val="none"/>
                <w:vertAlign w:val="superscript"/>
                <w:lang w:val="en-US" w:eastAsia="zh-CN"/>
              </w:rPr>
              <w:t>2</w:t>
            </w:r>
            <w:r>
              <w:rPr>
                <w:rFonts w:hint="eastAsia"/>
                <w:color w:val="auto"/>
                <w:kern w:val="21"/>
                <w:sz w:val="24"/>
                <w:u w:val="none"/>
                <w:lang w:val="en-US" w:eastAsia="zh-CN"/>
              </w:rPr>
              <w:t>，已于2026</w:t>
            </w:r>
            <w:r>
              <w:rPr>
                <w:rFonts w:hint="eastAsia"/>
                <w:color w:val="auto"/>
                <w:kern w:val="21"/>
                <w:sz w:val="24"/>
                <w:u w:val="single"/>
                <w:lang w:val="en-US" w:eastAsia="zh-CN"/>
              </w:rPr>
              <w:t>年1月13日取得环境影响报告表审批意见（岳县环评【2026】1号）；该项目于2026年1月开工建设，生产设备已安装完成，尚未正式投入运营，未开展排污、应急及竣工验收等相关工作。</w:t>
            </w:r>
          </w:p>
          <w:p w14:paraId="5442595D">
            <w:pPr>
              <w:spacing w:line="360" w:lineRule="auto"/>
              <w:ind w:left="0" w:leftChars="0" w:firstLine="0" w:firstLineChars="0"/>
              <w:rPr>
                <w:rFonts w:hint="default"/>
                <w:b/>
                <w:bCs/>
                <w:color w:val="auto"/>
                <w:sz w:val="24"/>
                <w:szCs w:val="24"/>
                <w:lang w:val="en-US"/>
              </w:rPr>
            </w:pPr>
            <w:r>
              <w:rPr>
                <w:rFonts w:hint="eastAsia"/>
                <w:b/>
                <w:bCs/>
                <w:color w:val="auto"/>
                <w:sz w:val="24"/>
                <w:szCs w:val="24"/>
                <w:lang w:val="en-US" w:eastAsia="zh-CN"/>
              </w:rPr>
              <w:t>二、</w:t>
            </w:r>
            <w:r>
              <w:rPr>
                <w:rFonts w:hint="eastAsia" w:cs="Times New Roman"/>
                <w:b/>
                <w:color w:val="auto"/>
                <w:kern w:val="0"/>
                <w:sz w:val="24"/>
                <w:szCs w:val="24"/>
                <w:lang w:val="en-US" w:eastAsia="zh-CN"/>
              </w:rPr>
              <w:t>变动前</w:t>
            </w:r>
            <w:r>
              <w:rPr>
                <w:rFonts w:hint="eastAsia"/>
                <w:b/>
                <w:bCs/>
                <w:color w:val="auto"/>
                <w:sz w:val="24"/>
                <w:szCs w:val="24"/>
                <w:lang w:val="en-US" w:eastAsia="zh-CN"/>
              </w:rPr>
              <w:t>项目工程内容</w:t>
            </w:r>
          </w:p>
          <w:p w14:paraId="4BD56088">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表2</w:t>
            </w:r>
            <w:r>
              <w:rPr>
                <w:rFonts w:hint="eastAsia" w:cs="Times New Roman"/>
                <w:b/>
                <w:color w:val="auto"/>
                <w:sz w:val="21"/>
                <w:szCs w:val="21"/>
                <w:lang w:val="en-US" w:eastAsia="zh-CN"/>
              </w:rPr>
              <w:t>-8  变动前</w:t>
            </w:r>
            <w:r>
              <w:rPr>
                <w:rFonts w:hint="default" w:ascii="Times New Roman" w:hAnsi="Times New Roman" w:eastAsia="宋体" w:cs="Times New Roman"/>
                <w:b/>
                <w:color w:val="auto"/>
                <w:kern w:val="0"/>
                <w:sz w:val="21"/>
                <w:szCs w:val="21"/>
              </w:rPr>
              <w:t>项目</w:t>
            </w:r>
            <w:r>
              <w:rPr>
                <w:rFonts w:hint="default" w:ascii="Times New Roman" w:hAnsi="Times New Roman" w:eastAsia="宋体" w:cs="Times New Roman"/>
                <w:b/>
                <w:color w:val="auto"/>
                <w:sz w:val="21"/>
                <w:szCs w:val="21"/>
              </w:rPr>
              <w:t>主要建设工程组成一览表</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15"/>
              <w:gridCol w:w="736"/>
              <w:gridCol w:w="1199"/>
              <w:gridCol w:w="5106"/>
            </w:tblGrid>
            <w:tr w14:paraId="4D2B8E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0" w:hRule="atLeast"/>
              </w:trPr>
              <w:tc>
                <w:tcPr>
                  <w:tcW w:w="787" w:type="pct"/>
                  <w:tcBorders>
                    <w:tl2br w:val="nil"/>
                    <w:tr2bl w:val="nil"/>
                  </w:tcBorders>
                  <w:noWrap w:val="0"/>
                  <w:vAlign w:val="center"/>
                </w:tcPr>
                <w:p w14:paraId="5E3BAF48">
                  <w:pPr>
                    <w:pStyle w:val="63"/>
                    <w:tabs>
                      <w:tab w:val="left" w:pos="1021"/>
                    </w:tabs>
                    <w:bidi w:val="0"/>
                    <w:jc w:val="center"/>
                    <w:rPr>
                      <w:rFonts w:hint="default"/>
                      <w:b/>
                      <w:bCs/>
                      <w:color w:val="auto"/>
                      <w:highlight w:val="none"/>
                      <w:u w:val="none" w:color="auto"/>
                      <w:lang w:val="en-US" w:eastAsia="zh-CN"/>
                    </w:rPr>
                  </w:pPr>
                  <w:r>
                    <w:rPr>
                      <w:rFonts w:hint="default"/>
                      <w:b/>
                      <w:bCs/>
                      <w:color w:val="auto"/>
                      <w:highlight w:val="none"/>
                      <w:u w:val="none" w:color="auto"/>
                      <w:lang w:val="en-US" w:eastAsia="zh-CN"/>
                    </w:rPr>
                    <w:t>类别</w:t>
                  </w:r>
                </w:p>
              </w:tc>
              <w:tc>
                <w:tcPr>
                  <w:tcW w:w="1157" w:type="pct"/>
                  <w:gridSpan w:val="2"/>
                  <w:tcBorders>
                    <w:tl2br w:val="nil"/>
                    <w:tr2bl w:val="nil"/>
                  </w:tcBorders>
                  <w:noWrap w:val="0"/>
                  <w:vAlign w:val="center"/>
                </w:tcPr>
                <w:p w14:paraId="1696E785">
                  <w:pPr>
                    <w:pStyle w:val="63"/>
                    <w:tabs>
                      <w:tab w:val="left" w:pos="1021"/>
                    </w:tabs>
                    <w:bidi w:val="0"/>
                    <w:jc w:val="center"/>
                    <w:rPr>
                      <w:rFonts w:hint="default"/>
                      <w:b/>
                      <w:bCs/>
                      <w:color w:val="auto"/>
                      <w:highlight w:val="none"/>
                      <w:u w:val="none" w:color="auto"/>
                      <w:lang w:val="en-US" w:eastAsia="zh-CN"/>
                    </w:rPr>
                  </w:pPr>
                  <w:r>
                    <w:rPr>
                      <w:rFonts w:hint="default"/>
                      <w:b/>
                      <w:bCs/>
                      <w:color w:val="auto"/>
                      <w:highlight w:val="none"/>
                      <w:u w:val="none" w:color="auto"/>
                      <w:lang w:val="en-US" w:eastAsia="zh-CN"/>
                    </w:rPr>
                    <w:t>名称</w:t>
                  </w:r>
                </w:p>
              </w:tc>
              <w:tc>
                <w:tcPr>
                  <w:tcW w:w="3054" w:type="pct"/>
                  <w:tcBorders>
                    <w:tl2br w:val="nil"/>
                    <w:tr2bl w:val="nil"/>
                  </w:tcBorders>
                  <w:noWrap w:val="0"/>
                  <w:vAlign w:val="center"/>
                </w:tcPr>
                <w:p w14:paraId="604A5604">
                  <w:pPr>
                    <w:pStyle w:val="63"/>
                    <w:tabs>
                      <w:tab w:val="left" w:pos="1021"/>
                    </w:tabs>
                    <w:bidi w:val="0"/>
                    <w:jc w:val="center"/>
                    <w:rPr>
                      <w:rFonts w:hint="default"/>
                      <w:b/>
                      <w:bCs/>
                      <w:color w:val="auto"/>
                      <w:highlight w:val="none"/>
                      <w:u w:val="none" w:color="auto"/>
                      <w:lang w:val="en-US" w:eastAsia="zh-CN"/>
                    </w:rPr>
                  </w:pPr>
                  <w:r>
                    <w:rPr>
                      <w:rFonts w:hint="default"/>
                      <w:b/>
                      <w:bCs/>
                      <w:color w:val="auto"/>
                      <w:highlight w:val="none"/>
                      <w:u w:val="none" w:color="auto"/>
                      <w:lang w:val="en-US" w:eastAsia="zh-CN"/>
                    </w:rPr>
                    <w:t>建设内容与规模</w:t>
                  </w:r>
                </w:p>
              </w:tc>
            </w:tr>
            <w:tr w14:paraId="6BC5B1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87" w:type="pct"/>
                  <w:vMerge w:val="restart"/>
                  <w:tcBorders>
                    <w:tl2br w:val="nil"/>
                    <w:tr2bl w:val="nil"/>
                  </w:tcBorders>
                  <w:noWrap w:val="0"/>
                  <w:vAlign w:val="center"/>
                </w:tcPr>
                <w:p w14:paraId="51979876">
                  <w:pPr>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主体工程</w:t>
                  </w:r>
                </w:p>
              </w:tc>
              <w:tc>
                <w:tcPr>
                  <w:tcW w:w="440" w:type="pct"/>
                  <w:vMerge w:val="restart"/>
                  <w:tcBorders>
                    <w:tl2br w:val="nil"/>
                    <w:tr2bl w:val="nil"/>
                  </w:tcBorders>
                  <w:noWrap w:val="0"/>
                  <w:vAlign w:val="center"/>
                </w:tcPr>
                <w:p w14:paraId="54182613">
                  <w:pPr>
                    <w:bidi w:val="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生产区</w:t>
                  </w:r>
                </w:p>
              </w:tc>
              <w:tc>
                <w:tcPr>
                  <w:tcW w:w="716" w:type="pct"/>
                  <w:tcBorders>
                    <w:tl2br w:val="nil"/>
                    <w:tr2bl w:val="nil"/>
                  </w:tcBorders>
                  <w:noWrap w:val="0"/>
                  <w:vAlign w:val="center"/>
                </w:tcPr>
                <w:p w14:paraId="5204F6BE">
                  <w:pPr>
                    <w:bidi w:val="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抽残液区</w:t>
                  </w:r>
                </w:p>
              </w:tc>
              <w:tc>
                <w:tcPr>
                  <w:tcW w:w="3054" w:type="pct"/>
                  <w:tcBorders>
                    <w:tl2br w:val="nil"/>
                    <w:tr2bl w:val="nil"/>
                  </w:tcBorders>
                  <w:noWrap w:val="0"/>
                  <w:vAlign w:val="center"/>
                </w:tcPr>
                <w:p w14:paraId="1160955B">
                  <w:pPr>
                    <w:bidi w:val="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1F，</w:t>
                  </w:r>
                  <w:r>
                    <w:rPr>
                      <w:rFonts w:hint="default" w:ascii="Times New Roman" w:hAnsi="Times New Roman" w:eastAsia="宋体" w:cs="Times New Roman"/>
                      <w:color w:val="auto"/>
                      <w:highlight w:val="none"/>
                      <w:u w:val="none" w:color="auto"/>
                      <w:lang w:val="en-US" w:eastAsia="zh-CN"/>
                    </w:rPr>
                    <w:t>建筑面积</w:t>
                  </w:r>
                  <w:r>
                    <w:rPr>
                      <w:rFonts w:hint="eastAsia" w:ascii="Times New Roman" w:hAnsi="Times New Roman" w:eastAsia="宋体" w:cs="Times New Roman"/>
                      <w:color w:val="auto"/>
                      <w:highlight w:val="none"/>
                      <w:u w:val="none" w:color="auto"/>
                      <w:lang w:val="en-US" w:eastAsia="zh-CN"/>
                    </w:rPr>
                    <w:t>为150</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eastAsia" w:eastAsia="宋体" w:cs="Times New Roman"/>
                      <w:color w:val="auto"/>
                      <w:sz w:val="24"/>
                      <w:szCs w:val="32"/>
                      <w:highlight w:val="none"/>
                      <w:u w:val="none" w:color="auto"/>
                      <w:vertAlign w:val="baseline"/>
                      <w:lang w:val="en-US" w:eastAsia="zh-CN"/>
                    </w:rPr>
                    <w:t>，</w:t>
                  </w:r>
                  <w:r>
                    <w:rPr>
                      <w:rFonts w:hint="eastAsia" w:cs="Times New Roman"/>
                      <w:color w:val="auto"/>
                      <w:highlight w:val="none"/>
                      <w:u w:val="none" w:color="auto"/>
                      <w:lang w:val="en-US" w:eastAsia="zh-CN"/>
                    </w:rPr>
                    <w:t>位于厂区南侧，主要用于抽残液</w:t>
                  </w:r>
                </w:p>
              </w:tc>
            </w:tr>
            <w:tr w14:paraId="3CEDFF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 w:hRule="atLeast"/>
              </w:trPr>
              <w:tc>
                <w:tcPr>
                  <w:tcW w:w="787" w:type="pct"/>
                  <w:vMerge w:val="continue"/>
                  <w:tcBorders>
                    <w:tl2br w:val="nil"/>
                    <w:tr2bl w:val="nil"/>
                  </w:tcBorders>
                  <w:noWrap w:val="0"/>
                  <w:vAlign w:val="center"/>
                </w:tcPr>
                <w:p w14:paraId="73D836D9">
                  <w:pPr>
                    <w:bidi w:val="0"/>
                    <w:jc w:val="center"/>
                    <w:rPr>
                      <w:rFonts w:hint="default" w:ascii="Times New Roman" w:hAnsi="Times New Roman" w:cs="Times New Roman"/>
                      <w:color w:val="auto"/>
                      <w:highlight w:val="none"/>
                      <w:u w:val="none" w:color="auto"/>
                      <w:lang w:val="en-US" w:eastAsia="zh-CN"/>
                    </w:rPr>
                  </w:pPr>
                </w:p>
              </w:tc>
              <w:tc>
                <w:tcPr>
                  <w:tcW w:w="440" w:type="pct"/>
                  <w:vMerge w:val="continue"/>
                  <w:tcBorders>
                    <w:tl2br w:val="nil"/>
                    <w:tr2bl w:val="nil"/>
                  </w:tcBorders>
                  <w:noWrap w:val="0"/>
                  <w:vAlign w:val="center"/>
                </w:tcPr>
                <w:p w14:paraId="136528ED">
                  <w:pPr>
                    <w:bidi w:val="0"/>
                    <w:jc w:val="center"/>
                    <w:rPr>
                      <w:rFonts w:hint="default" w:cs="Times New Roman"/>
                      <w:color w:val="auto"/>
                      <w:highlight w:val="none"/>
                      <w:u w:val="none" w:color="auto"/>
                      <w:lang w:val="en-US" w:eastAsia="zh-CN"/>
                    </w:rPr>
                  </w:pPr>
                </w:p>
              </w:tc>
              <w:tc>
                <w:tcPr>
                  <w:tcW w:w="716" w:type="pct"/>
                  <w:tcBorders>
                    <w:tl2br w:val="nil"/>
                    <w:tr2bl w:val="nil"/>
                  </w:tcBorders>
                  <w:noWrap w:val="0"/>
                  <w:vAlign w:val="center"/>
                </w:tcPr>
                <w:p w14:paraId="4EEC538B">
                  <w:pPr>
                    <w:bidi w:val="0"/>
                    <w:jc w:val="center"/>
                    <w:rPr>
                      <w:rFonts w:hint="default" w:cs="Times New Roman"/>
                      <w:color w:val="auto"/>
                      <w:highlight w:val="none"/>
                      <w:u w:val="none" w:color="auto"/>
                      <w:lang w:val="en-US" w:eastAsia="zh-CN"/>
                    </w:rPr>
                  </w:pPr>
                  <w:r>
                    <w:rPr>
                      <w:rFonts w:hint="eastAsia" w:cs="Times New Roman"/>
                      <w:color w:val="auto"/>
                      <w:highlight w:val="none"/>
                      <w:u w:val="none" w:color="auto"/>
                      <w:lang w:val="en-US" w:eastAsia="zh-CN"/>
                    </w:rPr>
                    <w:t>拆卸瓶阀区</w:t>
                  </w:r>
                </w:p>
              </w:tc>
              <w:tc>
                <w:tcPr>
                  <w:tcW w:w="3054" w:type="pct"/>
                  <w:tcBorders>
                    <w:tl2br w:val="nil"/>
                    <w:tr2bl w:val="nil"/>
                  </w:tcBorders>
                  <w:noWrap w:val="0"/>
                  <w:vAlign w:val="center"/>
                </w:tcPr>
                <w:p w14:paraId="43211548">
                  <w:pPr>
                    <w:bidi w:val="0"/>
                    <w:jc w:val="center"/>
                    <w:rPr>
                      <w:rFonts w:hint="default" w:asci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1F，</w:t>
                  </w:r>
                  <w:r>
                    <w:rPr>
                      <w:rFonts w:hint="default" w:ascii="Times New Roman" w:hAnsi="Times New Roman" w:eastAsia="宋体" w:cs="Times New Roman"/>
                      <w:color w:val="auto"/>
                      <w:highlight w:val="none"/>
                      <w:u w:val="none" w:color="auto"/>
                      <w:lang w:val="en-US" w:eastAsia="zh-CN"/>
                    </w:rPr>
                    <w:t>建筑面积</w:t>
                  </w:r>
                  <w:r>
                    <w:rPr>
                      <w:rFonts w:hint="eastAsia" w:cs="Times New Roman"/>
                      <w:color w:val="auto"/>
                      <w:highlight w:val="none"/>
                      <w:u w:val="none" w:color="auto"/>
                      <w:lang w:val="en-US" w:eastAsia="zh-CN"/>
                    </w:rPr>
                    <w:t>为200</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eastAsia" w:eastAsia="宋体" w:cs="Times New Roman"/>
                      <w:color w:val="auto"/>
                      <w:sz w:val="24"/>
                      <w:szCs w:val="32"/>
                      <w:highlight w:val="none"/>
                      <w:u w:val="none" w:color="auto"/>
                      <w:vertAlign w:val="baseline"/>
                      <w:lang w:val="en-US" w:eastAsia="zh-CN"/>
                    </w:rPr>
                    <w:t>，</w:t>
                  </w:r>
                  <w:r>
                    <w:rPr>
                      <w:rFonts w:hint="default" w:ascii="Times New Roman" w:hAnsi="Times New Roman" w:eastAsia="宋体" w:cs="Times New Roman"/>
                      <w:color w:val="auto"/>
                      <w:highlight w:val="none"/>
                      <w:u w:val="none" w:color="auto"/>
                      <w:lang w:val="en-US" w:eastAsia="zh-CN"/>
                    </w:rPr>
                    <w:t>位于厂区</w:t>
                  </w:r>
                  <w:r>
                    <w:rPr>
                      <w:rFonts w:hint="eastAsia" w:cs="Times New Roman"/>
                      <w:color w:val="auto"/>
                      <w:highlight w:val="none"/>
                      <w:u w:val="none" w:color="auto"/>
                      <w:lang w:val="en-US" w:eastAsia="zh-CN"/>
                    </w:rPr>
                    <w:t>东北</w:t>
                  </w:r>
                  <w:r>
                    <w:rPr>
                      <w:rFonts w:hint="default" w:ascii="Times New Roman" w:hAnsi="Times New Roman" w:eastAsia="宋体" w:cs="Times New Roman"/>
                      <w:color w:val="auto"/>
                      <w:highlight w:val="none"/>
                      <w:u w:val="none" w:color="auto"/>
                      <w:lang w:val="en-US" w:eastAsia="zh-CN"/>
                    </w:rPr>
                    <w:t>侧</w:t>
                  </w:r>
                  <w:r>
                    <w:rPr>
                      <w:rFonts w:hint="eastAsia" w:eastAsia="宋体" w:cs="Times New Roman"/>
                      <w:color w:val="auto"/>
                      <w:highlight w:val="none"/>
                      <w:u w:val="none" w:color="auto"/>
                      <w:lang w:val="en-US" w:eastAsia="zh-CN"/>
                    </w:rPr>
                    <w:t>，</w:t>
                  </w:r>
                  <w:r>
                    <w:rPr>
                      <w:rFonts w:hint="default" w:ascii="Times New Roman" w:hAnsi="Times New Roman" w:eastAsia="宋体" w:cs="Times New Roman"/>
                      <w:color w:val="auto"/>
                      <w:highlight w:val="none"/>
                      <w:u w:val="none" w:color="auto"/>
                      <w:lang w:val="en-US" w:eastAsia="zh-CN"/>
                    </w:rPr>
                    <w:t>主要用于</w:t>
                  </w:r>
                  <w:r>
                    <w:rPr>
                      <w:rFonts w:hint="eastAsia" w:cs="Times New Roman"/>
                      <w:color w:val="auto"/>
                      <w:highlight w:val="none"/>
                      <w:u w:val="none" w:color="auto"/>
                      <w:lang w:val="en-US" w:eastAsia="zh-CN"/>
                    </w:rPr>
                    <w:t>报废液化石油气钢瓶</w:t>
                  </w:r>
                </w:p>
              </w:tc>
            </w:tr>
            <w:tr w14:paraId="6D989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87" w:type="pct"/>
                  <w:vMerge w:val="continue"/>
                  <w:tcBorders>
                    <w:tl2br w:val="nil"/>
                    <w:tr2bl w:val="nil"/>
                  </w:tcBorders>
                  <w:noWrap w:val="0"/>
                  <w:vAlign w:val="center"/>
                </w:tcPr>
                <w:p w14:paraId="72CC2382">
                  <w:pPr>
                    <w:bidi w:val="0"/>
                    <w:jc w:val="center"/>
                    <w:rPr>
                      <w:color w:val="auto"/>
                      <w:highlight w:val="none"/>
                      <w:u w:val="none" w:color="auto"/>
                    </w:rPr>
                  </w:pPr>
                </w:p>
              </w:tc>
              <w:tc>
                <w:tcPr>
                  <w:tcW w:w="440" w:type="pct"/>
                  <w:vMerge w:val="continue"/>
                  <w:tcBorders>
                    <w:tl2br w:val="nil"/>
                    <w:tr2bl w:val="nil"/>
                  </w:tcBorders>
                  <w:noWrap w:val="0"/>
                  <w:vAlign w:val="center"/>
                </w:tcPr>
                <w:p w14:paraId="7375C6FA">
                  <w:pPr>
                    <w:bidi w:val="0"/>
                    <w:jc w:val="center"/>
                    <w:rPr>
                      <w:color w:val="auto"/>
                      <w:highlight w:val="none"/>
                      <w:u w:val="none" w:color="auto"/>
                    </w:rPr>
                  </w:pPr>
                </w:p>
              </w:tc>
              <w:tc>
                <w:tcPr>
                  <w:tcW w:w="716" w:type="pct"/>
                  <w:tcBorders>
                    <w:tl2br w:val="nil"/>
                    <w:tr2bl w:val="nil"/>
                  </w:tcBorders>
                  <w:noWrap w:val="0"/>
                  <w:vAlign w:val="center"/>
                </w:tcPr>
                <w:p w14:paraId="3CAC980C">
                  <w:pPr>
                    <w:bidi w:val="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焚烧区</w:t>
                  </w:r>
                </w:p>
              </w:tc>
              <w:tc>
                <w:tcPr>
                  <w:tcW w:w="3054" w:type="pct"/>
                  <w:tcBorders>
                    <w:tl2br w:val="nil"/>
                    <w:tr2bl w:val="nil"/>
                  </w:tcBorders>
                  <w:noWrap w:val="0"/>
                  <w:vAlign w:val="center"/>
                </w:tcPr>
                <w:p w14:paraId="3BB51343">
                  <w:pPr>
                    <w:bidi w:val="0"/>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1F，</w:t>
                  </w:r>
                  <w:r>
                    <w:rPr>
                      <w:rFonts w:hint="eastAsia"/>
                      <w:color w:val="auto"/>
                      <w:szCs w:val="21"/>
                      <w:highlight w:val="none"/>
                      <w:u w:val="none" w:color="auto"/>
                    </w:rPr>
                    <w:t>位于厂区</w:t>
                  </w:r>
                  <w:r>
                    <w:rPr>
                      <w:rFonts w:hint="eastAsia"/>
                      <w:color w:val="auto"/>
                      <w:szCs w:val="21"/>
                      <w:highlight w:val="none"/>
                      <w:u w:val="none" w:color="auto"/>
                      <w:lang w:val="en-US" w:eastAsia="zh-CN"/>
                    </w:rPr>
                    <w:t>南</w:t>
                  </w:r>
                  <w:r>
                    <w:rPr>
                      <w:rFonts w:hint="eastAsia"/>
                      <w:color w:val="auto"/>
                      <w:szCs w:val="21"/>
                      <w:highlight w:val="none"/>
                      <w:u w:val="none" w:color="auto"/>
                    </w:rPr>
                    <w:t>侧，</w:t>
                  </w:r>
                  <w:r>
                    <w:rPr>
                      <w:bCs/>
                      <w:color w:val="auto"/>
                      <w:szCs w:val="21"/>
                      <w:highlight w:val="none"/>
                      <w:u w:val="none" w:color="auto"/>
                    </w:rPr>
                    <w:t>设置</w:t>
                  </w:r>
                  <w:r>
                    <w:rPr>
                      <w:rFonts w:hint="eastAsia"/>
                      <w:bCs/>
                      <w:color w:val="auto"/>
                      <w:szCs w:val="21"/>
                      <w:highlight w:val="none"/>
                      <w:u w:val="none" w:color="auto"/>
                      <w:lang w:val="en-US" w:eastAsia="zh-CN"/>
                    </w:rPr>
                    <w:t>2</w:t>
                  </w:r>
                  <w:r>
                    <w:rPr>
                      <w:bCs/>
                      <w:color w:val="auto"/>
                      <w:szCs w:val="21"/>
                      <w:highlight w:val="none"/>
                      <w:u w:val="none" w:color="auto"/>
                    </w:rPr>
                    <w:t>台</w:t>
                  </w:r>
                  <w:r>
                    <w:rPr>
                      <w:rFonts w:hint="eastAsia"/>
                      <w:bCs/>
                      <w:color w:val="auto"/>
                      <w:szCs w:val="21"/>
                      <w:highlight w:val="none"/>
                      <w:u w:val="none" w:color="auto"/>
                      <w:lang w:val="en-US" w:eastAsia="zh-CN"/>
                    </w:rPr>
                    <w:t>焚烧炉</w:t>
                  </w:r>
                </w:p>
              </w:tc>
            </w:tr>
            <w:tr w14:paraId="10481F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87" w:type="pct"/>
                  <w:tcBorders>
                    <w:tl2br w:val="nil"/>
                    <w:tr2bl w:val="nil"/>
                  </w:tcBorders>
                  <w:noWrap w:val="0"/>
                  <w:vAlign w:val="center"/>
                </w:tcPr>
                <w:p w14:paraId="64389B63">
                  <w:pPr>
                    <w:bidi w:val="0"/>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辅助工程</w:t>
                  </w:r>
                </w:p>
              </w:tc>
              <w:tc>
                <w:tcPr>
                  <w:tcW w:w="1157" w:type="pct"/>
                  <w:gridSpan w:val="2"/>
                  <w:tcBorders>
                    <w:tl2br w:val="nil"/>
                    <w:tr2bl w:val="nil"/>
                  </w:tcBorders>
                  <w:noWrap w:val="0"/>
                  <w:vAlign w:val="center"/>
                </w:tcPr>
                <w:p w14:paraId="5309891F">
                  <w:pPr>
                    <w:bidi w:val="0"/>
                    <w:jc w:val="center"/>
                    <w:rPr>
                      <w:rFonts w:hint="default" w:ascii="Times New Roman" w:hAnsi="Times New Roman" w:cs="Times New Roman"/>
                      <w:color w:val="auto"/>
                      <w:highlight w:val="none"/>
                      <w:u w:val="none" w:color="auto"/>
                      <w:lang w:val="en-US" w:eastAsia="zh-CN"/>
                    </w:rPr>
                  </w:pPr>
                  <w:r>
                    <w:rPr>
                      <w:rFonts w:hint="eastAsia" w:cs="Times New Roman"/>
                      <w:color w:val="auto"/>
                      <w:highlight w:val="none"/>
                      <w:u w:val="none" w:color="auto"/>
                      <w:lang w:val="en-US" w:eastAsia="zh-CN"/>
                    </w:rPr>
                    <w:t>办公室</w:t>
                  </w:r>
                </w:p>
              </w:tc>
              <w:tc>
                <w:tcPr>
                  <w:tcW w:w="3054" w:type="pct"/>
                  <w:tcBorders>
                    <w:tl2br w:val="nil"/>
                    <w:tr2bl w:val="nil"/>
                  </w:tcBorders>
                  <w:noWrap w:val="0"/>
                  <w:vAlign w:val="center"/>
                </w:tcPr>
                <w:p w14:paraId="3AA0710A">
                  <w:pPr>
                    <w:bidi w:val="0"/>
                    <w:jc w:val="center"/>
                    <w:rPr>
                      <w:rFonts w:hint="default" w:ascii="Times New Roman" w:hAnsi="Times New Roman" w:cs="Times New Roman"/>
                      <w:color w:val="auto"/>
                      <w:highlight w:val="none"/>
                      <w:u w:val="none" w:color="auto"/>
                      <w:lang w:val="en-US" w:eastAsia="zh-CN"/>
                    </w:rPr>
                  </w:pPr>
                  <w:r>
                    <w:rPr>
                      <w:rFonts w:hint="eastAsia"/>
                      <w:color w:val="auto"/>
                      <w:highlight w:val="none"/>
                      <w:u w:val="none" w:color="auto"/>
                      <w:lang w:val="en-US" w:eastAsia="zh-CN"/>
                    </w:rPr>
                    <w:t>砖混结构，1F</w:t>
                  </w:r>
                  <w:r>
                    <w:rPr>
                      <w:rFonts w:hint="eastAsia" w:cs="Times New Roman"/>
                      <w:color w:val="auto"/>
                      <w:highlight w:val="none"/>
                      <w:u w:val="none" w:color="auto"/>
                      <w:lang w:val="en-US" w:eastAsia="zh-CN"/>
                    </w:rPr>
                    <w:t>，</w:t>
                  </w:r>
                  <w:r>
                    <w:rPr>
                      <w:rFonts w:hint="default" w:ascii="Times New Roman" w:hAnsi="Times New Roman" w:eastAsia="宋体" w:cs="Times New Roman"/>
                      <w:color w:val="auto"/>
                      <w:highlight w:val="none"/>
                      <w:u w:val="none" w:color="auto"/>
                      <w:lang w:val="en-US" w:eastAsia="zh-CN"/>
                    </w:rPr>
                    <w:t>建筑面积为</w:t>
                  </w:r>
                  <w:r>
                    <w:rPr>
                      <w:rFonts w:hint="eastAsia" w:cs="Times New Roman"/>
                      <w:color w:val="auto"/>
                      <w:highlight w:val="none"/>
                      <w:u w:val="none" w:color="auto"/>
                      <w:lang w:val="en-US" w:eastAsia="zh-CN"/>
                    </w:rPr>
                    <w:t>25</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eastAsia"/>
                      <w:color w:val="auto"/>
                      <w:highlight w:val="none"/>
                      <w:u w:val="none" w:color="auto"/>
                      <w:lang w:val="en-US" w:eastAsia="zh-CN"/>
                    </w:rPr>
                    <w:t>，位于</w:t>
                  </w:r>
                  <w:r>
                    <w:rPr>
                      <w:rFonts w:hint="default" w:ascii="Times New Roman" w:hAnsi="Times New Roman" w:eastAsia="宋体" w:cs="Times New Roman"/>
                      <w:color w:val="auto"/>
                      <w:highlight w:val="none"/>
                      <w:u w:val="none" w:color="auto"/>
                      <w:lang w:val="en-US" w:eastAsia="zh-CN"/>
                    </w:rPr>
                    <w:t>厂区</w:t>
                  </w:r>
                  <w:r>
                    <w:rPr>
                      <w:rFonts w:hint="eastAsia" w:cs="Times New Roman"/>
                      <w:color w:val="auto"/>
                      <w:highlight w:val="none"/>
                      <w:u w:val="none" w:color="auto"/>
                      <w:lang w:val="en-US" w:eastAsia="zh-CN"/>
                    </w:rPr>
                    <w:t>西北侧，人员办公</w:t>
                  </w:r>
                </w:p>
              </w:tc>
            </w:tr>
            <w:tr w14:paraId="163E9C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87" w:type="pct"/>
                  <w:vMerge w:val="restart"/>
                  <w:tcBorders>
                    <w:tl2br w:val="nil"/>
                    <w:tr2bl w:val="nil"/>
                  </w:tcBorders>
                  <w:noWrap w:val="0"/>
                  <w:vAlign w:val="center"/>
                </w:tcPr>
                <w:p w14:paraId="4D26D1E1">
                  <w:pPr>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储运工程</w:t>
                  </w:r>
                </w:p>
              </w:tc>
              <w:tc>
                <w:tcPr>
                  <w:tcW w:w="1157" w:type="pct"/>
                  <w:gridSpan w:val="2"/>
                  <w:tcBorders>
                    <w:tl2br w:val="nil"/>
                    <w:tr2bl w:val="nil"/>
                  </w:tcBorders>
                  <w:noWrap w:val="0"/>
                  <w:vAlign w:val="center"/>
                </w:tcPr>
                <w:p w14:paraId="0409ADD1">
                  <w:pPr>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原材料堆场</w:t>
                  </w:r>
                </w:p>
              </w:tc>
              <w:tc>
                <w:tcPr>
                  <w:tcW w:w="3054" w:type="pct"/>
                  <w:tcBorders>
                    <w:tl2br w:val="nil"/>
                    <w:tr2bl w:val="nil"/>
                  </w:tcBorders>
                  <w:noWrap w:val="0"/>
                  <w:vAlign w:val="top"/>
                </w:tcPr>
                <w:p w14:paraId="504D30DF">
                  <w:pPr>
                    <w:bidi w:val="0"/>
                    <w:jc w:val="center"/>
                    <w:rPr>
                      <w:rFonts w:hint="default" w:ascii="Times New Roman" w:hAnsi="Times New Roman" w:cs="Times New Roman"/>
                      <w:color w:val="auto"/>
                      <w:highlight w:val="none"/>
                      <w:u w:val="none" w:color="auto"/>
                      <w:lang w:val="en-US" w:eastAsia="zh-CN"/>
                    </w:rPr>
                  </w:pPr>
                  <w:r>
                    <w:rPr>
                      <w:rFonts w:hint="eastAsia"/>
                      <w:color w:val="auto"/>
                      <w:highlight w:val="none"/>
                      <w:u w:val="none" w:color="auto"/>
                      <w:lang w:val="en-US" w:eastAsia="zh-CN"/>
                    </w:rPr>
                    <w:t>1</w:t>
                  </w:r>
                  <w:r>
                    <w:rPr>
                      <w:rFonts w:hint="eastAsia" w:eastAsia="宋体"/>
                      <w:color w:val="auto"/>
                      <w:highlight w:val="none"/>
                      <w:u w:val="none" w:color="auto"/>
                      <w:lang w:val="en-US" w:eastAsia="zh-CN"/>
                    </w:rPr>
                    <w:t>F，</w:t>
                  </w:r>
                  <w:r>
                    <w:rPr>
                      <w:rFonts w:hint="default" w:ascii="Times New Roman" w:hAnsi="Times New Roman" w:cs="Times New Roman"/>
                      <w:color w:val="auto"/>
                      <w:highlight w:val="none"/>
                      <w:u w:val="none" w:color="auto"/>
                      <w:lang w:val="en-US" w:eastAsia="zh-CN"/>
                    </w:rPr>
                    <w:t>建筑</w:t>
                  </w:r>
                  <w:r>
                    <w:rPr>
                      <w:rFonts w:hint="default" w:ascii="Times New Roman" w:hAnsi="Times New Roman" w:eastAsia="宋体" w:cs="Times New Roman"/>
                      <w:color w:val="auto"/>
                      <w:highlight w:val="none"/>
                      <w:u w:val="none" w:color="auto"/>
                      <w:lang w:val="en-US" w:eastAsia="zh-CN"/>
                    </w:rPr>
                    <w:t>面积为</w:t>
                  </w:r>
                  <w:r>
                    <w:rPr>
                      <w:rFonts w:hint="eastAsia" w:cs="Times New Roman"/>
                      <w:color w:val="auto"/>
                      <w:highlight w:val="none"/>
                      <w:u w:val="none" w:color="auto"/>
                      <w:lang w:val="en-US" w:eastAsia="zh-CN"/>
                    </w:rPr>
                    <w:t>525</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，位于厂区</w:t>
                  </w:r>
                  <w:r>
                    <w:rPr>
                      <w:rFonts w:hint="eastAsia" w:cs="Times New Roman"/>
                      <w:color w:val="auto"/>
                      <w:highlight w:val="none"/>
                      <w:u w:val="none" w:color="auto"/>
                      <w:lang w:val="en-US" w:eastAsia="zh-CN"/>
                    </w:rPr>
                    <w:t>西</w:t>
                  </w:r>
                  <w:r>
                    <w:rPr>
                      <w:rFonts w:hint="default" w:ascii="Times New Roman" w:hAnsi="Times New Roman" w:cs="Times New Roman"/>
                      <w:color w:val="auto"/>
                      <w:highlight w:val="none"/>
                      <w:u w:val="none" w:color="auto"/>
                      <w:lang w:val="en-US" w:eastAsia="zh-CN"/>
                    </w:rPr>
                    <w:t>侧</w:t>
                  </w:r>
                  <w:r>
                    <w:rPr>
                      <w:rFonts w:hint="eastAsia" w:cs="Times New Roman"/>
                      <w:color w:val="auto"/>
                      <w:highlight w:val="none"/>
                      <w:u w:val="none" w:color="auto"/>
                      <w:lang w:val="en-US" w:eastAsia="zh-CN"/>
                    </w:rPr>
                    <w:t>，主要用于堆放原材料</w:t>
                  </w:r>
                </w:p>
              </w:tc>
            </w:tr>
            <w:tr w14:paraId="0E98D5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87" w:type="pct"/>
                  <w:vMerge w:val="continue"/>
                  <w:tcBorders>
                    <w:tl2br w:val="nil"/>
                    <w:tr2bl w:val="nil"/>
                  </w:tcBorders>
                  <w:noWrap w:val="0"/>
                  <w:vAlign w:val="center"/>
                </w:tcPr>
                <w:p w14:paraId="6B06DF04">
                  <w:pPr>
                    <w:bidi w:val="0"/>
                    <w:jc w:val="center"/>
                    <w:rPr>
                      <w:rFonts w:hint="default" w:ascii="Times New Roman" w:hAnsi="Times New Roman" w:cs="Times New Roman"/>
                      <w:color w:val="auto"/>
                      <w:highlight w:val="none"/>
                      <w:u w:val="none" w:color="auto"/>
                      <w:lang w:val="en-US" w:eastAsia="zh-CN"/>
                    </w:rPr>
                  </w:pPr>
                </w:p>
              </w:tc>
              <w:tc>
                <w:tcPr>
                  <w:tcW w:w="1157" w:type="pct"/>
                  <w:gridSpan w:val="2"/>
                  <w:tcBorders>
                    <w:tl2br w:val="nil"/>
                    <w:tr2bl w:val="nil"/>
                  </w:tcBorders>
                  <w:noWrap w:val="0"/>
                  <w:vAlign w:val="center"/>
                </w:tcPr>
                <w:p w14:paraId="7A1028F5">
                  <w:pPr>
                    <w:bidi w:val="0"/>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成品堆放区</w:t>
                  </w:r>
                </w:p>
              </w:tc>
              <w:tc>
                <w:tcPr>
                  <w:tcW w:w="3054" w:type="pct"/>
                  <w:tcBorders>
                    <w:tl2br w:val="nil"/>
                    <w:tr2bl w:val="nil"/>
                  </w:tcBorders>
                  <w:noWrap w:val="0"/>
                  <w:vAlign w:val="top"/>
                </w:tcPr>
                <w:p w14:paraId="3314E440">
                  <w:pPr>
                    <w:bidi w:val="0"/>
                    <w:jc w:val="center"/>
                    <w:rPr>
                      <w:rFonts w:hint="default"/>
                      <w:color w:val="auto"/>
                      <w:highlight w:val="none"/>
                      <w:u w:val="none" w:color="auto"/>
                      <w:lang w:val="en-US" w:eastAsia="zh-CN"/>
                    </w:rPr>
                  </w:pPr>
                  <w:r>
                    <w:rPr>
                      <w:rFonts w:hint="eastAsia"/>
                      <w:color w:val="auto"/>
                      <w:highlight w:val="none"/>
                      <w:u w:val="none" w:color="auto"/>
                      <w:lang w:val="en-US" w:eastAsia="zh-CN"/>
                    </w:rPr>
                    <w:t>1F，</w:t>
                  </w:r>
                  <w:r>
                    <w:rPr>
                      <w:rFonts w:hint="default" w:ascii="Times New Roman" w:hAnsi="Times New Roman" w:cs="Times New Roman"/>
                      <w:color w:val="auto"/>
                      <w:highlight w:val="none"/>
                      <w:u w:val="none" w:color="auto"/>
                      <w:lang w:val="en-US" w:eastAsia="zh-CN"/>
                    </w:rPr>
                    <w:t>建筑</w:t>
                  </w:r>
                  <w:r>
                    <w:rPr>
                      <w:rFonts w:hint="default" w:ascii="Times New Roman" w:hAnsi="Times New Roman" w:eastAsia="宋体" w:cs="Times New Roman"/>
                      <w:color w:val="auto"/>
                      <w:highlight w:val="none"/>
                      <w:u w:val="none" w:color="auto"/>
                      <w:lang w:val="en-US" w:eastAsia="zh-CN"/>
                    </w:rPr>
                    <w:t>面积为</w:t>
                  </w:r>
                  <w:r>
                    <w:rPr>
                      <w:rFonts w:hint="eastAsia" w:cs="Times New Roman"/>
                      <w:color w:val="auto"/>
                      <w:highlight w:val="none"/>
                      <w:u w:val="none" w:color="auto"/>
                      <w:lang w:val="en-US" w:eastAsia="zh-CN"/>
                    </w:rPr>
                    <w:t>525</w:t>
                  </w:r>
                  <w:r>
                    <w:rPr>
                      <w:rFonts w:hint="default" w:ascii="Times New Roman" w:hAnsi="Times New Roman" w:eastAsia="宋体" w:cs="Times New Roman"/>
                      <w:color w:val="auto"/>
                      <w:highlight w:val="none"/>
                      <w:u w:val="none" w:color="auto"/>
                      <w:lang w:val="en-US" w:eastAsia="zh-CN"/>
                    </w:rPr>
                    <w:t>m</w:t>
                  </w:r>
                  <w:r>
                    <w:rPr>
                      <w:rFonts w:hint="default" w:ascii="Times New Roman" w:hAnsi="Times New Roman" w:eastAsia="宋体"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，位于厂区</w:t>
                  </w:r>
                  <w:r>
                    <w:rPr>
                      <w:rFonts w:hint="eastAsia" w:cs="Times New Roman"/>
                      <w:color w:val="auto"/>
                      <w:highlight w:val="none"/>
                      <w:u w:val="none" w:color="auto"/>
                      <w:lang w:val="en-US" w:eastAsia="zh-CN"/>
                    </w:rPr>
                    <w:t>北</w:t>
                  </w:r>
                  <w:r>
                    <w:rPr>
                      <w:rFonts w:hint="default" w:ascii="Times New Roman" w:hAnsi="Times New Roman" w:cs="Times New Roman"/>
                      <w:color w:val="auto"/>
                      <w:highlight w:val="none"/>
                      <w:u w:val="none" w:color="auto"/>
                      <w:lang w:val="en-US" w:eastAsia="zh-CN"/>
                    </w:rPr>
                    <w:t>侧</w:t>
                  </w:r>
                  <w:r>
                    <w:rPr>
                      <w:rFonts w:hint="eastAsia" w:ascii="Times New Roman" w:hAnsi="Times New Roman" w:cs="Times New Roman"/>
                      <w:color w:val="auto"/>
                      <w:highlight w:val="none"/>
                      <w:u w:val="none" w:color="auto"/>
                      <w:lang w:val="en-US" w:eastAsia="zh-CN"/>
                    </w:rPr>
                    <w:t>，</w:t>
                  </w:r>
                  <w:r>
                    <w:rPr>
                      <w:rFonts w:hint="eastAsia" w:cs="Times New Roman"/>
                      <w:color w:val="auto"/>
                      <w:highlight w:val="none"/>
                      <w:u w:val="none" w:color="auto"/>
                      <w:lang w:val="en-US" w:eastAsia="zh-CN"/>
                    </w:rPr>
                    <w:t>用于堆放成品</w:t>
                  </w:r>
                </w:p>
              </w:tc>
            </w:tr>
            <w:tr w14:paraId="37B513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87" w:type="pct"/>
                  <w:vMerge w:val="restart"/>
                  <w:tcBorders>
                    <w:tl2br w:val="nil"/>
                    <w:tr2bl w:val="nil"/>
                  </w:tcBorders>
                  <w:noWrap w:val="0"/>
                  <w:vAlign w:val="center"/>
                </w:tcPr>
                <w:p w14:paraId="5C5BE8AB">
                  <w:pPr>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公用工程</w:t>
                  </w:r>
                </w:p>
              </w:tc>
              <w:tc>
                <w:tcPr>
                  <w:tcW w:w="1157" w:type="pct"/>
                  <w:gridSpan w:val="2"/>
                  <w:tcBorders>
                    <w:tl2br w:val="nil"/>
                    <w:tr2bl w:val="nil"/>
                  </w:tcBorders>
                  <w:noWrap w:val="0"/>
                  <w:vAlign w:val="center"/>
                </w:tcPr>
                <w:p w14:paraId="4058B4A2">
                  <w:pPr>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排水</w:t>
                  </w:r>
                </w:p>
              </w:tc>
              <w:tc>
                <w:tcPr>
                  <w:tcW w:w="3054" w:type="pct"/>
                  <w:tcBorders>
                    <w:tl2br w:val="nil"/>
                    <w:tr2bl w:val="nil"/>
                  </w:tcBorders>
                  <w:noWrap w:val="0"/>
                  <w:vAlign w:val="center"/>
                </w:tcPr>
                <w:p w14:paraId="354DA7BE">
                  <w:pPr>
                    <w:bidi w:val="0"/>
                    <w:jc w:val="center"/>
                    <w:rPr>
                      <w:rFonts w:hint="default" w:ascii="Times New Roman" w:hAnsi="Times New Roman" w:cs="Times New Roman"/>
                      <w:color w:val="auto"/>
                      <w:highlight w:val="none"/>
                      <w:u w:val="none" w:color="auto"/>
                      <w:lang w:val="en-US" w:eastAsia="zh-CN"/>
                    </w:rPr>
                  </w:pPr>
                  <w:r>
                    <w:rPr>
                      <w:rFonts w:hint="default" w:eastAsia="宋体"/>
                      <w:color w:val="auto"/>
                      <w:highlight w:val="none"/>
                      <w:u w:val="none" w:color="auto"/>
                      <w:lang w:val="en-US" w:eastAsia="zh-CN"/>
                    </w:rPr>
                    <w:t>项目实行雨污分流制</w:t>
                  </w:r>
                </w:p>
              </w:tc>
            </w:tr>
            <w:tr w14:paraId="07DD4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87" w:type="pct"/>
                  <w:vMerge w:val="continue"/>
                  <w:tcBorders>
                    <w:tl2br w:val="nil"/>
                    <w:tr2bl w:val="nil"/>
                  </w:tcBorders>
                  <w:noWrap w:val="0"/>
                  <w:vAlign w:val="top"/>
                </w:tcPr>
                <w:p w14:paraId="3960FEB7">
                  <w:pPr>
                    <w:bidi w:val="0"/>
                    <w:jc w:val="left"/>
                    <w:rPr>
                      <w:rFonts w:hint="default" w:ascii="Times New Roman" w:hAnsi="Times New Roman" w:cs="Times New Roman"/>
                      <w:color w:val="auto"/>
                      <w:highlight w:val="none"/>
                      <w:u w:val="none" w:color="auto"/>
                      <w:lang w:val="en-US" w:eastAsia="zh-CN"/>
                    </w:rPr>
                  </w:pPr>
                </w:p>
              </w:tc>
              <w:tc>
                <w:tcPr>
                  <w:tcW w:w="1157" w:type="pct"/>
                  <w:gridSpan w:val="2"/>
                  <w:tcBorders>
                    <w:tl2br w:val="nil"/>
                    <w:tr2bl w:val="nil"/>
                  </w:tcBorders>
                  <w:noWrap w:val="0"/>
                  <w:vAlign w:val="center"/>
                </w:tcPr>
                <w:p w14:paraId="08940817">
                  <w:pPr>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供电</w:t>
                  </w:r>
                </w:p>
              </w:tc>
              <w:tc>
                <w:tcPr>
                  <w:tcW w:w="3054" w:type="pct"/>
                  <w:tcBorders>
                    <w:tl2br w:val="nil"/>
                    <w:tr2bl w:val="nil"/>
                  </w:tcBorders>
                  <w:noWrap w:val="0"/>
                  <w:vAlign w:val="center"/>
                </w:tcPr>
                <w:p w14:paraId="619FD146">
                  <w:pPr>
                    <w:bidi w:val="0"/>
                    <w:jc w:val="center"/>
                    <w:rPr>
                      <w:rFonts w:hint="default" w:eastAsia="宋体"/>
                      <w:color w:val="auto"/>
                      <w:highlight w:val="none"/>
                      <w:u w:val="none" w:color="auto"/>
                      <w:lang w:val="en-US" w:eastAsia="zh-CN"/>
                    </w:rPr>
                  </w:pPr>
                  <w:r>
                    <w:rPr>
                      <w:rFonts w:hint="default" w:eastAsia="宋体"/>
                      <w:color w:val="auto"/>
                      <w:highlight w:val="none"/>
                      <w:u w:val="none" w:color="auto"/>
                      <w:lang w:val="en-US" w:eastAsia="zh-CN"/>
                    </w:rPr>
                    <w:t>市政</w:t>
                  </w:r>
                  <w:r>
                    <w:rPr>
                      <w:rFonts w:hint="eastAsia" w:eastAsia="宋体"/>
                      <w:color w:val="auto"/>
                      <w:highlight w:val="none"/>
                      <w:u w:val="none" w:color="auto"/>
                      <w:lang w:val="en-US" w:eastAsia="zh-CN"/>
                    </w:rPr>
                    <w:t>电网</w:t>
                  </w:r>
                </w:p>
              </w:tc>
            </w:tr>
            <w:tr w14:paraId="4DA34D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787" w:type="pct"/>
                  <w:vMerge w:val="continue"/>
                  <w:tcBorders>
                    <w:tl2br w:val="nil"/>
                    <w:tr2bl w:val="nil"/>
                  </w:tcBorders>
                  <w:noWrap w:val="0"/>
                  <w:vAlign w:val="top"/>
                </w:tcPr>
                <w:p w14:paraId="3ADF768D">
                  <w:pPr>
                    <w:bidi w:val="0"/>
                    <w:jc w:val="left"/>
                    <w:rPr>
                      <w:rFonts w:hint="default" w:ascii="Times New Roman" w:hAnsi="Times New Roman" w:cs="Times New Roman"/>
                      <w:color w:val="auto"/>
                      <w:highlight w:val="none"/>
                      <w:u w:val="none" w:color="auto"/>
                      <w:lang w:val="en-US" w:eastAsia="zh-CN"/>
                    </w:rPr>
                  </w:pPr>
                </w:p>
              </w:tc>
              <w:tc>
                <w:tcPr>
                  <w:tcW w:w="1157" w:type="pct"/>
                  <w:gridSpan w:val="2"/>
                  <w:tcBorders>
                    <w:tl2br w:val="nil"/>
                    <w:tr2bl w:val="nil"/>
                  </w:tcBorders>
                  <w:noWrap w:val="0"/>
                  <w:vAlign w:val="center"/>
                </w:tcPr>
                <w:p w14:paraId="246703FD">
                  <w:pPr>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供水</w:t>
                  </w:r>
                </w:p>
              </w:tc>
              <w:tc>
                <w:tcPr>
                  <w:tcW w:w="3054" w:type="pct"/>
                  <w:tcBorders>
                    <w:tl2br w:val="nil"/>
                    <w:tr2bl w:val="nil"/>
                  </w:tcBorders>
                  <w:noWrap w:val="0"/>
                  <w:vAlign w:val="center"/>
                </w:tcPr>
                <w:p w14:paraId="6F2923D7">
                  <w:pPr>
                    <w:bidi w:val="0"/>
                    <w:jc w:val="center"/>
                    <w:rPr>
                      <w:rFonts w:hint="default" w:eastAsia="宋体"/>
                      <w:color w:val="auto"/>
                      <w:highlight w:val="none"/>
                      <w:u w:val="none" w:color="auto"/>
                      <w:lang w:val="en-US" w:eastAsia="zh-CN"/>
                    </w:rPr>
                  </w:pPr>
                  <w:r>
                    <w:rPr>
                      <w:rFonts w:hint="default" w:eastAsia="宋体"/>
                      <w:color w:val="auto"/>
                      <w:highlight w:val="none"/>
                      <w:u w:val="none" w:color="auto"/>
                      <w:lang w:val="en-US" w:eastAsia="zh-CN"/>
                    </w:rPr>
                    <w:t>市政供水</w:t>
                  </w:r>
                </w:p>
              </w:tc>
            </w:tr>
            <w:tr w14:paraId="53064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787" w:type="pct"/>
                  <w:vMerge w:val="restart"/>
                  <w:tcBorders>
                    <w:tl2br w:val="nil"/>
                    <w:tr2bl w:val="nil"/>
                  </w:tcBorders>
                  <w:noWrap w:val="0"/>
                  <w:vAlign w:val="center"/>
                </w:tcPr>
                <w:p w14:paraId="10D798AD">
                  <w:pPr>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环保工程</w:t>
                  </w:r>
                </w:p>
              </w:tc>
              <w:tc>
                <w:tcPr>
                  <w:tcW w:w="1157" w:type="pct"/>
                  <w:gridSpan w:val="2"/>
                  <w:vMerge w:val="restart"/>
                  <w:tcBorders>
                    <w:tl2br w:val="nil"/>
                    <w:tr2bl w:val="nil"/>
                  </w:tcBorders>
                  <w:noWrap w:val="0"/>
                  <w:vAlign w:val="center"/>
                </w:tcPr>
                <w:p w14:paraId="7B08A49B">
                  <w:pPr>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lang w:val="en-US" w:eastAsia="zh-CN"/>
                    </w:rPr>
                    <w:t>废气治理</w:t>
                  </w:r>
                </w:p>
              </w:tc>
              <w:tc>
                <w:tcPr>
                  <w:tcW w:w="3054" w:type="pct"/>
                  <w:tcBorders>
                    <w:tl2br w:val="nil"/>
                    <w:tr2bl w:val="nil"/>
                  </w:tcBorders>
                  <w:noWrap w:val="0"/>
                  <w:vAlign w:val="center"/>
                </w:tcPr>
                <w:p w14:paraId="2DF620BF">
                  <w:pPr>
                    <w:bidi w:val="0"/>
                    <w:jc w:val="center"/>
                    <w:rPr>
                      <w:rFonts w:hint="eastAsia" w:cs="Times New Roman"/>
                      <w:color w:val="auto"/>
                      <w:highlight w:val="none"/>
                      <w:u w:val="none" w:color="auto"/>
                      <w:lang w:val="en-US" w:eastAsia="zh-CN"/>
                    </w:rPr>
                  </w:pPr>
                  <w:r>
                    <w:rPr>
                      <w:rFonts w:hint="eastAsia"/>
                      <w:color w:val="auto"/>
                      <w:highlight w:val="none"/>
                      <w:u w:val="none" w:color="auto"/>
                      <w:lang w:val="en-US" w:eastAsia="zh-CN"/>
                    </w:rPr>
                    <w:t>有组织：</w:t>
                  </w:r>
                  <w:r>
                    <w:rPr>
                      <w:rFonts w:hint="eastAsia"/>
                      <w:color w:val="auto"/>
                      <w:highlight w:val="none"/>
                      <w:u w:val="none" w:color="auto"/>
                    </w:rPr>
                    <w:t>焚烧炉废气经</w:t>
                  </w:r>
                  <w:r>
                    <w:rPr>
                      <w:rFonts w:hint="eastAsia"/>
                      <w:color w:val="auto"/>
                      <w:highlight w:val="none"/>
                      <w:u w:val="none" w:color="auto"/>
                      <w:lang w:val="en-US" w:eastAsia="zh-CN"/>
                    </w:rPr>
                    <w:t>高效高温布袋</w:t>
                  </w:r>
                  <w:r>
                    <w:rPr>
                      <w:rFonts w:hint="eastAsia"/>
                      <w:color w:val="auto"/>
                      <w:highlight w:val="none"/>
                      <w:u w:val="none" w:color="auto"/>
                    </w:rPr>
                    <w:t>除尘</w:t>
                  </w:r>
                  <w:r>
                    <w:rPr>
                      <w:rFonts w:hint="eastAsia"/>
                      <w:color w:val="auto"/>
                      <w:highlight w:val="none"/>
                      <w:u w:val="none" w:color="auto"/>
                      <w:lang w:val="en-US" w:eastAsia="zh-CN"/>
                    </w:rPr>
                    <w:t>装置</w:t>
                  </w:r>
                  <w:r>
                    <w:rPr>
                      <w:rFonts w:hint="eastAsia"/>
                      <w:color w:val="auto"/>
                      <w:highlight w:val="none"/>
                      <w:u w:val="none" w:color="auto"/>
                    </w:rPr>
                    <w:t>处理</w:t>
                  </w:r>
                  <w:r>
                    <w:rPr>
                      <w:rFonts w:hint="eastAsia"/>
                      <w:color w:val="auto"/>
                      <w:highlight w:val="none"/>
                      <w:u w:val="none" w:color="auto"/>
                      <w:lang w:val="en-US" w:eastAsia="zh-CN"/>
                    </w:rPr>
                    <w:t>后</w:t>
                  </w:r>
                  <w:r>
                    <w:rPr>
                      <w:rFonts w:hint="eastAsia"/>
                      <w:color w:val="auto"/>
                      <w:highlight w:val="none"/>
                      <w:u w:val="none" w:color="auto"/>
                    </w:rPr>
                    <w:t>经15m</w:t>
                  </w:r>
                  <w:r>
                    <w:rPr>
                      <w:rFonts w:hint="eastAsia"/>
                      <w:color w:val="auto"/>
                      <w:highlight w:val="none"/>
                      <w:u w:val="none" w:color="auto"/>
                      <w:lang w:eastAsia="zh-CN"/>
                    </w:rPr>
                    <w:t>排气筒</w:t>
                  </w:r>
                  <w:r>
                    <w:rPr>
                      <w:rFonts w:hint="eastAsia"/>
                      <w:color w:val="auto"/>
                      <w:highlight w:val="none"/>
                      <w:u w:val="none" w:color="auto"/>
                    </w:rPr>
                    <w:t>排放(DA001)</w:t>
                  </w:r>
                </w:p>
              </w:tc>
            </w:tr>
            <w:tr w14:paraId="1BA66C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787" w:type="pct"/>
                  <w:vMerge w:val="continue"/>
                  <w:tcBorders>
                    <w:tl2br w:val="nil"/>
                    <w:tr2bl w:val="nil"/>
                  </w:tcBorders>
                  <w:noWrap w:val="0"/>
                  <w:vAlign w:val="center"/>
                </w:tcPr>
                <w:p w14:paraId="70A383A8">
                  <w:pPr>
                    <w:bidi w:val="0"/>
                    <w:jc w:val="center"/>
                    <w:rPr>
                      <w:rFonts w:hint="default" w:ascii="Times New Roman" w:hAnsi="Times New Roman" w:cs="Times New Roman"/>
                      <w:color w:val="auto"/>
                      <w:highlight w:val="none"/>
                      <w:u w:val="none" w:color="auto"/>
                      <w:lang w:val="en-US" w:eastAsia="zh-CN"/>
                    </w:rPr>
                  </w:pPr>
                </w:p>
              </w:tc>
              <w:tc>
                <w:tcPr>
                  <w:tcW w:w="1157" w:type="pct"/>
                  <w:gridSpan w:val="2"/>
                  <w:vMerge w:val="continue"/>
                  <w:tcBorders>
                    <w:tl2br w:val="nil"/>
                    <w:tr2bl w:val="nil"/>
                  </w:tcBorders>
                  <w:noWrap w:val="0"/>
                  <w:vAlign w:val="center"/>
                </w:tcPr>
                <w:p w14:paraId="0FD850F6">
                  <w:pPr>
                    <w:bidi w:val="0"/>
                    <w:jc w:val="center"/>
                    <w:rPr>
                      <w:rFonts w:hint="default" w:ascii="Times New Roman" w:hAnsi="Times New Roman" w:cs="Times New Roman"/>
                      <w:color w:val="auto"/>
                      <w:highlight w:val="none"/>
                      <w:u w:val="none" w:color="auto"/>
                      <w:lang w:val="en-US" w:eastAsia="zh-CN"/>
                    </w:rPr>
                  </w:pPr>
                </w:p>
              </w:tc>
              <w:tc>
                <w:tcPr>
                  <w:tcW w:w="3054" w:type="pct"/>
                  <w:tcBorders>
                    <w:tl2br w:val="nil"/>
                    <w:tr2bl w:val="nil"/>
                  </w:tcBorders>
                  <w:noWrap w:val="0"/>
                  <w:vAlign w:val="center"/>
                </w:tcPr>
                <w:p w14:paraId="6A90E443">
                  <w:pPr>
                    <w:keepNext w:val="0"/>
                    <w:keepLines w:val="0"/>
                    <w:widowControl/>
                    <w:suppressLineNumbers w:val="0"/>
                    <w:jc w:val="center"/>
                    <w:rPr>
                      <w:rFonts w:hint="default" w:eastAsia="宋体"/>
                      <w:color w:val="auto"/>
                      <w:highlight w:val="none"/>
                      <w:u w:val="none" w:color="auto"/>
                      <w:lang w:val="en-US" w:eastAsia="zh-CN"/>
                    </w:rPr>
                  </w:pPr>
                  <w:r>
                    <w:rPr>
                      <w:rFonts w:hint="eastAsia" w:ascii="Times New Roman" w:hAnsi="Times New Roman" w:eastAsia="宋体" w:cs="Times New Roman"/>
                      <w:color w:val="auto"/>
                      <w:highlight w:val="none"/>
                      <w:u w:val="none" w:color="auto"/>
                      <w:lang w:val="en-US" w:eastAsia="zh-CN"/>
                    </w:rPr>
                    <w:t>无组织：钢瓶抽残气</w:t>
                  </w:r>
                  <w:r>
                    <w:rPr>
                      <w:rFonts w:hint="eastAsia" w:cs="Times New Roman"/>
                      <w:color w:val="auto"/>
                      <w:highlight w:val="none"/>
                      <w:u w:val="none" w:color="auto"/>
                      <w:lang w:val="en-US" w:eastAsia="zh-CN"/>
                    </w:rPr>
                    <w:t>和</w:t>
                  </w:r>
                  <w:r>
                    <w:rPr>
                      <w:rFonts w:hint="eastAsia"/>
                      <w:color w:val="auto"/>
                      <w:highlight w:val="none"/>
                      <w:u w:val="none" w:color="auto"/>
                      <w:lang w:val="en-US" w:eastAsia="zh-CN"/>
                    </w:rPr>
                    <w:t>拆卸瓶阀</w:t>
                  </w:r>
                  <w:r>
                    <w:rPr>
                      <w:rFonts w:hint="eastAsia" w:ascii="Times New Roman" w:hAnsi="Times New Roman" w:eastAsia="宋体" w:cs="Times New Roman"/>
                      <w:color w:val="auto"/>
                      <w:highlight w:val="none"/>
                      <w:u w:val="none" w:color="auto"/>
                      <w:lang w:val="en-US" w:eastAsia="zh-CN"/>
                    </w:rPr>
                    <w:t>产生的废气</w:t>
                  </w:r>
                  <w:r>
                    <w:rPr>
                      <w:rFonts w:hint="eastAsia" w:cs="Times New Roman"/>
                      <w:color w:val="auto"/>
                      <w:highlight w:val="none"/>
                      <w:u w:val="none" w:color="auto"/>
                      <w:lang w:val="en-US" w:eastAsia="zh-CN"/>
                    </w:rPr>
                    <w:t>无组织扩散</w:t>
                  </w:r>
                </w:p>
              </w:tc>
            </w:tr>
            <w:tr w14:paraId="063CA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 w:hRule="atLeast"/>
              </w:trPr>
              <w:tc>
                <w:tcPr>
                  <w:tcW w:w="787" w:type="pct"/>
                  <w:vMerge w:val="continue"/>
                  <w:tcBorders>
                    <w:tl2br w:val="nil"/>
                    <w:tr2bl w:val="nil"/>
                  </w:tcBorders>
                  <w:noWrap w:val="0"/>
                  <w:vAlign w:val="top"/>
                </w:tcPr>
                <w:p w14:paraId="7D1944FC">
                  <w:pPr>
                    <w:bidi w:val="0"/>
                    <w:jc w:val="center"/>
                    <w:rPr>
                      <w:rFonts w:hint="default" w:ascii="Times New Roman" w:hAnsi="Times New Roman" w:cs="Times New Roman"/>
                      <w:color w:val="auto"/>
                      <w:highlight w:val="none"/>
                      <w:u w:val="none" w:color="auto"/>
                      <w:lang w:val="en-US" w:eastAsia="zh-CN"/>
                    </w:rPr>
                  </w:pPr>
                </w:p>
              </w:tc>
              <w:tc>
                <w:tcPr>
                  <w:tcW w:w="1157" w:type="pct"/>
                  <w:gridSpan w:val="2"/>
                  <w:tcBorders>
                    <w:tl2br w:val="nil"/>
                    <w:tr2bl w:val="nil"/>
                  </w:tcBorders>
                  <w:noWrap w:val="0"/>
                  <w:vAlign w:val="center"/>
                </w:tcPr>
                <w:p w14:paraId="0848269E">
                  <w:pPr>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lang w:val="en-US" w:eastAsia="zh-CN"/>
                    </w:rPr>
                    <w:t>废水治理</w:t>
                  </w:r>
                </w:p>
              </w:tc>
              <w:tc>
                <w:tcPr>
                  <w:tcW w:w="3054" w:type="pct"/>
                  <w:tcBorders>
                    <w:tl2br w:val="nil"/>
                    <w:tr2bl w:val="nil"/>
                  </w:tcBorders>
                  <w:noWrap w:val="0"/>
                  <w:vAlign w:val="center"/>
                </w:tcPr>
                <w:p w14:paraId="6EAFA10A">
                  <w:pPr>
                    <w:pStyle w:val="63"/>
                    <w:keepNext w:val="0"/>
                    <w:keepLines w:val="0"/>
                    <w:pageBreakBefore w:val="0"/>
                    <w:widowControl w:val="0"/>
                    <w:tabs>
                      <w:tab w:val="left" w:pos="1021"/>
                    </w:tabs>
                    <w:kinsoku/>
                    <w:wordWrap w:val="0"/>
                    <w:overflowPunct/>
                    <w:topLinePunct/>
                    <w:autoSpaceDE/>
                    <w:autoSpaceDN/>
                    <w:bidi w:val="0"/>
                    <w:adjustRightInd/>
                    <w:snapToGrid/>
                    <w:jc w:val="center"/>
                    <w:textAlignment w:val="baseline"/>
                    <w:rPr>
                      <w:rFonts w:hint="eastAsia" w:ascii="Times New Roman" w:hAnsi="Times New Roman" w:eastAsia="宋体" w:cs="Times New Roman"/>
                      <w:b w:val="0"/>
                      <w:color w:val="auto"/>
                      <w:kern w:val="0"/>
                      <w:sz w:val="21"/>
                      <w:szCs w:val="20"/>
                      <w:highlight w:val="none"/>
                      <w:u w:val="none" w:color="auto"/>
                      <w:lang w:val="en-US" w:eastAsia="zh-CN" w:bidi="ar-SA"/>
                    </w:rPr>
                  </w:pPr>
                  <w:r>
                    <w:rPr>
                      <w:rFonts w:hint="eastAsia"/>
                      <w:color w:val="auto"/>
                      <w:highlight w:val="none"/>
                      <w:u w:val="none" w:color="auto"/>
                      <w:lang w:val="en-US" w:eastAsia="zh-CN"/>
                    </w:rPr>
                    <w:t>生活污水</w:t>
                  </w:r>
                  <w:r>
                    <w:rPr>
                      <w:rFonts w:hint="default" w:ascii="Times New Roman" w:hAnsi="Times New Roman" w:cs="Times New Roman"/>
                      <w:color w:val="auto"/>
                      <w:sz w:val="21"/>
                      <w:szCs w:val="21"/>
                      <w:highlight w:val="none"/>
                      <w:u w:val="none" w:color="auto"/>
                    </w:rPr>
                    <w:t>经</w:t>
                  </w:r>
                  <w:r>
                    <w:rPr>
                      <w:rFonts w:hint="eastAsia" w:cs="Times New Roman"/>
                      <w:color w:val="auto"/>
                      <w:sz w:val="21"/>
                      <w:szCs w:val="21"/>
                      <w:highlight w:val="none"/>
                      <w:u w:val="none" w:color="auto"/>
                      <w:lang w:eastAsia="zh-CN"/>
                    </w:rPr>
                    <w:t>三级化粪池处理后</w:t>
                  </w:r>
                  <w:r>
                    <w:rPr>
                      <w:rFonts w:hint="default"/>
                      <w:color w:val="auto"/>
                      <w:highlight w:val="none"/>
                      <w:u w:val="none" w:color="auto"/>
                    </w:rPr>
                    <w:t>用作农肥</w:t>
                  </w:r>
                </w:p>
              </w:tc>
            </w:tr>
            <w:tr w14:paraId="4014A8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7" w:hRule="atLeast"/>
              </w:trPr>
              <w:tc>
                <w:tcPr>
                  <w:tcW w:w="787" w:type="pct"/>
                  <w:vMerge w:val="continue"/>
                  <w:tcBorders>
                    <w:tl2br w:val="nil"/>
                    <w:tr2bl w:val="nil"/>
                  </w:tcBorders>
                  <w:noWrap w:val="0"/>
                  <w:vAlign w:val="top"/>
                </w:tcPr>
                <w:p w14:paraId="0EBD5729">
                  <w:pPr>
                    <w:bidi w:val="0"/>
                    <w:jc w:val="center"/>
                    <w:rPr>
                      <w:rFonts w:hint="default" w:ascii="Times New Roman" w:hAnsi="Times New Roman" w:cs="Times New Roman"/>
                      <w:color w:val="auto"/>
                      <w:highlight w:val="none"/>
                      <w:u w:val="none" w:color="auto"/>
                      <w:lang w:val="en-US" w:eastAsia="zh-CN"/>
                    </w:rPr>
                  </w:pPr>
                </w:p>
              </w:tc>
              <w:tc>
                <w:tcPr>
                  <w:tcW w:w="1157" w:type="pct"/>
                  <w:gridSpan w:val="2"/>
                  <w:tcBorders>
                    <w:tl2br w:val="nil"/>
                    <w:tr2bl w:val="nil"/>
                  </w:tcBorders>
                  <w:noWrap w:val="0"/>
                  <w:vAlign w:val="center"/>
                </w:tcPr>
                <w:p w14:paraId="5BDDBDE6">
                  <w:pPr>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lang w:val="en-US" w:eastAsia="zh-CN"/>
                    </w:rPr>
                    <w:t>噪声治理</w:t>
                  </w:r>
                </w:p>
              </w:tc>
              <w:tc>
                <w:tcPr>
                  <w:tcW w:w="3054" w:type="pct"/>
                  <w:tcBorders>
                    <w:tl2br w:val="nil"/>
                    <w:tr2bl w:val="nil"/>
                  </w:tcBorders>
                  <w:noWrap w:val="0"/>
                  <w:vAlign w:val="center"/>
                </w:tcPr>
                <w:p w14:paraId="476DBAEA">
                  <w:pPr>
                    <w:bidi w:val="0"/>
                    <w:jc w:val="center"/>
                    <w:rPr>
                      <w:rFonts w:hint="default" w:ascii="Times New Roman" w:hAnsi="Times New Roman" w:cs="Times New Roman"/>
                      <w:color w:val="auto"/>
                      <w:highlight w:val="none"/>
                      <w:u w:val="none" w:color="auto"/>
                    </w:rPr>
                  </w:pPr>
                  <w:r>
                    <w:rPr>
                      <w:rFonts w:hint="default" w:ascii="Times New Roman" w:hAnsi="Times New Roman" w:eastAsia="宋体" w:cs="Times New Roman"/>
                      <w:b w:val="0"/>
                      <w:bCs w:val="0"/>
                      <w:color w:val="auto"/>
                      <w:sz w:val="21"/>
                      <w:szCs w:val="21"/>
                      <w:highlight w:val="none"/>
                      <w:u w:val="none" w:color="auto"/>
                      <w:vertAlign w:val="baseline"/>
                      <w:lang w:val="en-US" w:eastAsia="zh-CN"/>
                    </w:rPr>
                    <w:t>隔声、减震、降噪</w:t>
                  </w:r>
                </w:p>
              </w:tc>
            </w:tr>
            <w:tr w14:paraId="0240D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87" w:type="pct"/>
                  <w:vMerge w:val="continue"/>
                  <w:tcBorders>
                    <w:tl2br w:val="nil"/>
                    <w:tr2bl w:val="nil"/>
                  </w:tcBorders>
                  <w:noWrap w:val="0"/>
                  <w:vAlign w:val="top"/>
                </w:tcPr>
                <w:p w14:paraId="6B43ACF5">
                  <w:pPr>
                    <w:bidi w:val="0"/>
                    <w:jc w:val="center"/>
                    <w:rPr>
                      <w:rFonts w:hint="default" w:ascii="Times New Roman" w:hAnsi="Times New Roman" w:cs="Times New Roman"/>
                      <w:color w:val="auto"/>
                      <w:highlight w:val="none"/>
                      <w:u w:val="none" w:color="auto"/>
                      <w:lang w:val="en-US" w:eastAsia="zh-CN"/>
                    </w:rPr>
                  </w:pPr>
                </w:p>
              </w:tc>
              <w:tc>
                <w:tcPr>
                  <w:tcW w:w="1157" w:type="pct"/>
                  <w:gridSpan w:val="2"/>
                  <w:vMerge w:val="restart"/>
                  <w:tcBorders>
                    <w:tl2br w:val="nil"/>
                    <w:tr2bl w:val="nil"/>
                  </w:tcBorders>
                  <w:noWrap w:val="0"/>
                  <w:vAlign w:val="center"/>
                </w:tcPr>
                <w:p w14:paraId="78EFF8C8">
                  <w:pPr>
                    <w:pStyle w:val="114"/>
                    <w:spacing w:before="39" w:line="228" w:lineRule="auto"/>
                    <w:jc w:val="center"/>
                    <w:rPr>
                      <w:rFonts w:hint="default" w:ascii="Times New Roman" w:hAnsi="Times New Roman" w:cs="Times New Roman"/>
                      <w:color w:val="auto"/>
                      <w:highlight w:val="none"/>
                      <w:u w:val="none" w:color="auto"/>
                    </w:rPr>
                  </w:pPr>
                  <w:r>
                    <w:rPr>
                      <w:rFonts w:hint="default" w:ascii="Times New Roman" w:hAnsi="Times New Roman" w:eastAsia="宋体" w:cs="Times New Roman"/>
                      <w:color w:val="auto"/>
                      <w:kern w:val="2"/>
                      <w:sz w:val="21"/>
                      <w:szCs w:val="24"/>
                      <w:highlight w:val="none"/>
                      <w:u w:val="none" w:color="auto"/>
                      <w:lang w:val="en-US" w:eastAsia="zh-CN" w:bidi="ar-SA"/>
                    </w:rPr>
                    <w:t>固废治理</w:t>
                  </w:r>
                </w:p>
              </w:tc>
              <w:tc>
                <w:tcPr>
                  <w:tcW w:w="3054" w:type="pct"/>
                  <w:tcBorders>
                    <w:tl2br w:val="nil"/>
                    <w:tr2bl w:val="nil"/>
                  </w:tcBorders>
                  <w:noWrap w:val="0"/>
                  <w:vAlign w:val="top"/>
                </w:tcPr>
                <w:p w14:paraId="6AD14D32">
                  <w:pPr>
                    <w:pStyle w:val="114"/>
                    <w:spacing w:before="38" w:line="211" w:lineRule="auto"/>
                    <w:jc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生活垃圾分类收集，由环卫部门统一清运；</w:t>
                  </w:r>
                </w:p>
              </w:tc>
            </w:tr>
            <w:tr w14:paraId="068A5E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87" w:type="pct"/>
                  <w:vMerge w:val="continue"/>
                  <w:tcBorders>
                    <w:tl2br w:val="nil"/>
                    <w:tr2bl w:val="nil"/>
                  </w:tcBorders>
                  <w:noWrap w:val="0"/>
                  <w:vAlign w:val="top"/>
                </w:tcPr>
                <w:p w14:paraId="3FCFD346">
                  <w:pPr>
                    <w:bidi w:val="0"/>
                    <w:jc w:val="center"/>
                    <w:rPr>
                      <w:rFonts w:hint="default" w:ascii="Times New Roman" w:hAnsi="Times New Roman" w:cs="Times New Roman"/>
                      <w:color w:val="auto"/>
                      <w:highlight w:val="none"/>
                      <w:u w:val="none" w:color="auto"/>
                      <w:lang w:val="en-US" w:eastAsia="zh-CN"/>
                    </w:rPr>
                  </w:pPr>
                </w:p>
              </w:tc>
              <w:tc>
                <w:tcPr>
                  <w:tcW w:w="1157" w:type="pct"/>
                  <w:gridSpan w:val="2"/>
                  <w:vMerge w:val="continue"/>
                  <w:tcBorders>
                    <w:tl2br w:val="nil"/>
                    <w:tr2bl w:val="nil"/>
                  </w:tcBorders>
                  <w:noWrap w:val="0"/>
                  <w:vAlign w:val="center"/>
                </w:tcPr>
                <w:p w14:paraId="5A7A79A3">
                  <w:pPr>
                    <w:pStyle w:val="114"/>
                    <w:spacing w:before="39" w:line="228" w:lineRule="auto"/>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3054" w:type="pct"/>
                  <w:tcBorders>
                    <w:tl2br w:val="nil"/>
                    <w:tr2bl w:val="nil"/>
                  </w:tcBorders>
                  <w:noWrap w:val="0"/>
                  <w:vAlign w:val="top"/>
                </w:tcPr>
                <w:p w14:paraId="1E2569E8">
                  <w:pPr>
                    <w:pStyle w:val="114"/>
                    <w:spacing w:before="38" w:line="211" w:lineRule="auto"/>
                    <w:jc w:val="cente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pPr>
                  <w:r>
                    <w:rPr>
                      <w:rFonts w:hint="eastAsia" w:ascii="Times New Roman" w:hAnsi="Times New Roman" w:eastAsia="宋体" w:cs="Times New Roman"/>
                      <w:b w:val="0"/>
                      <w:bCs w:val="0"/>
                      <w:color w:val="auto"/>
                      <w:kern w:val="2"/>
                      <w:sz w:val="21"/>
                      <w:szCs w:val="21"/>
                      <w:highlight w:val="none"/>
                      <w:u w:val="none" w:color="auto"/>
                      <w:vertAlign w:val="baseline"/>
                      <w:lang w:val="en-US" w:eastAsia="zh-CN" w:bidi="ar-SA"/>
                    </w:rPr>
                    <w:t>一般固废为废角阀，交由厂家回收，日产日清；</w:t>
                  </w:r>
                </w:p>
              </w:tc>
            </w:tr>
            <w:tr w14:paraId="1AA242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87" w:type="pct"/>
                  <w:vMerge w:val="continue"/>
                  <w:tcBorders>
                    <w:tl2br w:val="nil"/>
                    <w:tr2bl w:val="nil"/>
                  </w:tcBorders>
                  <w:noWrap w:val="0"/>
                  <w:vAlign w:val="top"/>
                </w:tcPr>
                <w:p w14:paraId="2016EC9E">
                  <w:pPr>
                    <w:bidi w:val="0"/>
                    <w:jc w:val="center"/>
                    <w:rPr>
                      <w:rFonts w:hint="default" w:ascii="Times New Roman" w:hAnsi="Times New Roman" w:cs="Times New Roman"/>
                      <w:color w:val="auto"/>
                      <w:highlight w:val="none"/>
                      <w:u w:val="none" w:color="auto"/>
                      <w:lang w:val="en-US" w:eastAsia="zh-CN"/>
                    </w:rPr>
                  </w:pPr>
                </w:p>
              </w:tc>
              <w:tc>
                <w:tcPr>
                  <w:tcW w:w="1157" w:type="pct"/>
                  <w:gridSpan w:val="2"/>
                  <w:vMerge w:val="continue"/>
                  <w:tcBorders>
                    <w:tl2br w:val="nil"/>
                    <w:tr2bl w:val="nil"/>
                  </w:tcBorders>
                  <w:noWrap w:val="0"/>
                  <w:vAlign w:val="center"/>
                </w:tcPr>
                <w:p w14:paraId="4925FFF8">
                  <w:pPr>
                    <w:pStyle w:val="114"/>
                    <w:spacing w:before="39" w:line="228" w:lineRule="auto"/>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3054" w:type="pct"/>
                  <w:tcBorders>
                    <w:tl2br w:val="nil"/>
                    <w:tr2bl w:val="nil"/>
                  </w:tcBorders>
                  <w:noWrap w:val="0"/>
                  <w:vAlign w:val="top"/>
                </w:tcPr>
                <w:p w14:paraId="5A8B3345">
                  <w:pPr>
                    <w:pStyle w:val="114"/>
                    <w:spacing w:before="38" w:line="240" w:lineRule="auto"/>
                    <w:jc w:val="cente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pP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危险废物暂存间位于</w:t>
                  </w:r>
                  <w:r>
                    <w:rPr>
                      <w:rFonts w:hint="eastAsia" w:ascii="Times New Roman" w:hAnsi="Times New Roman" w:cs="Times New Roman"/>
                      <w:b w:val="0"/>
                      <w:bCs w:val="0"/>
                      <w:color w:val="auto"/>
                      <w:kern w:val="2"/>
                      <w:sz w:val="21"/>
                      <w:szCs w:val="21"/>
                      <w:highlight w:val="none"/>
                      <w:u w:val="none" w:color="auto"/>
                      <w:vertAlign w:val="baseline"/>
                      <w:lang w:val="en-US" w:eastAsia="zh-CN" w:bidi="ar-SA"/>
                    </w:rPr>
                    <w:t>厂区北</w:t>
                  </w: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侧，面积为5m</w:t>
                  </w:r>
                  <w:r>
                    <w:rPr>
                      <w:rFonts w:hint="default" w:ascii="Times New Roman" w:hAnsi="Times New Roman" w:eastAsia="宋体" w:cs="Times New Roman"/>
                      <w:b w:val="0"/>
                      <w:bCs w:val="0"/>
                      <w:color w:val="auto"/>
                      <w:kern w:val="2"/>
                      <w:sz w:val="21"/>
                      <w:szCs w:val="21"/>
                      <w:highlight w:val="none"/>
                      <w:u w:val="none" w:color="auto"/>
                      <w:vertAlign w:val="superscript"/>
                      <w:lang w:val="en-US" w:eastAsia="zh-CN" w:bidi="ar-SA"/>
                    </w:rPr>
                    <w:t>2</w:t>
                  </w: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，废机油和废机油桶属于危险废物，存放至危废暂存间，再交由有资质单位进行处理</w:t>
                  </w:r>
                </w:p>
              </w:tc>
            </w:tr>
          </w:tbl>
          <w:p w14:paraId="64BF6047">
            <w:pPr>
              <w:jc w:val="center"/>
              <w:rPr>
                <w:b/>
                <w:bCs/>
                <w:color w:val="auto"/>
                <w:szCs w:val="21"/>
                <w:u w:val="none" w:color="auto"/>
              </w:rPr>
            </w:pPr>
            <w:r>
              <w:rPr>
                <w:b/>
                <w:bCs/>
                <w:color w:val="auto"/>
                <w:szCs w:val="21"/>
                <w:u w:val="none" w:color="auto"/>
              </w:rPr>
              <w:t>表2-</w:t>
            </w:r>
            <w:r>
              <w:rPr>
                <w:rFonts w:hint="eastAsia"/>
                <w:b/>
                <w:bCs/>
                <w:color w:val="auto"/>
                <w:szCs w:val="21"/>
                <w:u w:val="none" w:color="auto"/>
                <w:lang w:val="en-US" w:eastAsia="zh-CN"/>
              </w:rPr>
              <w:t>9</w:t>
            </w:r>
            <w:r>
              <w:rPr>
                <w:b/>
                <w:bCs/>
                <w:color w:val="auto"/>
                <w:szCs w:val="21"/>
                <w:u w:val="none" w:color="auto"/>
              </w:rPr>
              <w:t xml:space="preserve">  </w:t>
            </w:r>
            <w:r>
              <w:rPr>
                <w:rFonts w:hint="eastAsia"/>
                <w:b/>
                <w:bCs/>
                <w:color w:val="auto"/>
                <w:szCs w:val="21"/>
                <w:u w:val="none" w:color="auto"/>
                <w:lang w:eastAsia="zh-CN"/>
              </w:rPr>
              <w:t>变动前</w:t>
            </w:r>
            <w:r>
              <w:rPr>
                <w:rFonts w:hint="default" w:ascii="Times New Roman" w:hAnsi="Times New Roman" w:eastAsia="宋体" w:cs="Times New Roman"/>
                <w:b/>
                <w:color w:val="auto"/>
                <w:kern w:val="0"/>
                <w:sz w:val="21"/>
                <w:szCs w:val="21"/>
                <w:u w:val="none" w:color="auto"/>
              </w:rPr>
              <w:t>项目</w:t>
            </w:r>
            <w:r>
              <w:rPr>
                <w:b/>
                <w:bCs/>
                <w:color w:val="auto"/>
                <w:szCs w:val="21"/>
                <w:u w:val="none" w:color="auto"/>
              </w:rPr>
              <w:t>产品方案</w:t>
            </w:r>
            <w:r>
              <w:rPr>
                <w:rFonts w:hint="default" w:ascii="Times New Roman" w:hAnsi="Times New Roman" w:eastAsia="宋体" w:cs="Times New Roman"/>
                <w:b/>
                <w:color w:val="auto"/>
                <w:sz w:val="21"/>
                <w:szCs w:val="21"/>
                <w:u w:val="none" w:color="auto"/>
                <w:lang w:val="en-US" w:eastAsia="zh-CN"/>
              </w:rPr>
              <w:t>一览表</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157"/>
              <w:gridCol w:w="1849"/>
              <w:gridCol w:w="2175"/>
              <w:gridCol w:w="2175"/>
            </w:tblGrid>
            <w:tr w14:paraId="0B762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1290" w:type="pct"/>
                  <w:tcBorders>
                    <w:tl2br w:val="nil"/>
                    <w:tr2bl w:val="nil"/>
                  </w:tcBorders>
                  <w:noWrap w:val="0"/>
                  <w:vAlign w:val="center"/>
                </w:tcPr>
                <w:p w14:paraId="765DEFEC">
                  <w:pPr>
                    <w:spacing w:line="240" w:lineRule="auto"/>
                    <w:jc w:val="center"/>
                    <w:rPr>
                      <w:rFonts w:hint="default" w:ascii="Times New Roman" w:hAnsi="Times New Roman" w:cs="Times New Roman"/>
                      <w:b/>
                      <w:bCs/>
                      <w:color w:val="auto"/>
                      <w:highlight w:val="none"/>
                      <w:u w:val="none" w:color="auto"/>
                      <w:vertAlign w:val="baseline"/>
                      <w:lang w:val="en-US" w:eastAsia="zh-CN"/>
                    </w:rPr>
                  </w:pPr>
                  <w:r>
                    <w:rPr>
                      <w:rFonts w:hint="default" w:ascii="Times New Roman" w:hAnsi="Times New Roman" w:cs="Times New Roman"/>
                      <w:b/>
                      <w:bCs/>
                      <w:color w:val="auto"/>
                      <w:highlight w:val="none"/>
                      <w:u w:val="none" w:color="auto"/>
                      <w:vertAlign w:val="baseline"/>
                      <w:lang w:val="en-US" w:eastAsia="zh-CN"/>
                    </w:rPr>
                    <w:t>产品名称</w:t>
                  </w:r>
                </w:p>
              </w:tc>
              <w:tc>
                <w:tcPr>
                  <w:tcW w:w="1106" w:type="pct"/>
                  <w:tcBorders>
                    <w:tl2br w:val="nil"/>
                    <w:tr2bl w:val="nil"/>
                  </w:tcBorders>
                  <w:noWrap w:val="0"/>
                  <w:vAlign w:val="center"/>
                </w:tcPr>
                <w:p w14:paraId="35E4B257">
                  <w:pPr>
                    <w:spacing w:line="240" w:lineRule="auto"/>
                    <w:jc w:val="center"/>
                    <w:rPr>
                      <w:rFonts w:hint="default" w:ascii="Times New Roman" w:hAnsi="Times New Roman" w:cs="Times New Roman"/>
                      <w:b/>
                      <w:bCs/>
                      <w:color w:val="auto"/>
                      <w:highlight w:val="none"/>
                      <w:u w:val="none" w:color="auto"/>
                      <w:vertAlign w:val="baseline"/>
                      <w:lang w:val="en-US" w:eastAsia="zh-CN"/>
                    </w:rPr>
                  </w:pPr>
                  <w:r>
                    <w:rPr>
                      <w:rFonts w:hint="eastAsia" w:cs="Times New Roman"/>
                      <w:b/>
                      <w:bCs/>
                      <w:color w:val="auto"/>
                      <w:highlight w:val="none"/>
                      <w:u w:val="none" w:color="auto"/>
                      <w:vertAlign w:val="baseline"/>
                      <w:lang w:val="en-US" w:eastAsia="zh-CN"/>
                    </w:rPr>
                    <w:t>规格</w:t>
                  </w:r>
                </w:p>
              </w:tc>
              <w:tc>
                <w:tcPr>
                  <w:tcW w:w="1301" w:type="pct"/>
                  <w:tcBorders>
                    <w:tl2br w:val="nil"/>
                    <w:tr2bl w:val="nil"/>
                  </w:tcBorders>
                  <w:noWrap w:val="0"/>
                  <w:vAlign w:val="center"/>
                </w:tcPr>
                <w:p w14:paraId="2B4BE04E">
                  <w:pPr>
                    <w:spacing w:line="240" w:lineRule="auto"/>
                    <w:jc w:val="center"/>
                    <w:rPr>
                      <w:rFonts w:hint="default" w:ascii="Times New Roman" w:hAnsi="Times New Roman" w:cs="Times New Roman"/>
                      <w:b/>
                      <w:bCs/>
                      <w:color w:val="auto"/>
                      <w:highlight w:val="none"/>
                      <w:u w:val="none" w:color="auto"/>
                      <w:vertAlign w:val="baseline"/>
                      <w:lang w:val="en-US" w:eastAsia="zh-CN"/>
                    </w:rPr>
                  </w:pPr>
                  <w:r>
                    <w:rPr>
                      <w:rFonts w:hint="default" w:ascii="Times New Roman" w:hAnsi="Times New Roman" w:cs="Times New Roman"/>
                      <w:b/>
                      <w:bCs/>
                      <w:color w:val="auto"/>
                      <w:highlight w:val="none"/>
                      <w:u w:val="none" w:color="auto"/>
                      <w:vertAlign w:val="baseline"/>
                      <w:lang w:val="en-US" w:eastAsia="zh-CN"/>
                    </w:rPr>
                    <w:t>年</w:t>
                  </w:r>
                  <w:r>
                    <w:rPr>
                      <w:rFonts w:hint="eastAsia" w:cs="Times New Roman"/>
                      <w:b/>
                      <w:bCs/>
                      <w:color w:val="auto"/>
                      <w:highlight w:val="none"/>
                      <w:u w:val="none" w:color="auto"/>
                      <w:vertAlign w:val="baseline"/>
                      <w:lang w:val="en-US" w:eastAsia="zh-CN"/>
                    </w:rPr>
                    <w:t>报废</w:t>
                  </w:r>
                  <w:r>
                    <w:rPr>
                      <w:rFonts w:hint="default" w:ascii="Times New Roman" w:hAnsi="Times New Roman" w:cs="Times New Roman"/>
                      <w:b/>
                      <w:bCs/>
                      <w:color w:val="auto"/>
                      <w:highlight w:val="none"/>
                      <w:u w:val="none" w:color="auto"/>
                      <w:vertAlign w:val="baseline"/>
                      <w:lang w:val="en-US" w:eastAsia="zh-CN"/>
                    </w:rPr>
                    <w:t>量</w:t>
                  </w:r>
                </w:p>
              </w:tc>
              <w:tc>
                <w:tcPr>
                  <w:tcW w:w="1301" w:type="pct"/>
                  <w:tcBorders>
                    <w:tl2br w:val="nil"/>
                    <w:tr2bl w:val="nil"/>
                  </w:tcBorders>
                  <w:noWrap w:val="0"/>
                  <w:vAlign w:val="center"/>
                </w:tcPr>
                <w:p w14:paraId="2D52F823">
                  <w:pPr>
                    <w:spacing w:line="240" w:lineRule="auto"/>
                    <w:jc w:val="center"/>
                    <w:rPr>
                      <w:rFonts w:hint="default" w:ascii="Times New Roman" w:hAnsi="Times New Roman" w:cs="Times New Roman"/>
                      <w:b/>
                      <w:bCs/>
                      <w:color w:val="auto"/>
                      <w:highlight w:val="none"/>
                      <w:u w:val="none" w:color="auto"/>
                      <w:vertAlign w:val="baseline"/>
                      <w:lang w:val="en-US" w:eastAsia="zh-CN"/>
                    </w:rPr>
                  </w:pPr>
                  <w:r>
                    <w:rPr>
                      <w:rFonts w:hint="eastAsia" w:cs="Times New Roman"/>
                      <w:b/>
                      <w:bCs/>
                      <w:color w:val="auto"/>
                      <w:highlight w:val="none"/>
                      <w:u w:val="none" w:color="auto"/>
                      <w:vertAlign w:val="baseline"/>
                      <w:lang w:val="en-US" w:eastAsia="zh-CN"/>
                    </w:rPr>
                    <w:t>最大存储量</w:t>
                  </w:r>
                </w:p>
              </w:tc>
            </w:tr>
            <w:tr w14:paraId="4C6C84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exact"/>
              </w:trPr>
              <w:tc>
                <w:tcPr>
                  <w:tcW w:w="1290" w:type="pct"/>
                  <w:tcBorders>
                    <w:tl2br w:val="nil"/>
                    <w:tr2bl w:val="nil"/>
                  </w:tcBorders>
                  <w:noWrap w:val="0"/>
                  <w:vAlign w:val="center"/>
                </w:tcPr>
                <w:p w14:paraId="3913B814">
                  <w:pPr>
                    <w:spacing w:line="240" w:lineRule="auto"/>
                    <w:jc w:val="center"/>
                    <w:rPr>
                      <w:rFonts w:hint="default" w:ascii="Times New Roman" w:hAnsi="Times New Roman" w:eastAsia="宋体" w:cs="Times New Roman"/>
                      <w:color w:val="auto"/>
                      <w:highlight w:val="none"/>
                      <w:u w:val="none" w:color="auto"/>
                      <w:vertAlign w:val="baseline"/>
                      <w:lang w:val="en-US" w:eastAsia="zh-CN"/>
                    </w:rPr>
                  </w:pPr>
                  <w:r>
                    <w:rPr>
                      <w:rFonts w:hint="eastAsia" w:cs="Times New Roman"/>
                      <w:color w:val="auto"/>
                      <w:highlight w:val="none"/>
                      <w:u w:val="none" w:color="auto"/>
                      <w:vertAlign w:val="baseline"/>
                      <w:lang w:val="en-US" w:eastAsia="zh-CN"/>
                    </w:rPr>
                    <w:t>液化石油气钢瓶</w:t>
                  </w:r>
                </w:p>
              </w:tc>
              <w:tc>
                <w:tcPr>
                  <w:tcW w:w="1106" w:type="pct"/>
                  <w:tcBorders>
                    <w:tl2br w:val="nil"/>
                    <w:tr2bl w:val="nil"/>
                  </w:tcBorders>
                  <w:noWrap w:val="0"/>
                  <w:vAlign w:val="center"/>
                </w:tcPr>
                <w:p w14:paraId="1DF9552A">
                  <w:pPr>
                    <w:spacing w:line="240" w:lineRule="auto"/>
                    <w:jc w:val="center"/>
                    <w:rPr>
                      <w:rFonts w:hint="default" w:eastAsia="宋体" w:cs="Times New Roman"/>
                      <w:color w:val="auto"/>
                      <w:highlight w:val="none"/>
                      <w:u w:val="none" w:color="auto"/>
                      <w:vertAlign w:val="baseline"/>
                      <w:lang w:val="en-US" w:eastAsia="zh-CN"/>
                    </w:rPr>
                  </w:pPr>
                  <w:r>
                    <w:rPr>
                      <w:rFonts w:hint="eastAsia" w:cs="Times New Roman"/>
                      <w:color w:val="auto"/>
                      <w:highlight w:val="none"/>
                      <w:u w:val="none" w:color="auto"/>
                      <w:vertAlign w:val="baseline"/>
                      <w:lang w:val="en-US" w:eastAsia="zh-CN"/>
                    </w:rPr>
                    <w:t>16.5公斤</w:t>
                  </w:r>
                  <w:r>
                    <w:rPr>
                      <w:rFonts w:hint="eastAsia"/>
                      <w:color w:val="auto"/>
                      <w:highlight w:val="none"/>
                      <w:u w:val="none" w:color="auto"/>
                      <w:lang w:val="en-US" w:eastAsia="zh-CN"/>
                    </w:rPr>
                    <w:t>/只</w:t>
                  </w:r>
                </w:p>
              </w:tc>
              <w:tc>
                <w:tcPr>
                  <w:tcW w:w="1301" w:type="pct"/>
                  <w:tcBorders>
                    <w:tl2br w:val="nil"/>
                    <w:tr2bl w:val="nil"/>
                  </w:tcBorders>
                  <w:noWrap w:val="0"/>
                  <w:vAlign w:val="center"/>
                </w:tcPr>
                <w:p w14:paraId="7720713E">
                  <w:pPr>
                    <w:spacing w:line="240" w:lineRule="auto"/>
                    <w:jc w:val="center"/>
                    <w:rPr>
                      <w:rFonts w:hint="default" w:ascii="Times New Roman" w:hAnsi="Times New Roman" w:eastAsia="宋体" w:cs="Times New Roman"/>
                      <w:color w:val="auto"/>
                      <w:highlight w:val="none"/>
                      <w:u w:val="none" w:color="auto"/>
                      <w:vertAlign w:val="baseline"/>
                      <w:lang w:val="en-US" w:eastAsia="zh-CN"/>
                    </w:rPr>
                  </w:pPr>
                  <w:r>
                    <w:rPr>
                      <w:rFonts w:hint="eastAsia" w:cs="Times New Roman"/>
                      <w:color w:val="auto"/>
                      <w:highlight w:val="none"/>
                      <w:u w:val="none" w:color="auto"/>
                      <w:vertAlign w:val="baseline"/>
                      <w:lang w:val="en-US" w:eastAsia="zh-CN"/>
                    </w:rPr>
                    <w:t>12万只</w:t>
                  </w:r>
                </w:p>
              </w:tc>
              <w:tc>
                <w:tcPr>
                  <w:tcW w:w="1301" w:type="pct"/>
                  <w:tcBorders>
                    <w:tl2br w:val="nil"/>
                    <w:tr2bl w:val="nil"/>
                  </w:tcBorders>
                  <w:noWrap w:val="0"/>
                  <w:vAlign w:val="center"/>
                </w:tcPr>
                <w:p w14:paraId="2392B956">
                  <w:pPr>
                    <w:spacing w:line="240" w:lineRule="auto"/>
                    <w:jc w:val="center"/>
                    <w:rPr>
                      <w:rFonts w:hint="default" w:cs="Times New Roman"/>
                      <w:color w:val="auto"/>
                      <w:highlight w:val="none"/>
                      <w:u w:val="none" w:color="auto"/>
                      <w:vertAlign w:val="baseline"/>
                      <w:lang w:val="en-US" w:eastAsia="zh-CN"/>
                    </w:rPr>
                  </w:pPr>
                  <w:r>
                    <w:rPr>
                      <w:rFonts w:hint="eastAsia" w:cs="Times New Roman"/>
                      <w:color w:val="auto"/>
                      <w:highlight w:val="none"/>
                      <w:u w:val="none" w:color="auto"/>
                      <w:vertAlign w:val="baseline"/>
                      <w:lang w:val="en-US" w:eastAsia="zh-CN"/>
                    </w:rPr>
                    <w:t>1515只</w:t>
                  </w:r>
                </w:p>
              </w:tc>
            </w:tr>
          </w:tbl>
          <w:p w14:paraId="64CFB3DE">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color w:val="auto"/>
                <w:sz w:val="21"/>
                <w:szCs w:val="21"/>
                <w:u w:val="none" w:color="auto"/>
                <w:lang w:val="en-US" w:eastAsia="zh-CN"/>
              </w:rPr>
            </w:pPr>
            <w:r>
              <w:rPr>
                <w:rFonts w:hint="default" w:ascii="Times New Roman" w:hAnsi="Times New Roman" w:eastAsia="宋体" w:cs="Times New Roman"/>
                <w:b/>
                <w:color w:val="auto"/>
                <w:sz w:val="21"/>
                <w:szCs w:val="21"/>
                <w:u w:val="none" w:color="auto"/>
              </w:rPr>
              <w:t>表2-</w:t>
            </w:r>
            <w:r>
              <w:rPr>
                <w:rFonts w:hint="eastAsia" w:cs="Times New Roman"/>
                <w:b/>
                <w:color w:val="auto"/>
                <w:sz w:val="21"/>
                <w:szCs w:val="21"/>
                <w:u w:val="none" w:color="auto"/>
                <w:lang w:val="en-US" w:eastAsia="zh-CN"/>
              </w:rPr>
              <w:t>10  变动前</w:t>
            </w:r>
            <w:r>
              <w:rPr>
                <w:rFonts w:hint="default" w:ascii="Times New Roman" w:hAnsi="Times New Roman" w:eastAsia="宋体" w:cs="Times New Roman"/>
                <w:b/>
                <w:color w:val="auto"/>
                <w:kern w:val="0"/>
                <w:sz w:val="21"/>
                <w:szCs w:val="21"/>
                <w:u w:val="none" w:color="auto"/>
              </w:rPr>
              <w:t>项目</w:t>
            </w:r>
            <w:r>
              <w:rPr>
                <w:rFonts w:hint="default" w:ascii="Times New Roman" w:hAnsi="Times New Roman" w:eastAsia="宋体" w:cs="Times New Roman"/>
                <w:b/>
                <w:color w:val="auto"/>
                <w:sz w:val="21"/>
                <w:szCs w:val="21"/>
                <w:u w:val="none" w:color="auto"/>
                <w:lang w:val="en-US" w:eastAsia="zh-CN"/>
              </w:rPr>
              <w:t>原辅材料一览表</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937"/>
              <w:gridCol w:w="2206"/>
              <w:gridCol w:w="2039"/>
              <w:gridCol w:w="2174"/>
            </w:tblGrid>
            <w:tr w14:paraId="094B92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1159" w:type="pct"/>
                  <w:tcBorders>
                    <w:tl2br w:val="nil"/>
                    <w:tr2bl w:val="nil"/>
                  </w:tcBorders>
                  <w:noWrap w:val="0"/>
                  <w:vAlign w:val="center"/>
                </w:tcPr>
                <w:p w14:paraId="47963F49">
                  <w:pPr>
                    <w:bidi w:val="0"/>
                    <w:jc w:val="center"/>
                    <w:rPr>
                      <w:rFonts w:hint="eastAsia" w:ascii="Times New Roman" w:hAnsi="Times New Roman" w:eastAsia="宋体" w:cs="Times New Roman"/>
                      <w:b/>
                      <w:bCs/>
                      <w:color w:val="auto"/>
                      <w:highlight w:val="none"/>
                      <w:u w:val="none" w:color="auto"/>
                      <w:lang w:eastAsia="zh-CN"/>
                    </w:rPr>
                  </w:pPr>
                  <w:r>
                    <w:rPr>
                      <w:rFonts w:hint="eastAsia" w:cs="Times New Roman"/>
                      <w:b/>
                      <w:bCs/>
                      <w:color w:val="auto"/>
                      <w:highlight w:val="none"/>
                      <w:u w:val="none" w:color="auto"/>
                      <w:lang w:val="en-US" w:eastAsia="zh-CN"/>
                    </w:rPr>
                    <w:t>原材料</w:t>
                  </w:r>
                </w:p>
              </w:tc>
              <w:tc>
                <w:tcPr>
                  <w:tcW w:w="1320" w:type="pct"/>
                  <w:tcBorders>
                    <w:tl2br w:val="nil"/>
                    <w:tr2bl w:val="nil"/>
                  </w:tcBorders>
                  <w:noWrap w:val="0"/>
                  <w:vAlign w:val="center"/>
                </w:tcPr>
                <w:p w14:paraId="43501EAC">
                  <w:pPr>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年用量</w:t>
                  </w:r>
                </w:p>
              </w:tc>
              <w:tc>
                <w:tcPr>
                  <w:tcW w:w="1220" w:type="pct"/>
                  <w:tcBorders>
                    <w:tl2br w:val="nil"/>
                    <w:tr2bl w:val="nil"/>
                  </w:tcBorders>
                  <w:noWrap w:val="0"/>
                  <w:vAlign w:val="center"/>
                </w:tcPr>
                <w:p w14:paraId="75F01CA2">
                  <w:pPr>
                    <w:bidi w:val="0"/>
                    <w:jc w:val="center"/>
                    <w:rPr>
                      <w:rFonts w:hint="default" w:ascii="Times New Roman" w:hAnsi="Times New Roman" w:eastAsia="宋体"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rPr>
                    <w:t>储存</w:t>
                  </w:r>
                  <w:r>
                    <w:rPr>
                      <w:rFonts w:hint="default" w:ascii="Times New Roman" w:hAnsi="Times New Roman" w:cs="Times New Roman"/>
                      <w:b/>
                      <w:bCs/>
                      <w:color w:val="auto"/>
                      <w:highlight w:val="none"/>
                      <w:u w:val="none" w:color="auto"/>
                      <w:lang w:val="en-US" w:eastAsia="zh-CN"/>
                    </w:rPr>
                    <w:t>位置</w:t>
                  </w:r>
                </w:p>
              </w:tc>
              <w:tc>
                <w:tcPr>
                  <w:tcW w:w="1299" w:type="pct"/>
                  <w:tcBorders>
                    <w:tl2br w:val="nil"/>
                    <w:tr2bl w:val="nil"/>
                  </w:tcBorders>
                  <w:noWrap w:val="0"/>
                  <w:vAlign w:val="center"/>
                </w:tcPr>
                <w:p w14:paraId="49E78881">
                  <w:pPr>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lang w:val="en-US" w:eastAsia="zh-CN"/>
                    </w:rPr>
                    <w:t>最大</w:t>
                  </w:r>
                  <w:r>
                    <w:rPr>
                      <w:rFonts w:hint="default" w:ascii="Times New Roman" w:hAnsi="Times New Roman" w:cs="Times New Roman"/>
                      <w:b/>
                      <w:bCs/>
                      <w:color w:val="auto"/>
                      <w:highlight w:val="none"/>
                      <w:u w:val="none" w:color="auto"/>
                    </w:rPr>
                    <w:t>储存量</w:t>
                  </w:r>
                </w:p>
              </w:tc>
            </w:tr>
            <w:tr w14:paraId="0F9216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1159" w:type="pct"/>
                  <w:tcBorders>
                    <w:tl2br w:val="nil"/>
                    <w:tr2bl w:val="nil"/>
                  </w:tcBorders>
                  <w:noWrap w:val="0"/>
                  <w:vAlign w:val="center"/>
                </w:tcPr>
                <w:p w14:paraId="6588ED81">
                  <w:pPr>
                    <w:bidi w:val="0"/>
                    <w:jc w:val="center"/>
                    <w:rPr>
                      <w:rFonts w:hint="eastAsia" w:ascii="Times New Roman" w:hAnsi="Times New Roman" w:eastAsia="宋体" w:cs="Times New Roman"/>
                      <w:color w:val="auto"/>
                      <w:highlight w:val="none"/>
                      <w:u w:val="none" w:color="auto"/>
                      <w:lang w:eastAsia="zh-CN"/>
                    </w:rPr>
                  </w:pPr>
                  <w:r>
                    <w:rPr>
                      <w:rFonts w:hint="eastAsia"/>
                      <w:color w:val="auto"/>
                      <w:highlight w:val="none"/>
                      <w:u w:val="none" w:color="auto"/>
                      <w:vertAlign w:val="baseline"/>
                      <w:lang w:val="en-US" w:eastAsia="zh-CN"/>
                    </w:rPr>
                    <w:t>液化石油气钢瓶</w:t>
                  </w:r>
                </w:p>
              </w:tc>
              <w:tc>
                <w:tcPr>
                  <w:tcW w:w="1320" w:type="pct"/>
                  <w:tcBorders>
                    <w:tl2br w:val="nil"/>
                    <w:tr2bl w:val="nil"/>
                  </w:tcBorders>
                  <w:noWrap w:val="0"/>
                  <w:vAlign w:val="center"/>
                </w:tcPr>
                <w:p w14:paraId="7D3EEAD4">
                  <w:pPr>
                    <w:bidi w:val="0"/>
                    <w:jc w:val="center"/>
                    <w:rPr>
                      <w:rFonts w:hint="eastAsia"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vertAlign w:val="baseline"/>
                      <w:lang w:val="en-US" w:eastAsia="zh-CN"/>
                    </w:rPr>
                    <w:t>12万</w:t>
                  </w:r>
                  <w:r>
                    <w:rPr>
                      <w:rFonts w:hint="eastAsia" w:cs="Times New Roman"/>
                      <w:color w:val="auto"/>
                      <w:highlight w:val="none"/>
                      <w:u w:val="none" w:color="auto"/>
                      <w:lang w:val="en-US" w:eastAsia="zh-CN"/>
                    </w:rPr>
                    <w:t>只</w:t>
                  </w:r>
                </w:p>
              </w:tc>
              <w:tc>
                <w:tcPr>
                  <w:tcW w:w="1220" w:type="pct"/>
                  <w:tcBorders>
                    <w:tl2br w:val="nil"/>
                    <w:tr2bl w:val="nil"/>
                  </w:tcBorders>
                  <w:noWrap w:val="0"/>
                  <w:vAlign w:val="center"/>
                </w:tcPr>
                <w:p w14:paraId="70D89880">
                  <w:pPr>
                    <w:pStyle w:val="63"/>
                    <w:tabs>
                      <w:tab w:val="left" w:pos="1021"/>
                    </w:tabs>
                    <w:bidi w:val="0"/>
                    <w:jc w:val="center"/>
                    <w:rPr>
                      <w:rFonts w:hint="default"/>
                      <w:color w:val="auto"/>
                      <w:highlight w:val="none"/>
                      <w:u w:val="none" w:color="auto"/>
                      <w:lang w:val="en-US" w:eastAsia="zh-CN"/>
                    </w:rPr>
                  </w:pPr>
                  <w:r>
                    <w:rPr>
                      <w:rFonts w:hint="eastAsia"/>
                      <w:color w:val="auto"/>
                      <w:highlight w:val="none"/>
                      <w:u w:val="none" w:color="auto"/>
                      <w:lang w:val="en-US" w:eastAsia="zh-CN"/>
                    </w:rPr>
                    <w:t>原材料堆场</w:t>
                  </w:r>
                </w:p>
              </w:tc>
              <w:tc>
                <w:tcPr>
                  <w:tcW w:w="1299" w:type="pct"/>
                  <w:tcBorders>
                    <w:tl2br w:val="nil"/>
                    <w:tr2bl w:val="nil"/>
                  </w:tcBorders>
                  <w:noWrap w:val="0"/>
                  <w:vAlign w:val="center"/>
                </w:tcPr>
                <w:p w14:paraId="2B6FE213">
                  <w:pPr>
                    <w:bidi w:val="0"/>
                    <w:jc w:val="center"/>
                    <w:rPr>
                      <w:rFonts w:hint="default"/>
                      <w:color w:val="auto"/>
                      <w:highlight w:val="none"/>
                      <w:u w:val="none" w:color="auto"/>
                      <w:lang w:val="en-US" w:eastAsia="zh-CN"/>
                    </w:rPr>
                  </w:pPr>
                  <w:r>
                    <w:rPr>
                      <w:rFonts w:hint="eastAsia" w:ascii="Times New Roman" w:hAnsi="Times New Roman" w:eastAsia="宋体" w:cs="Times New Roman"/>
                      <w:color w:val="auto"/>
                      <w:highlight w:val="none"/>
                      <w:u w:val="none" w:color="auto"/>
                      <w:vertAlign w:val="baseline"/>
                      <w:lang w:val="en-US" w:eastAsia="zh-CN"/>
                    </w:rPr>
                    <w:t>3000</w:t>
                  </w:r>
                  <w:r>
                    <w:rPr>
                      <w:rFonts w:hint="eastAsia" w:cs="Times New Roman"/>
                      <w:color w:val="auto"/>
                      <w:highlight w:val="none"/>
                      <w:u w:val="none" w:color="auto"/>
                      <w:vertAlign w:val="baseline"/>
                      <w:lang w:val="en-US" w:eastAsia="zh-CN"/>
                    </w:rPr>
                    <w:t>只</w:t>
                  </w:r>
                </w:p>
              </w:tc>
            </w:tr>
            <w:tr w14:paraId="4699CA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5000" w:type="pct"/>
                  <w:gridSpan w:val="4"/>
                  <w:tcBorders>
                    <w:tl2br w:val="nil"/>
                    <w:tr2bl w:val="nil"/>
                  </w:tcBorders>
                  <w:noWrap w:val="0"/>
                  <w:vAlign w:val="center"/>
                </w:tcPr>
                <w:p w14:paraId="59043723">
                  <w:pPr>
                    <w:pStyle w:val="63"/>
                    <w:tabs>
                      <w:tab w:val="left" w:pos="1021"/>
                    </w:tabs>
                    <w:bidi w:val="0"/>
                    <w:jc w:val="both"/>
                    <w:rPr>
                      <w:rFonts w:hint="eastAsia" w:eastAsia="宋体" w:cs="Times New Roman"/>
                      <w:color w:val="auto"/>
                      <w:highlight w:val="none"/>
                      <w:u w:val="none" w:color="auto"/>
                      <w:lang w:val="en-US" w:eastAsia="zh-CN"/>
                    </w:rPr>
                  </w:pPr>
                  <w:r>
                    <w:rPr>
                      <w:rFonts w:hint="eastAsia"/>
                      <w:color w:val="auto"/>
                      <w:highlight w:val="none"/>
                      <w:u w:val="none" w:color="auto"/>
                      <w:lang w:val="en-US" w:eastAsia="zh-CN"/>
                    </w:rPr>
                    <w:t>注：</w:t>
                  </w:r>
                  <w:r>
                    <w:rPr>
                      <w:color w:val="auto"/>
                      <w:highlight w:val="none"/>
                      <w:u w:val="none" w:color="auto"/>
                    </w:rPr>
                    <w:t>1只液化石油气钢瓶（16.5公斤规格）</w:t>
                  </w:r>
                  <w:r>
                    <w:rPr>
                      <w:rFonts w:hint="eastAsia"/>
                      <w:color w:val="auto"/>
                      <w:highlight w:val="none"/>
                      <w:u w:val="none" w:color="auto"/>
                      <w:lang w:eastAsia="zh-CN"/>
                    </w:rPr>
                    <w:t>；</w:t>
                  </w:r>
                </w:p>
              </w:tc>
            </w:tr>
          </w:tbl>
          <w:p w14:paraId="3B181ADC">
            <w:pPr>
              <w:pStyle w:val="63"/>
              <w:tabs>
                <w:tab w:val="left" w:pos="1021"/>
              </w:tabs>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表</w:t>
            </w:r>
            <w:r>
              <w:rPr>
                <w:rFonts w:hint="default" w:ascii="Times New Roman" w:hAnsi="Times New Roman" w:cs="Times New Roman"/>
                <w:b/>
                <w:bCs/>
                <w:color w:val="auto"/>
                <w:highlight w:val="none"/>
                <w:u w:val="none" w:color="auto"/>
                <w:lang w:val="en-US" w:eastAsia="zh-CN"/>
              </w:rPr>
              <w:t>2</w:t>
            </w:r>
            <w:r>
              <w:rPr>
                <w:rFonts w:hint="default" w:ascii="Times New Roman" w:hAnsi="Times New Roman" w:cs="Times New Roman"/>
                <w:b/>
                <w:bCs/>
                <w:color w:val="auto"/>
                <w:highlight w:val="none"/>
                <w:u w:val="none" w:color="auto"/>
              </w:rPr>
              <w:t>-</w:t>
            </w:r>
            <w:r>
              <w:rPr>
                <w:rFonts w:hint="default" w:ascii="Times New Roman" w:hAnsi="Times New Roman" w:cs="Times New Roman"/>
                <w:b/>
                <w:bCs/>
                <w:color w:val="auto"/>
                <w:highlight w:val="none"/>
                <w:u w:val="none" w:color="auto"/>
                <w:lang w:val="en-US" w:eastAsia="zh-CN"/>
              </w:rPr>
              <w:t>1</w:t>
            </w:r>
            <w:r>
              <w:rPr>
                <w:rFonts w:hint="eastAsia" w:ascii="Times New Roman" w:hAnsi="Times New Roman" w:cs="Times New Roman"/>
                <w:b/>
                <w:bCs/>
                <w:color w:val="auto"/>
                <w:highlight w:val="none"/>
                <w:u w:val="none" w:color="auto"/>
                <w:lang w:val="en-US" w:eastAsia="zh-CN"/>
              </w:rPr>
              <w:t>1</w:t>
            </w:r>
            <w:r>
              <w:rPr>
                <w:rFonts w:hint="default" w:ascii="Times New Roman" w:hAnsi="Times New Roman" w:cs="Times New Roman"/>
                <w:b/>
                <w:bCs/>
                <w:color w:val="auto"/>
                <w:highlight w:val="none"/>
                <w:u w:val="none" w:color="auto"/>
                <w:lang w:val="en-US" w:eastAsia="zh-CN"/>
              </w:rPr>
              <w:t xml:space="preserve"> </w:t>
            </w:r>
            <w:r>
              <w:rPr>
                <w:rFonts w:hint="eastAsia" w:ascii="Times New Roman" w:hAnsi="Times New Roman" w:cs="Times New Roman"/>
                <w:b/>
                <w:bCs/>
                <w:color w:val="auto"/>
                <w:highlight w:val="none"/>
                <w:u w:val="none" w:color="auto"/>
                <w:lang w:val="en-US" w:eastAsia="zh-CN"/>
              </w:rPr>
              <w:t>变动前</w:t>
            </w:r>
            <w:r>
              <w:rPr>
                <w:rFonts w:hint="default" w:ascii="Times New Roman" w:hAnsi="Times New Roman" w:cs="Times New Roman"/>
                <w:b/>
                <w:bCs/>
                <w:color w:val="auto"/>
                <w:highlight w:val="none"/>
                <w:u w:val="none" w:color="auto"/>
                <w:lang w:val="en-US" w:eastAsia="zh-CN"/>
              </w:rPr>
              <w:t>项目</w:t>
            </w:r>
            <w:r>
              <w:rPr>
                <w:rFonts w:hint="default" w:ascii="Times New Roman" w:hAnsi="Times New Roman" w:cs="Times New Roman"/>
                <w:b/>
                <w:bCs/>
                <w:color w:val="auto"/>
                <w:highlight w:val="none"/>
                <w:u w:val="none" w:color="auto"/>
              </w:rPr>
              <w:t>能源消耗情况</w:t>
            </w:r>
          </w:p>
          <w:tbl>
            <w:tblPr>
              <w:tblStyle w:val="33"/>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42"/>
              <w:gridCol w:w="1896"/>
              <w:gridCol w:w="1042"/>
              <w:gridCol w:w="1033"/>
              <w:gridCol w:w="3643"/>
            </w:tblGrid>
            <w:tr w14:paraId="6C2A7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444" w:type="pct"/>
                  <w:noWrap w:val="0"/>
                  <w:vAlign w:val="center"/>
                </w:tcPr>
                <w:p w14:paraId="03751CFF">
                  <w:pPr>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序号</w:t>
                  </w:r>
                </w:p>
              </w:tc>
              <w:tc>
                <w:tcPr>
                  <w:tcW w:w="1134" w:type="pct"/>
                  <w:noWrap w:val="0"/>
                  <w:vAlign w:val="center"/>
                </w:tcPr>
                <w:p w14:paraId="2F128839">
                  <w:pPr>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名称</w:t>
                  </w:r>
                </w:p>
              </w:tc>
              <w:tc>
                <w:tcPr>
                  <w:tcW w:w="623" w:type="pct"/>
                  <w:noWrap w:val="0"/>
                  <w:vAlign w:val="center"/>
                </w:tcPr>
                <w:p w14:paraId="788890D1">
                  <w:pPr>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lang w:val="en-US" w:eastAsia="zh-CN"/>
                    </w:rPr>
                    <w:t>年</w:t>
                  </w:r>
                  <w:r>
                    <w:rPr>
                      <w:rFonts w:hint="default" w:ascii="Times New Roman" w:hAnsi="Times New Roman" w:eastAsia="宋体" w:cs="Times New Roman"/>
                      <w:b/>
                      <w:bCs/>
                      <w:color w:val="auto"/>
                      <w:highlight w:val="none"/>
                      <w:u w:val="none" w:color="auto"/>
                    </w:rPr>
                    <w:t>定额</w:t>
                  </w:r>
                </w:p>
              </w:tc>
              <w:tc>
                <w:tcPr>
                  <w:tcW w:w="618" w:type="pct"/>
                  <w:noWrap w:val="0"/>
                  <w:vAlign w:val="center"/>
                </w:tcPr>
                <w:p w14:paraId="798D8C29">
                  <w:pPr>
                    <w:jc w:val="center"/>
                    <w:rPr>
                      <w:rFonts w:hint="default" w:ascii="Times New Roman" w:hAnsi="Times New Roman" w:eastAsia="宋体" w:cs="Times New Roman"/>
                      <w:b/>
                      <w:bCs/>
                      <w:color w:val="auto"/>
                      <w:highlight w:val="none"/>
                      <w:u w:val="none" w:color="auto"/>
                      <w:lang w:val="en-US" w:eastAsia="zh-CN"/>
                    </w:rPr>
                  </w:pPr>
                  <w:r>
                    <w:rPr>
                      <w:rFonts w:hint="default" w:ascii="Times New Roman" w:hAnsi="Times New Roman" w:eastAsia="宋体" w:cs="Times New Roman"/>
                      <w:b/>
                      <w:bCs/>
                      <w:color w:val="auto"/>
                      <w:highlight w:val="none"/>
                      <w:u w:val="none" w:color="auto"/>
                    </w:rPr>
                    <w:t>单位</w:t>
                  </w:r>
                </w:p>
              </w:tc>
              <w:tc>
                <w:tcPr>
                  <w:tcW w:w="2179" w:type="pct"/>
                  <w:noWrap w:val="0"/>
                  <w:vAlign w:val="center"/>
                </w:tcPr>
                <w:p w14:paraId="71BC8EB1">
                  <w:pPr>
                    <w:jc w:val="center"/>
                    <w:rPr>
                      <w:rFonts w:hint="default" w:ascii="Times New Roman" w:hAnsi="Times New Roman" w:eastAsia="宋体" w:cs="Times New Roman"/>
                      <w:b/>
                      <w:bCs/>
                      <w:color w:val="auto"/>
                      <w:highlight w:val="none"/>
                      <w:u w:val="none" w:color="auto"/>
                    </w:rPr>
                  </w:pPr>
                  <w:r>
                    <w:rPr>
                      <w:rFonts w:hint="default" w:ascii="Times New Roman" w:hAnsi="Times New Roman" w:eastAsia="宋体" w:cs="Times New Roman"/>
                      <w:b/>
                      <w:bCs/>
                      <w:color w:val="auto"/>
                      <w:highlight w:val="none"/>
                      <w:u w:val="none" w:color="auto"/>
                    </w:rPr>
                    <w:t>来源</w:t>
                  </w:r>
                </w:p>
              </w:tc>
            </w:tr>
            <w:tr w14:paraId="01B561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444" w:type="pct"/>
                  <w:noWrap w:val="0"/>
                  <w:vAlign w:val="center"/>
                </w:tcPr>
                <w:p w14:paraId="7DDB3824">
                  <w:pPr>
                    <w:jc w:val="center"/>
                    <w:rPr>
                      <w:rFonts w:hint="default" w:ascii="Times New Roman" w:hAnsi="Times New Roman" w:eastAsia="宋体" w:cs="Times New Roman"/>
                      <w:b w:val="0"/>
                      <w:bCs w:val="0"/>
                      <w:color w:val="auto"/>
                      <w:highlight w:val="none"/>
                      <w:u w:val="none" w:color="auto"/>
                    </w:rPr>
                  </w:pPr>
                  <w:r>
                    <w:rPr>
                      <w:rFonts w:hint="default" w:ascii="Times New Roman" w:hAnsi="Times New Roman" w:eastAsia="宋体" w:cs="Times New Roman"/>
                      <w:b w:val="0"/>
                      <w:bCs w:val="0"/>
                      <w:color w:val="auto"/>
                      <w:highlight w:val="none"/>
                      <w:u w:val="none" w:color="auto"/>
                    </w:rPr>
                    <w:t>1</w:t>
                  </w:r>
                </w:p>
              </w:tc>
              <w:tc>
                <w:tcPr>
                  <w:tcW w:w="1134" w:type="pct"/>
                  <w:noWrap w:val="0"/>
                  <w:vAlign w:val="center"/>
                </w:tcPr>
                <w:p w14:paraId="1FBBD73F">
                  <w:pPr>
                    <w:jc w:val="center"/>
                    <w:rPr>
                      <w:rFonts w:hint="default" w:ascii="Times New Roman" w:hAnsi="Times New Roman" w:eastAsia="宋体" w:cs="Times New Roman"/>
                      <w:b w:val="0"/>
                      <w:bCs w:val="0"/>
                      <w:color w:val="auto"/>
                      <w:highlight w:val="none"/>
                      <w:u w:val="none" w:color="auto"/>
                    </w:rPr>
                  </w:pPr>
                  <w:r>
                    <w:rPr>
                      <w:rFonts w:hint="default" w:ascii="Times New Roman" w:hAnsi="Times New Roman" w:eastAsia="宋体" w:cs="Times New Roman"/>
                      <w:b w:val="0"/>
                      <w:bCs w:val="0"/>
                      <w:color w:val="auto"/>
                      <w:highlight w:val="none"/>
                      <w:u w:val="none" w:color="auto"/>
                    </w:rPr>
                    <w:t>电</w:t>
                  </w:r>
                </w:p>
              </w:tc>
              <w:tc>
                <w:tcPr>
                  <w:tcW w:w="623" w:type="pct"/>
                  <w:noWrap w:val="0"/>
                  <w:vAlign w:val="center"/>
                </w:tcPr>
                <w:p w14:paraId="79D78C43">
                  <w:pPr>
                    <w:jc w:val="center"/>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10</w:t>
                  </w:r>
                </w:p>
              </w:tc>
              <w:tc>
                <w:tcPr>
                  <w:tcW w:w="618" w:type="pct"/>
                  <w:noWrap w:val="0"/>
                  <w:vAlign w:val="center"/>
                </w:tcPr>
                <w:p w14:paraId="22C4874D">
                  <w:pPr>
                    <w:jc w:val="center"/>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万度</w:t>
                  </w:r>
                </w:p>
              </w:tc>
              <w:tc>
                <w:tcPr>
                  <w:tcW w:w="2179" w:type="pct"/>
                  <w:noWrap w:val="0"/>
                  <w:vAlign w:val="center"/>
                </w:tcPr>
                <w:p w14:paraId="578B223C">
                  <w:pPr>
                    <w:jc w:val="center"/>
                    <w:rPr>
                      <w:rFonts w:hint="default" w:ascii="Times New Roman" w:hAnsi="Times New Roman" w:eastAsia="宋体" w:cs="Times New Roman"/>
                      <w:b w:val="0"/>
                      <w:bCs w:val="0"/>
                      <w:color w:val="auto"/>
                      <w:highlight w:val="none"/>
                      <w:u w:val="none" w:color="auto"/>
                    </w:rPr>
                  </w:pPr>
                  <w:r>
                    <w:rPr>
                      <w:rFonts w:hint="default" w:ascii="Times New Roman" w:hAnsi="Times New Roman" w:eastAsia="宋体" w:cs="Times New Roman"/>
                      <w:color w:val="auto"/>
                      <w:highlight w:val="none"/>
                      <w:u w:val="none" w:color="auto"/>
                      <w:lang w:val="en-US" w:eastAsia="zh-CN"/>
                    </w:rPr>
                    <w:t>市政电网</w:t>
                  </w:r>
                </w:p>
              </w:tc>
            </w:tr>
            <w:tr w14:paraId="4DD72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444" w:type="pct"/>
                  <w:noWrap w:val="0"/>
                  <w:vAlign w:val="center"/>
                </w:tcPr>
                <w:p w14:paraId="40B0B5D0">
                  <w:pPr>
                    <w:jc w:val="center"/>
                    <w:rPr>
                      <w:rFonts w:hint="default" w:ascii="Times New Roman" w:hAnsi="Times New Roman" w:eastAsia="宋体" w:cs="Times New Roman"/>
                      <w:b w:val="0"/>
                      <w:bCs w:val="0"/>
                      <w:color w:val="auto"/>
                      <w:highlight w:val="none"/>
                      <w:u w:val="none" w:color="auto"/>
                    </w:rPr>
                  </w:pPr>
                  <w:r>
                    <w:rPr>
                      <w:rFonts w:hint="default" w:ascii="Times New Roman" w:hAnsi="Times New Roman" w:eastAsia="宋体" w:cs="Times New Roman"/>
                      <w:b w:val="0"/>
                      <w:bCs w:val="0"/>
                      <w:color w:val="auto"/>
                      <w:highlight w:val="none"/>
                      <w:u w:val="none" w:color="auto"/>
                    </w:rPr>
                    <w:t>2</w:t>
                  </w:r>
                </w:p>
              </w:tc>
              <w:tc>
                <w:tcPr>
                  <w:tcW w:w="1134" w:type="pct"/>
                  <w:noWrap w:val="0"/>
                  <w:vAlign w:val="center"/>
                </w:tcPr>
                <w:p w14:paraId="3EC689FA">
                  <w:pPr>
                    <w:jc w:val="center"/>
                    <w:rPr>
                      <w:rFonts w:hint="default" w:ascii="Times New Roman" w:hAnsi="Times New Roman" w:eastAsia="宋体" w:cs="Times New Roman"/>
                      <w:b w:val="0"/>
                      <w:bCs w:val="0"/>
                      <w:color w:val="auto"/>
                      <w:highlight w:val="none"/>
                      <w:u w:val="none" w:color="auto"/>
                    </w:rPr>
                  </w:pPr>
                  <w:r>
                    <w:rPr>
                      <w:rFonts w:hint="default" w:ascii="Times New Roman" w:hAnsi="Times New Roman" w:eastAsia="宋体" w:cs="Times New Roman"/>
                      <w:b w:val="0"/>
                      <w:bCs w:val="0"/>
                      <w:color w:val="auto"/>
                      <w:highlight w:val="none"/>
                      <w:u w:val="none" w:color="auto"/>
                    </w:rPr>
                    <w:t>水</w:t>
                  </w:r>
                </w:p>
              </w:tc>
              <w:tc>
                <w:tcPr>
                  <w:tcW w:w="623" w:type="pct"/>
                  <w:noWrap w:val="0"/>
                  <w:vAlign w:val="center"/>
                </w:tcPr>
                <w:p w14:paraId="5C1F31DB">
                  <w:pPr>
                    <w:pStyle w:val="138"/>
                    <w:bidi w:val="0"/>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152</w:t>
                  </w:r>
                </w:p>
              </w:tc>
              <w:tc>
                <w:tcPr>
                  <w:tcW w:w="618" w:type="pct"/>
                  <w:noWrap w:val="0"/>
                  <w:vAlign w:val="center"/>
                </w:tcPr>
                <w:p w14:paraId="5EC99794">
                  <w:pPr>
                    <w:jc w:val="center"/>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eastAsia="宋体" w:cs="Times New Roman"/>
                      <w:b w:val="0"/>
                      <w:bCs w:val="0"/>
                      <w:color w:val="auto"/>
                      <w:highlight w:val="none"/>
                      <w:u w:val="none" w:color="auto"/>
                      <w:lang w:val="en-US" w:eastAsia="zh-CN"/>
                    </w:rPr>
                    <w:t>m</w:t>
                  </w:r>
                  <w:r>
                    <w:rPr>
                      <w:rFonts w:hint="default" w:ascii="Times New Roman" w:hAnsi="Times New Roman" w:eastAsia="宋体" w:cs="Times New Roman"/>
                      <w:b w:val="0"/>
                      <w:bCs w:val="0"/>
                      <w:color w:val="auto"/>
                      <w:highlight w:val="none"/>
                      <w:u w:val="none" w:color="auto"/>
                      <w:vertAlign w:val="superscript"/>
                      <w:lang w:val="en-US" w:eastAsia="zh-CN"/>
                    </w:rPr>
                    <w:t>3</w:t>
                  </w:r>
                  <w:r>
                    <w:rPr>
                      <w:rFonts w:hint="default" w:ascii="Times New Roman" w:hAnsi="Times New Roman" w:eastAsia="宋体" w:cs="Times New Roman"/>
                      <w:b w:val="0"/>
                      <w:bCs w:val="0"/>
                      <w:color w:val="auto"/>
                      <w:highlight w:val="none"/>
                      <w:u w:val="none" w:color="auto"/>
                      <w:lang w:val="en-US" w:eastAsia="zh-CN"/>
                    </w:rPr>
                    <w:t>/a</w:t>
                  </w:r>
                </w:p>
              </w:tc>
              <w:tc>
                <w:tcPr>
                  <w:tcW w:w="2179" w:type="pct"/>
                  <w:noWrap w:val="0"/>
                  <w:vAlign w:val="center"/>
                </w:tcPr>
                <w:p w14:paraId="4AFCB43D">
                  <w:pPr>
                    <w:jc w:val="center"/>
                    <w:rPr>
                      <w:rFonts w:hint="default" w:ascii="Times New Roman" w:hAnsi="Times New Roman" w:eastAsia="宋体" w:cs="Times New Roman"/>
                      <w:b w:val="0"/>
                      <w:bCs w:val="0"/>
                      <w:color w:val="auto"/>
                      <w:highlight w:val="none"/>
                      <w:u w:val="none" w:color="auto"/>
                      <w:lang w:eastAsia="zh-CN"/>
                    </w:rPr>
                  </w:pPr>
                  <w:r>
                    <w:rPr>
                      <w:rFonts w:hint="default" w:ascii="Times New Roman" w:hAnsi="Times New Roman" w:cs="Times New Roman"/>
                      <w:color w:val="auto"/>
                      <w:highlight w:val="none"/>
                      <w:u w:val="none" w:color="auto"/>
                      <w:lang w:val="en-US" w:eastAsia="zh-CN"/>
                    </w:rPr>
                    <w:t>市政供水</w:t>
                  </w:r>
                </w:p>
              </w:tc>
            </w:tr>
            <w:tr w14:paraId="7B50D8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444" w:type="pct"/>
                  <w:noWrap w:val="0"/>
                  <w:vAlign w:val="center"/>
                </w:tcPr>
                <w:p w14:paraId="0768F412">
                  <w:pPr>
                    <w:jc w:val="center"/>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3</w:t>
                  </w:r>
                </w:p>
              </w:tc>
              <w:tc>
                <w:tcPr>
                  <w:tcW w:w="1134" w:type="pct"/>
                  <w:noWrap w:val="0"/>
                  <w:vAlign w:val="center"/>
                </w:tcPr>
                <w:p w14:paraId="05E475FA">
                  <w:pPr>
                    <w:jc w:val="center"/>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生物质颗粒</w:t>
                  </w:r>
                </w:p>
              </w:tc>
              <w:tc>
                <w:tcPr>
                  <w:tcW w:w="623" w:type="pct"/>
                  <w:noWrap w:val="0"/>
                  <w:vAlign w:val="center"/>
                </w:tcPr>
                <w:p w14:paraId="1C59FDC8">
                  <w:pPr>
                    <w:pStyle w:val="63"/>
                    <w:tabs>
                      <w:tab w:val="left" w:pos="1021"/>
                    </w:tabs>
                    <w:bidi w:val="0"/>
                    <w:jc w:val="center"/>
                    <w:rPr>
                      <w:rFonts w:hint="default" w:ascii="Times New Roman" w:hAnsi="Times New Roman" w:eastAsia="宋体" w:cs="Times New Roman"/>
                      <w:b w:val="0"/>
                      <w:bCs w:val="0"/>
                      <w:color w:val="auto"/>
                      <w:highlight w:val="none"/>
                      <w:u w:val="none" w:color="auto"/>
                      <w:lang w:val="en-US" w:eastAsia="zh-CN"/>
                    </w:rPr>
                  </w:pPr>
                  <w:r>
                    <w:rPr>
                      <w:rFonts w:hint="eastAsia" w:ascii="Times New Roman" w:hAnsi="Times New Roman" w:cs="Times New Roman"/>
                      <w:snapToGrid w:val="0"/>
                      <w:color w:val="auto"/>
                      <w:kern w:val="0"/>
                      <w:sz w:val="21"/>
                      <w:szCs w:val="21"/>
                      <w:highlight w:val="none"/>
                      <w:u w:val="none" w:color="auto"/>
                      <w:shd w:val="clear" w:color="auto" w:fill="auto"/>
                      <w:lang w:val="en-US" w:eastAsia="zh-CN" w:bidi="en-US"/>
                    </w:rPr>
                    <w:t>181.29</w:t>
                  </w:r>
                </w:p>
              </w:tc>
              <w:tc>
                <w:tcPr>
                  <w:tcW w:w="618" w:type="pct"/>
                  <w:noWrap w:val="0"/>
                  <w:vAlign w:val="center"/>
                </w:tcPr>
                <w:p w14:paraId="2D911E92">
                  <w:pPr>
                    <w:jc w:val="center"/>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t/a</w:t>
                  </w:r>
                </w:p>
              </w:tc>
              <w:tc>
                <w:tcPr>
                  <w:tcW w:w="2179" w:type="pct"/>
                  <w:noWrap w:val="0"/>
                  <w:vAlign w:val="center"/>
                </w:tcPr>
                <w:p w14:paraId="65F08912">
                  <w:pPr>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外购</w:t>
                  </w:r>
                </w:p>
              </w:tc>
            </w:tr>
            <w:tr w14:paraId="43ED51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444" w:type="pct"/>
                  <w:noWrap w:val="0"/>
                  <w:vAlign w:val="center"/>
                </w:tcPr>
                <w:p w14:paraId="5F23FE7F">
                  <w:pPr>
                    <w:jc w:val="center"/>
                    <w:rPr>
                      <w:rFonts w:hint="default" w:ascii="Times New Roman" w:hAnsi="Times New Roman"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4</w:t>
                  </w:r>
                </w:p>
              </w:tc>
              <w:tc>
                <w:tcPr>
                  <w:tcW w:w="1134" w:type="pct"/>
                  <w:noWrap w:val="0"/>
                  <w:vAlign w:val="center"/>
                </w:tcPr>
                <w:p w14:paraId="1C298E13">
                  <w:pPr>
                    <w:jc w:val="center"/>
                    <w:rPr>
                      <w:rFonts w:hint="default" w:ascii="Times New Roman" w:hAnsi="Times New Roman"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液化石油气残液</w:t>
                  </w:r>
                </w:p>
              </w:tc>
              <w:tc>
                <w:tcPr>
                  <w:tcW w:w="623" w:type="pct"/>
                  <w:noWrap w:val="0"/>
                  <w:vAlign w:val="center"/>
                </w:tcPr>
                <w:p w14:paraId="1753C6CD">
                  <w:pPr>
                    <w:pStyle w:val="138"/>
                    <w:bidi w:val="0"/>
                    <w:rPr>
                      <w:rStyle w:val="158"/>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5.94</w:t>
                  </w:r>
                </w:p>
              </w:tc>
              <w:tc>
                <w:tcPr>
                  <w:tcW w:w="618" w:type="pct"/>
                  <w:noWrap w:val="0"/>
                  <w:vAlign w:val="center"/>
                </w:tcPr>
                <w:p w14:paraId="096A2947">
                  <w:pPr>
                    <w:jc w:val="center"/>
                    <w:rPr>
                      <w:rFonts w:hint="default" w:ascii="Times New Roman" w:hAnsi="Times New Roman"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t/a</w:t>
                  </w:r>
                </w:p>
              </w:tc>
              <w:tc>
                <w:tcPr>
                  <w:tcW w:w="2179" w:type="pct"/>
                  <w:noWrap w:val="0"/>
                  <w:vAlign w:val="center"/>
                </w:tcPr>
                <w:p w14:paraId="216917E3">
                  <w:pPr>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w:t>
                  </w:r>
                </w:p>
              </w:tc>
            </w:tr>
            <w:tr w14:paraId="17E1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444" w:type="pct"/>
                  <w:noWrap w:val="0"/>
                  <w:vAlign w:val="center"/>
                </w:tcPr>
                <w:p w14:paraId="30F9E550">
                  <w:pPr>
                    <w:jc w:val="center"/>
                    <w:rPr>
                      <w:rFonts w:hint="default" w:ascii="Times New Roman" w:hAnsi="Times New Roman" w:cs="Times New Roman"/>
                      <w:b w:val="0"/>
                      <w:bCs w:val="0"/>
                      <w:color w:val="auto"/>
                      <w:highlight w:val="none"/>
                      <w:u w:val="none" w:color="auto"/>
                      <w:lang w:eastAsia="zh-CN"/>
                    </w:rPr>
                  </w:pPr>
                  <w:r>
                    <w:rPr>
                      <w:rFonts w:hint="default" w:ascii="Times New Roman" w:hAnsi="Times New Roman" w:cs="Times New Roman"/>
                      <w:b w:val="0"/>
                      <w:bCs w:val="0"/>
                      <w:color w:val="auto"/>
                      <w:highlight w:val="none"/>
                      <w:u w:val="none" w:color="auto"/>
                      <w:lang w:val="en-US" w:eastAsia="zh-CN"/>
                    </w:rPr>
                    <w:t>5</w:t>
                  </w:r>
                  <w:r>
                    <w:rPr>
                      <w:rFonts w:hint="default" w:ascii="Times New Roman" w:hAnsi="Times New Roman" w:cs="Times New Roman"/>
                      <w:b w:val="0"/>
                      <w:bCs w:val="0"/>
                      <w:color w:val="auto"/>
                      <w:highlight w:val="none"/>
                      <w:u w:val="none" w:color="auto"/>
                      <w:lang w:eastAsia="zh-CN"/>
                    </w:rPr>
                    <w:t xml:space="preserve"> </w:t>
                  </w:r>
                </w:p>
              </w:tc>
              <w:tc>
                <w:tcPr>
                  <w:tcW w:w="1134" w:type="pct"/>
                  <w:noWrap w:val="0"/>
                  <w:vAlign w:val="center"/>
                </w:tcPr>
                <w:p w14:paraId="540664E4">
                  <w:pPr>
                    <w:jc w:val="center"/>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机油</w:t>
                  </w:r>
                </w:p>
              </w:tc>
              <w:tc>
                <w:tcPr>
                  <w:tcW w:w="623" w:type="pct"/>
                  <w:noWrap w:val="0"/>
                  <w:vAlign w:val="center"/>
                </w:tcPr>
                <w:p w14:paraId="7221FECC">
                  <w:pPr>
                    <w:jc w:val="center"/>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0.3</w:t>
                  </w:r>
                </w:p>
              </w:tc>
              <w:tc>
                <w:tcPr>
                  <w:tcW w:w="618" w:type="pct"/>
                  <w:noWrap w:val="0"/>
                  <w:vAlign w:val="center"/>
                </w:tcPr>
                <w:p w14:paraId="50441856">
                  <w:pPr>
                    <w:jc w:val="center"/>
                    <w:rPr>
                      <w:rFonts w:hint="default" w:ascii="Times New Roman" w:hAnsi="Times New Roman" w:eastAsia="宋体"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t/a</w:t>
                  </w:r>
                </w:p>
              </w:tc>
              <w:tc>
                <w:tcPr>
                  <w:tcW w:w="2179" w:type="pct"/>
                  <w:noWrap w:val="0"/>
                  <w:vAlign w:val="center"/>
                </w:tcPr>
                <w:p w14:paraId="1443C74B">
                  <w:pPr>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外购</w:t>
                  </w:r>
                </w:p>
              </w:tc>
            </w:tr>
          </w:tbl>
          <w:p w14:paraId="0E93EA5B">
            <w:pPr>
              <w:pStyle w:val="49"/>
              <w:jc w:val="center"/>
              <w:textAlignment w:val="auto"/>
              <w:rPr>
                <w:rFonts w:hint="eastAsia" w:ascii="Times New Roman" w:hAnsi="Times New Roman" w:eastAsia="宋体" w:cs="Times New Roman"/>
                <w:b/>
                <w:color w:val="auto"/>
                <w:kern w:val="0"/>
                <w:sz w:val="21"/>
                <w:szCs w:val="21"/>
                <w:u w:val="none" w:color="auto"/>
                <w:lang w:val="en-US" w:eastAsia="zh-CN" w:bidi="ar-SA"/>
              </w:rPr>
            </w:pPr>
            <w:r>
              <w:rPr>
                <w:rFonts w:hint="default" w:ascii="Times New Roman" w:hAnsi="Times New Roman" w:eastAsia="宋体" w:cs="Times New Roman"/>
                <w:b/>
                <w:bCs/>
                <w:color w:val="auto"/>
                <w:kern w:val="2"/>
                <w:sz w:val="21"/>
                <w:szCs w:val="21"/>
                <w:u w:val="none" w:color="auto"/>
                <w:lang w:val="en-US" w:eastAsia="zh-CN" w:bidi="ar-SA"/>
              </w:rPr>
              <w:t>表2-1</w:t>
            </w:r>
            <w:r>
              <w:rPr>
                <w:rFonts w:hint="eastAsia" w:ascii="Times New Roman" w:hAnsi="Times New Roman" w:eastAsia="宋体" w:cs="Times New Roman"/>
                <w:b/>
                <w:bCs/>
                <w:color w:val="auto"/>
                <w:kern w:val="2"/>
                <w:sz w:val="21"/>
                <w:szCs w:val="21"/>
                <w:u w:val="none" w:color="auto"/>
                <w:lang w:val="en-US" w:eastAsia="zh-CN" w:bidi="ar-SA"/>
              </w:rPr>
              <w:t>2</w:t>
            </w:r>
            <w:r>
              <w:rPr>
                <w:rFonts w:hint="default" w:ascii="Times New Roman" w:hAnsi="Times New Roman" w:eastAsia="宋体" w:cs="Times New Roman"/>
                <w:b/>
                <w:bCs/>
                <w:color w:val="auto"/>
                <w:kern w:val="2"/>
                <w:sz w:val="21"/>
                <w:szCs w:val="21"/>
                <w:u w:val="none" w:color="auto"/>
                <w:lang w:val="en-US" w:eastAsia="zh-CN" w:bidi="ar-SA"/>
              </w:rPr>
              <w:t xml:space="preserve">  </w:t>
            </w:r>
            <w:r>
              <w:rPr>
                <w:rFonts w:hint="eastAsia" w:ascii="Times New Roman" w:hAnsi="Times New Roman" w:eastAsia="宋体" w:cs="Times New Roman"/>
                <w:b/>
                <w:bCs/>
                <w:color w:val="auto"/>
                <w:kern w:val="2"/>
                <w:sz w:val="21"/>
                <w:szCs w:val="21"/>
                <w:u w:val="none" w:color="auto"/>
                <w:lang w:val="en-US" w:eastAsia="zh-CN" w:bidi="ar-SA"/>
              </w:rPr>
              <w:t>变动前</w:t>
            </w:r>
            <w:r>
              <w:rPr>
                <w:rFonts w:hint="default" w:ascii="Times New Roman" w:hAnsi="Times New Roman" w:eastAsia="宋体" w:cs="Times New Roman"/>
                <w:b/>
                <w:bCs/>
                <w:color w:val="auto"/>
                <w:kern w:val="2"/>
                <w:sz w:val="21"/>
                <w:szCs w:val="21"/>
                <w:u w:val="none" w:color="auto"/>
                <w:lang w:val="en-US" w:eastAsia="zh-CN" w:bidi="ar-SA"/>
              </w:rPr>
              <w:t>项目生</w:t>
            </w:r>
            <w:r>
              <w:rPr>
                <w:rFonts w:hint="eastAsia" w:ascii="Times New Roman" w:hAnsi="Times New Roman" w:eastAsia="宋体" w:cs="Times New Roman"/>
                <w:b/>
                <w:bCs/>
                <w:color w:val="auto"/>
                <w:kern w:val="2"/>
                <w:sz w:val="21"/>
                <w:szCs w:val="21"/>
                <w:u w:val="none" w:color="auto"/>
                <w:lang w:val="en-US" w:eastAsia="zh-CN" w:bidi="ar-SA"/>
              </w:rPr>
              <w:t>产</w:t>
            </w:r>
            <w:r>
              <w:rPr>
                <w:rFonts w:hint="eastAsia" w:ascii="Times New Roman" w:hAnsi="Times New Roman" w:eastAsia="宋体" w:cs="Times New Roman"/>
                <w:b/>
                <w:color w:val="auto"/>
                <w:kern w:val="0"/>
                <w:sz w:val="21"/>
                <w:szCs w:val="21"/>
                <w:u w:val="none" w:color="auto"/>
                <w:lang w:val="en-US" w:eastAsia="zh-CN" w:bidi="ar-SA"/>
              </w:rPr>
              <w:t>设备</w:t>
            </w:r>
            <w:r>
              <w:rPr>
                <w:rFonts w:hint="default" w:ascii="Times New Roman" w:hAnsi="Times New Roman" w:eastAsia="宋体" w:cs="Times New Roman"/>
                <w:b/>
                <w:color w:val="auto"/>
                <w:sz w:val="21"/>
                <w:szCs w:val="21"/>
                <w:u w:val="none" w:color="auto"/>
                <w:lang w:val="en-US" w:eastAsia="zh-CN"/>
              </w:rPr>
              <w:t>一览表</w:t>
            </w:r>
          </w:p>
          <w:tbl>
            <w:tblPr>
              <w:tblStyle w:val="33"/>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607"/>
              <w:gridCol w:w="1905"/>
              <w:gridCol w:w="985"/>
              <w:gridCol w:w="1161"/>
              <w:gridCol w:w="1867"/>
              <w:gridCol w:w="1831"/>
            </w:tblGrid>
            <w:tr w14:paraId="0393AE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363" w:type="pct"/>
                  <w:tcBorders>
                    <w:tl2br w:val="nil"/>
                    <w:tr2bl w:val="nil"/>
                  </w:tcBorders>
                  <w:noWrap w:val="0"/>
                  <w:tcMar>
                    <w:top w:w="15" w:type="dxa"/>
                    <w:left w:w="15" w:type="dxa"/>
                    <w:right w:w="15" w:type="dxa"/>
                  </w:tcMar>
                  <w:vAlign w:val="center"/>
                </w:tcPr>
                <w:p w14:paraId="1CA3AF4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val="0"/>
                      <w:color w:val="auto"/>
                      <w:sz w:val="21"/>
                      <w:szCs w:val="21"/>
                      <w:highlight w:val="none"/>
                      <w:u w:val="none" w:color="auto"/>
                      <w:lang w:val="en-US" w:eastAsia="zh-CN"/>
                    </w:rPr>
                  </w:pPr>
                  <w:r>
                    <w:rPr>
                      <w:rFonts w:hint="default" w:ascii="Times New Roman" w:hAnsi="Times New Roman" w:cs="Times New Roman"/>
                      <w:b/>
                      <w:bCs w:val="0"/>
                      <w:color w:val="auto"/>
                      <w:sz w:val="21"/>
                      <w:szCs w:val="21"/>
                      <w:highlight w:val="none"/>
                      <w:u w:val="none" w:color="auto"/>
                      <w:lang w:val="en-US" w:eastAsia="zh-CN"/>
                    </w:rPr>
                    <w:t>序号</w:t>
                  </w:r>
                </w:p>
              </w:tc>
              <w:tc>
                <w:tcPr>
                  <w:tcW w:w="1139" w:type="pct"/>
                  <w:tcBorders>
                    <w:tl2br w:val="nil"/>
                    <w:tr2bl w:val="nil"/>
                  </w:tcBorders>
                  <w:noWrap w:val="0"/>
                  <w:tcMar>
                    <w:top w:w="15" w:type="dxa"/>
                    <w:left w:w="15" w:type="dxa"/>
                    <w:right w:w="15" w:type="dxa"/>
                  </w:tcMar>
                  <w:vAlign w:val="center"/>
                </w:tcPr>
                <w:p w14:paraId="67D6BA3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val="0"/>
                      <w:color w:val="auto"/>
                      <w:sz w:val="21"/>
                      <w:szCs w:val="21"/>
                      <w:highlight w:val="none"/>
                      <w:u w:val="none" w:color="auto"/>
                    </w:rPr>
                  </w:pPr>
                  <w:r>
                    <w:rPr>
                      <w:rFonts w:hint="default" w:ascii="Times New Roman" w:hAnsi="Times New Roman" w:eastAsia="宋体" w:cs="Times New Roman"/>
                      <w:b/>
                      <w:bCs w:val="0"/>
                      <w:color w:val="auto"/>
                      <w:sz w:val="21"/>
                      <w:szCs w:val="21"/>
                      <w:highlight w:val="none"/>
                      <w:u w:val="none" w:color="auto"/>
                    </w:rPr>
                    <w:t>设备名称</w:t>
                  </w:r>
                </w:p>
              </w:tc>
              <w:tc>
                <w:tcPr>
                  <w:tcW w:w="589" w:type="pct"/>
                  <w:tcBorders>
                    <w:tl2br w:val="nil"/>
                    <w:tr2bl w:val="nil"/>
                  </w:tcBorders>
                  <w:noWrap w:val="0"/>
                  <w:tcMar>
                    <w:top w:w="15" w:type="dxa"/>
                    <w:left w:w="15" w:type="dxa"/>
                    <w:right w:w="15" w:type="dxa"/>
                  </w:tcMar>
                  <w:vAlign w:val="center"/>
                </w:tcPr>
                <w:p w14:paraId="2A32730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val="0"/>
                      <w:color w:val="auto"/>
                      <w:sz w:val="21"/>
                      <w:szCs w:val="21"/>
                      <w:highlight w:val="none"/>
                      <w:u w:val="none" w:color="auto"/>
                      <w:lang w:val="en-US" w:eastAsia="zh-CN"/>
                    </w:rPr>
                  </w:pPr>
                  <w:r>
                    <w:rPr>
                      <w:rFonts w:hint="default" w:ascii="Times New Roman" w:hAnsi="Times New Roman" w:cs="Times New Roman"/>
                      <w:b/>
                      <w:bCs w:val="0"/>
                      <w:color w:val="auto"/>
                      <w:sz w:val="21"/>
                      <w:szCs w:val="21"/>
                      <w:highlight w:val="none"/>
                      <w:u w:val="none" w:color="auto"/>
                      <w:lang w:val="en-US" w:eastAsia="zh-CN"/>
                    </w:rPr>
                    <w:t>数量</w:t>
                  </w:r>
                </w:p>
              </w:tc>
              <w:tc>
                <w:tcPr>
                  <w:tcW w:w="694" w:type="pct"/>
                  <w:tcBorders>
                    <w:tl2br w:val="nil"/>
                    <w:tr2bl w:val="nil"/>
                  </w:tcBorders>
                  <w:noWrap w:val="0"/>
                  <w:tcMar>
                    <w:top w:w="15" w:type="dxa"/>
                    <w:left w:w="15" w:type="dxa"/>
                    <w:right w:w="15" w:type="dxa"/>
                  </w:tcMar>
                  <w:vAlign w:val="center"/>
                </w:tcPr>
                <w:p w14:paraId="588A7FB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b/>
                      <w:bCs w:val="0"/>
                      <w:color w:val="auto"/>
                      <w:sz w:val="21"/>
                      <w:szCs w:val="21"/>
                      <w:highlight w:val="none"/>
                      <w:u w:val="none" w:color="auto"/>
                      <w:lang w:val="en-US" w:eastAsia="zh-CN"/>
                    </w:rPr>
                  </w:pPr>
                  <w:r>
                    <w:rPr>
                      <w:rFonts w:hint="default" w:ascii="Times New Roman" w:hAnsi="Times New Roman" w:cs="Times New Roman"/>
                      <w:b/>
                      <w:bCs w:val="0"/>
                      <w:color w:val="auto"/>
                      <w:sz w:val="21"/>
                      <w:szCs w:val="21"/>
                      <w:highlight w:val="none"/>
                      <w:u w:val="none" w:color="auto"/>
                      <w:lang w:val="en-US" w:eastAsia="zh-CN"/>
                    </w:rPr>
                    <w:t>单位</w:t>
                  </w:r>
                </w:p>
              </w:tc>
              <w:tc>
                <w:tcPr>
                  <w:tcW w:w="1116" w:type="pct"/>
                  <w:tcBorders>
                    <w:tl2br w:val="nil"/>
                    <w:tr2bl w:val="nil"/>
                  </w:tcBorders>
                  <w:noWrap w:val="0"/>
                  <w:tcMar>
                    <w:top w:w="15" w:type="dxa"/>
                    <w:left w:w="15" w:type="dxa"/>
                    <w:right w:w="15" w:type="dxa"/>
                  </w:tcMar>
                  <w:vAlign w:val="center"/>
                </w:tcPr>
                <w:p w14:paraId="015BA36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
                      <w:bCs w:val="0"/>
                      <w:color w:val="auto"/>
                      <w:sz w:val="21"/>
                      <w:szCs w:val="21"/>
                      <w:highlight w:val="none"/>
                      <w:u w:val="none" w:color="auto"/>
                    </w:rPr>
                  </w:pPr>
                  <w:r>
                    <w:rPr>
                      <w:rFonts w:hint="default" w:ascii="Times New Roman" w:hAnsi="Times New Roman" w:eastAsia="宋体" w:cs="Times New Roman"/>
                      <w:b/>
                      <w:bCs w:val="0"/>
                      <w:color w:val="auto"/>
                      <w:sz w:val="21"/>
                      <w:szCs w:val="21"/>
                      <w:highlight w:val="none"/>
                      <w:u w:val="none" w:color="auto"/>
                    </w:rPr>
                    <w:t>规格</w:t>
                  </w:r>
                </w:p>
              </w:tc>
              <w:tc>
                <w:tcPr>
                  <w:tcW w:w="1095" w:type="pct"/>
                  <w:tcBorders>
                    <w:tl2br w:val="nil"/>
                    <w:tr2bl w:val="nil"/>
                  </w:tcBorders>
                  <w:noWrap w:val="0"/>
                  <w:tcMar>
                    <w:top w:w="15" w:type="dxa"/>
                    <w:left w:w="15" w:type="dxa"/>
                    <w:right w:w="15" w:type="dxa"/>
                  </w:tcMar>
                  <w:vAlign w:val="center"/>
                </w:tcPr>
                <w:p w14:paraId="477FAC1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
                      <w:bCs w:val="0"/>
                      <w:color w:val="auto"/>
                      <w:sz w:val="21"/>
                      <w:szCs w:val="21"/>
                      <w:highlight w:val="none"/>
                      <w:u w:val="none" w:color="auto"/>
                      <w:lang w:val="en-US" w:eastAsia="zh-CN"/>
                    </w:rPr>
                  </w:pPr>
                  <w:r>
                    <w:rPr>
                      <w:rFonts w:hint="eastAsia" w:cs="Times New Roman"/>
                      <w:b/>
                      <w:bCs w:val="0"/>
                      <w:color w:val="auto"/>
                      <w:sz w:val="21"/>
                      <w:szCs w:val="21"/>
                      <w:highlight w:val="none"/>
                      <w:u w:val="none" w:color="auto"/>
                      <w:lang w:val="en-US" w:eastAsia="zh-CN"/>
                    </w:rPr>
                    <w:t>对应工艺</w:t>
                  </w:r>
                </w:p>
              </w:tc>
            </w:tr>
            <w:tr w14:paraId="7B33A5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363" w:type="pct"/>
                  <w:tcBorders>
                    <w:tl2br w:val="nil"/>
                    <w:tr2bl w:val="nil"/>
                  </w:tcBorders>
                  <w:noWrap w:val="0"/>
                  <w:tcMar>
                    <w:top w:w="15" w:type="dxa"/>
                    <w:left w:w="15" w:type="dxa"/>
                    <w:right w:w="15" w:type="dxa"/>
                  </w:tcMar>
                  <w:vAlign w:val="center"/>
                </w:tcPr>
                <w:p w14:paraId="07E17A3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default" w:ascii="Times New Roman" w:hAnsi="Times New Roman" w:cs="Times New Roman"/>
                      <w:bCs/>
                      <w:color w:val="auto"/>
                      <w:sz w:val="21"/>
                      <w:szCs w:val="21"/>
                      <w:highlight w:val="none"/>
                      <w:u w:val="none" w:color="auto"/>
                      <w:lang w:val="en-US" w:eastAsia="zh-CN"/>
                    </w:rPr>
                    <w:t>1</w:t>
                  </w:r>
                </w:p>
              </w:tc>
              <w:tc>
                <w:tcPr>
                  <w:tcW w:w="1139" w:type="pct"/>
                  <w:tcBorders>
                    <w:tl2br w:val="nil"/>
                    <w:tr2bl w:val="nil"/>
                  </w:tcBorders>
                  <w:noWrap w:val="0"/>
                  <w:tcMar>
                    <w:top w:w="15" w:type="dxa"/>
                    <w:left w:w="15" w:type="dxa"/>
                    <w:right w:w="15" w:type="dxa"/>
                  </w:tcMar>
                  <w:vAlign w:val="center"/>
                </w:tcPr>
                <w:p w14:paraId="3AA8C79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抽残机</w:t>
                  </w:r>
                </w:p>
              </w:tc>
              <w:tc>
                <w:tcPr>
                  <w:tcW w:w="589" w:type="pct"/>
                  <w:tcBorders>
                    <w:tl2br w:val="nil"/>
                    <w:tr2bl w:val="nil"/>
                  </w:tcBorders>
                  <w:noWrap w:val="0"/>
                  <w:tcMar>
                    <w:top w:w="15" w:type="dxa"/>
                    <w:left w:w="15" w:type="dxa"/>
                    <w:right w:w="15" w:type="dxa"/>
                  </w:tcMar>
                  <w:vAlign w:val="center"/>
                </w:tcPr>
                <w:p w14:paraId="3945E71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sz w:val="21"/>
                      <w:szCs w:val="21"/>
                      <w:highlight w:val="none"/>
                      <w:u w:val="none" w:color="auto"/>
                      <w:lang w:eastAsia="zh-CN"/>
                    </w:rPr>
                  </w:pPr>
                  <w:r>
                    <w:rPr>
                      <w:rFonts w:hint="eastAsia" w:cs="Times New Roman"/>
                      <w:bCs/>
                      <w:color w:val="auto"/>
                      <w:sz w:val="21"/>
                      <w:szCs w:val="21"/>
                      <w:highlight w:val="none"/>
                      <w:u w:val="none" w:color="auto"/>
                      <w:lang w:val="en-US" w:eastAsia="zh-CN"/>
                    </w:rPr>
                    <w:t>1</w:t>
                  </w:r>
                </w:p>
              </w:tc>
              <w:tc>
                <w:tcPr>
                  <w:tcW w:w="694" w:type="pct"/>
                  <w:tcBorders>
                    <w:tl2br w:val="nil"/>
                    <w:tr2bl w:val="nil"/>
                  </w:tcBorders>
                  <w:noWrap w:val="0"/>
                  <w:tcMar>
                    <w:top w:w="15" w:type="dxa"/>
                    <w:left w:w="15" w:type="dxa"/>
                    <w:right w:w="15" w:type="dxa"/>
                  </w:tcMar>
                  <w:vAlign w:val="center"/>
                </w:tcPr>
                <w:p w14:paraId="06190AD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default" w:ascii="Times New Roman" w:hAnsi="Times New Roman" w:cs="Times New Roman"/>
                      <w:bCs/>
                      <w:color w:val="auto"/>
                      <w:sz w:val="21"/>
                      <w:szCs w:val="21"/>
                      <w:highlight w:val="none"/>
                      <w:u w:val="none" w:color="auto"/>
                      <w:lang w:val="en-US" w:eastAsia="zh-CN"/>
                    </w:rPr>
                    <w:t>台</w:t>
                  </w:r>
                </w:p>
              </w:tc>
              <w:tc>
                <w:tcPr>
                  <w:tcW w:w="1116" w:type="pct"/>
                  <w:tcBorders>
                    <w:tl2br w:val="nil"/>
                    <w:tr2bl w:val="nil"/>
                  </w:tcBorders>
                  <w:noWrap w:val="0"/>
                  <w:tcMar>
                    <w:top w:w="15" w:type="dxa"/>
                    <w:left w:w="15" w:type="dxa"/>
                    <w:right w:w="15" w:type="dxa"/>
                  </w:tcMar>
                  <w:vAlign w:val="center"/>
                </w:tcPr>
                <w:p w14:paraId="3F938D2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rPr>
                  </w:pPr>
                  <w:r>
                    <w:rPr>
                      <w:rFonts w:hint="default" w:ascii="Times New Roman" w:hAnsi="Times New Roman" w:eastAsia="宋体" w:cs="Times New Roman"/>
                      <w:color w:val="auto"/>
                      <w:spacing w:val="0"/>
                      <w:sz w:val="21"/>
                      <w:szCs w:val="21"/>
                      <w:highlight w:val="none"/>
                      <w:u w:val="none" w:color="auto"/>
                    </w:rPr>
                    <w:t>CYC-50</w:t>
                  </w:r>
                </w:p>
              </w:tc>
              <w:tc>
                <w:tcPr>
                  <w:tcW w:w="1095" w:type="pct"/>
                  <w:tcBorders>
                    <w:tl2br w:val="nil"/>
                    <w:tr2bl w:val="nil"/>
                  </w:tcBorders>
                  <w:noWrap w:val="0"/>
                  <w:tcMar>
                    <w:top w:w="15" w:type="dxa"/>
                    <w:left w:w="15" w:type="dxa"/>
                    <w:right w:w="15" w:type="dxa"/>
                  </w:tcMar>
                  <w:vAlign w:val="center"/>
                </w:tcPr>
                <w:p w14:paraId="5F34F3A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抽残液</w:t>
                  </w:r>
                </w:p>
              </w:tc>
            </w:tr>
            <w:tr w14:paraId="030526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363" w:type="pct"/>
                  <w:tcBorders>
                    <w:tl2br w:val="nil"/>
                    <w:tr2bl w:val="nil"/>
                  </w:tcBorders>
                  <w:noWrap w:val="0"/>
                  <w:tcMar>
                    <w:top w:w="15" w:type="dxa"/>
                    <w:left w:w="15" w:type="dxa"/>
                    <w:right w:w="15" w:type="dxa"/>
                  </w:tcMar>
                  <w:vAlign w:val="center"/>
                </w:tcPr>
                <w:p w14:paraId="71178F1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default" w:ascii="Times New Roman" w:hAnsi="Times New Roman" w:cs="Times New Roman"/>
                      <w:bCs/>
                      <w:color w:val="auto"/>
                      <w:sz w:val="21"/>
                      <w:szCs w:val="21"/>
                      <w:highlight w:val="none"/>
                      <w:u w:val="none" w:color="auto"/>
                      <w:lang w:val="en-US" w:eastAsia="zh-CN"/>
                    </w:rPr>
                    <w:t>2</w:t>
                  </w:r>
                </w:p>
              </w:tc>
              <w:tc>
                <w:tcPr>
                  <w:tcW w:w="1139" w:type="pct"/>
                  <w:tcBorders>
                    <w:tl2br w:val="nil"/>
                    <w:tr2bl w:val="nil"/>
                  </w:tcBorders>
                  <w:noWrap w:val="0"/>
                  <w:tcMar>
                    <w:top w:w="15" w:type="dxa"/>
                    <w:left w:w="15" w:type="dxa"/>
                    <w:right w:w="15" w:type="dxa"/>
                  </w:tcMar>
                  <w:vAlign w:val="center"/>
                </w:tcPr>
                <w:p w14:paraId="178BCE0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卸阀机</w:t>
                  </w:r>
                </w:p>
              </w:tc>
              <w:tc>
                <w:tcPr>
                  <w:tcW w:w="589" w:type="pct"/>
                  <w:tcBorders>
                    <w:tl2br w:val="nil"/>
                    <w:tr2bl w:val="nil"/>
                  </w:tcBorders>
                  <w:noWrap w:val="0"/>
                  <w:tcMar>
                    <w:top w:w="15" w:type="dxa"/>
                    <w:left w:w="15" w:type="dxa"/>
                    <w:right w:w="15" w:type="dxa"/>
                  </w:tcMar>
                  <w:vAlign w:val="center"/>
                </w:tcPr>
                <w:p w14:paraId="26F5AB8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rPr>
                  </w:pPr>
                  <w:r>
                    <w:rPr>
                      <w:rFonts w:hint="eastAsia" w:cs="Times New Roman"/>
                      <w:bCs/>
                      <w:color w:val="auto"/>
                      <w:sz w:val="21"/>
                      <w:szCs w:val="21"/>
                      <w:highlight w:val="none"/>
                      <w:u w:val="none" w:color="auto"/>
                      <w:lang w:val="en-US" w:eastAsia="zh-CN"/>
                    </w:rPr>
                    <w:t>1</w:t>
                  </w:r>
                </w:p>
              </w:tc>
              <w:tc>
                <w:tcPr>
                  <w:tcW w:w="694" w:type="pct"/>
                  <w:tcBorders>
                    <w:tl2br w:val="nil"/>
                    <w:tr2bl w:val="nil"/>
                  </w:tcBorders>
                  <w:noWrap w:val="0"/>
                  <w:tcMar>
                    <w:top w:w="15" w:type="dxa"/>
                    <w:left w:w="15" w:type="dxa"/>
                    <w:right w:w="15" w:type="dxa"/>
                  </w:tcMar>
                  <w:vAlign w:val="center"/>
                </w:tcPr>
                <w:p w14:paraId="128A8A3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rPr>
                  </w:pPr>
                  <w:r>
                    <w:rPr>
                      <w:rFonts w:hint="default" w:ascii="Times New Roman" w:hAnsi="Times New Roman" w:cs="Times New Roman"/>
                      <w:bCs/>
                      <w:color w:val="auto"/>
                      <w:sz w:val="21"/>
                      <w:szCs w:val="21"/>
                      <w:highlight w:val="none"/>
                      <w:u w:val="none" w:color="auto"/>
                      <w:lang w:val="en-US" w:eastAsia="zh-CN"/>
                    </w:rPr>
                    <w:t>台</w:t>
                  </w:r>
                </w:p>
              </w:tc>
              <w:tc>
                <w:tcPr>
                  <w:tcW w:w="1116" w:type="pct"/>
                  <w:tcBorders>
                    <w:tl2br w:val="nil"/>
                    <w:tr2bl w:val="nil"/>
                  </w:tcBorders>
                  <w:noWrap w:val="0"/>
                  <w:tcMar>
                    <w:top w:w="15" w:type="dxa"/>
                    <w:left w:w="15" w:type="dxa"/>
                    <w:right w:w="15" w:type="dxa"/>
                  </w:tcMar>
                  <w:vAlign w:val="center"/>
                </w:tcPr>
                <w:p w14:paraId="6C793D8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w:t>
                  </w:r>
                </w:p>
              </w:tc>
              <w:tc>
                <w:tcPr>
                  <w:tcW w:w="1095" w:type="pct"/>
                  <w:tcBorders>
                    <w:tl2br w:val="nil"/>
                    <w:tr2bl w:val="nil"/>
                  </w:tcBorders>
                  <w:noWrap w:val="0"/>
                  <w:tcMar>
                    <w:top w:w="15" w:type="dxa"/>
                    <w:left w:w="15" w:type="dxa"/>
                    <w:right w:w="15" w:type="dxa"/>
                  </w:tcMar>
                  <w:vAlign w:val="center"/>
                </w:tcPr>
                <w:p w14:paraId="6E91501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拆卸瓶阀</w:t>
                  </w:r>
                </w:p>
              </w:tc>
            </w:tr>
            <w:tr w14:paraId="6FC75A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363" w:type="pct"/>
                  <w:tcBorders>
                    <w:tl2br w:val="nil"/>
                    <w:tr2bl w:val="nil"/>
                  </w:tcBorders>
                  <w:noWrap w:val="0"/>
                  <w:tcMar>
                    <w:top w:w="15" w:type="dxa"/>
                    <w:left w:w="15" w:type="dxa"/>
                    <w:right w:w="15" w:type="dxa"/>
                  </w:tcMar>
                  <w:vAlign w:val="center"/>
                </w:tcPr>
                <w:p w14:paraId="454FF1F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default" w:ascii="Times New Roman" w:hAnsi="Times New Roman" w:cs="Times New Roman"/>
                      <w:bCs/>
                      <w:color w:val="auto"/>
                      <w:sz w:val="21"/>
                      <w:szCs w:val="21"/>
                      <w:highlight w:val="none"/>
                      <w:u w:val="none" w:color="auto"/>
                      <w:lang w:val="en-US" w:eastAsia="zh-CN"/>
                    </w:rPr>
                    <w:t>3</w:t>
                  </w:r>
                </w:p>
              </w:tc>
              <w:tc>
                <w:tcPr>
                  <w:tcW w:w="1139" w:type="pct"/>
                  <w:tcBorders>
                    <w:tl2br w:val="nil"/>
                    <w:tr2bl w:val="nil"/>
                  </w:tcBorders>
                  <w:noWrap w:val="0"/>
                  <w:tcMar>
                    <w:top w:w="15" w:type="dxa"/>
                    <w:left w:w="15" w:type="dxa"/>
                    <w:right w:w="15" w:type="dxa"/>
                  </w:tcMar>
                  <w:vAlign w:val="center"/>
                </w:tcPr>
                <w:p w14:paraId="722DBCA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焚烧炉</w:t>
                  </w:r>
                </w:p>
              </w:tc>
              <w:tc>
                <w:tcPr>
                  <w:tcW w:w="589" w:type="pct"/>
                  <w:tcBorders>
                    <w:tl2br w:val="nil"/>
                    <w:tr2bl w:val="nil"/>
                  </w:tcBorders>
                  <w:noWrap w:val="0"/>
                  <w:tcMar>
                    <w:top w:w="15" w:type="dxa"/>
                    <w:left w:w="15" w:type="dxa"/>
                    <w:right w:w="15" w:type="dxa"/>
                  </w:tcMar>
                  <w:vAlign w:val="center"/>
                </w:tcPr>
                <w:p w14:paraId="5CAC8DD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rPr>
                  </w:pPr>
                  <w:r>
                    <w:rPr>
                      <w:rFonts w:hint="eastAsia" w:cs="Times New Roman"/>
                      <w:bCs/>
                      <w:color w:val="auto"/>
                      <w:sz w:val="21"/>
                      <w:szCs w:val="21"/>
                      <w:highlight w:val="none"/>
                      <w:u w:val="none" w:color="auto"/>
                      <w:lang w:val="en-US" w:eastAsia="zh-CN"/>
                    </w:rPr>
                    <w:t>2</w:t>
                  </w:r>
                </w:p>
              </w:tc>
              <w:tc>
                <w:tcPr>
                  <w:tcW w:w="694" w:type="pct"/>
                  <w:tcBorders>
                    <w:tl2br w:val="nil"/>
                    <w:tr2bl w:val="nil"/>
                  </w:tcBorders>
                  <w:noWrap w:val="0"/>
                  <w:tcMar>
                    <w:top w:w="15" w:type="dxa"/>
                    <w:left w:w="15" w:type="dxa"/>
                    <w:right w:w="15" w:type="dxa"/>
                  </w:tcMar>
                  <w:vAlign w:val="center"/>
                </w:tcPr>
                <w:p w14:paraId="5F6D59C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rPr>
                  </w:pPr>
                  <w:r>
                    <w:rPr>
                      <w:rFonts w:hint="default" w:ascii="Times New Roman" w:hAnsi="Times New Roman" w:cs="Times New Roman"/>
                      <w:bCs/>
                      <w:color w:val="auto"/>
                      <w:sz w:val="21"/>
                      <w:szCs w:val="21"/>
                      <w:highlight w:val="none"/>
                      <w:u w:val="none" w:color="auto"/>
                      <w:lang w:val="en-US" w:eastAsia="zh-CN"/>
                    </w:rPr>
                    <w:t>台</w:t>
                  </w:r>
                </w:p>
              </w:tc>
              <w:tc>
                <w:tcPr>
                  <w:tcW w:w="1116" w:type="pct"/>
                  <w:tcBorders>
                    <w:tl2br w:val="nil"/>
                    <w:tr2bl w:val="nil"/>
                  </w:tcBorders>
                  <w:noWrap w:val="0"/>
                  <w:tcMar>
                    <w:top w:w="15" w:type="dxa"/>
                    <w:left w:w="15" w:type="dxa"/>
                    <w:right w:w="15" w:type="dxa"/>
                  </w:tcMar>
                  <w:vAlign w:val="center"/>
                </w:tcPr>
                <w:p w14:paraId="475DACB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default" w:ascii="Times New Roman" w:hAnsi="Times New Roman" w:eastAsia="宋体" w:cs="Times New Roman"/>
                      <w:color w:val="auto"/>
                      <w:spacing w:val="0"/>
                      <w:sz w:val="21"/>
                      <w:szCs w:val="21"/>
                      <w:highlight w:val="none"/>
                      <w:u w:val="none" w:color="auto"/>
                    </w:rPr>
                    <w:t>GFL-B</w:t>
                  </w:r>
                </w:p>
              </w:tc>
              <w:tc>
                <w:tcPr>
                  <w:tcW w:w="1095" w:type="pct"/>
                  <w:tcBorders>
                    <w:tl2br w:val="nil"/>
                    <w:tr2bl w:val="nil"/>
                  </w:tcBorders>
                  <w:noWrap w:val="0"/>
                  <w:tcMar>
                    <w:top w:w="15" w:type="dxa"/>
                    <w:left w:w="15" w:type="dxa"/>
                    <w:right w:w="15" w:type="dxa"/>
                  </w:tcMar>
                  <w:vAlign w:val="center"/>
                </w:tcPr>
                <w:p w14:paraId="440A862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焚烧</w:t>
                  </w:r>
                </w:p>
              </w:tc>
            </w:tr>
            <w:tr w14:paraId="62E7E1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363" w:type="pct"/>
                  <w:tcBorders>
                    <w:tl2br w:val="nil"/>
                    <w:tr2bl w:val="nil"/>
                  </w:tcBorders>
                  <w:noWrap w:val="0"/>
                  <w:tcMar>
                    <w:top w:w="15" w:type="dxa"/>
                    <w:left w:w="15" w:type="dxa"/>
                    <w:right w:w="15" w:type="dxa"/>
                  </w:tcMar>
                  <w:vAlign w:val="center"/>
                </w:tcPr>
                <w:p w14:paraId="75BCB23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default" w:ascii="Times New Roman" w:hAnsi="Times New Roman" w:cs="Times New Roman"/>
                      <w:bCs/>
                      <w:color w:val="auto"/>
                      <w:sz w:val="21"/>
                      <w:szCs w:val="21"/>
                      <w:highlight w:val="none"/>
                      <w:u w:val="none" w:color="auto"/>
                      <w:lang w:val="en-US" w:eastAsia="zh-CN"/>
                    </w:rPr>
                    <w:t>4</w:t>
                  </w:r>
                </w:p>
              </w:tc>
              <w:tc>
                <w:tcPr>
                  <w:tcW w:w="1139" w:type="pct"/>
                  <w:tcBorders>
                    <w:tl2br w:val="nil"/>
                    <w:tr2bl w:val="nil"/>
                  </w:tcBorders>
                  <w:noWrap w:val="0"/>
                  <w:tcMar>
                    <w:top w:w="15" w:type="dxa"/>
                    <w:left w:w="15" w:type="dxa"/>
                    <w:right w:w="15" w:type="dxa"/>
                  </w:tcMar>
                  <w:vAlign w:val="center"/>
                </w:tcPr>
                <w:p w14:paraId="2D917EA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液压一体化裁剪机</w:t>
                  </w:r>
                </w:p>
              </w:tc>
              <w:tc>
                <w:tcPr>
                  <w:tcW w:w="589" w:type="pct"/>
                  <w:tcBorders>
                    <w:tl2br w:val="nil"/>
                    <w:tr2bl w:val="nil"/>
                  </w:tcBorders>
                  <w:noWrap w:val="0"/>
                  <w:tcMar>
                    <w:top w:w="15" w:type="dxa"/>
                    <w:left w:w="15" w:type="dxa"/>
                    <w:right w:w="15" w:type="dxa"/>
                  </w:tcMar>
                  <w:vAlign w:val="center"/>
                </w:tcPr>
                <w:p w14:paraId="69EC0A6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rPr>
                  </w:pPr>
                  <w:r>
                    <w:rPr>
                      <w:rFonts w:hint="eastAsia" w:cs="Times New Roman"/>
                      <w:bCs/>
                      <w:color w:val="auto"/>
                      <w:sz w:val="21"/>
                      <w:szCs w:val="21"/>
                      <w:highlight w:val="none"/>
                      <w:u w:val="none" w:color="auto"/>
                      <w:lang w:val="en-US" w:eastAsia="zh-CN"/>
                    </w:rPr>
                    <w:t>1</w:t>
                  </w:r>
                </w:p>
              </w:tc>
              <w:tc>
                <w:tcPr>
                  <w:tcW w:w="694" w:type="pct"/>
                  <w:tcBorders>
                    <w:tl2br w:val="nil"/>
                    <w:tr2bl w:val="nil"/>
                  </w:tcBorders>
                  <w:noWrap w:val="0"/>
                  <w:tcMar>
                    <w:top w:w="15" w:type="dxa"/>
                    <w:left w:w="15" w:type="dxa"/>
                    <w:right w:w="15" w:type="dxa"/>
                  </w:tcMar>
                  <w:vAlign w:val="center"/>
                </w:tcPr>
                <w:p w14:paraId="3B089AE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rPr>
                  </w:pPr>
                  <w:r>
                    <w:rPr>
                      <w:rFonts w:hint="default" w:ascii="Times New Roman" w:hAnsi="Times New Roman" w:cs="Times New Roman"/>
                      <w:bCs/>
                      <w:color w:val="auto"/>
                      <w:sz w:val="21"/>
                      <w:szCs w:val="21"/>
                      <w:highlight w:val="none"/>
                      <w:u w:val="none" w:color="auto"/>
                      <w:lang w:val="en-US" w:eastAsia="zh-CN"/>
                    </w:rPr>
                    <w:t>台</w:t>
                  </w:r>
                </w:p>
              </w:tc>
              <w:tc>
                <w:tcPr>
                  <w:tcW w:w="1116" w:type="pct"/>
                  <w:tcBorders>
                    <w:tl2br w:val="nil"/>
                    <w:tr2bl w:val="nil"/>
                  </w:tcBorders>
                  <w:noWrap w:val="0"/>
                  <w:tcMar>
                    <w:top w:w="15" w:type="dxa"/>
                    <w:left w:w="15" w:type="dxa"/>
                    <w:right w:w="15" w:type="dxa"/>
                  </w:tcMar>
                  <w:vAlign w:val="center"/>
                </w:tcPr>
                <w:p w14:paraId="202C5BD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w:t>
                  </w:r>
                </w:p>
              </w:tc>
              <w:tc>
                <w:tcPr>
                  <w:tcW w:w="1095" w:type="pct"/>
                  <w:tcBorders>
                    <w:tl2br w:val="nil"/>
                    <w:tr2bl w:val="nil"/>
                  </w:tcBorders>
                  <w:noWrap w:val="0"/>
                  <w:tcMar>
                    <w:top w:w="15" w:type="dxa"/>
                    <w:left w:w="15" w:type="dxa"/>
                    <w:right w:w="15" w:type="dxa"/>
                  </w:tcMar>
                  <w:vAlign w:val="center"/>
                </w:tcPr>
                <w:p w14:paraId="797BFA3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压扁</w:t>
                  </w:r>
                </w:p>
              </w:tc>
            </w:tr>
            <w:tr w14:paraId="206097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363" w:type="pct"/>
                  <w:tcBorders>
                    <w:tl2br w:val="nil"/>
                    <w:tr2bl w:val="nil"/>
                  </w:tcBorders>
                  <w:noWrap w:val="0"/>
                  <w:tcMar>
                    <w:top w:w="15" w:type="dxa"/>
                    <w:left w:w="15" w:type="dxa"/>
                    <w:right w:w="15" w:type="dxa"/>
                  </w:tcMar>
                  <w:vAlign w:val="center"/>
                </w:tcPr>
                <w:p w14:paraId="039A34F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5</w:t>
                  </w:r>
                </w:p>
              </w:tc>
              <w:tc>
                <w:tcPr>
                  <w:tcW w:w="1139" w:type="pct"/>
                  <w:tcBorders>
                    <w:tl2br w:val="nil"/>
                    <w:tr2bl w:val="nil"/>
                  </w:tcBorders>
                  <w:noWrap w:val="0"/>
                  <w:tcMar>
                    <w:top w:w="15" w:type="dxa"/>
                    <w:left w:w="15" w:type="dxa"/>
                    <w:right w:w="15" w:type="dxa"/>
                  </w:tcMar>
                  <w:vAlign w:val="center"/>
                </w:tcPr>
                <w:p w14:paraId="0118EAD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高效高温除尘装置</w:t>
                  </w:r>
                </w:p>
              </w:tc>
              <w:tc>
                <w:tcPr>
                  <w:tcW w:w="589" w:type="pct"/>
                  <w:tcBorders>
                    <w:tl2br w:val="nil"/>
                    <w:tr2bl w:val="nil"/>
                  </w:tcBorders>
                  <w:noWrap w:val="0"/>
                  <w:tcMar>
                    <w:top w:w="15" w:type="dxa"/>
                    <w:left w:w="15" w:type="dxa"/>
                    <w:right w:w="15" w:type="dxa"/>
                  </w:tcMar>
                  <w:vAlign w:val="center"/>
                </w:tcPr>
                <w:p w14:paraId="11C4207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rPr>
                  </w:pPr>
                  <w:r>
                    <w:rPr>
                      <w:rFonts w:hint="eastAsia" w:cs="Times New Roman"/>
                      <w:bCs/>
                      <w:color w:val="auto"/>
                      <w:sz w:val="21"/>
                      <w:szCs w:val="21"/>
                      <w:highlight w:val="none"/>
                      <w:u w:val="none" w:color="auto"/>
                      <w:lang w:val="en-US" w:eastAsia="zh-CN"/>
                    </w:rPr>
                    <w:t>1</w:t>
                  </w:r>
                </w:p>
              </w:tc>
              <w:tc>
                <w:tcPr>
                  <w:tcW w:w="694" w:type="pct"/>
                  <w:tcBorders>
                    <w:tl2br w:val="nil"/>
                    <w:tr2bl w:val="nil"/>
                  </w:tcBorders>
                  <w:noWrap w:val="0"/>
                  <w:tcMar>
                    <w:top w:w="15" w:type="dxa"/>
                    <w:left w:w="15" w:type="dxa"/>
                    <w:right w:w="15" w:type="dxa"/>
                  </w:tcMar>
                  <w:vAlign w:val="center"/>
                </w:tcPr>
                <w:p w14:paraId="55C00E4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bCs/>
                      <w:color w:val="auto"/>
                      <w:sz w:val="21"/>
                      <w:szCs w:val="21"/>
                      <w:highlight w:val="none"/>
                      <w:u w:val="none" w:color="auto"/>
                    </w:rPr>
                  </w:pPr>
                  <w:r>
                    <w:rPr>
                      <w:rFonts w:hint="default" w:ascii="Times New Roman" w:hAnsi="Times New Roman" w:cs="Times New Roman"/>
                      <w:bCs/>
                      <w:color w:val="auto"/>
                      <w:sz w:val="21"/>
                      <w:szCs w:val="21"/>
                      <w:highlight w:val="none"/>
                      <w:u w:val="none" w:color="auto"/>
                      <w:lang w:val="en-US" w:eastAsia="zh-CN"/>
                    </w:rPr>
                    <w:t>台</w:t>
                  </w:r>
                </w:p>
              </w:tc>
              <w:tc>
                <w:tcPr>
                  <w:tcW w:w="1116" w:type="pct"/>
                  <w:tcBorders>
                    <w:tl2br w:val="nil"/>
                    <w:tr2bl w:val="nil"/>
                  </w:tcBorders>
                  <w:noWrap w:val="0"/>
                  <w:tcMar>
                    <w:top w:w="15" w:type="dxa"/>
                    <w:left w:w="15" w:type="dxa"/>
                    <w:right w:w="15" w:type="dxa"/>
                  </w:tcMar>
                  <w:vAlign w:val="center"/>
                </w:tcPr>
                <w:p w14:paraId="79794FE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w:t>
                  </w:r>
                </w:p>
              </w:tc>
              <w:tc>
                <w:tcPr>
                  <w:tcW w:w="1095" w:type="pct"/>
                  <w:tcBorders>
                    <w:tl2br w:val="nil"/>
                    <w:tr2bl w:val="nil"/>
                  </w:tcBorders>
                  <w:noWrap w:val="0"/>
                  <w:tcMar>
                    <w:top w:w="15" w:type="dxa"/>
                    <w:left w:w="15" w:type="dxa"/>
                    <w:right w:w="15" w:type="dxa"/>
                  </w:tcMar>
                  <w:vAlign w:val="center"/>
                </w:tcPr>
                <w:p w14:paraId="3644ABB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除尘</w:t>
                  </w:r>
                </w:p>
              </w:tc>
            </w:tr>
            <w:tr w14:paraId="1F4D5F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363" w:type="pct"/>
                  <w:tcBorders>
                    <w:tl2br w:val="nil"/>
                    <w:tr2bl w:val="nil"/>
                  </w:tcBorders>
                  <w:noWrap w:val="0"/>
                  <w:tcMar>
                    <w:top w:w="15" w:type="dxa"/>
                    <w:left w:w="15" w:type="dxa"/>
                    <w:right w:w="15" w:type="dxa"/>
                  </w:tcMar>
                  <w:vAlign w:val="center"/>
                </w:tcPr>
                <w:p w14:paraId="2736EFA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eastAsia="zh-CN"/>
                    </w:rPr>
                  </w:pPr>
                  <w:r>
                    <w:rPr>
                      <w:rFonts w:hint="default" w:cs="Times New Roman"/>
                      <w:bCs/>
                      <w:color w:val="auto"/>
                      <w:sz w:val="21"/>
                      <w:szCs w:val="21"/>
                      <w:highlight w:val="none"/>
                      <w:u w:val="none" w:color="auto"/>
                      <w:lang w:eastAsia="zh-CN"/>
                    </w:rPr>
                    <w:t>6</w:t>
                  </w:r>
                </w:p>
              </w:tc>
              <w:tc>
                <w:tcPr>
                  <w:tcW w:w="1139" w:type="pct"/>
                  <w:tcBorders>
                    <w:tl2br w:val="nil"/>
                    <w:tr2bl w:val="nil"/>
                  </w:tcBorders>
                  <w:noWrap w:val="0"/>
                  <w:tcMar>
                    <w:top w:w="15" w:type="dxa"/>
                    <w:left w:w="15" w:type="dxa"/>
                    <w:right w:w="15" w:type="dxa"/>
                  </w:tcMar>
                  <w:vAlign w:val="center"/>
                </w:tcPr>
                <w:p w14:paraId="12C3557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eastAsia="zh-CN"/>
                    </w:rPr>
                  </w:pPr>
                  <w:r>
                    <w:rPr>
                      <w:rFonts w:hint="default" w:cs="Times New Roman"/>
                      <w:bCs/>
                      <w:color w:val="auto"/>
                      <w:sz w:val="21"/>
                      <w:szCs w:val="21"/>
                      <w:highlight w:val="none"/>
                      <w:u w:val="none" w:color="auto"/>
                      <w:lang w:eastAsia="zh-CN"/>
                    </w:rPr>
                    <w:t>残液回收装置</w:t>
                  </w:r>
                </w:p>
              </w:tc>
              <w:tc>
                <w:tcPr>
                  <w:tcW w:w="589" w:type="pct"/>
                  <w:tcBorders>
                    <w:tl2br w:val="nil"/>
                    <w:tr2bl w:val="nil"/>
                  </w:tcBorders>
                  <w:noWrap w:val="0"/>
                  <w:tcMar>
                    <w:top w:w="15" w:type="dxa"/>
                    <w:left w:w="15" w:type="dxa"/>
                    <w:right w:w="15" w:type="dxa"/>
                  </w:tcMar>
                  <w:vAlign w:val="center"/>
                </w:tcPr>
                <w:p w14:paraId="7780A5D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eastAsia="zh-CN"/>
                    </w:rPr>
                  </w:pPr>
                  <w:r>
                    <w:rPr>
                      <w:rFonts w:hint="default" w:cs="Times New Roman"/>
                      <w:bCs/>
                      <w:color w:val="auto"/>
                      <w:sz w:val="21"/>
                      <w:szCs w:val="21"/>
                      <w:highlight w:val="none"/>
                      <w:u w:val="none" w:color="auto"/>
                      <w:lang w:eastAsia="zh-CN"/>
                    </w:rPr>
                    <w:t>1</w:t>
                  </w:r>
                </w:p>
              </w:tc>
              <w:tc>
                <w:tcPr>
                  <w:tcW w:w="694" w:type="pct"/>
                  <w:tcBorders>
                    <w:tl2br w:val="nil"/>
                    <w:tr2bl w:val="nil"/>
                  </w:tcBorders>
                  <w:noWrap w:val="0"/>
                  <w:tcMar>
                    <w:top w:w="15" w:type="dxa"/>
                    <w:left w:w="15" w:type="dxa"/>
                    <w:right w:w="15" w:type="dxa"/>
                  </w:tcMar>
                  <w:vAlign w:val="center"/>
                </w:tcPr>
                <w:p w14:paraId="5BF7AF3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bCs/>
                      <w:color w:val="auto"/>
                      <w:sz w:val="21"/>
                      <w:szCs w:val="21"/>
                      <w:highlight w:val="none"/>
                      <w:u w:val="none" w:color="auto"/>
                      <w:lang w:eastAsia="zh-CN"/>
                    </w:rPr>
                  </w:pPr>
                  <w:r>
                    <w:rPr>
                      <w:rFonts w:hint="default" w:cs="Times New Roman"/>
                      <w:bCs/>
                      <w:color w:val="auto"/>
                      <w:sz w:val="21"/>
                      <w:szCs w:val="21"/>
                      <w:highlight w:val="none"/>
                      <w:u w:val="none" w:color="auto"/>
                      <w:lang w:eastAsia="zh-CN"/>
                    </w:rPr>
                    <w:t>台</w:t>
                  </w:r>
                </w:p>
              </w:tc>
              <w:tc>
                <w:tcPr>
                  <w:tcW w:w="1116" w:type="pct"/>
                  <w:tcBorders>
                    <w:tl2br w:val="nil"/>
                    <w:tr2bl w:val="nil"/>
                  </w:tcBorders>
                  <w:noWrap w:val="0"/>
                  <w:tcMar>
                    <w:top w:w="15" w:type="dxa"/>
                    <w:left w:w="15" w:type="dxa"/>
                    <w:right w:w="15" w:type="dxa"/>
                  </w:tcMar>
                  <w:vAlign w:val="center"/>
                </w:tcPr>
                <w:p w14:paraId="7E44313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eastAsia="zh-CN"/>
                    </w:rPr>
                  </w:pPr>
                  <w:r>
                    <w:rPr>
                      <w:rFonts w:hint="default" w:cs="Times New Roman"/>
                      <w:bCs/>
                      <w:color w:val="auto"/>
                      <w:sz w:val="21"/>
                      <w:szCs w:val="21"/>
                      <w:highlight w:val="none"/>
                      <w:u w:val="none" w:color="auto"/>
                      <w:lang w:eastAsia="zh-CN"/>
                    </w:rPr>
                    <w:t>/</w:t>
                  </w:r>
                </w:p>
              </w:tc>
              <w:tc>
                <w:tcPr>
                  <w:tcW w:w="1095" w:type="pct"/>
                  <w:tcBorders>
                    <w:tl2br w:val="nil"/>
                    <w:tr2bl w:val="nil"/>
                  </w:tcBorders>
                  <w:noWrap w:val="0"/>
                  <w:tcMar>
                    <w:top w:w="15" w:type="dxa"/>
                    <w:left w:w="15" w:type="dxa"/>
                    <w:right w:w="15" w:type="dxa"/>
                  </w:tcMar>
                  <w:vAlign w:val="center"/>
                </w:tcPr>
                <w:p w14:paraId="0CEC29B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cs="Times New Roman"/>
                      <w:bCs/>
                      <w:color w:val="auto"/>
                      <w:sz w:val="21"/>
                      <w:szCs w:val="21"/>
                      <w:highlight w:val="none"/>
                      <w:u w:val="none" w:color="auto"/>
                      <w:lang w:eastAsia="zh-CN"/>
                    </w:rPr>
                  </w:pPr>
                  <w:r>
                    <w:rPr>
                      <w:rFonts w:hint="default" w:cs="Times New Roman"/>
                      <w:bCs/>
                      <w:color w:val="auto"/>
                      <w:sz w:val="21"/>
                      <w:szCs w:val="21"/>
                      <w:highlight w:val="none"/>
                      <w:u w:val="none" w:color="auto"/>
                      <w:lang w:eastAsia="zh-CN"/>
                    </w:rPr>
                    <w:t>抽残</w:t>
                  </w:r>
                  <w:r>
                    <w:rPr>
                      <w:rFonts w:hint="eastAsia" w:cs="Times New Roman"/>
                      <w:bCs/>
                      <w:color w:val="auto"/>
                      <w:sz w:val="21"/>
                      <w:szCs w:val="21"/>
                      <w:highlight w:val="none"/>
                      <w:u w:val="none" w:color="auto"/>
                      <w:lang w:val="en-US" w:eastAsia="zh-CN"/>
                    </w:rPr>
                    <w:t>液</w:t>
                  </w:r>
                </w:p>
              </w:tc>
            </w:tr>
          </w:tbl>
          <w:p w14:paraId="0747D69C">
            <w:pPr>
              <w:numPr>
                <w:ilvl w:val="0"/>
                <w:numId w:val="5"/>
              </w:numPr>
              <w:spacing w:line="360" w:lineRule="auto"/>
              <w:ind w:left="0" w:leftChars="0" w:firstLine="0" w:firstLineChars="0"/>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工艺流程</w:t>
            </w:r>
          </w:p>
          <w:p w14:paraId="782FC3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Cs/>
                <w:color w:val="auto"/>
                <w:spacing w:val="0"/>
                <w:sz w:val="24"/>
                <w:szCs w:val="24"/>
                <w:lang w:val="en-US" w:eastAsia="zh-CN"/>
              </w:rPr>
            </w:pPr>
            <w:r>
              <w:rPr>
                <w:rFonts w:hint="eastAsia" w:cs="Times New Roman"/>
                <w:bCs/>
                <w:color w:val="auto"/>
                <w:spacing w:val="0"/>
                <w:sz w:val="24"/>
                <w:szCs w:val="24"/>
                <w:lang w:val="en-US" w:eastAsia="zh-CN"/>
              </w:rPr>
              <w:t>变动前后</w:t>
            </w:r>
            <w:r>
              <w:rPr>
                <w:rFonts w:hint="eastAsia" w:ascii="Times New Roman" w:hAnsi="Times New Roman" w:eastAsia="宋体" w:cs="Times New Roman"/>
                <w:bCs/>
                <w:color w:val="auto"/>
                <w:spacing w:val="0"/>
                <w:sz w:val="24"/>
                <w:szCs w:val="24"/>
                <w:lang w:val="en-US" w:eastAsia="zh-CN"/>
              </w:rPr>
              <w:t>生产工艺一致，工艺流程详见图2-</w:t>
            </w:r>
            <w:r>
              <w:rPr>
                <w:rFonts w:hint="eastAsia" w:cs="Times New Roman"/>
                <w:bCs/>
                <w:color w:val="auto"/>
                <w:spacing w:val="0"/>
                <w:sz w:val="24"/>
                <w:szCs w:val="24"/>
                <w:lang w:val="en-US" w:eastAsia="zh-CN"/>
              </w:rPr>
              <w:t>1</w:t>
            </w:r>
            <w:r>
              <w:rPr>
                <w:rFonts w:hint="eastAsia" w:ascii="Times New Roman" w:hAnsi="Times New Roman" w:eastAsia="宋体" w:cs="Times New Roman"/>
                <w:bCs/>
                <w:color w:val="auto"/>
                <w:spacing w:val="0"/>
                <w:sz w:val="24"/>
                <w:szCs w:val="24"/>
                <w:lang w:val="en-US" w:eastAsia="zh-CN"/>
              </w:rPr>
              <w:t>。</w:t>
            </w:r>
          </w:p>
          <w:p w14:paraId="3AB2BA9F">
            <w:pPr>
              <w:spacing w:line="360" w:lineRule="auto"/>
              <w:ind w:left="0" w:leftChars="0" w:firstLine="0" w:firstLineChars="0"/>
              <w:rPr>
                <w:rFonts w:hint="default" w:ascii="Times New Roman" w:hAnsi="Times New Roman" w:eastAsia="宋体" w:cs="Times New Roman"/>
                <w:b/>
                <w:color w:val="auto"/>
                <w:kern w:val="0"/>
                <w:sz w:val="28"/>
                <w:szCs w:val="28"/>
              </w:rPr>
            </w:pPr>
            <w:r>
              <w:rPr>
                <w:rFonts w:hint="eastAsia" w:ascii="Times New Roman" w:hAnsi="Times New Roman" w:eastAsia="宋体" w:cs="Times New Roman"/>
                <w:b/>
                <w:bCs/>
                <w:color w:val="auto"/>
                <w:sz w:val="24"/>
                <w:lang w:val="en-US" w:eastAsia="zh-CN"/>
              </w:rPr>
              <w:t>四、变动前项目污染源情况</w:t>
            </w:r>
          </w:p>
          <w:p w14:paraId="5931C490">
            <w:pPr>
              <w:numPr>
                <w:ilvl w:val="0"/>
                <w:numId w:val="0"/>
              </w:numPr>
              <w:adjustRightInd w:val="0"/>
              <w:snapToGrid w:val="0"/>
              <w:spacing w:line="360" w:lineRule="auto"/>
              <w:ind w:firstLine="482" w:firstLineChars="200"/>
              <w:jc w:val="both"/>
              <w:rPr>
                <w:rFonts w:hint="default" w:ascii="Times New Roman" w:hAnsi="Times New Roman" w:eastAsia="宋体" w:cs="Times New Roman"/>
                <w:b/>
                <w:bCs w:val="0"/>
                <w:color w:val="auto"/>
                <w:sz w:val="24"/>
                <w:szCs w:val="24"/>
                <w:highlight w:val="none"/>
                <w:u w:val="none"/>
                <w:lang w:val="en-US" w:eastAsia="zh-CN"/>
              </w:rPr>
            </w:pPr>
            <w:r>
              <w:rPr>
                <w:rFonts w:hint="default" w:ascii="Times New Roman" w:hAnsi="Times New Roman" w:eastAsia="宋体" w:cs="Times New Roman"/>
                <w:b/>
                <w:bCs w:val="0"/>
                <w:color w:val="auto"/>
                <w:kern w:val="2"/>
                <w:sz w:val="24"/>
                <w:szCs w:val="24"/>
                <w:u w:val="none"/>
                <w:lang w:val="en-US" w:eastAsia="zh-CN" w:bidi="ar-SA"/>
              </w:rPr>
              <w:t>1、</w:t>
            </w:r>
            <w:r>
              <w:rPr>
                <w:rFonts w:hint="eastAsia" w:ascii="Times New Roman" w:hAnsi="Times New Roman" w:eastAsia="宋体" w:cs="Times New Roman"/>
                <w:b/>
                <w:bCs w:val="0"/>
                <w:color w:val="auto"/>
                <w:sz w:val="24"/>
                <w:szCs w:val="24"/>
                <w:highlight w:val="none"/>
                <w:u w:val="none"/>
                <w:lang w:val="en-US" w:eastAsia="zh-CN"/>
              </w:rPr>
              <w:t>废气</w:t>
            </w:r>
          </w:p>
          <w:p w14:paraId="527EB5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0"/>
                <w:sz w:val="24"/>
                <w:szCs w:val="24"/>
                <w:lang w:val="en-US" w:eastAsia="zh-CN"/>
              </w:rPr>
            </w:pPr>
            <w:r>
              <w:rPr>
                <w:rFonts w:hint="eastAsia" w:cs="Times New Roman"/>
                <w:bCs/>
                <w:color w:val="auto"/>
                <w:spacing w:val="0"/>
                <w:sz w:val="24"/>
                <w:szCs w:val="24"/>
                <w:lang w:val="en-US" w:eastAsia="zh-CN"/>
              </w:rPr>
              <w:t>变动前</w:t>
            </w:r>
            <w:r>
              <w:rPr>
                <w:rFonts w:hint="default" w:ascii="Times New Roman" w:hAnsi="Times New Roman" w:eastAsia="宋体" w:cs="Times New Roman"/>
                <w:bCs/>
                <w:color w:val="auto"/>
                <w:spacing w:val="0"/>
                <w:sz w:val="24"/>
                <w:szCs w:val="24"/>
                <w:lang w:val="en-US" w:eastAsia="zh-CN"/>
              </w:rPr>
              <w:t>项目产生的大气污染主要为残留在钢瓶内的残液或残气泄漏产生的非甲烷总烃、恶臭和焚烧炉燃烧废气。</w:t>
            </w:r>
          </w:p>
          <w:p w14:paraId="15F7FF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0"/>
                <w:sz w:val="24"/>
                <w:szCs w:val="24"/>
                <w:lang w:val="en-US" w:eastAsia="zh-CN"/>
              </w:rPr>
            </w:pPr>
            <w:r>
              <w:rPr>
                <w:rFonts w:hint="default" w:ascii="Times New Roman" w:hAnsi="Times New Roman" w:eastAsia="宋体" w:cs="Times New Roman"/>
                <w:bCs/>
                <w:color w:val="auto"/>
                <w:spacing w:val="0"/>
                <w:sz w:val="24"/>
                <w:szCs w:val="24"/>
                <w:lang w:val="en-US" w:eastAsia="zh-CN"/>
              </w:rPr>
              <w:t>在残气回收、瓶阀拆卸过程中，少量液化石油气（以非甲烷总烃计）逸散至大气，无组织排放量</w:t>
            </w:r>
            <w:r>
              <w:rPr>
                <w:rFonts w:hint="eastAsia" w:ascii="Times New Roman" w:hAnsi="Times New Roman" w:eastAsia="宋体" w:cs="Times New Roman"/>
                <w:bCs/>
                <w:color w:val="auto"/>
                <w:spacing w:val="0"/>
                <w:sz w:val="24"/>
                <w:szCs w:val="24"/>
                <w:lang w:val="en-US" w:eastAsia="zh-CN"/>
              </w:rPr>
              <w:t>约</w:t>
            </w:r>
            <w:r>
              <w:rPr>
                <w:rFonts w:hint="default" w:ascii="Times New Roman" w:hAnsi="Times New Roman" w:eastAsia="宋体" w:cs="Times New Roman"/>
                <w:bCs/>
                <w:color w:val="auto"/>
                <w:spacing w:val="0"/>
                <w:sz w:val="24"/>
                <w:szCs w:val="24"/>
                <w:lang w:val="en-US" w:eastAsia="zh-CN"/>
              </w:rPr>
              <w:t>0.06t/a</w:t>
            </w:r>
            <w:r>
              <w:rPr>
                <w:rFonts w:hint="eastAsia" w:ascii="Times New Roman" w:hAnsi="Times New Roman" w:eastAsia="宋体" w:cs="Times New Roman"/>
                <w:bCs/>
                <w:color w:val="auto"/>
                <w:spacing w:val="0"/>
                <w:sz w:val="24"/>
                <w:szCs w:val="24"/>
                <w:lang w:val="en-US" w:eastAsia="zh-CN"/>
              </w:rPr>
              <w:t>，</w:t>
            </w:r>
            <w:r>
              <w:rPr>
                <w:rFonts w:hint="eastAsia" w:cs="Times New Roman"/>
                <w:bCs/>
                <w:color w:val="auto"/>
                <w:spacing w:val="0"/>
                <w:sz w:val="24"/>
                <w:szCs w:val="24"/>
                <w:lang w:val="en-US" w:eastAsia="zh-CN"/>
              </w:rPr>
              <w:t>变动前</w:t>
            </w:r>
            <w:r>
              <w:rPr>
                <w:rFonts w:hint="default" w:ascii="Times New Roman" w:hAnsi="Times New Roman" w:eastAsia="宋体" w:cs="Times New Roman"/>
                <w:bCs/>
                <w:color w:val="auto"/>
                <w:spacing w:val="0"/>
                <w:sz w:val="24"/>
                <w:szCs w:val="24"/>
                <w:lang w:val="en-US" w:eastAsia="zh-CN"/>
              </w:rPr>
              <w:t>项目采用密闭式残气回收系统通过密封接头与钢瓶阀口精准对接，配合负压抽吸装置，</w:t>
            </w:r>
            <w:r>
              <w:rPr>
                <w:rFonts w:hint="eastAsia" w:cs="Times New Roman"/>
                <w:bCs/>
                <w:color w:val="auto"/>
                <w:spacing w:val="0"/>
                <w:sz w:val="24"/>
                <w:szCs w:val="24"/>
                <w:lang w:val="en-US" w:eastAsia="zh-CN"/>
              </w:rPr>
              <w:t>减少</w:t>
            </w:r>
            <w:r>
              <w:rPr>
                <w:rFonts w:hint="default" w:ascii="Times New Roman" w:hAnsi="Times New Roman" w:eastAsia="宋体" w:cs="Times New Roman"/>
                <w:bCs/>
                <w:color w:val="auto"/>
                <w:spacing w:val="0"/>
                <w:sz w:val="24"/>
                <w:szCs w:val="24"/>
                <w:lang w:val="en-US" w:eastAsia="zh-CN"/>
              </w:rPr>
              <w:t>逸散环节</w:t>
            </w:r>
            <w:r>
              <w:rPr>
                <w:rFonts w:hint="eastAsia" w:ascii="Times New Roman" w:hAnsi="Times New Roman" w:eastAsia="宋体" w:cs="Times New Roman"/>
                <w:bCs/>
                <w:color w:val="auto"/>
                <w:spacing w:val="0"/>
                <w:sz w:val="24"/>
                <w:szCs w:val="24"/>
                <w:lang w:val="en-US" w:eastAsia="zh-CN"/>
              </w:rPr>
              <w:t>；</w:t>
            </w:r>
            <w:r>
              <w:rPr>
                <w:rFonts w:hint="default" w:ascii="Times New Roman" w:hAnsi="Times New Roman" w:eastAsia="宋体" w:cs="Times New Roman"/>
                <w:bCs/>
                <w:color w:val="auto"/>
                <w:spacing w:val="0"/>
                <w:sz w:val="24"/>
                <w:szCs w:val="24"/>
                <w:lang w:val="en-US" w:eastAsia="zh-CN"/>
              </w:rPr>
              <w:t>项目焚烧炉</w:t>
            </w:r>
            <w:r>
              <w:rPr>
                <w:rFonts w:hint="eastAsia" w:ascii="Times New Roman" w:hAnsi="Times New Roman" w:eastAsia="宋体" w:cs="Times New Roman"/>
                <w:bCs/>
                <w:color w:val="auto"/>
                <w:spacing w:val="0"/>
                <w:sz w:val="24"/>
                <w:szCs w:val="24"/>
                <w:lang w:val="en-US" w:eastAsia="zh-CN"/>
              </w:rPr>
              <w:t>将产生燃烧废气，其中SO</w:t>
            </w:r>
            <w:r>
              <w:rPr>
                <w:rFonts w:hint="eastAsia" w:ascii="Times New Roman" w:hAnsi="Times New Roman" w:eastAsia="宋体" w:cs="Times New Roman"/>
                <w:bCs/>
                <w:color w:val="auto"/>
                <w:spacing w:val="0"/>
                <w:sz w:val="24"/>
                <w:szCs w:val="24"/>
                <w:vertAlign w:val="subscript"/>
                <w:lang w:val="en-US" w:eastAsia="zh-CN"/>
              </w:rPr>
              <w:t>2</w:t>
            </w:r>
            <w:r>
              <w:rPr>
                <w:rFonts w:hint="eastAsia" w:ascii="Times New Roman" w:hAnsi="Times New Roman" w:eastAsia="宋体" w:cs="Times New Roman"/>
                <w:bCs/>
                <w:color w:val="auto"/>
                <w:spacing w:val="0"/>
                <w:sz w:val="24"/>
                <w:szCs w:val="24"/>
                <w:lang w:val="en-US" w:eastAsia="zh-CN"/>
              </w:rPr>
              <w:t>排放量：0.</w:t>
            </w:r>
            <w:r>
              <w:rPr>
                <w:rFonts w:hint="eastAsia" w:cs="Times New Roman"/>
                <w:bCs/>
                <w:color w:val="auto"/>
                <w:spacing w:val="0"/>
                <w:sz w:val="24"/>
                <w:szCs w:val="24"/>
                <w:lang w:val="en-US" w:eastAsia="zh-CN"/>
              </w:rPr>
              <w:t>031</w:t>
            </w:r>
            <w:r>
              <w:rPr>
                <w:rFonts w:hint="eastAsia" w:ascii="Times New Roman" w:hAnsi="Times New Roman" w:eastAsia="宋体" w:cs="Times New Roman"/>
                <w:bCs/>
                <w:color w:val="auto"/>
                <w:spacing w:val="0"/>
                <w:sz w:val="24"/>
                <w:szCs w:val="24"/>
                <w:lang w:val="en-US" w:eastAsia="zh-CN"/>
              </w:rPr>
              <w:t>t/a，颗粒物：0.</w:t>
            </w:r>
            <w:r>
              <w:rPr>
                <w:rFonts w:hint="eastAsia" w:cs="Times New Roman"/>
                <w:bCs/>
                <w:color w:val="auto"/>
                <w:spacing w:val="0"/>
                <w:sz w:val="24"/>
                <w:szCs w:val="24"/>
                <w:lang w:val="en-US" w:eastAsia="zh-CN"/>
              </w:rPr>
              <w:t>0095</w:t>
            </w:r>
            <w:r>
              <w:rPr>
                <w:rFonts w:hint="eastAsia" w:ascii="Times New Roman" w:hAnsi="Times New Roman" w:eastAsia="宋体" w:cs="Times New Roman"/>
                <w:bCs/>
                <w:color w:val="auto"/>
                <w:spacing w:val="0"/>
                <w:sz w:val="24"/>
                <w:szCs w:val="24"/>
                <w:lang w:val="en-US" w:eastAsia="zh-CN"/>
              </w:rPr>
              <w:t>t/a，氮氧化物：0.</w:t>
            </w:r>
            <w:r>
              <w:rPr>
                <w:rFonts w:hint="eastAsia" w:cs="Times New Roman"/>
                <w:bCs/>
                <w:color w:val="auto"/>
                <w:spacing w:val="0"/>
                <w:sz w:val="24"/>
                <w:szCs w:val="24"/>
                <w:lang w:val="en-US" w:eastAsia="zh-CN"/>
              </w:rPr>
              <w:t>201</w:t>
            </w:r>
            <w:r>
              <w:rPr>
                <w:rFonts w:hint="eastAsia" w:ascii="Times New Roman" w:hAnsi="Times New Roman" w:eastAsia="宋体" w:cs="Times New Roman"/>
                <w:bCs/>
                <w:color w:val="auto"/>
                <w:spacing w:val="0"/>
                <w:sz w:val="24"/>
                <w:szCs w:val="24"/>
                <w:lang w:val="en-US" w:eastAsia="zh-CN"/>
              </w:rPr>
              <w:t>t/a，</w:t>
            </w:r>
            <w:r>
              <w:rPr>
                <w:rFonts w:hint="default" w:ascii="Times New Roman" w:hAnsi="Times New Roman" w:eastAsia="宋体" w:cs="Times New Roman"/>
                <w:bCs/>
                <w:color w:val="auto"/>
                <w:spacing w:val="0"/>
                <w:sz w:val="24"/>
                <w:szCs w:val="24"/>
                <w:lang w:val="en-US" w:eastAsia="zh-CN"/>
              </w:rPr>
              <w:t>产生的污染物经高温布袋除尘器处理后通过15m高的排气筒(DA001)外排</w:t>
            </w:r>
            <w:r>
              <w:rPr>
                <w:rFonts w:hint="eastAsia" w:ascii="Times New Roman" w:hAnsi="Times New Roman" w:eastAsia="宋体" w:cs="Times New Roman"/>
                <w:bCs/>
                <w:color w:val="auto"/>
                <w:spacing w:val="0"/>
                <w:sz w:val="24"/>
                <w:szCs w:val="24"/>
                <w:lang w:val="en-US" w:eastAsia="zh-CN"/>
              </w:rPr>
              <w:t>。</w:t>
            </w:r>
          </w:p>
          <w:p w14:paraId="2495833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firstLine="480" w:firstLineChars="200"/>
              <w:jc w:val="both"/>
              <w:textAlignment w:val="auto"/>
              <w:outlineLvl w:val="9"/>
              <w:rPr>
                <w:rFonts w:hint="eastAsia"/>
                <w:color w:val="auto"/>
                <w:sz w:val="24"/>
                <w:szCs w:val="24"/>
                <w:u w:val="single"/>
                <w:lang w:val="en-US" w:eastAsia="zh-CN"/>
              </w:rPr>
            </w:pPr>
            <w:r>
              <w:rPr>
                <w:rFonts w:hint="eastAsia"/>
                <w:color w:val="auto"/>
                <w:sz w:val="24"/>
                <w:szCs w:val="24"/>
                <w:u w:val="single"/>
                <w:lang w:val="en-US" w:eastAsia="zh-CN"/>
              </w:rPr>
              <w:t>为核查项目调试过程中废气污染物达标排放情况，建设单位于2026年3月25日委托湖南德炫检测技术有限公司对焚烧废气排气筒开展废气监测，具体监测结果如下：</w:t>
            </w:r>
          </w:p>
          <w:p w14:paraId="719AD7E8">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baseline"/>
              <w:rPr>
                <w:rFonts w:hint="default" w:ascii="Times New Roman" w:hAnsi="Times New Roman" w:eastAsia="宋体" w:cs="Times New Roman"/>
                <w:b/>
                <w:bCs/>
                <w:color w:val="auto"/>
                <w:spacing w:val="0"/>
                <w:sz w:val="21"/>
                <w:szCs w:val="21"/>
                <w:u w:val="single"/>
                <w:lang w:val="en-US" w:eastAsia="zh-CN"/>
              </w:rPr>
            </w:pPr>
            <w:r>
              <w:rPr>
                <w:rFonts w:hint="default" w:ascii="Times New Roman" w:hAnsi="Times New Roman" w:eastAsia="宋体" w:cs="Times New Roman"/>
                <w:b/>
                <w:bCs/>
                <w:color w:val="auto"/>
                <w:spacing w:val="0"/>
                <w:sz w:val="21"/>
                <w:szCs w:val="21"/>
                <w:u w:val="single"/>
                <w:lang w:val="en-US" w:eastAsia="zh-CN"/>
              </w:rPr>
              <w:t>表</w:t>
            </w:r>
            <w:r>
              <w:rPr>
                <w:rFonts w:hint="eastAsia" w:ascii="Times New Roman" w:hAnsi="Times New Roman" w:eastAsia="宋体" w:cs="Times New Roman"/>
                <w:b/>
                <w:bCs/>
                <w:color w:val="auto"/>
                <w:spacing w:val="0"/>
                <w:sz w:val="21"/>
                <w:szCs w:val="21"/>
                <w:u w:val="single"/>
                <w:lang w:val="en-US" w:eastAsia="zh-CN"/>
              </w:rPr>
              <w:t>2-15</w:t>
            </w:r>
            <w:r>
              <w:rPr>
                <w:rFonts w:hint="default" w:ascii="Times New Roman" w:hAnsi="Times New Roman" w:eastAsia="宋体" w:cs="Times New Roman"/>
                <w:b/>
                <w:bCs/>
                <w:color w:val="auto"/>
                <w:spacing w:val="0"/>
                <w:sz w:val="21"/>
                <w:szCs w:val="21"/>
                <w:u w:val="single"/>
                <w:lang w:val="en-US" w:eastAsia="zh-CN"/>
              </w:rPr>
              <w:t xml:space="preserve">  有组织废气检测结果</w:t>
            </w:r>
          </w:p>
          <w:tbl>
            <w:tblPr>
              <w:tblStyle w:val="33"/>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1187"/>
              <w:gridCol w:w="746"/>
              <w:gridCol w:w="1060"/>
              <w:gridCol w:w="918"/>
              <w:gridCol w:w="995"/>
              <w:gridCol w:w="995"/>
              <w:gridCol w:w="1011"/>
              <w:gridCol w:w="766"/>
            </w:tblGrid>
            <w:tr w14:paraId="046694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6" w:type="pct"/>
                  <w:vMerge w:val="restart"/>
                  <w:tcBorders>
                    <w:tl2br w:val="nil"/>
                    <w:tr2bl w:val="nil"/>
                  </w:tcBorders>
                  <w:noWrap w:val="0"/>
                  <w:vAlign w:val="center"/>
                </w:tcPr>
                <w:p w14:paraId="7221251E">
                  <w:pPr>
                    <w:jc w:val="center"/>
                    <w:rPr>
                      <w:rFonts w:hint="default" w:ascii="Times New Roman" w:hAnsi="Times New Roman" w:eastAsia="宋体" w:cs="Times New Roman"/>
                      <w:b w:val="0"/>
                      <w:bCs w:val="0"/>
                      <w:color w:val="auto"/>
                      <w:sz w:val="21"/>
                      <w:szCs w:val="21"/>
                      <w:u w:val="single"/>
                      <w:lang w:eastAsia="zh-CN"/>
                    </w:rPr>
                  </w:pPr>
                  <w:r>
                    <w:rPr>
                      <w:rFonts w:hint="default" w:ascii="Times New Roman" w:hAnsi="Times New Roman" w:eastAsia="宋体" w:cs="Times New Roman"/>
                      <w:b w:val="0"/>
                      <w:bCs w:val="0"/>
                      <w:color w:val="auto"/>
                      <w:sz w:val="21"/>
                      <w:szCs w:val="21"/>
                      <w:u w:val="single"/>
                      <w:lang w:eastAsia="zh-CN"/>
                    </w:rPr>
                    <w:t>采样</w:t>
                  </w:r>
                </w:p>
                <w:p w14:paraId="35845F91">
                  <w:pPr>
                    <w:jc w:val="center"/>
                    <w:rPr>
                      <w:rFonts w:hint="default" w:ascii="Times New Roman" w:hAnsi="Times New Roman" w:eastAsia="宋体" w:cs="Times New Roman"/>
                      <w:b w:val="0"/>
                      <w:bCs w:val="0"/>
                      <w:color w:val="auto"/>
                      <w:sz w:val="21"/>
                      <w:szCs w:val="21"/>
                      <w:u w:val="single"/>
                      <w:lang w:eastAsia="zh-CN"/>
                    </w:rPr>
                  </w:pPr>
                  <w:r>
                    <w:rPr>
                      <w:rFonts w:hint="default" w:ascii="Times New Roman" w:hAnsi="Times New Roman" w:eastAsia="宋体" w:cs="Times New Roman"/>
                      <w:b w:val="0"/>
                      <w:bCs w:val="0"/>
                      <w:color w:val="auto"/>
                      <w:sz w:val="21"/>
                      <w:szCs w:val="21"/>
                      <w:u w:val="single"/>
                      <w:lang w:eastAsia="zh-CN"/>
                    </w:rPr>
                    <w:t>时间</w:t>
                  </w:r>
                </w:p>
              </w:tc>
              <w:tc>
                <w:tcPr>
                  <w:tcW w:w="710" w:type="pct"/>
                  <w:vMerge w:val="restart"/>
                  <w:tcBorders>
                    <w:tl2br w:val="nil"/>
                    <w:tr2bl w:val="nil"/>
                  </w:tcBorders>
                  <w:noWrap w:val="0"/>
                  <w:vAlign w:val="center"/>
                </w:tcPr>
                <w:p w14:paraId="618038FD">
                  <w:pPr>
                    <w:jc w:val="center"/>
                    <w:rPr>
                      <w:rFonts w:hint="default" w:ascii="Times New Roman" w:hAnsi="Times New Roman" w:eastAsia="宋体" w:cs="Times New Roman"/>
                      <w:b w:val="0"/>
                      <w:bCs w:val="0"/>
                      <w:color w:val="auto"/>
                      <w:sz w:val="21"/>
                      <w:szCs w:val="21"/>
                      <w:u w:val="single"/>
                    </w:rPr>
                  </w:pPr>
                  <w:r>
                    <w:rPr>
                      <w:rFonts w:hint="default" w:ascii="Times New Roman" w:hAnsi="Times New Roman" w:eastAsia="宋体" w:cs="Times New Roman"/>
                      <w:b w:val="0"/>
                      <w:bCs w:val="0"/>
                      <w:color w:val="auto"/>
                      <w:sz w:val="21"/>
                      <w:szCs w:val="21"/>
                      <w:u w:val="single"/>
                    </w:rPr>
                    <w:t>采样位置</w:t>
                  </w:r>
                </w:p>
              </w:tc>
              <w:tc>
                <w:tcPr>
                  <w:tcW w:w="1080" w:type="pct"/>
                  <w:gridSpan w:val="2"/>
                  <w:vMerge w:val="restart"/>
                  <w:tcBorders>
                    <w:tl2br w:val="nil"/>
                    <w:tr2bl w:val="nil"/>
                  </w:tcBorders>
                  <w:noWrap w:val="0"/>
                  <w:vAlign w:val="center"/>
                </w:tcPr>
                <w:p w14:paraId="553650A1">
                  <w:pPr>
                    <w:jc w:val="center"/>
                    <w:rPr>
                      <w:rFonts w:hint="default" w:ascii="Times New Roman" w:hAnsi="Times New Roman" w:cs="Times New Roman"/>
                      <w:color w:val="auto"/>
                      <w:sz w:val="21"/>
                      <w:szCs w:val="21"/>
                      <w:u w:val="single"/>
                    </w:rPr>
                  </w:pPr>
                  <w:r>
                    <w:rPr>
                      <w:rFonts w:hint="default" w:ascii="Times New Roman" w:hAnsi="Times New Roman" w:cs="Times New Roman"/>
                      <w:color w:val="auto"/>
                      <w:sz w:val="21"/>
                      <w:szCs w:val="21"/>
                      <w:u w:val="single"/>
                    </w:rPr>
                    <w:t>检测项目</w:t>
                  </w:r>
                </w:p>
              </w:tc>
              <w:tc>
                <w:tcPr>
                  <w:tcW w:w="549" w:type="pct"/>
                  <w:vMerge w:val="restart"/>
                  <w:tcBorders>
                    <w:tl2br w:val="nil"/>
                    <w:tr2bl w:val="nil"/>
                  </w:tcBorders>
                  <w:noWrap w:val="0"/>
                  <w:vAlign w:val="center"/>
                </w:tcPr>
                <w:p w14:paraId="25CB2D79">
                  <w:pPr>
                    <w:jc w:val="center"/>
                    <w:rPr>
                      <w:rFonts w:hint="default" w:ascii="Times New Roman" w:hAnsi="Times New Roman" w:cs="Times New Roman"/>
                      <w:color w:val="auto"/>
                      <w:sz w:val="21"/>
                      <w:szCs w:val="21"/>
                      <w:u w:val="single"/>
                    </w:rPr>
                  </w:pPr>
                  <w:r>
                    <w:rPr>
                      <w:rFonts w:hint="default" w:ascii="Times New Roman" w:hAnsi="Times New Roman" w:cs="Times New Roman"/>
                      <w:color w:val="auto"/>
                      <w:sz w:val="21"/>
                      <w:szCs w:val="21"/>
                      <w:u w:val="single"/>
                    </w:rPr>
                    <w:t>单位</w:t>
                  </w:r>
                </w:p>
              </w:tc>
              <w:tc>
                <w:tcPr>
                  <w:tcW w:w="1795" w:type="pct"/>
                  <w:gridSpan w:val="3"/>
                  <w:tcBorders>
                    <w:tl2br w:val="nil"/>
                    <w:tr2bl w:val="nil"/>
                  </w:tcBorders>
                  <w:noWrap w:val="0"/>
                  <w:vAlign w:val="center"/>
                </w:tcPr>
                <w:p w14:paraId="070C467A">
                  <w:pPr>
                    <w:jc w:val="center"/>
                    <w:rPr>
                      <w:rFonts w:hint="default" w:ascii="Times New Roman" w:hAnsi="Times New Roman" w:eastAsia="宋体" w:cs="Times New Roman"/>
                      <w:color w:val="auto"/>
                      <w:sz w:val="21"/>
                      <w:szCs w:val="21"/>
                      <w:u w:val="single"/>
                      <w:lang w:eastAsia="zh-CN"/>
                    </w:rPr>
                  </w:pPr>
                  <w:r>
                    <w:rPr>
                      <w:rFonts w:hint="default" w:ascii="Times New Roman" w:hAnsi="Times New Roman" w:cs="Times New Roman"/>
                      <w:color w:val="auto"/>
                      <w:sz w:val="21"/>
                      <w:szCs w:val="21"/>
                      <w:u w:val="single"/>
                    </w:rPr>
                    <w:t>检测结果</w:t>
                  </w:r>
                </w:p>
              </w:tc>
              <w:tc>
                <w:tcPr>
                  <w:tcW w:w="458" w:type="pct"/>
                  <w:vMerge w:val="restart"/>
                  <w:tcBorders>
                    <w:tl2br w:val="nil"/>
                    <w:tr2bl w:val="nil"/>
                  </w:tcBorders>
                  <w:noWrap w:val="0"/>
                  <w:vAlign w:val="center"/>
                </w:tcPr>
                <w:p w14:paraId="4F3C1917">
                  <w:pPr>
                    <w:jc w:val="center"/>
                    <w:rPr>
                      <w:rFonts w:hint="default" w:ascii="Times New Roman" w:hAnsi="Times New Roman" w:eastAsia="宋体" w:cs="Times New Roman"/>
                      <w:color w:val="auto"/>
                      <w:sz w:val="21"/>
                      <w:szCs w:val="21"/>
                      <w:u w:val="single"/>
                      <w:lang w:eastAsia="zh-CN"/>
                    </w:rPr>
                  </w:pPr>
                  <w:r>
                    <w:rPr>
                      <w:rFonts w:hint="default" w:ascii="Times New Roman" w:hAnsi="Times New Roman" w:cs="Times New Roman"/>
                      <w:color w:val="auto"/>
                      <w:sz w:val="21"/>
                      <w:szCs w:val="21"/>
                      <w:u w:val="single"/>
                      <w:lang w:eastAsia="zh-CN"/>
                    </w:rPr>
                    <w:t>标准值</w:t>
                  </w:r>
                </w:p>
              </w:tc>
            </w:tr>
            <w:tr w14:paraId="4A3E29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6" w:type="pct"/>
                  <w:vMerge w:val="continue"/>
                  <w:tcBorders>
                    <w:tl2br w:val="nil"/>
                    <w:tr2bl w:val="nil"/>
                  </w:tcBorders>
                  <w:noWrap w:val="0"/>
                  <w:vAlign w:val="center"/>
                </w:tcPr>
                <w:p w14:paraId="4A990319">
                  <w:pPr>
                    <w:jc w:val="center"/>
                    <w:rPr>
                      <w:rFonts w:hint="default" w:ascii="Times New Roman" w:hAnsi="Times New Roman" w:eastAsia="宋体" w:cs="Times New Roman"/>
                      <w:b w:val="0"/>
                      <w:bCs w:val="0"/>
                      <w:color w:val="auto"/>
                      <w:sz w:val="21"/>
                      <w:szCs w:val="21"/>
                      <w:u w:val="single"/>
                      <w:lang w:eastAsia="zh-CN"/>
                    </w:rPr>
                  </w:pPr>
                </w:p>
              </w:tc>
              <w:tc>
                <w:tcPr>
                  <w:tcW w:w="710" w:type="pct"/>
                  <w:vMerge w:val="continue"/>
                  <w:tcBorders>
                    <w:tl2br w:val="nil"/>
                    <w:tr2bl w:val="nil"/>
                  </w:tcBorders>
                  <w:noWrap w:val="0"/>
                  <w:vAlign w:val="center"/>
                </w:tcPr>
                <w:p w14:paraId="0432E6DE">
                  <w:pPr>
                    <w:jc w:val="center"/>
                    <w:rPr>
                      <w:rFonts w:hint="default" w:ascii="Times New Roman" w:hAnsi="Times New Roman" w:eastAsia="宋体" w:cs="Times New Roman"/>
                      <w:b w:val="0"/>
                      <w:bCs w:val="0"/>
                      <w:color w:val="auto"/>
                      <w:sz w:val="21"/>
                      <w:szCs w:val="21"/>
                      <w:u w:val="single"/>
                    </w:rPr>
                  </w:pPr>
                </w:p>
              </w:tc>
              <w:tc>
                <w:tcPr>
                  <w:tcW w:w="1080" w:type="pct"/>
                  <w:gridSpan w:val="2"/>
                  <w:vMerge w:val="continue"/>
                  <w:tcBorders>
                    <w:tl2br w:val="nil"/>
                    <w:tr2bl w:val="nil"/>
                  </w:tcBorders>
                  <w:noWrap w:val="0"/>
                  <w:vAlign w:val="center"/>
                </w:tcPr>
                <w:p w14:paraId="4566BB83">
                  <w:pPr>
                    <w:jc w:val="center"/>
                    <w:rPr>
                      <w:rFonts w:hint="default" w:ascii="Times New Roman" w:hAnsi="Times New Roman" w:cs="Times New Roman"/>
                      <w:color w:val="auto"/>
                      <w:sz w:val="21"/>
                      <w:szCs w:val="21"/>
                      <w:u w:val="single"/>
                    </w:rPr>
                  </w:pPr>
                </w:p>
              </w:tc>
              <w:tc>
                <w:tcPr>
                  <w:tcW w:w="549" w:type="pct"/>
                  <w:vMerge w:val="continue"/>
                  <w:tcBorders>
                    <w:tl2br w:val="nil"/>
                    <w:tr2bl w:val="nil"/>
                  </w:tcBorders>
                  <w:noWrap w:val="0"/>
                  <w:vAlign w:val="center"/>
                </w:tcPr>
                <w:p w14:paraId="076E61EB">
                  <w:pPr>
                    <w:jc w:val="center"/>
                    <w:rPr>
                      <w:rFonts w:hint="default" w:ascii="Times New Roman" w:hAnsi="Times New Roman" w:cs="Times New Roman"/>
                      <w:color w:val="auto"/>
                      <w:sz w:val="21"/>
                      <w:szCs w:val="21"/>
                      <w:u w:val="single"/>
                    </w:rPr>
                  </w:pPr>
                </w:p>
              </w:tc>
              <w:tc>
                <w:tcPr>
                  <w:tcW w:w="595" w:type="pct"/>
                  <w:tcBorders>
                    <w:tl2br w:val="nil"/>
                    <w:tr2bl w:val="nil"/>
                  </w:tcBorders>
                  <w:noWrap w:val="0"/>
                  <w:vAlign w:val="center"/>
                </w:tcPr>
                <w:p w14:paraId="685C84BC">
                  <w:pPr>
                    <w:jc w:val="center"/>
                    <w:rPr>
                      <w:rFonts w:hint="default" w:ascii="Times New Roman" w:hAnsi="Times New Roman" w:eastAsia="宋体" w:cs="Times New Roman"/>
                      <w:color w:val="auto"/>
                      <w:sz w:val="21"/>
                      <w:szCs w:val="21"/>
                      <w:u w:val="single"/>
                      <w:lang w:eastAsia="zh-CN"/>
                    </w:rPr>
                  </w:pPr>
                  <w:r>
                    <w:rPr>
                      <w:rFonts w:hint="default" w:ascii="Times New Roman" w:hAnsi="Times New Roman" w:cs="Times New Roman"/>
                      <w:color w:val="auto"/>
                      <w:sz w:val="21"/>
                      <w:szCs w:val="21"/>
                      <w:u w:val="single"/>
                      <w:lang w:eastAsia="zh-CN"/>
                    </w:rPr>
                    <w:t>第一次</w:t>
                  </w:r>
                </w:p>
              </w:tc>
              <w:tc>
                <w:tcPr>
                  <w:tcW w:w="595" w:type="pct"/>
                  <w:tcBorders>
                    <w:tl2br w:val="nil"/>
                    <w:tr2bl w:val="nil"/>
                  </w:tcBorders>
                  <w:noWrap w:val="0"/>
                  <w:vAlign w:val="center"/>
                </w:tcPr>
                <w:p w14:paraId="1361A596">
                  <w:pPr>
                    <w:jc w:val="center"/>
                    <w:rPr>
                      <w:rFonts w:hint="default" w:ascii="Times New Roman" w:hAnsi="Times New Roman" w:eastAsia="宋体" w:cs="Times New Roman"/>
                      <w:color w:val="auto"/>
                      <w:sz w:val="21"/>
                      <w:szCs w:val="21"/>
                      <w:u w:val="single"/>
                      <w:lang w:eastAsia="zh-CN"/>
                    </w:rPr>
                  </w:pPr>
                  <w:r>
                    <w:rPr>
                      <w:rFonts w:hint="default" w:ascii="Times New Roman" w:hAnsi="Times New Roman" w:cs="Times New Roman"/>
                      <w:color w:val="auto"/>
                      <w:sz w:val="21"/>
                      <w:szCs w:val="21"/>
                      <w:u w:val="single"/>
                      <w:lang w:eastAsia="zh-CN"/>
                    </w:rPr>
                    <w:t>第二次</w:t>
                  </w:r>
                </w:p>
              </w:tc>
              <w:tc>
                <w:tcPr>
                  <w:tcW w:w="604" w:type="pct"/>
                  <w:tcBorders>
                    <w:tl2br w:val="nil"/>
                    <w:tr2bl w:val="nil"/>
                  </w:tcBorders>
                  <w:noWrap w:val="0"/>
                  <w:vAlign w:val="center"/>
                </w:tcPr>
                <w:p w14:paraId="149C4D3D">
                  <w:pPr>
                    <w:jc w:val="center"/>
                    <w:rPr>
                      <w:rFonts w:hint="default" w:ascii="Times New Roman" w:hAnsi="Times New Roman" w:cs="Times New Roman"/>
                      <w:color w:val="auto"/>
                      <w:sz w:val="21"/>
                      <w:szCs w:val="21"/>
                      <w:u w:val="single"/>
                      <w:lang w:eastAsia="zh-CN"/>
                    </w:rPr>
                  </w:pPr>
                  <w:r>
                    <w:rPr>
                      <w:rFonts w:hint="default" w:ascii="Times New Roman" w:hAnsi="Times New Roman" w:cs="Times New Roman"/>
                      <w:color w:val="auto"/>
                      <w:sz w:val="21"/>
                      <w:szCs w:val="21"/>
                      <w:u w:val="single"/>
                      <w:lang w:eastAsia="zh-CN"/>
                    </w:rPr>
                    <w:t>第三次</w:t>
                  </w:r>
                </w:p>
              </w:tc>
              <w:tc>
                <w:tcPr>
                  <w:tcW w:w="458" w:type="pct"/>
                  <w:vMerge w:val="continue"/>
                  <w:tcBorders>
                    <w:tl2br w:val="nil"/>
                    <w:tr2bl w:val="nil"/>
                  </w:tcBorders>
                  <w:noWrap w:val="0"/>
                  <w:vAlign w:val="center"/>
                </w:tcPr>
                <w:p w14:paraId="3AB775C0">
                  <w:pPr>
                    <w:jc w:val="center"/>
                    <w:rPr>
                      <w:rFonts w:hint="default" w:ascii="Times New Roman" w:hAnsi="Times New Roman" w:cs="Times New Roman"/>
                      <w:color w:val="auto"/>
                      <w:sz w:val="21"/>
                      <w:szCs w:val="21"/>
                      <w:u w:val="single"/>
                      <w:lang w:eastAsia="zh-CN"/>
                    </w:rPr>
                  </w:pPr>
                </w:p>
              </w:tc>
            </w:tr>
            <w:tr w14:paraId="0DAE6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6" w:type="pct"/>
                  <w:vMerge w:val="restart"/>
                  <w:tcBorders>
                    <w:tl2br w:val="nil"/>
                    <w:tr2bl w:val="nil"/>
                  </w:tcBorders>
                  <w:noWrap w:val="0"/>
                  <w:vAlign w:val="center"/>
                </w:tcPr>
                <w:p w14:paraId="7E3B1254">
                  <w:pPr>
                    <w:jc w:val="center"/>
                    <w:rPr>
                      <w:rFonts w:hint="default" w:ascii="Times New Roman" w:hAnsi="Times New Roman" w:eastAsia="宋体" w:cs="Times New Roman"/>
                      <w:b w:val="0"/>
                      <w:bCs w:val="0"/>
                      <w:color w:val="auto"/>
                      <w:sz w:val="21"/>
                      <w:szCs w:val="21"/>
                      <w:u w:val="single"/>
                    </w:rPr>
                  </w:pPr>
                  <w:r>
                    <w:rPr>
                      <w:rFonts w:hint="default" w:ascii="Times New Roman" w:hAnsi="Times New Roman" w:eastAsia="宋体" w:cs="Times New Roman"/>
                      <w:b w:val="0"/>
                      <w:bCs w:val="0"/>
                      <w:color w:val="auto"/>
                      <w:sz w:val="21"/>
                      <w:szCs w:val="21"/>
                      <w:u w:val="single"/>
                      <w:lang w:val="en-US" w:eastAsia="zh-CN"/>
                    </w:rPr>
                    <w:t>0</w:t>
                  </w:r>
                  <w:r>
                    <w:rPr>
                      <w:rFonts w:hint="eastAsia" w:ascii="Times New Roman" w:hAnsi="Times New Roman" w:eastAsia="宋体" w:cs="Times New Roman"/>
                      <w:b w:val="0"/>
                      <w:bCs w:val="0"/>
                      <w:color w:val="auto"/>
                      <w:sz w:val="21"/>
                      <w:szCs w:val="21"/>
                      <w:u w:val="single"/>
                      <w:lang w:val="en-US" w:eastAsia="zh-CN"/>
                    </w:rPr>
                    <w:t>3</w:t>
                  </w:r>
                  <w:r>
                    <w:rPr>
                      <w:rFonts w:hint="default" w:ascii="Times New Roman" w:hAnsi="Times New Roman" w:eastAsia="宋体" w:cs="Times New Roman"/>
                      <w:b w:val="0"/>
                      <w:bCs w:val="0"/>
                      <w:color w:val="auto"/>
                      <w:sz w:val="21"/>
                      <w:szCs w:val="21"/>
                      <w:u w:val="single"/>
                    </w:rPr>
                    <w:t>月</w:t>
                  </w:r>
                </w:p>
                <w:p w14:paraId="529EE217">
                  <w:pPr>
                    <w:jc w:val="center"/>
                    <w:rPr>
                      <w:rFonts w:hint="default" w:ascii="Times New Roman" w:hAnsi="Times New Roman" w:eastAsia="宋体" w:cs="Times New Roman"/>
                      <w:b w:val="0"/>
                      <w:bCs w:val="0"/>
                      <w:color w:val="auto"/>
                      <w:sz w:val="21"/>
                      <w:szCs w:val="21"/>
                      <w:u w:val="single"/>
                      <w:lang w:eastAsia="zh-CN"/>
                    </w:rPr>
                  </w:pPr>
                  <w:r>
                    <w:rPr>
                      <w:rFonts w:hint="default" w:ascii="Times New Roman" w:hAnsi="Times New Roman" w:eastAsia="宋体" w:cs="Times New Roman"/>
                      <w:b w:val="0"/>
                      <w:bCs w:val="0"/>
                      <w:color w:val="auto"/>
                      <w:sz w:val="21"/>
                      <w:szCs w:val="21"/>
                      <w:u w:val="single"/>
                      <w:lang w:val="en-US" w:eastAsia="zh-CN"/>
                    </w:rPr>
                    <w:t>2</w:t>
                  </w:r>
                  <w:r>
                    <w:rPr>
                      <w:rFonts w:hint="eastAsia" w:ascii="Times New Roman" w:hAnsi="Times New Roman" w:eastAsia="宋体" w:cs="Times New Roman"/>
                      <w:b w:val="0"/>
                      <w:bCs w:val="0"/>
                      <w:color w:val="auto"/>
                      <w:sz w:val="21"/>
                      <w:szCs w:val="21"/>
                      <w:u w:val="single"/>
                      <w:lang w:val="en-US" w:eastAsia="zh-CN"/>
                    </w:rPr>
                    <w:t>5</w:t>
                  </w:r>
                  <w:r>
                    <w:rPr>
                      <w:rFonts w:hint="default" w:ascii="Times New Roman" w:hAnsi="Times New Roman" w:eastAsia="宋体" w:cs="Times New Roman"/>
                      <w:b w:val="0"/>
                      <w:bCs w:val="0"/>
                      <w:color w:val="auto"/>
                      <w:sz w:val="21"/>
                      <w:szCs w:val="21"/>
                      <w:u w:val="single"/>
                    </w:rPr>
                    <w:t>日</w:t>
                  </w:r>
                </w:p>
              </w:tc>
              <w:tc>
                <w:tcPr>
                  <w:tcW w:w="710" w:type="pct"/>
                  <w:vMerge w:val="restart"/>
                  <w:tcBorders>
                    <w:tl2br w:val="nil"/>
                    <w:tr2bl w:val="nil"/>
                  </w:tcBorders>
                  <w:noWrap w:val="0"/>
                  <w:vAlign w:val="center"/>
                </w:tcPr>
                <w:p w14:paraId="711EFB09">
                  <w:pPr>
                    <w:jc w:val="center"/>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焚烧废气处理设施</w:t>
                  </w:r>
                  <w:r>
                    <w:rPr>
                      <w:rFonts w:hint="default" w:ascii="Times New Roman" w:hAnsi="Times New Roman" w:eastAsia="宋体" w:cs="Times New Roman"/>
                      <w:b w:val="0"/>
                      <w:bCs w:val="0"/>
                      <w:color w:val="auto"/>
                      <w:sz w:val="21"/>
                      <w:szCs w:val="21"/>
                      <w:u w:val="single"/>
                      <w:lang w:val="en-US" w:eastAsia="zh-CN"/>
                    </w:rPr>
                    <w:t>排放口</w:t>
                  </w:r>
                </w:p>
              </w:tc>
              <w:tc>
                <w:tcPr>
                  <w:tcW w:w="1080" w:type="pct"/>
                  <w:gridSpan w:val="2"/>
                  <w:tcBorders>
                    <w:tl2br w:val="nil"/>
                    <w:tr2bl w:val="nil"/>
                  </w:tcBorders>
                  <w:noWrap w:val="0"/>
                  <w:vAlign w:val="center"/>
                </w:tcPr>
                <w:p w14:paraId="5AD3C9D5">
                  <w:pPr>
                    <w:jc w:val="center"/>
                    <w:rPr>
                      <w:rFonts w:hint="default" w:ascii="Times New Roman" w:hAnsi="Times New Roman" w:eastAsia="宋体" w:cs="Times New Roman"/>
                      <w:b w:val="0"/>
                      <w:bCs w:val="0"/>
                      <w:color w:val="auto"/>
                      <w:sz w:val="21"/>
                      <w:szCs w:val="21"/>
                      <w:u w:val="single"/>
                      <w:lang w:eastAsia="zh-CN"/>
                    </w:rPr>
                  </w:pPr>
                  <w:r>
                    <w:rPr>
                      <w:rFonts w:hint="default" w:ascii="Times New Roman" w:hAnsi="Times New Roman" w:eastAsia="宋体" w:cs="Times New Roman"/>
                      <w:b w:val="0"/>
                      <w:bCs w:val="0"/>
                      <w:color w:val="auto"/>
                      <w:sz w:val="21"/>
                      <w:szCs w:val="21"/>
                      <w:u w:val="single"/>
                      <w:lang w:eastAsia="zh-CN"/>
                    </w:rPr>
                    <w:t>标干流量</w:t>
                  </w:r>
                </w:p>
              </w:tc>
              <w:tc>
                <w:tcPr>
                  <w:tcW w:w="549" w:type="pct"/>
                  <w:tcBorders>
                    <w:tl2br w:val="nil"/>
                    <w:tr2bl w:val="nil"/>
                  </w:tcBorders>
                  <w:noWrap w:val="0"/>
                  <w:vAlign w:val="center"/>
                </w:tcPr>
                <w:p w14:paraId="7B3FA2CC">
                  <w:pPr>
                    <w:jc w:val="center"/>
                    <w:rPr>
                      <w:rFonts w:hint="default" w:ascii="Times New Roman" w:hAnsi="Times New Roman" w:eastAsia="宋体" w:cs="Times New Roman"/>
                      <w:color w:val="auto"/>
                      <w:sz w:val="21"/>
                      <w:szCs w:val="21"/>
                      <w:u w:val="single"/>
                      <w:lang w:val="en-US" w:eastAsia="zh-CN"/>
                    </w:rPr>
                  </w:pPr>
                  <w:r>
                    <w:rPr>
                      <w:rFonts w:hint="default" w:ascii="Times New Roman" w:hAnsi="Times New Roman" w:cs="Times New Roman"/>
                      <w:color w:val="auto"/>
                      <w:sz w:val="21"/>
                      <w:szCs w:val="21"/>
                      <w:u w:val="single"/>
                    </w:rPr>
                    <w:t>m</w:t>
                  </w:r>
                  <w:r>
                    <w:rPr>
                      <w:rFonts w:hint="default" w:ascii="Times New Roman" w:hAnsi="Times New Roman" w:cs="Times New Roman"/>
                      <w:color w:val="auto"/>
                      <w:sz w:val="21"/>
                      <w:szCs w:val="21"/>
                      <w:u w:val="single"/>
                      <w:vertAlign w:val="superscript"/>
                    </w:rPr>
                    <w:t>3</w:t>
                  </w:r>
                  <w:r>
                    <w:rPr>
                      <w:rFonts w:hint="default" w:ascii="Times New Roman" w:hAnsi="Times New Roman" w:cs="Times New Roman"/>
                      <w:color w:val="auto"/>
                      <w:sz w:val="21"/>
                      <w:szCs w:val="21"/>
                      <w:u w:val="single"/>
                    </w:rPr>
                    <w:t>/h</w:t>
                  </w:r>
                </w:p>
              </w:tc>
              <w:tc>
                <w:tcPr>
                  <w:tcW w:w="595" w:type="pct"/>
                  <w:tcBorders>
                    <w:tl2br w:val="nil"/>
                    <w:tr2bl w:val="nil"/>
                  </w:tcBorders>
                  <w:noWrap w:val="0"/>
                  <w:vAlign w:val="center"/>
                </w:tcPr>
                <w:p w14:paraId="1736A2DE">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cs="Times New Roman"/>
                      <w:b w:val="0"/>
                      <w:bCs w:val="0"/>
                      <w:color w:val="auto"/>
                      <w:sz w:val="21"/>
                      <w:szCs w:val="21"/>
                      <w:u w:val="single"/>
                      <w:lang w:val="en-US" w:eastAsia="zh-CN"/>
                    </w:rPr>
                    <w:t>1101</w:t>
                  </w:r>
                </w:p>
              </w:tc>
              <w:tc>
                <w:tcPr>
                  <w:tcW w:w="595" w:type="pct"/>
                  <w:tcBorders>
                    <w:tl2br w:val="nil"/>
                    <w:tr2bl w:val="nil"/>
                  </w:tcBorders>
                  <w:noWrap w:val="0"/>
                  <w:vAlign w:val="center"/>
                </w:tcPr>
                <w:p w14:paraId="42E9F743">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cs="Times New Roman"/>
                      <w:b w:val="0"/>
                      <w:bCs w:val="0"/>
                      <w:color w:val="auto"/>
                      <w:sz w:val="21"/>
                      <w:szCs w:val="21"/>
                      <w:u w:val="single"/>
                      <w:lang w:val="en-US" w:eastAsia="zh-CN"/>
                    </w:rPr>
                    <w:t>1110</w:t>
                  </w:r>
                </w:p>
              </w:tc>
              <w:tc>
                <w:tcPr>
                  <w:tcW w:w="604" w:type="pct"/>
                  <w:tcBorders>
                    <w:tl2br w:val="nil"/>
                    <w:tr2bl w:val="nil"/>
                  </w:tcBorders>
                  <w:noWrap w:val="0"/>
                  <w:vAlign w:val="center"/>
                </w:tcPr>
                <w:p w14:paraId="056FBC85">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cs="Times New Roman"/>
                      <w:b w:val="0"/>
                      <w:bCs w:val="0"/>
                      <w:color w:val="auto"/>
                      <w:sz w:val="21"/>
                      <w:szCs w:val="21"/>
                      <w:u w:val="single"/>
                      <w:lang w:val="en-US" w:eastAsia="zh-CN"/>
                    </w:rPr>
                    <w:t>1087</w:t>
                  </w:r>
                </w:p>
              </w:tc>
              <w:tc>
                <w:tcPr>
                  <w:tcW w:w="458" w:type="pct"/>
                  <w:tcBorders>
                    <w:tl2br w:val="nil"/>
                    <w:tr2bl w:val="nil"/>
                  </w:tcBorders>
                  <w:noWrap w:val="0"/>
                  <w:vAlign w:val="center"/>
                </w:tcPr>
                <w:p w14:paraId="3EC743AE">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cs="Times New Roman"/>
                      <w:b w:val="0"/>
                      <w:bCs w:val="0"/>
                      <w:color w:val="auto"/>
                      <w:sz w:val="21"/>
                      <w:szCs w:val="21"/>
                      <w:u w:val="single"/>
                      <w:lang w:val="en-US" w:eastAsia="zh-CN"/>
                    </w:rPr>
                  </w:pPr>
                  <w:r>
                    <w:rPr>
                      <w:rFonts w:hint="default" w:ascii="Times New Roman" w:hAnsi="Times New Roman" w:cs="Times New Roman"/>
                      <w:b w:val="0"/>
                      <w:bCs w:val="0"/>
                      <w:color w:val="auto"/>
                      <w:sz w:val="21"/>
                      <w:szCs w:val="21"/>
                      <w:u w:val="single"/>
                      <w:lang w:val="en-US" w:eastAsia="zh-CN"/>
                    </w:rPr>
                    <w:t>/</w:t>
                  </w:r>
                </w:p>
              </w:tc>
            </w:tr>
            <w:tr w14:paraId="2211F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6" w:type="pct"/>
                  <w:vMerge w:val="continue"/>
                  <w:tcBorders>
                    <w:tl2br w:val="nil"/>
                    <w:tr2bl w:val="nil"/>
                  </w:tcBorders>
                  <w:noWrap w:val="0"/>
                  <w:vAlign w:val="center"/>
                </w:tcPr>
                <w:p w14:paraId="240BDF66">
                  <w:pPr>
                    <w:jc w:val="center"/>
                    <w:rPr>
                      <w:rFonts w:hint="default" w:ascii="Times New Roman" w:hAnsi="Times New Roman" w:eastAsia="宋体" w:cs="Times New Roman"/>
                      <w:b w:val="0"/>
                      <w:bCs w:val="0"/>
                      <w:color w:val="auto"/>
                      <w:sz w:val="21"/>
                      <w:szCs w:val="21"/>
                      <w:u w:val="single"/>
                      <w:lang w:val="en-US" w:eastAsia="zh-CN"/>
                    </w:rPr>
                  </w:pPr>
                </w:p>
              </w:tc>
              <w:tc>
                <w:tcPr>
                  <w:tcW w:w="710" w:type="pct"/>
                  <w:vMerge w:val="continue"/>
                  <w:tcBorders>
                    <w:tl2br w:val="nil"/>
                    <w:tr2bl w:val="nil"/>
                  </w:tcBorders>
                  <w:noWrap w:val="0"/>
                  <w:vAlign w:val="center"/>
                </w:tcPr>
                <w:p w14:paraId="6176C279">
                  <w:pPr>
                    <w:jc w:val="center"/>
                    <w:rPr>
                      <w:rFonts w:hint="default" w:ascii="Times New Roman" w:hAnsi="Times New Roman" w:eastAsia="宋体" w:cs="Times New Roman"/>
                      <w:b w:val="0"/>
                      <w:bCs w:val="0"/>
                      <w:color w:val="auto"/>
                      <w:sz w:val="21"/>
                      <w:szCs w:val="21"/>
                      <w:u w:val="single"/>
                      <w:lang w:val="en-US" w:eastAsia="zh-CN"/>
                    </w:rPr>
                  </w:pPr>
                </w:p>
              </w:tc>
              <w:tc>
                <w:tcPr>
                  <w:tcW w:w="446" w:type="pct"/>
                  <w:vMerge w:val="restart"/>
                  <w:tcBorders>
                    <w:tl2br w:val="nil"/>
                    <w:tr2bl w:val="nil"/>
                  </w:tcBorders>
                  <w:noWrap w:val="0"/>
                  <w:vAlign w:val="center"/>
                </w:tcPr>
                <w:p w14:paraId="65801DE8">
                  <w:pPr>
                    <w:jc w:val="center"/>
                    <w:rPr>
                      <w:rFonts w:hint="default" w:ascii="Times New Roman" w:hAnsi="Times New Roman" w:eastAsia="宋体" w:cs="Times New Roman"/>
                      <w:b w:val="0"/>
                      <w:bCs w:val="0"/>
                      <w:color w:val="auto"/>
                      <w:sz w:val="21"/>
                      <w:szCs w:val="21"/>
                      <w:u w:val="single"/>
                      <w:lang w:eastAsia="zh-CN"/>
                    </w:rPr>
                  </w:pPr>
                  <w:r>
                    <w:rPr>
                      <w:rFonts w:hint="default" w:ascii="Times New Roman" w:hAnsi="Times New Roman" w:eastAsia="宋体" w:cs="Times New Roman"/>
                      <w:b w:val="0"/>
                      <w:bCs w:val="0"/>
                      <w:color w:val="auto"/>
                      <w:sz w:val="21"/>
                      <w:szCs w:val="21"/>
                      <w:u w:val="single"/>
                      <w:lang w:eastAsia="zh-CN"/>
                    </w:rPr>
                    <w:t>颗粒物</w:t>
                  </w:r>
                </w:p>
              </w:tc>
              <w:tc>
                <w:tcPr>
                  <w:tcW w:w="634" w:type="pct"/>
                  <w:tcBorders>
                    <w:tl2br w:val="nil"/>
                    <w:tr2bl w:val="nil"/>
                  </w:tcBorders>
                  <w:noWrap w:val="0"/>
                  <w:vAlign w:val="center"/>
                </w:tcPr>
                <w:p w14:paraId="15544355">
                  <w:pPr>
                    <w:jc w:val="center"/>
                    <w:rPr>
                      <w:rFonts w:hint="default" w:ascii="Times New Roman" w:hAnsi="Times New Roman" w:eastAsia="宋体" w:cs="Times New Roman"/>
                      <w:b w:val="0"/>
                      <w:bCs w:val="0"/>
                      <w:color w:val="auto"/>
                      <w:sz w:val="21"/>
                      <w:szCs w:val="21"/>
                      <w:u w:val="single"/>
                    </w:rPr>
                  </w:pPr>
                  <w:r>
                    <w:rPr>
                      <w:rFonts w:hint="eastAsia" w:ascii="Times New Roman" w:hAnsi="Times New Roman" w:cs="Times New Roman"/>
                      <w:color w:val="auto"/>
                      <w:sz w:val="21"/>
                      <w:szCs w:val="21"/>
                      <w:u w:val="single"/>
                      <w:lang w:val="en-US" w:eastAsia="zh-CN"/>
                    </w:rPr>
                    <w:t>实测</w:t>
                  </w:r>
                  <w:r>
                    <w:rPr>
                      <w:rFonts w:hint="default" w:ascii="Times New Roman" w:hAnsi="Times New Roman" w:cs="Times New Roman"/>
                      <w:color w:val="auto"/>
                      <w:sz w:val="21"/>
                      <w:szCs w:val="21"/>
                      <w:u w:val="single"/>
                    </w:rPr>
                    <w:t>浓度</w:t>
                  </w:r>
                </w:p>
              </w:tc>
              <w:tc>
                <w:tcPr>
                  <w:tcW w:w="549" w:type="pct"/>
                  <w:tcBorders>
                    <w:tl2br w:val="nil"/>
                    <w:tr2bl w:val="nil"/>
                  </w:tcBorders>
                  <w:noWrap w:val="0"/>
                  <w:vAlign w:val="center"/>
                </w:tcPr>
                <w:p w14:paraId="7BFB6335">
                  <w:pPr>
                    <w:jc w:val="center"/>
                    <w:rPr>
                      <w:rFonts w:hint="default" w:ascii="Times New Roman" w:hAnsi="Times New Roman" w:cs="Times New Roman"/>
                      <w:color w:val="auto"/>
                      <w:sz w:val="21"/>
                      <w:szCs w:val="21"/>
                      <w:u w:val="single"/>
                    </w:rPr>
                  </w:pPr>
                  <w:r>
                    <w:rPr>
                      <w:rFonts w:hint="default" w:ascii="Times New Roman" w:hAnsi="Times New Roman" w:cs="Times New Roman"/>
                      <w:b w:val="0"/>
                      <w:bCs w:val="0"/>
                      <w:color w:val="auto"/>
                      <w:sz w:val="21"/>
                      <w:szCs w:val="21"/>
                      <w:u w:val="single"/>
                    </w:rPr>
                    <w:t>mg/m</w:t>
                  </w:r>
                  <w:r>
                    <w:rPr>
                      <w:rFonts w:hint="default" w:ascii="Times New Roman" w:hAnsi="Times New Roman" w:cs="Times New Roman"/>
                      <w:b w:val="0"/>
                      <w:bCs w:val="0"/>
                      <w:color w:val="auto"/>
                      <w:sz w:val="21"/>
                      <w:szCs w:val="21"/>
                      <w:u w:val="single"/>
                      <w:vertAlign w:val="superscript"/>
                    </w:rPr>
                    <w:t>3</w:t>
                  </w:r>
                </w:p>
              </w:tc>
              <w:tc>
                <w:tcPr>
                  <w:tcW w:w="595" w:type="pct"/>
                  <w:tcBorders>
                    <w:tl2br w:val="nil"/>
                    <w:tr2bl w:val="nil"/>
                  </w:tcBorders>
                  <w:noWrap w:val="0"/>
                  <w:vAlign w:val="center"/>
                </w:tcPr>
                <w:p w14:paraId="27F586A9">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28.7</w:t>
                  </w:r>
                </w:p>
              </w:tc>
              <w:tc>
                <w:tcPr>
                  <w:tcW w:w="595" w:type="pct"/>
                  <w:tcBorders>
                    <w:tl2br w:val="nil"/>
                    <w:tr2bl w:val="nil"/>
                  </w:tcBorders>
                  <w:noWrap w:val="0"/>
                  <w:vAlign w:val="center"/>
                </w:tcPr>
                <w:p w14:paraId="314280B4">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27.4</w:t>
                  </w:r>
                </w:p>
              </w:tc>
              <w:tc>
                <w:tcPr>
                  <w:tcW w:w="604" w:type="pct"/>
                  <w:tcBorders>
                    <w:tl2br w:val="nil"/>
                    <w:tr2bl w:val="nil"/>
                  </w:tcBorders>
                  <w:noWrap w:val="0"/>
                  <w:vAlign w:val="center"/>
                </w:tcPr>
                <w:p w14:paraId="1788E146">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24.6</w:t>
                  </w:r>
                </w:p>
              </w:tc>
              <w:tc>
                <w:tcPr>
                  <w:tcW w:w="458" w:type="pct"/>
                  <w:tcBorders>
                    <w:tl2br w:val="nil"/>
                    <w:tr2bl w:val="nil"/>
                  </w:tcBorders>
                  <w:noWrap w:val="0"/>
                  <w:vAlign w:val="center"/>
                </w:tcPr>
                <w:p w14:paraId="5719F4E5">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cs="Times New Roman"/>
                      <w:b w:val="0"/>
                      <w:bCs w:val="0"/>
                      <w:color w:val="auto"/>
                      <w:sz w:val="21"/>
                      <w:szCs w:val="21"/>
                      <w:u w:val="single"/>
                      <w:lang w:val="en-US" w:eastAsia="zh-CN"/>
                    </w:rPr>
                  </w:pPr>
                  <w:r>
                    <w:rPr>
                      <w:rFonts w:hint="eastAsia" w:ascii="Times New Roman" w:hAnsi="Times New Roman" w:cs="Times New Roman"/>
                      <w:b w:val="0"/>
                      <w:bCs w:val="0"/>
                      <w:color w:val="auto"/>
                      <w:sz w:val="21"/>
                      <w:szCs w:val="21"/>
                      <w:u w:val="single"/>
                      <w:lang w:val="en-US" w:eastAsia="zh-CN"/>
                    </w:rPr>
                    <w:t>30</w:t>
                  </w:r>
                </w:p>
              </w:tc>
            </w:tr>
            <w:tr w14:paraId="17918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6" w:type="pct"/>
                  <w:vMerge w:val="continue"/>
                  <w:tcBorders>
                    <w:tl2br w:val="nil"/>
                    <w:tr2bl w:val="nil"/>
                  </w:tcBorders>
                  <w:noWrap w:val="0"/>
                  <w:vAlign w:val="center"/>
                </w:tcPr>
                <w:p w14:paraId="77153575">
                  <w:pPr>
                    <w:jc w:val="center"/>
                    <w:rPr>
                      <w:rFonts w:hint="default" w:ascii="Times New Roman" w:hAnsi="Times New Roman" w:eastAsia="宋体" w:cs="Times New Roman"/>
                      <w:b w:val="0"/>
                      <w:bCs w:val="0"/>
                      <w:color w:val="auto"/>
                      <w:sz w:val="21"/>
                      <w:szCs w:val="21"/>
                      <w:u w:val="single"/>
                      <w:lang w:val="en-US" w:eastAsia="zh-CN"/>
                    </w:rPr>
                  </w:pPr>
                </w:p>
              </w:tc>
              <w:tc>
                <w:tcPr>
                  <w:tcW w:w="710" w:type="pct"/>
                  <w:vMerge w:val="continue"/>
                  <w:tcBorders>
                    <w:tl2br w:val="nil"/>
                    <w:tr2bl w:val="nil"/>
                  </w:tcBorders>
                  <w:noWrap w:val="0"/>
                  <w:vAlign w:val="center"/>
                </w:tcPr>
                <w:p w14:paraId="68D50AA4">
                  <w:pPr>
                    <w:jc w:val="center"/>
                    <w:rPr>
                      <w:rFonts w:hint="default" w:ascii="Times New Roman" w:hAnsi="Times New Roman" w:eastAsia="宋体" w:cs="Times New Roman"/>
                      <w:b w:val="0"/>
                      <w:bCs w:val="0"/>
                      <w:color w:val="auto"/>
                      <w:sz w:val="21"/>
                      <w:szCs w:val="21"/>
                      <w:u w:val="single"/>
                      <w:lang w:val="en-US" w:eastAsia="zh-CN"/>
                    </w:rPr>
                  </w:pPr>
                </w:p>
              </w:tc>
              <w:tc>
                <w:tcPr>
                  <w:tcW w:w="446" w:type="pct"/>
                  <w:vMerge w:val="continue"/>
                  <w:tcBorders>
                    <w:tl2br w:val="nil"/>
                    <w:tr2bl w:val="nil"/>
                  </w:tcBorders>
                  <w:noWrap w:val="0"/>
                  <w:vAlign w:val="center"/>
                </w:tcPr>
                <w:p w14:paraId="48AED8F6">
                  <w:pPr>
                    <w:jc w:val="center"/>
                    <w:rPr>
                      <w:rFonts w:hint="default" w:ascii="Times New Roman" w:hAnsi="Times New Roman" w:eastAsia="宋体" w:cs="Times New Roman"/>
                      <w:b w:val="0"/>
                      <w:bCs w:val="0"/>
                      <w:color w:val="auto"/>
                      <w:sz w:val="21"/>
                      <w:szCs w:val="21"/>
                      <w:u w:val="single"/>
                    </w:rPr>
                  </w:pPr>
                </w:p>
              </w:tc>
              <w:tc>
                <w:tcPr>
                  <w:tcW w:w="634" w:type="pct"/>
                  <w:tcBorders>
                    <w:tl2br w:val="nil"/>
                    <w:tr2bl w:val="nil"/>
                  </w:tcBorders>
                  <w:noWrap w:val="0"/>
                  <w:vAlign w:val="center"/>
                </w:tcPr>
                <w:p w14:paraId="544A184B">
                  <w:pPr>
                    <w:jc w:val="center"/>
                    <w:rPr>
                      <w:rFonts w:hint="default" w:ascii="Times New Roman" w:hAnsi="Times New Roman" w:eastAsia="宋体" w:cs="Times New Roman"/>
                      <w:b w:val="0"/>
                      <w:bCs w:val="0"/>
                      <w:color w:val="auto"/>
                      <w:sz w:val="21"/>
                      <w:szCs w:val="21"/>
                      <w:u w:val="single"/>
                    </w:rPr>
                  </w:pPr>
                  <w:r>
                    <w:rPr>
                      <w:rFonts w:hint="default" w:ascii="Times New Roman" w:hAnsi="Times New Roman" w:cs="Times New Roman"/>
                      <w:color w:val="auto"/>
                      <w:sz w:val="21"/>
                      <w:szCs w:val="21"/>
                      <w:u w:val="single"/>
                      <w:lang w:val="en-US" w:eastAsia="zh-CN"/>
                    </w:rPr>
                    <w:t>排放</w:t>
                  </w:r>
                  <w:r>
                    <w:rPr>
                      <w:rFonts w:hint="default" w:ascii="Times New Roman" w:hAnsi="Times New Roman" w:cs="Times New Roman"/>
                      <w:color w:val="auto"/>
                      <w:sz w:val="21"/>
                      <w:szCs w:val="21"/>
                      <w:u w:val="single"/>
                    </w:rPr>
                    <w:t>速率</w:t>
                  </w:r>
                </w:p>
              </w:tc>
              <w:tc>
                <w:tcPr>
                  <w:tcW w:w="549" w:type="pct"/>
                  <w:tcBorders>
                    <w:tl2br w:val="nil"/>
                    <w:tr2bl w:val="nil"/>
                  </w:tcBorders>
                  <w:noWrap w:val="0"/>
                  <w:vAlign w:val="center"/>
                </w:tcPr>
                <w:p w14:paraId="51370D2B">
                  <w:pPr>
                    <w:jc w:val="center"/>
                    <w:rPr>
                      <w:rFonts w:hint="default" w:ascii="Times New Roman" w:hAnsi="Times New Roman" w:cs="Times New Roman"/>
                      <w:color w:val="auto"/>
                      <w:sz w:val="21"/>
                      <w:szCs w:val="21"/>
                      <w:u w:val="single"/>
                    </w:rPr>
                  </w:pPr>
                  <w:r>
                    <w:rPr>
                      <w:rFonts w:hint="default" w:ascii="Times New Roman" w:hAnsi="Times New Roman" w:cs="Times New Roman"/>
                      <w:b w:val="0"/>
                      <w:bCs w:val="0"/>
                      <w:color w:val="auto"/>
                      <w:sz w:val="21"/>
                      <w:szCs w:val="21"/>
                      <w:u w:val="single"/>
                    </w:rPr>
                    <w:t>kg/h</w:t>
                  </w:r>
                </w:p>
              </w:tc>
              <w:tc>
                <w:tcPr>
                  <w:tcW w:w="595" w:type="pct"/>
                  <w:tcBorders>
                    <w:tl2br w:val="nil"/>
                    <w:tr2bl w:val="nil"/>
                  </w:tcBorders>
                  <w:noWrap w:val="0"/>
                  <w:vAlign w:val="center"/>
                </w:tcPr>
                <w:p w14:paraId="4AB5E21B">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0.032</w:t>
                  </w:r>
                </w:p>
              </w:tc>
              <w:tc>
                <w:tcPr>
                  <w:tcW w:w="595" w:type="pct"/>
                  <w:tcBorders>
                    <w:tl2br w:val="nil"/>
                    <w:tr2bl w:val="nil"/>
                  </w:tcBorders>
                  <w:noWrap w:val="0"/>
                  <w:vAlign w:val="center"/>
                </w:tcPr>
                <w:p w14:paraId="57062976">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0.030</w:t>
                  </w:r>
                </w:p>
              </w:tc>
              <w:tc>
                <w:tcPr>
                  <w:tcW w:w="604" w:type="pct"/>
                  <w:tcBorders>
                    <w:tl2br w:val="nil"/>
                    <w:tr2bl w:val="nil"/>
                  </w:tcBorders>
                  <w:noWrap w:val="0"/>
                  <w:vAlign w:val="center"/>
                </w:tcPr>
                <w:p w14:paraId="47E8A8CA">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0.027</w:t>
                  </w:r>
                </w:p>
              </w:tc>
              <w:tc>
                <w:tcPr>
                  <w:tcW w:w="458" w:type="pct"/>
                  <w:tcBorders>
                    <w:tl2br w:val="nil"/>
                    <w:tr2bl w:val="nil"/>
                  </w:tcBorders>
                  <w:noWrap w:val="0"/>
                  <w:vAlign w:val="center"/>
                </w:tcPr>
                <w:p w14:paraId="087DF2B7">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cs="Times New Roman"/>
                      <w:b w:val="0"/>
                      <w:bCs w:val="0"/>
                      <w:color w:val="auto"/>
                      <w:sz w:val="21"/>
                      <w:szCs w:val="21"/>
                      <w:u w:val="single"/>
                      <w:lang w:val="en-US" w:eastAsia="zh-CN"/>
                    </w:rPr>
                  </w:pPr>
                  <w:r>
                    <w:rPr>
                      <w:rFonts w:hint="eastAsia" w:ascii="Times New Roman" w:hAnsi="Times New Roman" w:cs="Times New Roman"/>
                      <w:b w:val="0"/>
                      <w:bCs w:val="0"/>
                      <w:color w:val="auto"/>
                      <w:sz w:val="21"/>
                      <w:szCs w:val="21"/>
                      <w:u w:val="single"/>
                      <w:lang w:val="en-US" w:eastAsia="zh-CN"/>
                    </w:rPr>
                    <w:t>/</w:t>
                  </w:r>
                </w:p>
              </w:tc>
            </w:tr>
            <w:tr w14:paraId="7546D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6" w:type="pct"/>
                  <w:vMerge w:val="continue"/>
                  <w:tcBorders>
                    <w:tl2br w:val="nil"/>
                    <w:tr2bl w:val="nil"/>
                  </w:tcBorders>
                  <w:noWrap w:val="0"/>
                  <w:vAlign w:val="center"/>
                </w:tcPr>
                <w:p w14:paraId="1F2458C4">
                  <w:pPr>
                    <w:jc w:val="center"/>
                    <w:rPr>
                      <w:rFonts w:hint="default" w:ascii="Times New Roman" w:hAnsi="Times New Roman" w:eastAsia="宋体" w:cs="Times New Roman"/>
                      <w:b w:val="0"/>
                      <w:bCs w:val="0"/>
                      <w:color w:val="auto"/>
                      <w:sz w:val="21"/>
                      <w:szCs w:val="21"/>
                      <w:u w:val="single"/>
                      <w:lang w:val="en-US" w:eastAsia="zh-CN"/>
                    </w:rPr>
                  </w:pPr>
                </w:p>
              </w:tc>
              <w:tc>
                <w:tcPr>
                  <w:tcW w:w="710" w:type="pct"/>
                  <w:vMerge w:val="continue"/>
                  <w:tcBorders>
                    <w:tl2br w:val="nil"/>
                    <w:tr2bl w:val="nil"/>
                  </w:tcBorders>
                  <w:noWrap w:val="0"/>
                  <w:vAlign w:val="center"/>
                </w:tcPr>
                <w:p w14:paraId="37151356">
                  <w:pPr>
                    <w:jc w:val="center"/>
                    <w:rPr>
                      <w:rFonts w:hint="default" w:ascii="Times New Roman" w:hAnsi="Times New Roman" w:eastAsia="宋体" w:cs="Times New Roman"/>
                      <w:b w:val="0"/>
                      <w:bCs w:val="0"/>
                      <w:color w:val="auto"/>
                      <w:sz w:val="21"/>
                      <w:szCs w:val="21"/>
                      <w:u w:val="single"/>
                      <w:lang w:val="en-US" w:eastAsia="zh-CN"/>
                    </w:rPr>
                  </w:pPr>
                </w:p>
              </w:tc>
              <w:tc>
                <w:tcPr>
                  <w:tcW w:w="446" w:type="pct"/>
                  <w:vMerge w:val="restart"/>
                  <w:tcBorders>
                    <w:tl2br w:val="nil"/>
                    <w:tr2bl w:val="nil"/>
                  </w:tcBorders>
                  <w:noWrap w:val="0"/>
                  <w:vAlign w:val="center"/>
                </w:tcPr>
                <w:p w14:paraId="7CC85876">
                  <w:pPr>
                    <w:jc w:val="center"/>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二氧化硫</w:t>
                  </w:r>
                </w:p>
              </w:tc>
              <w:tc>
                <w:tcPr>
                  <w:tcW w:w="634" w:type="pct"/>
                  <w:tcBorders>
                    <w:tl2br w:val="nil"/>
                    <w:tr2bl w:val="nil"/>
                  </w:tcBorders>
                  <w:noWrap w:val="0"/>
                  <w:vAlign w:val="center"/>
                </w:tcPr>
                <w:p w14:paraId="58D1BB61">
                  <w:pPr>
                    <w:jc w:val="center"/>
                    <w:rPr>
                      <w:rFonts w:hint="default" w:ascii="Times New Roman" w:hAnsi="Times New Roman" w:cs="Times New Roman"/>
                      <w:color w:val="auto"/>
                      <w:sz w:val="21"/>
                      <w:szCs w:val="21"/>
                      <w:u w:val="single"/>
                      <w:lang w:val="en-US" w:eastAsia="zh-CN"/>
                    </w:rPr>
                  </w:pPr>
                  <w:r>
                    <w:rPr>
                      <w:rFonts w:hint="default" w:ascii="Times New Roman" w:hAnsi="Times New Roman" w:cs="Times New Roman"/>
                      <w:color w:val="auto"/>
                      <w:sz w:val="21"/>
                      <w:szCs w:val="21"/>
                      <w:u w:val="single"/>
                      <w:lang w:eastAsia="zh-CN"/>
                    </w:rPr>
                    <w:t>排放</w:t>
                  </w:r>
                  <w:r>
                    <w:rPr>
                      <w:rFonts w:hint="default" w:ascii="Times New Roman" w:hAnsi="Times New Roman" w:cs="Times New Roman"/>
                      <w:color w:val="auto"/>
                      <w:sz w:val="21"/>
                      <w:szCs w:val="21"/>
                      <w:u w:val="single"/>
                    </w:rPr>
                    <w:t>浓度</w:t>
                  </w:r>
                </w:p>
              </w:tc>
              <w:tc>
                <w:tcPr>
                  <w:tcW w:w="549" w:type="pct"/>
                  <w:tcBorders>
                    <w:tl2br w:val="nil"/>
                    <w:tr2bl w:val="nil"/>
                  </w:tcBorders>
                  <w:noWrap w:val="0"/>
                  <w:vAlign w:val="center"/>
                </w:tcPr>
                <w:p w14:paraId="36193239">
                  <w:pPr>
                    <w:jc w:val="center"/>
                    <w:rPr>
                      <w:rFonts w:hint="default" w:ascii="Times New Roman" w:hAnsi="Times New Roman" w:cs="Times New Roman"/>
                      <w:b w:val="0"/>
                      <w:bCs w:val="0"/>
                      <w:color w:val="auto"/>
                      <w:sz w:val="21"/>
                      <w:szCs w:val="21"/>
                      <w:u w:val="single"/>
                    </w:rPr>
                  </w:pPr>
                  <w:r>
                    <w:rPr>
                      <w:rFonts w:hint="default" w:ascii="Times New Roman" w:hAnsi="Times New Roman" w:cs="Times New Roman"/>
                      <w:b w:val="0"/>
                      <w:bCs w:val="0"/>
                      <w:color w:val="auto"/>
                      <w:sz w:val="21"/>
                      <w:szCs w:val="21"/>
                      <w:u w:val="single"/>
                    </w:rPr>
                    <w:t>mg/m</w:t>
                  </w:r>
                  <w:r>
                    <w:rPr>
                      <w:rFonts w:hint="default" w:ascii="Times New Roman" w:hAnsi="Times New Roman" w:cs="Times New Roman"/>
                      <w:b w:val="0"/>
                      <w:bCs w:val="0"/>
                      <w:color w:val="auto"/>
                      <w:sz w:val="21"/>
                      <w:szCs w:val="21"/>
                      <w:u w:val="single"/>
                      <w:vertAlign w:val="superscript"/>
                    </w:rPr>
                    <w:t>3</w:t>
                  </w:r>
                </w:p>
              </w:tc>
              <w:tc>
                <w:tcPr>
                  <w:tcW w:w="595" w:type="pct"/>
                  <w:tcBorders>
                    <w:tl2br w:val="nil"/>
                    <w:tr2bl w:val="nil"/>
                  </w:tcBorders>
                  <w:noWrap w:val="0"/>
                  <w:vAlign w:val="center"/>
                </w:tcPr>
                <w:p w14:paraId="7DF1E2A4">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14</w:t>
                  </w:r>
                </w:p>
              </w:tc>
              <w:tc>
                <w:tcPr>
                  <w:tcW w:w="595" w:type="pct"/>
                  <w:tcBorders>
                    <w:tl2br w:val="nil"/>
                    <w:tr2bl w:val="nil"/>
                  </w:tcBorders>
                  <w:noWrap w:val="0"/>
                  <w:vAlign w:val="center"/>
                </w:tcPr>
                <w:p w14:paraId="3460E3D0">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17</w:t>
                  </w:r>
                </w:p>
              </w:tc>
              <w:tc>
                <w:tcPr>
                  <w:tcW w:w="604" w:type="pct"/>
                  <w:tcBorders>
                    <w:tl2br w:val="nil"/>
                    <w:tr2bl w:val="nil"/>
                  </w:tcBorders>
                  <w:noWrap w:val="0"/>
                  <w:vAlign w:val="center"/>
                </w:tcPr>
                <w:p w14:paraId="04179108">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16</w:t>
                  </w:r>
                </w:p>
              </w:tc>
              <w:tc>
                <w:tcPr>
                  <w:tcW w:w="458" w:type="pct"/>
                  <w:tcBorders>
                    <w:tl2br w:val="nil"/>
                    <w:tr2bl w:val="nil"/>
                  </w:tcBorders>
                  <w:noWrap w:val="0"/>
                  <w:vAlign w:val="center"/>
                </w:tcPr>
                <w:p w14:paraId="5F4675DF">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cs="Times New Roman"/>
                      <w:b w:val="0"/>
                      <w:bCs w:val="0"/>
                      <w:color w:val="auto"/>
                      <w:sz w:val="21"/>
                      <w:szCs w:val="21"/>
                      <w:u w:val="single"/>
                      <w:lang w:val="en-US" w:eastAsia="zh-CN"/>
                    </w:rPr>
                  </w:pPr>
                  <w:r>
                    <w:rPr>
                      <w:rFonts w:hint="eastAsia" w:ascii="Times New Roman" w:hAnsi="Times New Roman" w:cs="Times New Roman"/>
                      <w:b w:val="0"/>
                      <w:bCs w:val="0"/>
                      <w:color w:val="auto"/>
                      <w:sz w:val="21"/>
                      <w:szCs w:val="21"/>
                      <w:u w:val="single"/>
                      <w:lang w:val="en-US" w:eastAsia="zh-CN"/>
                    </w:rPr>
                    <w:t>200</w:t>
                  </w:r>
                </w:p>
              </w:tc>
            </w:tr>
            <w:tr w14:paraId="33253C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6" w:type="pct"/>
                  <w:vMerge w:val="continue"/>
                  <w:tcBorders>
                    <w:tl2br w:val="nil"/>
                    <w:tr2bl w:val="nil"/>
                  </w:tcBorders>
                  <w:noWrap w:val="0"/>
                  <w:vAlign w:val="center"/>
                </w:tcPr>
                <w:p w14:paraId="4F6954A3">
                  <w:pPr>
                    <w:jc w:val="center"/>
                    <w:rPr>
                      <w:rFonts w:hint="default" w:ascii="Times New Roman" w:hAnsi="Times New Roman" w:eastAsia="宋体" w:cs="Times New Roman"/>
                      <w:b w:val="0"/>
                      <w:bCs w:val="0"/>
                      <w:color w:val="auto"/>
                      <w:sz w:val="21"/>
                      <w:szCs w:val="21"/>
                      <w:u w:val="single"/>
                      <w:lang w:val="en-US" w:eastAsia="zh-CN"/>
                    </w:rPr>
                  </w:pPr>
                </w:p>
              </w:tc>
              <w:tc>
                <w:tcPr>
                  <w:tcW w:w="710" w:type="pct"/>
                  <w:vMerge w:val="continue"/>
                  <w:tcBorders>
                    <w:tl2br w:val="nil"/>
                    <w:tr2bl w:val="nil"/>
                  </w:tcBorders>
                  <w:noWrap w:val="0"/>
                  <w:vAlign w:val="center"/>
                </w:tcPr>
                <w:p w14:paraId="25FA8441">
                  <w:pPr>
                    <w:jc w:val="center"/>
                    <w:rPr>
                      <w:rFonts w:hint="default" w:ascii="Times New Roman" w:hAnsi="Times New Roman" w:eastAsia="宋体" w:cs="Times New Roman"/>
                      <w:b w:val="0"/>
                      <w:bCs w:val="0"/>
                      <w:color w:val="auto"/>
                      <w:sz w:val="21"/>
                      <w:szCs w:val="21"/>
                      <w:u w:val="single"/>
                      <w:lang w:val="en-US" w:eastAsia="zh-CN"/>
                    </w:rPr>
                  </w:pPr>
                </w:p>
              </w:tc>
              <w:tc>
                <w:tcPr>
                  <w:tcW w:w="446" w:type="pct"/>
                  <w:vMerge w:val="continue"/>
                  <w:tcBorders>
                    <w:tl2br w:val="nil"/>
                    <w:tr2bl w:val="nil"/>
                  </w:tcBorders>
                  <w:noWrap w:val="0"/>
                  <w:vAlign w:val="center"/>
                </w:tcPr>
                <w:p w14:paraId="62F77763">
                  <w:pPr>
                    <w:jc w:val="center"/>
                    <w:rPr>
                      <w:rFonts w:hint="default" w:ascii="Times New Roman" w:hAnsi="Times New Roman" w:eastAsia="宋体" w:cs="Times New Roman"/>
                      <w:b w:val="0"/>
                      <w:bCs w:val="0"/>
                      <w:color w:val="auto"/>
                      <w:sz w:val="21"/>
                      <w:szCs w:val="21"/>
                      <w:u w:val="single"/>
                    </w:rPr>
                  </w:pPr>
                </w:p>
              </w:tc>
              <w:tc>
                <w:tcPr>
                  <w:tcW w:w="634" w:type="pct"/>
                  <w:tcBorders>
                    <w:tl2br w:val="nil"/>
                    <w:tr2bl w:val="nil"/>
                  </w:tcBorders>
                  <w:noWrap w:val="0"/>
                  <w:vAlign w:val="center"/>
                </w:tcPr>
                <w:p w14:paraId="5F719EE6">
                  <w:pPr>
                    <w:jc w:val="center"/>
                    <w:rPr>
                      <w:rFonts w:hint="default" w:ascii="Times New Roman" w:hAnsi="Times New Roman" w:cs="Times New Roman"/>
                      <w:color w:val="auto"/>
                      <w:sz w:val="21"/>
                      <w:szCs w:val="21"/>
                      <w:u w:val="single"/>
                      <w:lang w:val="en-US" w:eastAsia="zh-CN"/>
                    </w:rPr>
                  </w:pPr>
                  <w:r>
                    <w:rPr>
                      <w:rFonts w:hint="default" w:ascii="Times New Roman" w:hAnsi="Times New Roman" w:cs="Times New Roman"/>
                      <w:color w:val="auto"/>
                      <w:sz w:val="21"/>
                      <w:szCs w:val="21"/>
                      <w:u w:val="single"/>
                      <w:lang w:val="en-US" w:eastAsia="zh-CN"/>
                    </w:rPr>
                    <w:t>排放</w:t>
                  </w:r>
                  <w:r>
                    <w:rPr>
                      <w:rFonts w:hint="default" w:ascii="Times New Roman" w:hAnsi="Times New Roman" w:cs="Times New Roman"/>
                      <w:color w:val="auto"/>
                      <w:sz w:val="21"/>
                      <w:szCs w:val="21"/>
                      <w:u w:val="single"/>
                    </w:rPr>
                    <w:t>速率</w:t>
                  </w:r>
                </w:p>
              </w:tc>
              <w:tc>
                <w:tcPr>
                  <w:tcW w:w="549" w:type="pct"/>
                  <w:tcBorders>
                    <w:tl2br w:val="nil"/>
                    <w:tr2bl w:val="nil"/>
                  </w:tcBorders>
                  <w:noWrap w:val="0"/>
                  <w:vAlign w:val="center"/>
                </w:tcPr>
                <w:p w14:paraId="6506EBAA">
                  <w:pPr>
                    <w:jc w:val="center"/>
                    <w:rPr>
                      <w:rFonts w:hint="default" w:ascii="Times New Roman" w:hAnsi="Times New Roman" w:cs="Times New Roman"/>
                      <w:b w:val="0"/>
                      <w:bCs w:val="0"/>
                      <w:color w:val="auto"/>
                      <w:sz w:val="21"/>
                      <w:szCs w:val="21"/>
                      <w:u w:val="single"/>
                    </w:rPr>
                  </w:pPr>
                  <w:r>
                    <w:rPr>
                      <w:rFonts w:hint="default" w:ascii="Times New Roman" w:hAnsi="Times New Roman" w:cs="Times New Roman"/>
                      <w:b w:val="0"/>
                      <w:bCs w:val="0"/>
                      <w:color w:val="auto"/>
                      <w:sz w:val="21"/>
                      <w:szCs w:val="21"/>
                      <w:u w:val="single"/>
                    </w:rPr>
                    <w:t>kg/h</w:t>
                  </w:r>
                </w:p>
              </w:tc>
              <w:tc>
                <w:tcPr>
                  <w:tcW w:w="595" w:type="pct"/>
                  <w:tcBorders>
                    <w:tl2br w:val="nil"/>
                    <w:tr2bl w:val="nil"/>
                  </w:tcBorders>
                  <w:noWrap w:val="0"/>
                  <w:vAlign w:val="center"/>
                </w:tcPr>
                <w:p w14:paraId="1D150DB6">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0.015</w:t>
                  </w:r>
                </w:p>
              </w:tc>
              <w:tc>
                <w:tcPr>
                  <w:tcW w:w="595" w:type="pct"/>
                  <w:tcBorders>
                    <w:tl2br w:val="nil"/>
                    <w:tr2bl w:val="nil"/>
                  </w:tcBorders>
                  <w:noWrap w:val="0"/>
                  <w:vAlign w:val="center"/>
                </w:tcPr>
                <w:p w14:paraId="4281AF00">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0.019</w:t>
                  </w:r>
                </w:p>
              </w:tc>
              <w:tc>
                <w:tcPr>
                  <w:tcW w:w="604" w:type="pct"/>
                  <w:tcBorders>
                    <w:tl2br w:val="nil"/>
                    <w:tr2bl w:val="nil"/>
                  </w:tcBorders>
                  <w:noWrap w:val="0"/>
                  <w:vAlign w:val="center"/>
                </w:tcPr>
                <w:p w14:paraId="1C28BACB">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0.017</w:t>
                  </w:r>
                </w:p>
              </w:tc>
              <w:tc>
                <w:tcPr>
                  <w:tcW w:w="458" w:type="pct"/>
                  <w:tcBorders>
                    <w:tl2br w:val="nil"/>
                    <w:tr2bl w:val="nil"/>
                  </w:tcBorders>
                  <w:noWrap w:val="0"/>
                  <w:vAlign w:val="center"/>
                </w:tcPr>
                <w:p w14:paraId="4B0ADE0E">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cs="Times New Roman"/>
                      <w:b w:val="0"/>
                      <w:bCs w:val="0"/>
                      <w:color w:val="auto"/>
                      <w:sz w:val="21"/>
                      <w:szCs w:val="21"/>
                      <w:u w:val="single"/>
                      <w:lang w:val="en-US" w:eastAsia="zh-CN"/>
                    </w:rPr>
                  </w:pPr>
                  <w:r>
                    <w:rPr>
                      <w:rFonts w:hint="eastAsia" w:ascii="Times New Roman" w:hAnsi="Times New Roman" w:cs="Times New Roman"/>
                      <w:b w:val="0"/>
                      <w:bCs w:val="0"/>
                      <w:color w:val="auto"/>
                      <w:sz w:val="21"/>
                      <w:szCs w:val="21"/>
                      <w:u w:val="single"/>
                      <w:lang w:val="en-US" w:eastAsia="zh-CN"/>
                    </w:rPr>
                    <w:t>/</w:t>
                  </w:r>
                </w:p>
              </w:tc>
            </w:tr>
            <w:tr w14:paraId="6B5EF4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6" w:type="pct"/>
                  <w:vMerge w:val="continue"/>
                  <w:tcBorders>
                    <w:tl2br w:val="nil"/>
                    <w:tr2bl w:val="nil"/>
                  </w:tcBorders>
                  <w:noWrap w:val="0"/>
                  <w:vAlign w:val="center"/>
                </w:tcPr>
                <w:p w14:paraId="163A707E">
                  <w:pPr>
                    <w:jc w:val="center"/>
                    <w:rPr>
                      <w:rFonts w:hint="default" w:ascii="Times New Roman" w:hAnsi="Times New Roman" w:eastAsia="宋体" w:cs="Times New Roman"/>
                      <w:b w:val="0"/>
                      <w:bCs w:val="0"/>
                      <w:color w:val="auto"/>
                      <w:sz w:val="21"/>
                      <w:szCs w:val="21"/>
                      <w:u w:val="single"/>
                      <w:lang w:val="en-US" w:eastAsia="zh-CN"/>
                    </w:rPr>
                  </w:pPr>
                </w:p>
              </w:tc>
              <w:tc>
                <w:tcPr>
                  <w:tcW w:w="710" w:type="pct"/>
                  <w:vMerge w:val="continue"/>
                  <w:tcBorders>
                    <w:tl2br w:val="nil"/>
                    <w:tr2bl w:val="nil"/>
                  </w:tcBorders>
                  <w:noWrap w:val="0"/>
                  <w:vAlign w:val="center"/>
                </w:tcPr>
                <w:p w14:paraId="07AE0924">
                  <w:pPr>
                    <w:jc w:val="center"/>
                    <w:rPr>
                      <w:rFonts w:hint="default" w:ascii="Times New Roman" w:hAnsi="Times New Roman" w:eastAsia="宋体" w:cs="Times New Roman"/>
                      <w:b w:val="0"/>
                      <w:bCs w:val="0"/>
                      <w:color w:val="auto"/>
                      <w:sz w:val="21"/>
                      <w:szCs w:val="21"/>
                      <w:u w:val="single"/>
                      <w:lang w:val="en-US" w:eastAsia="zh-CN"/>
                    </w:rPr>
                  </w:pPr>
                </w:p>
              </w:tc>
              <w:tc>
                <w:tcPr>
                  <w:tcW w:w="446" w:type="pct"/>
                  <w:vMerge w:val="restart"/>
                  <w:tcBorders>
                    <w:tl2br w:val="nil"/>
                    <w:tr2bl w:val="nil"/>
                  </w:tcBorders>
                  <w:noWrap w:val="0"/>
                  <w:vAlign w:val="center"/>
                </w:tcPr>
                <w:p w14:paraId="21A6C80E">
                  <w:pPr>
                    <w:jc w:val="center"/>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sz w:val="21"/>
                      <w:szCs w:val="21"/>
                      <w:u w:val="single"/>
                      <w:lang w:val="en-US" w:eastAsia="zh-CN"/>
                    </w:rPr>
                    <w:t>氮氧化物</w:t>
                  </w:r>
                </w:p>
              </w:tc>
              <w:tc>
                <w:tcPr>
                  <w:tcW w:w="634" w:type="pct"/>
                  <w:tcBorders>
                    <w:tl2br w:val="nil"/>
                    <w:tr2bl w:val="nil"/>
                  </w:tcBorders>
                  <w:shd w:val="clear" w:color="auto" w:fill="auto"/>
                  <w:noWrap w:val="0"/>
                  <w:vAlign w:val="center"/>
                </w:tcPr>
                <w:p w14:paraId="509C4993">
                  <w:pPr>
                    <w:jc w:val="center"/>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cs="Times New Roman"/>
                      <w:color w:val="auto"/>
                      <w:sz w:val="21"/>
                      <w:szCs w:val="21"/>
                      <w:u w:val="single"/>
                      <w:lang w:eastAsia="zh-CN"/>
                    </w:rPr>
                    <w:t>排放</w:t>
                  </w:r>
                  <w:r>
                    <w:rPr>
                      <w:rFonts w:hint="default" w:ascii="Times New Roman" w:hAnsi="Times New Roman" w:cs="Times New Roman"/>
                      <w:color w:val="auto"/>
                      <w:sz w:val="21"/>
                      <w:szCs w:val="21"/>
                      <w:u w:val="single"/>
                    </w:rPr>
                    <w:t>浓度</w:t>
                  </w:r>
                </w:p>
              </w:tc>
              <w:tc>
                <w:tcPr>
                  <w:tcW w:w="549" w:type="pct"/>
                  <w:tcBorders>
                    <w:tl2br w:val="nil"/>
                    <w:tr2bl w:val="nil"/>
                  </w:tcBorders>
                  <w:shd w:val="clear" w:color="auto" w:fill="auto"/>
                  <w:noWrap w:val="0"/>
                  <w:vAlign w:val="center"/>
                </w:tcPr>
                <w:p w14:paraId="43BE0E83">
                  <w:pPr>
                    <w:jc w:val="center"/>
                    <w:rPr>
                      <w:rFonts w:hint="default" w:ascii="Times New Roman" w:hAnsi="Times New Roman" w:eastAsia="宋体" w:cs="Times New Roman"/>
                      <w:b w:val="0"/>
                      <w:bCs w:val="0"/>
                      <w:color w:val="auto"/>
                      <w:kern w:val="2"/>
                      <w:sz w:val="21"/>
                      <w:szCs w:val="21"/>
                      <w:u w:val="single"/>
                      <w:lang w:val="en-US" w:eastAsia="zh-CN" w:bidi="ar-SA"/>
                    </w:rPr>
                  </w:pPr>
                  <w:r>
                    <w:rPr>
                      <w:rFonts w:hint="default" w:ascii="Times New Roman" w:hAnsi="Times New Roman" w:cs="Times New Roman"/>
                      <w:b w:val="0"/>
                      <w:bCs w:val="0"/>
                      <w:color w:val="auto"/>
                      <w:sz w:val="21"/>
                      <w:szCs w:val="21"/>
                      <w:u w:val="single"/>
                    </w:rPr>
                    <w:t>mg/m</w:t>
                  </w:r>
                  <w:r>
                    <w:rPr>
                      <w:rFonts w:hint="default" w:ascii="Times New Roman" w:hAnsi="Times New Roman" w:cs="Times New Roman"/>
                      <w:b w:val="0"/>
                      <w:bCs w:val="0"/>
                      <w:color w:val="auto"/>
                      <w:sz w:val="21"/>
                      <w:szCs w:val="21"/>
                      <w:u w:val="single"/>
                      <w:vertAlign w:val="superscript"/>
                    </w:rPr>
                    <w:t>3</w:t>
                  </w:r>
                </w:p>
              </w:tc>
              <w:tc>
                <w:tcPr>
                  <w:tcW w:w="595" w:type="pct"/>
                  <w:tcBorders>
                    <w:tl2br w:val="nil"/>
                    <w:tr2bl w:val="nil"/>
                  </w:tcBorders>
                  <w:noWrap w:val="0"/>
                  <w:vAlign w:val="center"/>
                </w:tcPr>
                <w:p w14:paraId="42AFB9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single"/>
                      <w:lang w:val="en-US" w:eastAsia="zh-CN" w:bidi="ar"/>
                    </w:rPr>
                  </w:pPr>
                  <w:r>
                    <w:rPr>
                      <w:rFonts w:hint="eastAsia" w:ascii="Times New Roman" w:hAnsi="Times New Roman" w:eastAsia="宋体" w:cs="Times New Roman"/>
                      <w:i w:val="0"/>
                      <w:iCs w:val="0"/>
                      <w:color w:val="auto"/>
                      <w:kern w:val="0"/>
                      <w:sz w:val="21"/>
                      <w:szCs w:val="21"/>
                      <w:u w:val="single"/>
                      <w:lang w:val="en-US" w:eastAsia="zh-CN" w:bidi="ar"/>
                    </w:rPr>
                    <w:t>88</w:t>
                  </w:r>
                </w:p>
              </w:tc>
              <w:tc>
                <w:tcPr>
                  <w:tcW w:w="595" w:type="pct"/>
                  <w:tcBorders>
                    <w:tl2br w:val="nil"/>
                    <w:tr2bl w:val="nil"/>
                  </w:tcBorders>
                  <w:noWrap w:val="0"/>
                  <w:vAlign w:val="center"/>
                </w:tcPr>
                <w:p w14:paraId="756E7F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single"/>
                      <w:lang w:val="en-US" w:eastAsia="zh-CN" w:bidi="ar"/>
                    </w:rPr>
                  </w:pPr>
                  <w:r>
                    <w:rPr>
                      <w:rFonts w:hint="eastAsia" w:ascii="Times New Roman" w:hAnsi="Times New Roman" w:eastAsia="宋体" w:cs="Times New Roman"/>
                      <w:i w:val="0"/>
                      <w:iCs w:val="0"/>
                      <w:color w:val="auto"/>
                      <w:kern w:val="0"/>
                      <w:sz w:val="21"/>
                      <w:szCs w:val="21"/>
                      <w:u w:val="single"/>
                      <w:lang w:val="en-US" w:eastAsia="zh-CN" w:bidi="ar"/>
                    </w:rPr>
                    <w:t>97</w:t>
                  </w:r>
                </w:p>
              </w:tc>
              <w:tc>
                <w:tcPr>
                  <w:tcW w:w="604" w:type="pct"/>
                  <w:tcBorders>
                    <w:tl2br w:val="nil"/>
                    <w:tr2bl w:val="nil"/>
                  </w:tcBorders>
                  <w:noWrap w:val="0"/>
                  <w:vAlign w:val="center"/>
                </w:tcPr>
                <w:p w14:paraId="2FBDD7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single"/>
                      <w:lang w:val="en-US" w:eastAsia="zh-CN" w:bidi="ar"/>
                    </w:rPr>
                  </w:pPr>
                  <w:r>
                    <w:rPr>
                      <w:rFonts w:hint="eastAsia" w:ascii="Times New Roman" w:hAnsi="Times New Roman" w:eastAsia="宋体" w:cs="Times New Roman"/>
                      <w:i w:val="0"/>
                      <w:iCs w:val="0"/>
                      <w:color w:val="auto"/>
                      <w:kern w:val="0"/>
                      <w:sz w:val="21"/>
                      <w:szCs w:val="21"/>
                      <w:u w:val="single"/>
                      <w:lang w:val="en-US" w:eastAsia="zh-CN" w:bidi="ar"/>
                    </w:rPr>
                    <w:t>88</w:t>
                  </w:r>
                </w:p>
              </w:tc>
              <w:tc>
                <w:tcPr>
                  <w:tcW w:w="458" w:type="pct"/>
                  <w:tcBorders>
                    <w:tl2br w:val="nil"/>
                    <w:tr2bl w:val="nil"/>
                  </w:tcBorders>
                  <w:noWrap w:val="0"/>
                  <w:vAlign w:val="center"/>
                </w:tcPr>
                <w:p w14:paraId="6F9F2109">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cs="Times New Roman"/>
                      <w:b w:val="0"/>
                      <w:bCs w:val="0"/>
                      <w:color w:val="auto"/>
                      <w:sz w:val="21"/>
                      <w:szCs w:val="21"/>
                      <w:u w:val="single"/>
                      <w:lang w:val="en-US" w:eastAsia="zh-CN"/>
                    </w:rPr>
                  </w:pPr>
                  <w:r>
                    <w:rPr>
                      <w:rFonts w:hint="eastAsia" w:ascii="Times New Roman" w:hAnsi="Times New Roman" w:cs="Times New Roman"/>
                      <w:b w:val="0"/>
                      <w:bCs w:val="0"/>
                      <w:color w:val="auto"/>
                      <w:sz w:val="21"/>
                      <w:szCs w:val="21"/>
                      <w:u w:val="single"/>
                      <w:lang w:val="en-US" w:eastAsia="zh-CN"/>
                    </w:rPr>
                    <w:t>300</w:t>
                  </w:r>
                </w:p>
              </w:tc>
            </w:tr>
            <w:tr w14:paraId="0C5939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06" w:type="pct"/>
                  <w:vMerge w:val="continue"/>
                  <w:tcBorders>
                    <w:tl2br w:val="nil"/>
                    <w:tr2bl w:val="nil"/>
                  </w:tcBorders>
                  <w:noWrap w:val="0"/>
                  <w:vAlign w:val="center"/>
                </w:tcPr>
                <w:p w14:paraId="0F0E5195">
                  <w:pPr>
                    <w:jc w:val="center"/>
                    <w:rPr>
                      <w:rFonts w:hint="default" w:ascii="Times New Roman" w:hAnsi="Times New Roman" w:eastAsia="宋体" w:cs="Times New Roman"/>
                      <w:b w:val="0"/>
                      <w:bCs w:val="0"/>
                      <w:color w:val="auto"/>
                      <w:sz w:val="21"/>
                      <w:szCs w:val="21"/>
                      <w:u w:val="single"/>
                      <w:lang w:val="en-US" w:eastAsia="zh-CN"/>
                    </w:rPr>
                  </w:pPr>
                </w:p>
              </w:tc>
              <w:tc>
                <w:tcPr>
                  <w:tcW w:w="710" w:type="pct"/>
                  <w:vMerge w:val="continue"/>
                  <w:tcBorders>
                    <w:tl2br w:val="nil"/>
                    <w:tr2bl w:val="nil"/>
                  </w:tcBorders>
                  <w:noWrap w:val="0"/>
                  <w:vAlign w:val="center"/>
                </w:tcPr>
                <w:p w14:paraId="50F57F23">
                  <w:pPr>
                    <w:jc w:val="center"/>
                    <w:rPr>
                      <w:rFonts w:hint="default" w:ascii="Times New Roman" w:hAnsi="Times New Roman" w:eastAsia="宋体" w:cs="Times New Roman"/>
                      <w:b w:val="0"/>
                      <w:bCs w:val="0"/>
                      <w:color w:val="auto"/>
                      <w:sz w:val="21"/>
                      <w:szCs w:val="21"/>
                      <w:u w:val="single"/>
                      <w:lang w:val="en-US" w:eastAsia="zh-CN"/>
                    </w:rPr>
                  </w:pPr>
                </w:p>
              </w:tc>
              <w:tc>
                <w:tcPr>
                  <w:tcW w:w="446" w:type="pct"/>
                  <w:vMerge w:val="continue"/>
                  <w:tcBorders>
                    <w:tl2br w:val="nil"/>
                    <w:tr2bl w:val="nil"/>
                  </w:tcBorders>
                  <w:noWrap w:val="0"/>
                  <w:vAlign w:val="center"/>
                </w:tcPr>
                <w:p w14:paraId="68DF86D3">
                  <w:pPr>
                    <w:jc w:val="center"/>
                    <w:rPr>
                      <w:rFonts w:hint="default" w:ascii="Times New Roman" w:hAnsi="Times New Roman" w:eastAsia="宋体" w:cs="Times New Roman"/>
                      <w:b w:val="0"/>
                      <w:bCs w:val="0"/>
                      <w:color w:val="auto"/>
                      <w:sz w:val="21"/>
                      <w:szCs w:val="21"/>
                      <w:u w:val="single"/>
                    </w:rPr>
                  </w:pPr>
                </w:p>
              </w:tc>
              <w:tc>
                <w:tcPr>
                  <w:tcW w:w="634" w:type="pct"/>
                  <w:tcBorders>
                    <w:tl2br w:val="nil"/>
                    <w:tr2bl w:val="nil"/>
                  </w:tcBorders>
                  <w:shd w:val="clear" w:color="auto" w:fill="auto"/>
                  <w:noWrap w:val="0"/>
                  <w:vAlign w:val="center"/>
                </w:tcPr>
                <w:p w14:paraId="3B996D5C">
                  <w:pPr>
                    <w:jc w:val="center"/>
                    <w:rPr>
                      <w:rFonts w:hint="default" w:ascii="Times New Roman" w:hAnsi="Times New Roman" w:eastAsia="宋体" w:cs="Times New Roman"/>
                      <w:color w:val="auto"/>
                      <w:kern w:val="2"/>
                      <w:sz w:val="21"/>
                      <w:szCs w:val="21"/>
                      <w:u w:val="single"/>
                      <w:lang w:val="en-US" w:eastAsia="zh-CN" w:bidi="ar-SA"/>
                    </w:rPr>
                  </w:pPr>
                  <w:r>
                    <w:rPr>
                      <w:rFonts w:hint="default" w:ascii="Times New Roman" w:hAnsi="Times New Roman" w:cs="Times New Roman"/>
                      <w:color w:val="auto"/>
                      <w:sz w:val="21"/>
                      <w:szCs w:val="21"/>
                      <w:u w:val="single"/>
                      <w:lang w:val="en-US" w:eastAsia="zh-CN"/>
                    </w:rPr>
                    <w:t>排放</w:t>
                  </w:r>
                  <w:r>
                    <w:rPr>
                      <w:rFonts w:hint="default" w:ascii="Times New Roman" w:hAnsi="Times New Roman" w:cs="Times New Roman"/>
                      <w:color w:val="auto"/>
                      <w:sz w:val="21"/>
                      <w:szCs w:val="21"/>
                      <w:u w:val="single"/>
                    </w:rPr>
                    <w:t>速率</w:t>
                  </w:r>
                </w:p>
              </w:tc>
              <w:tc>
                <w:tcPr>
                  <w:tcW w:w="549" w:type="pct"/>
                  <w:tcBorders>
                    <w:tl2br w:val="nil"/>
                    <w:tr2bl w:val="nil"/>
                  </w:tcBorders>
                  <w:shd w:val="clear" w:color="auto" w:fill="auto"/>
                  <w:noWrap w:val="0"/>
                  <w:vAlign w:val="center"/>
                </w:tcPr>
                <w:p w14:paraId="43DEEC90">
                  <w:pPr>
                    <w:jc w:val="center"/>
                    <w:rPr>
                      <w:rFonts w:hint="default" w:ascii="Times New Roman" w:hAnsi="Times New Roman" w:eastAsia="宋体" w:cs="Times New Roman"/>
                      <w:b w:val="0"/>
                      <w:bCs w:val="0"/>
                      <w:color w:val="auto"/>
                      <w:kern w:val="2"/>
                      <w:sz w:val="21"/>
                      <w:szCs w:val="21"/>
                      <w:u w:val="single"/>
                      <w:lang w:val="en-US" w:eastAsia="zh-CN" w:bidi="ar-SA"/>
                    </w:rPr>
                  </w:pPr>
                  <w:r>
                    <w:rPr>
                      <w:rFonts w:hint="default" w:ascii="Times New Roman" w:hAnsi="Times New Roman" w:cs="Times New Roman"/>
                      <w:b w:val="0"/>
                      <w:bCs w:val="0"/>
                      <w:color w:val="auto"/>
                      <w:sz w:val="21"/>
                      <w:szCs w:val="21"/>
                      <w:u w:val="single"/>
                    </w:rPr>
                    <w:t>kg/h</w:t>
                  </w:r>
                </w:p>
              </w:tc>
              <w:tc>
                <w:tcPr>
                  <w:tcW w:w="595" w:type="pct"/>
                  <w:tcBorders>
                    <w:tl2br w:val="nil"/>
                    <w:tr2bl w:val="nil"/>
                  </w:tcBorders>
                  <w:noWrap w:val="0"/>
                  <w:vAlign w:val="center"/>
                </w:tcPr>
                <w:p w14:paraId="2B61A3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single"/>
                      <w:lang w:val="en-US" w:eastAsia="zh-CN" w:bidi="ar"/>
                    </w:rPr>
                  </w:pPr>
                  <w:r>
                    <w:rPr>
                      <w:rFonts w:hint="eastAsia" w:ascii="Times New Roman" w:hAnsi="Times New Roman" w:eastAsia="宋体" w:cs="Times New Roman"/>
                      <w:i w:val="0"/>
                      <w:iCs w:val="0"/>
                      <w:color w:val="auto"/>
                      <w:kern w:val="0"/>
                      <w:sz w:val="21"/>
                      <w:szCs w:val="21"/>
                      <w:u w:val="single"/>
                      <w:lang w:val="en-US" w:eastAsia="zh-CN" w:bidi="ar"/>
                    </w:rPr>
                    <w:t>0.097</w:t>
                  </w:r>
                </w:p>
              </w:tc>
              <w:tc>
                <w:tcPr>
                  <w:tcW w:w="595" w:type="pct"/>
                  <w:tcBorders>
                    <w:tl2br w:val="nil"/>
                    <w:tr2bl w:val="nil"/>
                  </w:tcBorders>
                  <w:noWrap w:val="0"/>
                  <w:vAlign w:val="center"/>
                </w:tcPr>
                <w:p w14:paraId="5D8A97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single"/>
                      <w:lang w:val="en-US" w:eastAsia="zh-CN" w:bidi="ar"/>
                    </w:rPr>
                  </w:pPr>
                  <w:r>
                    <w:rPr>
                      <w:rFonts w:hint="eastAsia" w:ascii="Times New Roman" w:hAnsi="Times New Roman" w:eastAsia="宋体" w:cs="Times New Roman"/>
                      <w:i w:val="0"/>
                      <w:iCs w:val="0"/>
                      <w:color w:val="auto"/>
                      <w:kern w:val="0"/>
                      <w:sz w:val="21"/>
                      <w:szCs w:val="21"/>
                      <w:u w:val="single"/>
                      <w:lang w:val="en-US" w:eastAsia="zh-CN" w:bidi="ar"/>
                    </w:rPr>
                    <w:t>0.108</w:t>
                  </w:r>
                </w:p>
              </w:tc>
              <w:tc>
                <w:tcPr>
                  <w:tcW w:w="604" w:type="pct"/>
                  <w:tcBorders>
                    <w:tl2br w:val="nil"/>
                    <w:tr2bl w:val="nil"/>
                  </w:tcBorders>
                  <w:noWrap w:val="0"/>
                  <w:vAlign w:val="center"/>
                </w:tcPr>
                <w:p w14:paraId="72339F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single"/>
                      <w:lang w:val="en-US" w:eastAsia="zh-CN" w:bidi="ar"/>
                    </w:rPr>
                  </w:pPr>
                  <w:r>
                    <w:rPr>
                      <w:rFonts w:hint="eastAsia" w:ascii="Times New Roman" w:hAnsi="Times New Roman" w:eastAsia="宋体" w:cs="Times New Roman"/>
                      <w:i w:val="0"/>
                      <w:iCs w:val="0"/>
                      <w:color w:val="auto"/>
                      <w:kern w:val="0"/>
                      <w:sz w:val="21"/>
                      <w:szCs w:val="21"/>
                      <w:u w:val="single"/>
                      <w:lang w:val="en-US" w:eastAsia="zh-CN" w:bidi="ar"/>
                    </w:rPr>
                    <w:t>0.096</w:t>
                  </w:r>
                </w:p>
              </w:tc>
              <w:tc>
                <w:tcPr>
                  <w:tcW w:w="458" w:type="pct"/>
                  <w:tcBorders>
                    <w:tl2br w:val="nil"/>
                    <w:tr2bl w:val="nil"/>
                  </w:tcBorders>
                  <w:noWrap w:val="0"/>
                  <w:vAlign w:val="center"/>
                </w:tcPr>
                <w:p w14:paraId="667C036E">
                  <w:pPr>
                    <w:keepNext w:val="0"/>
                    <w:keepLines w:val="0"/>
                    <w:pageBreakBefore w:val="0"/>
                    <w:widowControl/>
                    <w:suppressLineNumbers w:val="0"/>
                    <w:kinsoku/>
                    <w:wordWrap/>
                    <w:overflowPunct/>
                    <w:topLinePunct w:val="0"/>
                    <w:autoSpaceDE/>
                    <w:autoSpaceDN/>
                    <w:bidi w:val="0"/>
                    <w:adjustRightInd/>
                    <w:snapToGrid/>
                    <w:spacing w:line="0" w:lineRule="atLeast"/>
                    <w:ind w:left="0" w:leftChars="0" w:right="0" w:rightChars="0" w:firstLine="0" w:firstLineChars="0"/>
                    <w:jc w:val="center"/>
                    <w:textAlignment w:val="center"/>
                    <w:outlineLvl w:val="9"/>
                    <w:rPr>
                      <w:rFonts w:hint="default" w:ascii="Times New Roman" w:hAnsi="Times New Roman" w:cs="Times New Roman"/>
                      <w:b w:val="0"/>
                      <w:bCs w:val="0"/>
                      <w:color w:val="auto"/>
                      <w:sz w:val="21"/>
                      <w:szCs w:val="21"/>
                      <w:u w:val="single"/>
                      <w:lang w:val="en-US" w:eastAsia="zh-CN"/>
                    </w:rPr>
                  </w:pPr>
                  <w:r>
                    <w:rPr>
                      <w:rFonts w:hint="eastAsia" w:ascii="Times New Roman" w:hAnsi="Times New Roman" w:cs="Times New Roman"/>
                      <w:b w:val="0"/>
                      <w:bCs w:val="0"/>
                      <w:color w:val="auto"/>
                      <w:sz w:val="21"/>
                      <w:szCs w:val="21"/>
                      <w:u w:val="single"/>
                      <w:lang w:val="en-US" w:eastAsia="zh-CN"/>
                    </w:rPr>
                    <w:t>/</w:t>
                  </w:r>
                </w:p>
              </w:tc>
            </w:tr>
          </w:tbl>
          <w:p w14:paraId="5B7503C5">
            <w:pPr>
              <w:numPr>
                <w:ilvl w:val="0"/>
                <w:numId w:val="0"/>
              </w:numPr>
              <w:adjustRightInd w:val="0"/>
              <w:snapToGrid w:val="0"/>
              <w:spacing w:line="360" w:lineRule="auto"/>
              <w:ind w:left="0" w:leftChars="0" w:firstLine="482" w:firstLineChars="200"/>
              <w:jc w:val="both"/>
              <w:rPr>
                <w:rFonts w:hint="default" w:ascii="Times New Roman" w:hAnsi="Times New Roman" w:eastAsia="宋体" w:cs="Times New Roman"/>
                <w:b/>
                <w:bCs w:val="0"/>
                <w:color w:val="auto"/>
                <w:sz w:val="24"/>
                <w:szCs w:val="24"/>
                <w:highlight w:val="none"/>
                <w:u w:val="none"/>
                <w:lang w:val="en-US" w:eastAsia="zh-CN"/>
              </w:rPr>
            </w:pPr>
            <w:r>
              <w:rPr>
                <w:rFonts w:hint="default" w:ascii="Times New Roman" w:hAnsi="Times New Roman" w:eastAsia="宋体" w:cs="Times New Roman"/>
                <w:b/>
                <w:bCs w:val="0"/>
                <w:color w:val="auto"/>
                <w:kern w:val="2"/>
                <w:sz w:val="24"/>
                <w:szCs w:val="24"/>
                <w:lang w:val="en-US" w:eastAsia="zh-CN" w:bidi="ar-SA"/>
              </w:rPr>
              <w:t>2、</w:t>
            </w:r>
            <w:r>
              <w:rPr>
                <w:rFonts w:hint="eastAsia" w:ascii="Times New Roman" w:hAnsi="Times New Roman" w:eastAsia="宋体" w:cs="Times New Roman"/>
                <w:b/>
                <w:bCs w:val="0"/>
                <w:color w:val="auto"/>
                <w:sz w:val="24"/>
                <w:szCs w:val="24"/>
                <w:highlight w:val="none"/>
                <w:u w:val="none"/>
                <w:lang w:val="en-US" w:eastAsia="zh-CN"/>
              </w:rPr>
              <w:t>废水</w:t>
            </w:r>
          </w:p>
          <w:p w14:paraId="04F22F30">
            <w:pPr>
              <w:spacing w:line="360" w:lineRule="auto"/>
              <w:ind w:firstLine="480" w:firstLineChars="200"/>
              <w:rPr>
                <w:rFonts w:hint="eastAsia" w:ascii="Times New Roman" w:hAnsi="Times New Roman" w:eastAsia="宋体" w:cs="Times New Roman"/>
                <w:color w:val="auto"/>
                <w:spacing w:val="0"/>
                <w:sz w:val="24"/>
                <w:highlight w:val="none"/>
                <w:lang w:val="en-US" w:eastAsia="zh-CN"/>
              </w:rPr>
            </w:pPr>
            <w:r>
              <w:rPr>
                <w:rFonts w:hint="eastAsia" w:cs="Times New Roman"/>
                <w:bCs/>
                <w:color w:val="auto"/>
                <w:spacing w:val="0"/>
                <w:sz w:val="24"/>
                <w:szCs w:val="24"/>
                <w:lang w:val="en-US" w:eastAsia="zh-CN"/>
              </w:rPr>
              <w:t>变动前</w:t>
            </w:r>
            <w:r>
              <w:rPr>
                <w:rFonts w:hint="default" w:ascii="Times New Roman" w:hAnsi="Times New Roman" w:eastAsia="宋体" w:cs="Times New Roman"/>
                <w:color w:val="auto"/>
                <w:spacing w:val="0"/>
                <w:sz w:val="24"/>
                <w:highlight w:val="none"/>
                <w:lang w:val="en-US" w:eastAsia="zh-CN"/>
              </w:rPr>
              <w:t>项目</w:t>
            </w:r>
            <w:r>
              <w:rPr>
                <w:rFonts w:hint="eastAsia" w:ascii="Times New Roman" w:hAnsi="Times New Roman" w:cs="Times New Roman"/>
                <w:color w:val="auto"/>
                <w:spacing w:val="0"/>
                <w:sz w:val="24"/>
                <w:highlight w:val="none"/>
                <w:lang w:val="en-US" w:eastAsia="zh-CN"/>
              </w:rPr>
              <w:t>无生产废水排放，</w:t>
            </w:r>
            <w:r>
              <w:rPr>
                <w:rFonts w:hint="default" w:ascii="Times New Roman" w:hAnsi="Times New Roman" w:eastAsia="宋体" w:cs="Times New Roman"/>
                <w:color w:val="auto"/>
                <w:spacing w:val="0"/>
                <w:sz w:val="24"/>
                <w:highlight w:val="none"/>
                <w:lang w:val="en-US" w:eastAsia="zh-CN"/>
              </w:rPr>
              <w:t>生活污水排放量为0.51m</w:t>
            </w:r>
            <w:r>
              <w:rPr>
                <w:rFonts w:hint="default" w:ascii="Times New Roman" w:hAnsi="Times New Roman" w:eastAsia="宋体" w:cs="Times New Roman"/>
                <w:color w:val="auto"/>
                <w:spacing w:val="0"/>
                <w:sz w:val="24"/>
                <w:highlight w:val="none"/>
                <w:vertAlign w:val="superscript"/>
                <w:lang w:val="en-US" w:eastAsia="zh-CN"/>
              </w:rPr>
              <w:t>3</w:t>
            </w:r>
            <w:r>
              <w:rPr>
                <w:rFonts w:hint="default" w:ascii="Times New Roman" w:hAnsi="Times New Roman" w:eastAsia="宋体" w:cs="Times New Roman"/>
                <w:color w:val="auto"/>
                <w:spacing w:val="0"/>
                <w:sz w:val="24"/>
                <w:highlight w:val="none"/>
                <w:lang w:val="en-US" w:eastAsia="zh-CN"/>
              </w:rPr>
              <w:t>/d</w:t>
            </w:r>
            <w:r>
              <w:rPr>
                <w:rFonts w:hint="default" w:ascii="Times New Roman" w:hAnsi="Times New Roman" w:cs="Times New Roman"/>
                <w:color w:val="auto"/>
                <w:spacing w:val="0"/>
                <w:sz w:val="24"/>
                <w:highlight w:val="none"/>
                <w:lang w:val="en-US" w:eastAsia="zh-CN"/>
              </w:rPr>
              <w:t>（</w:t>
            </w:r>
            <w:r>
              <w:rPr>
                <w:rStyle w:val="136"/>
                <w:rFonts w:hint="default" w:ascii="Times New Roman" w:hAnsi="Times New Roman" w:cs="Times New Roman"/>
                <w:color w:val="auto"/>
                <w:highlight w:val="none"/>
                <w:u w:val="none" w:color="auto"/>
              </w:rPr>
              <w:t>152</w:t>
            </w:r>
            <w:r>
              <w:rPr>
                <w:rFonts w:hint="default" w:ascii="Times New Roman" w:hAnsi="Times New Roman" w:cs="Times New Roman"/>
                <w:color w:val="auto"/>
                <w:sz w:val="24"/>
                <w:highlight w:val="none"/>
                <w:u w:val="none" w:color="auto"/>
                <w:lang w:eastAsia="zh-CN"/>
              </w:rPr>
              <w:t>m</w:t>
            </w:r>
            <w:r>
              <w:rPr>
                <w:rFonts w:hint="default" w:ascii="Times New Roman" w:hAnsi="Times New Roman" w:cs="Times New Roman"/>
                <w:color w:val="auto"/>
                <w:sz w:val="24"/>
                <w:highlight w:val="none"/>
                <w:u w:val="none" w:color="auto"/>
                <w:vertAlign w:val="superscript"/>
                <w:lang w:eastAsia="zh-CN"/>
              </w:rPr>
              <w:t>3</w:t>
            </w:r>
            <w:r>
              <w:rPr>
                <w:rFonts w:hint="default" w:ascii="Times New Roman" w:hAnsi="Times New Roman" w:cs="Times New Roman"/>
                <w:color w:val="auto"/>
                <w:sz w:val="24"/>
                <w:highlight w:val="none"/>
                <w:u w:val="none" w:color="auto"/>
                <w:lang w:eastAsia="zh-CN"/>
              </w:rPr>
              <w:t>/a</w:t>
            </w:r>
            <w:r>
              <w:rPr>
                <w:rFonts w:hint="default" w:ascii="Times New Roman" w:hAnsi="Times New Roman" w:cs="Times New Roman"/>
                <w:color w:val="auto"/>
                <w:spacing w:val="0"/>
                <w:sz w:val="24"/>
                <w:highlight w:val="none"/>
                <w:lang w:val="en-US" w:eastAsia="zh-CN"/>
              </w:rPr>
              <w:t>）</w:t>
            </w:r>
            <w:r>
              <w:rPr>
                <w:rFonts w:hint="eastAsia" w:ascii="Times New Roman" w:hAnsi="Times New Roman" w:cs="Times New Roman"/>
                <w:color w:val="auto"/>
                <w:spacing w:val="0"/>
                <w:sz w:val="24"/>
                <w:highlight w:val="none"/>
                <w:lang w:val="en-US" w:eastAsia="zh-CN"/>
              </w:rPr>
              <w:t>，生活污水经三级化粪池处理后用作农肥。</w:t>
            </w:r>
          </w:p>
          <w:p w14:paraId="243C751F">
            <w:pPr>
              <w:numPr>
                <w:ilvl w:val="0"/>
                <w:numId w:val="0"/>
              </w:numPr>
              <w:adjustRightInd w:val="0"/>
              <w:snapToGrid w:val="0"/>
              <w:spacing w:line="360" w:lineRule="auto"/>
              <w:ind w:left="0" w:leftChars="0" w:firstLine="482" w:firstLineChars="200"/>
              <w:jc w:val="both"/>
              <w:rPr>
                <w:rFonts w:hint="default" w:ascii="Times New Roman" w:hAnsi="Times New Roman" w:eastAsia="宋体" w:cs="Times New Roman"/>
                <w:b/>
                <w:bCs w:val="0"/>
                <w:color w:val="auto"/>
                <w:sz w:val="24"/>
                <w:szCs w:val="24"/>
                <w:highlight w:val="none"/>
                <w:u w:val="none"/>
                <w:lang w:val="en-US" w:eastAsia="zh-CN"/>
              </w:rPr>
            </w:pPr>
            <w:r>
              <w:rPr>
                <w:rFonts w:hint="default" w:ascii="Times New Roman" w:hAnsi="Times New Roman" w:eastAsia="宋体" w:cs="Times New Roman"/>
                <w:b/>
                <w:bCs w:val="0"/>
                <w:color w:val="auto"/>
                <w:kern w:val="2"/>
                <w:sz w:val="24"/>
                <w:szCs w:val="24"/>
                <w:u w:val="none"/>
                <w:lang w:val="en-US" w:eastAsia="zh-CN" w:bidi="ar-SA"/>
              </w:rPr>
              <w:t>3、</w:t>
            </w:r>
            <w:r>
              <w:rPr>
                <w:rFonts w:hint="eastAsia" w:ascii="Times New Roman" w:hAnsi="Times New Roman" w:eastAsia="宋体" w:cs="Times New Roman"/>
                <w:b/>
                <w:bCs w:val="0"/>
                <w:color w:val="auto"/>
                <w:sz w:val="24"/>
                <w:szCs w:val="24"/>
                <w:highlight w:val="none"/>
                <w:u w:val="none"/>
                <w:lang w:val="en-US" w:eastAsia="zh-CN"/>
              </w:rPr>
              <w:t>噪声</w:t>
            </w:r>
          </w:p>
          <w:p w14:paraId="7CE4A5E7">
            <w:pPr>
              <w:pStyle w:val="31"/>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pacing w:val="0"/>
                <w:sz w:val="24"/>
                <w:szCs w:val="24"/>
              </w:rPr>
            </w:pPr>
            <w:r>
              <w:rPr>
                <w:rFonts w:hint="eastAsia" w:cs="Times New Roman"/>
                <w:bCs/>
                <w:color w:val="auto"/>
                <w:spacing w:val="0"/>
                <w:sz w:val="24"/>
                <w:szCs w:val="24"/>
                <w:lang w:val="en-US" w:eastAsia="zh-CN"/>
              </w:rPr>
              <w:t>变动前项目</w:t>
            </w:r>
            <w:r>
              <w:rPr>
                <w:rFonts w:hint="eastAsia" w:ascii="Times New Roman" w:hAnsi="Times New Roman"/>
                <w:color w:val="auto"/>
                <w:sz w:val="24"/>
                <w:szCs w:val="24"/>
                <w:lang w:val="en-US" w:eastAsia="zh-CN"/>
              </w:rPr>
              <w:t>噪声来源于生产设备，</w:t>
            </w:r>
            <w:r>
              <w:rPr>
                <w:rFonts w:hint="eastAsia" w:hAnsi="宋体"/>
                <w:color w:val="auto"/>
                <w:kern w:val="0"/>
                <w:sz w:val="24"/>
              </w:rPr>
              <w:t>设备运行噪声值在</w:t>
            </w:r>
            <w:r>
              <w:rPr>
                <w:rFonts w:hAnsi="宋体"/>
                <w:color w:val="auto"/>
                <w:kern w:val="0"/>
                <w:sz w:val="24"/>
              </w:rPr>
              <w:t>70-</w:t>
            </w:r>
            <w:r>
              <w:rPr>
                <w:rFonts w:hint="eastAsia" w:hAnsi="宋体"/>
                <w:color w:val="auto"/>
                <w:kern w:val="0"/>
                <w:sz w:val="24"/>
                <w:lang w:val="en-US" w:eastAsia="zh-CN"/>
              </w:rPr>
              <w:t>90</w:t>
            </w:r>
            <w:r>
              <w:rPr>
                <w:rFonts w:hAnsi="宋体"/>
                <w:color w:val="auto"/>
                <w:kern w:val="0"/>
                <w:sz w:val="24"/>
              </w:rPr>
              <w:t>dB(A)</w:t>
            </w:r>
            <w:r>
              <w:rPr>
                <w:rFonts w:hint="eastAsia" w:hAnsi="宋体"/>
                <w:color w:val="auto"/>
                <w:kern w:val="0"/>
                <w:sz w:val="24"/>
              </w:rPr>
              <w:t>之间</w:t>
            </w:r>
            <w:r>
              <w:rPr>
                <w:rFonts w:hint="eastAsia"/>
                <w:color w:val="auto"/>
                <w:sz w:val="24"/>
              </w:rPr>
              <w:t>，</w:t>
            </w:r>
            <w:r>
              <w:rPr>
                <w:rFonts w:ascii="Times New Roman" w:hAnsi="Times New Roman"/>
                <w:color w:val="auto"/>
                <w:sz w:val="24"/>
                <w:szCs w:val="24"/>
              </w:rPr>
              <w:t>通过选取低噪声设备，落实减振、隔声等降噪措施减轻噪声对周边环境的影响。</w:t>
            </w:r>
          </w:p>
          <w:p w14:paraId="0BBB18E3">
            <w:pPr>
              <w:pStyle w:val="32"/>
              <w:numPr>
                <w:ilvl w:val="0"/>
                <w:numId w:val="0"/>
              </w:numPr>
              <w:ind w:firstLine="482" w:firstLineChars="200"/>
              <w:rPr>
                <w:rFonts w:hint="default" w:ascii="Times New Roman" w:hAnsi="Times New Roman" w:eastAsia="宋体" w:cs="Times New Roman"/>
                <w:b/>
                <w:bCs w:val="0"/>
                <w:color w:val="auto"/>
                <w:kern w:val="2"/>
                <w:sz w:val="24"/>
                <w:szCs w:val="24"/>
                <w:highlight w:val="none"/>
                <w:u w:val="none"/>
                <w:lang w:val="en-US" w:eastAsia="zh-CN" w:bidi="ar-SA"/>
              </w:rPr>
            </w:pPr>
            <w:r>
              <w:rPr>
                <w:rFonts w:hint="default" w:ascii="Times New Roman" w:hAnsi="Times New Roman" w:eastAsia="宋体" w:cs="Times New Roman"/>
                <w:b/>
                <w:bCs w:val="0"/>
                <w:color w:val="auto"/>
                <w:kern w:val="2"/>
                <w:sz w:val="24"/>
                <w:szCs w:val="24"/>
                <w:u w:val="none"/>
                <w:lang w:val="en-US" w:eastAsia="zh-CN" w:bidi="ar-SA"/>
              </w:rPr>
              <w:t>4、</w:t>
            </w:r>
            <w:r>
              <w:rPr>
                <w:rFonts w:hint="default" w:ascii="Times New Roman" w:hAnsi="Times New Roman" w:eastAsia="宋体" w:cs="Times New Roman"/>
                <w:b/>
                <w:bCs w:val="0"/>
                <w:color w:val="auto"/>
                <w:kern w:val="2"/>
                <w:sz w:val="24"/>
                <w:szCs w:val="24"/>
                <w:highlight w:val="none"/>
                <w:u w:val="none"/>
                <w:lang w:val="en-US" w:eastAsia="zh-CN" w:bidi="ar-SA"/>
              </w:rPr>
              <w:t>固体废物</w:t>
            </w:r>
          </w:p>
          <w:p w14:paraId="2EC23A36">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color w:val="auto"/>
                <w:sz w:val="24"/>
                <w:szCs w:val="24"/>
                <w:lang w:val="en-US"/>
              </w:rPr>
            </w:pPr>
            <w:r>
              <w:rPr>
                <w:rFonts w:hint="eastAsia" w:cs="Times New Roman"/>
                <w:bCs/>
                <w:color w:val="auto"/>
                <w:spacing w:val="0"/>
                <w:sz w:val="24"/>
                <w:szCs w:val="24"/>
                <w:lang w:val="en-US" w:eastAsia="zh-CN"/>
              </w:rPr>
              <w:t>变动前</w:t>
            </w:r>
            <w:r>
              <w:rPr>
                <w:rFonts w:hint="eastAsia" w:ascii="Times New Roman" w:hAnsi="Times New Roman" w:eastAsia="宋体" w:cs="Times New Roman"/>
                <w:color w:val="auto"/>
                <w:spacing w:val="0"/>
                <w:kern w:val="0"/>
                <w:sz w:val="24"/>
                <w:highlight w:val="none"/>
                <w:u w:val="none" w:color="auto"/>
                <w:lang w:val="en-US" w:eastAsia="zh-CN"/>
              </w:rPr>
              <w:t>项目</w:t>
            </w:r>
            <w:r>
              <w:rPr>
                <w:rFonts w:hint="eastAsia" w:cs="Times New Roman"/>
                <w:color w:val="auto"/>
                <w:spacing w:val="0"/>
                <w:kern w:val="0"/>
                <w:sz w:val="24"/>
                <w:highlight w:val="none"/>
                <w:u w:val="none" w:color="auto"/>
                <w:lang w:val="en-US" w:eastAsia="zh-CN"/>
              </w:rPr>
              <w:t>情况见下表：</w:t>
            </w:r>
          </w:p>
          <w:p w14:paraId="08554E0F">
            <w:pPr>
              <w:keepNext w:val="0"/>
              <w:keepLines w:val="0"/>
              <w:pageBreakBefore w:val="0"/>
              <w:widowControl w:val="0"/>
              <w:tabs>
                <w:tab w:val="left" w:pos="5010"/>
              </w:tabs>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u w:val="none" w:color="auto"/>
                <w:lang w:val="en-US" w:eastAsia="zh-CN"/>
              </w:rPr>
            </w:pPr>
            <w:r>
              <w:rPr>
                <w:rFonts w:hint="default" w:ascii="Times New Roman" w:hAnsi="Times New Roman" w:eastAsia="宋体" w:cs="Times New Roman"/>
                <w:b/>
                <w:color w:val="auto"/>
                <w:spacing w:val="0"/>
                <w:sz w:val="21"/>
                <w:szCs w:val="21"/>
                <w:u w:val="none" w:color="auto"/>
              </w:rPr>
              <w:t>表</w:t>
            </w:r>
            <w:r>
              <w:rPr>
                <w:rFonts w:hint="eastAsia" w:cs="Times New Roman"/>
                <w:b/>
                <w:color w:val="auto"/>
                <w:spacing w:val="0"/>
                <w:sz w:val="21"/>
                <w:szCs w:val="21"/>
                <w:u w:val="none" w:color="auto"/>
                <w:lang w:val="en-US" w:eastAsia="zh-CN"/>
              </w:rPr>
              <w:t>2-13</w:t>
            </w:r>
            <w:r>
              <w:rPr>
                <w:rFonts w:hint="default" w:ascii="Times New Roman" w:hAnsi="Times New Roman" w:eastAsia="宋体" w:cs="Times New Roman"/>
                <w:b/>
                <w:color w:val="auto"/>
                <w:spacing w:val="0"/>
                <w:sz w:val="21"/>
                <w:szCs w:val="21"/>
                <w:u w:val="none" w:color="auto"/>
                <w:lang w:val="en-US" w:eastAsia="zh-CN"/>
              </w:rPr>
              <w:t xml:space="preserve">  </w:t>
            </w:r>
            <w:r>
              <w:rPr>
                <w:rFonts w:hint="eastAsia" w:cs="Times New Roman"/>
                <w:b/>
                <w:color w:val="auto"/>
                <w:spacing w:val="0"/>
                <w:sz w:val="21"/>
                <w:szCs w:val="21"/>
                <w:u w:val="none" w:color="auto"/>
                <w:lang w:val="en-US" w:eastAsia="zh-CN"/>
              </w:rPr>
              <w:t>变动前</w:t>
            </w:r>
            <w:r>
              <w:rPr>
                <w:rFonts w:hint="eastAsia" w:ascii="Times New Roman" w:hAnsi="Times New Roman" w:eastAsia="宋体" w:cs="Times New Roman"/>
                <w:b/>
                <w:color w:val="auto"/>
                <w:spacing w:val="0"/>
                <w:sz w:val="21"/>
                <w:szCs w:val="21"/>
                <w:u w:val="none" w:color="auto"/>
                <w:lang w:val="en-US" w:eastAsia="zh-CN"/>
              </w:rPr>
              <w:t>项目</w:t>
            </w:r>
            <w:r>
              <w:rPr>
                <w:rFonts w:hint="default" w:ascii="Times New Roman" w:hAnsi="Times New Roman" w:eastAsia="宋体" w:cs="Times New Roman"/>
                <w:b/>
                <w:color w:val="auto"/>
                <w:spacing w:val="0"/>
                <w:sz w:val="21"/>
                <w:szCs w:val="21"/>
                <w:u w:val="none" w:color="auto"/>
                <w:lang w:eastAsia="zh-CN"/>
              </w:rPr>
              <w:t>固体废物产排放情况</w:t>
            </w:r>
          </w:p>
          <w:tbl>
            <w:tblPr>
              <w:tblStyle w:val="12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098"/>
              <w:gridCol w:w="1462"/>
              <w:gridCol w:w="2109"/>
              <w:gridCol w:w="1247"/>
              <w:gridCol w:w="2440"/>
            </w:tblGrid>
            <w:tr w14:paraId="6CBE84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657" w:type="pct"/>
                  <w:tcBorders>
                    <w:tl2br w:val="nil"/>
                    <w:tr2bl w:val="nil"/>
                  </w:tcBorders>
                  <w:vAlign w:val="center"/>
                </w:tcPr>
                <w:p w14:paraId="21405CE7">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spacing w:val="8"/>
                      <w:sz w:val="21"/>
                      <w:szCs w:val="21"/>
                      <w:highlight w:val="none"/>
                      <w:u w:val="none" w:color="auto"/>
                    </w:rPr>
                    <w:t>产生环节</w:t>
                  </w:r>
                </w:p>
              </w:tc>
              <w:tc>
                <w:tcPr>
                  <w:tcW w:w="874" w:type="pct"/>
                  <w:tcBorders>
                    <w:tl2br w:val="nil"/>
                    <w:tr2bl w:val="nil"/>
                  </w:tcBorders>
                  <w:vAlign w:val="center"/>
                </w:tcPr>
                <w:p w14:paraId="75C00FD9">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spacing w:val="4"/>
                      <w:sz w:val="21"/>
                      <w:szCs w:val="21"/>
                      <w:highlight w:val="none"/>
                      <w:u w:val="none" w:color="auto"/>
                    </w:rPr>
                    <w:t>名称</w:t>
                  </w:r>
                </w:p>
              </w:tc>
              <w:tc>
                <w:tcPr>
                  <w:tcW w:w="1261" w:type="pct"/>
                  <w:tcBorders>
                    <w:tl2br w:val="nil"/>
                    <w:tr2bl w:val="nil"/>
                  </w:tcBorders>
                  <w:vAlign w:val="center"/>
                </w:tcPr>
                <w:p w14:paraId="2BD96C70">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auto"/>
                      <w:sz w:val="21"/>
                      <w:szCs w:val="21"/>
                      <w:highlight w:val="none"/>
                      <w:u w:val="none" w:color="auto"/>
                      <w:lang w:eastAsia="zh-CN"/>
                    </w:rPr>
                  </w:pPr>
                  <w:r>
                    <w:rPr>
                      <w:rFonts w:hint="default" w:ascii="Times New Roman" w:hAnsi="Times New Roman" w:eastAsia="宋体" w:cs="Times New Roman"/>
                      <w:b/>
                      <w:bCs/>
                      <w:color w:val="auto"/>
                      <w:spacing w:val="5"/>
                      <w:sz w:val="21"/>
                      <w:szCs w:val="21"/>
                      <w:highlight w:val="none"/>
                      <w:u w:val="none" w:color="auto"/>
                      <w:lang w:val="en-US" w:eastAsia="zh-CN"/>
                    </w:rPr>
                    <w:t>属性、代码</w:t>
                  </w:r>
                </w:p>
              </w:tc>
              <w:tc>
                <w:tcPr>
                  <w:tcW w:w="746" w:type="pct"/>
                  <w:tcBorders>
                    <w:tl2br w:val="nil"/>
                    <w:tr2bl w:val="nil"/>
                  </w:tcBorders>
                  <w:vAlign w:val="center"/>
                </w:tcPr>
                <w:p w14:paraId="3CD6F7FB">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auto"/>
                      <w:sz w:val="21"/>
                      <w:szCs w:val="21"/>
                      <w:highlight w:val="none"/>
                      <w:u w:val="none" w:color="auto"/>
                      <w:lang w:eastAsia="zh-CN"/>
                    </w:rPr>
                  </w:pPr>
                  <w:r>
                    <w:rPr>
                      <w:rFonts w:hint="default" w:ascii="Times New Roman" w:hAnsi="Times New Roman" w:eastAsia="宋体" w:cs="Times New Roman"/>
                      <w:b/>
                      <w:bCs/>
                      <w:color w:val="auto"/>
                      <w:spacing w:val="7"/>
                      <w:sz w:val="21"/>
                      <w:szCs w:val="21"/>
                      <w:highlight w:val="none"/>
                      <w:u w:val="none" w:color="auto"/>
                    </w:rPr>
                    <w:t>年产生</w:t>
                  </w:r>
                  <w:r>
                    <w:rPr>
                      <w:rFonts w:hint="default" w:ascii="Times New Roman" w:hAnsi="Times New Roman" w:eastAsia="宋体" w:cs="Times New Roman"/>
                      <w:b/>
                      <w:bCs/>
                      <w:color w:val="auto"/>
                      <w:sz w:val="21"/>
                      <w:szCs w:val="21"/>
                      <w:highlight w:val="none"/>
                      <w:u w:val="none" w:color="auto"/>
                    </w:rPr>
                    <w:t>量</w:t>
                  </w:r>
                </w:p>
              </w:tc>
              <w:tc>
                <w:tcPr>
                  <w:tcW w:w="1459" w:type="pct"/>
                  <w:tcBorders>
                    <w:tl2br w:val="nil"/>
                    <w:tr2bl w:val="nil"/>
                  </w:tcBorders>
                  <w:vAlign w:val="center"/>
                </w:tcPr>
                <w:p w14:paraId="0E741F21">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spacing w:val="6"/>
                      <w:sz w:val="21"/>
                      <w:szCs w:val="21"/>
                      <w:highlight w:val="none"/>
                      <w:u w:val="none" w:color="auto"/>
                    </w:rPr>
                    <w:t>处置方式及去</w:t>
                  </w:r>
                  <w:r>
                    <w:rPr>
                      <w:rFonts w:hint="default" w:ascii="Times New Roman" w:hAnsi="Times New Roman" w:eastAsia="宋体" w:cs="Times New Roman"/>
                      <w:b/>
                      <w:bCs/>
                      <w:color w:val="auto"/>
                      <w:sz w:val="21"/>
                      <w:szCs w:val="21"/>
                      <w:highlight w:val="none"/>
                      <w:u w:val="none" w:color="auto"/>
                    </w:rPr>
                    <w:t>向</w:t>
                  </w:r>
                </w:p>
              </w:tc>
            </w:tr>
            <w:tr w14:paraId="1548EF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2" w:hRule="atLeast"/>
              </w:trPr>
              <w:tc>
                <w:tcPr>
                  <w:tcW w:w="657" w:type="pct"/>
                  <w:tcBorders>
                    <w:tl2br w:val="nil"/>
                    <w:tr2bl w:val="nil"/>
                  </w:tcBorders>
                  <w:vAlign w:val="center"/>
                </w:tcPr>
                <w:p w14:paraId="6D7F1E72">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员工生活</w:t>
                  </w:r>
                </w:p>
              </w:tc>
              <w:tc>
                <w:tcPr>
                  <w:tcW w:w="874" w:type="pct"/>
                  <w:tcBorders>
                    <w:tl2br w:val="nil"/>
                    <w:tr2bl w:val="nil"/>
                  </w:tcBorders>
                  <w:vAlign w:val="center"/>
                </w:tcPr>
                <w:p w14:paraId="78947275">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生活垃圾</w:t>
                  </w:r>
                </w:p>
              </w:tc>
              <w:tc>
                <w:tcPr>
                  <w:tcW w:w="1261" w:type="pct"/>
                  <w:tcBorders>
                    <w:tl2br w:val="nil"/>
                    <w:tr2bl w:val="nil"/>
                  </w:tcBorders>
                  <w:vAlign w:val="center"/>
                </w:tcPr>
                <w:p w14:paraId="39166B44">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6"/>
                      <w:sz w:val="21"/>
                      <w:szCs w:val="21"/>
                      <w:highlight w:val="none"/>
                      <w:u w:val="none" w:color="auto"/>
                    </w:rPr>
                    <w:t>生活垃</w:t>
                  </w:r>
                  <w:r>
                    <w:rPr>
                      <w:rFonts w:hint="default" w:ascii="Times New Roman" w:hAnsi="Times New Roman" w:eastAsia="宋体" w:cs="Times New Roman"/>
                      <w:color w:val="auto"/>
                      <w:sz w:val="21"/>
                      <w:szCs w:val="21"/>
                      <w:highlight w:val="none"/>
                      <w:u w:val="none" w:color="auto"/>
                    </w:rPr>
                    <w:t>圾</w:t>
                  </w:r>
                </w:p>
              </w:tc>
              <w:tc>
                <w:tcPr>
                  <w:tcW w:w="746" w:type="pct"/>
                  <w:tcBorders>
                    <w:tl2br w:val="nil"/>
                    <w:tr2bl w:val="nil"/>
                  </w:tcBorders>
                  <w:vAlign w:val="center"/>
                </w:tcPr>
                <w:p w14:paraId="1261645C">
                  <w:pPr>
                    <w:keepNext w:val="0"/>
                    <w:keepLines w:val="0"/>
                    <w:pageBreakBefore w:val="0"/>
                    <w:widowControl/>
                    <w:kinsoku/>
                    <w:wordWrap w:val="0"/>
                    <w:overflowPunct/>
                    <w:topLinePunct/>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sz w:val="21"/>
                      <w:szCs w:val="21"/>
                      <w:highlight w:val="none"/>
                      <w:u w:val="none" w:color="auto"/>
                      <w:lang w:val="en-US"/>
                    </w:rPr>
                  </w:pPr>
                  <w:r>
                    <w:rPr>
                      <w:rFonts w:hint="eastAsia" w:cs="Times New Roman"/>
                      <w:color w:val="auto"/>
                      <w:sz w:val="21"/>
                      <w:szCs w:val="21"/>
                      <w:highlight w:val="none"/>
                      <w:u w:val="none" w:color="auto"/>
                      <w:lang w:val="en-US" w:eastAsia="zh-CN"/>
                    </w:rPr>
                    <w:t>1.5t</w:t>
                  </w:r>
                </w:p>
              </w:tc>
              <w:tc>
                <w:tcPr>
                  <w:tcW w:w="1459" w:type="pct"/>
                  <w:tcBorders>
                    <w:tl2br w:val="nil"/>
                    <w:tr2bl w:val="nil"/>
                  </w:tcBorders>
                  <w:vAlign w:val="center"/>
                </w:tcPr>
                <w:p w14:paraId="56E08907">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pacing w:val="5"/>
                      <w:sz w:val="21"/>
                      <w:szCs w:val="21"/>
                      <w:highlight w:val="none"/>
                      <w:u w:val="none" w:color="auto"/>
                    </w:rPr>
                    <w:t>交由环</w:t>
                  </w:r>
                  <w:r>
                    <w:rPr>
                      <w:rFonts w:hint="default" w:ascii="Times New Roman" w:hAnsi="Times New Roman" w:eastAsia="宋体" w:cs="Times New Roman"/>
                      <w:color w:val="auto"/>
                      <w:spacing w:val="6"/>
                      <w:sz w:val="21"/>
                      <w:szCs w:val="21"/>
                      <w:highlight w:val="none"/>
                      <w:u w:val="none" w:color="auto"/>
                    </w:rPr>
                    <w:t>卫部门</w:t>
                  </w:r>
                  <w:r>
                    <w:rPr>
                      <w:rFonts w:hint="default" w:ascii="Times New Roman" w:hAnsi="Times New Roman" w:eastAsia="宋体" w:cs="Times New Roman"/>
                      <w:color w:val="auto"/>
                      <w:spacing w:val="2"/>
                      <w:sz w:val="21"/>
                      <w:szCs w:val="21"/>
                      <w:highlight w:val="none"/>
                      <w:u w:val="none" w:color="auto"/>
                    </w:rPr>
                    <w:t>处理</w:t>
                  </w:r>
                </w:p>
              </w:tc>
            </w:tr>
            <w:tr w14:paraId="1F0E1C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2" w:hRule="atLeast"/>
              </w:trPr>
              <w:tc>
                <w:tcPr>
                  <w:tcW w:w="657" w:type="pct"/>
                  <w:tcBorders>
                    <w:tl2br w:val="nil"/>
                    <w:tr2bl w:val="nil"/>
                  </w:tcBorders>
                  <w:vAlign w:val="center"/>
                </w:tcPr>
                <w:p w14:paraId="403EC9C5">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2"/>
                      <w:kern w:val="2"/>
                      <w:sz w:val="21"/>
                      <w:szCs w:val="21"/>
                      <w:highlight w:val="none"/>
                      <w:u w:val="none" w:color="auto"/>
                      <w:lang w:val="en-US" w:eastAsia="zh-CN" w:bidi="ar-SA"/>
                    </w:rPr>
                  </w:pPr>
                  <w:r>
                    <w:rPr>
                      <w:rFonts w:hint="eastAsia" w:ascii="Times New Roman" w:hAnsi="Times New Roman" w:eastAsia="宋体" w:cs="Times New Roman"/>
                      <w:color w:val="auto"/>
                      <w:spacing w:val="2"/>
                      <w:kern w:val="2"/>
                      <w:sz w:val="21"/>
                      <w:szCs w:val="21"/>
                      <w:highlight w:val="none"/>
                      <w:u w:val="none" w:color="auto"/>
                      <w:lang w:val="en-US" w:eastAsia="zh-CN" w:bidi="ar-SA"/>
                    </w:rPr>
                    <w:t>拆卸瓶阀</w:t>
                  </w:r>
                </w:p>
              </w:tc>
              <w:tc>
                <w:tcPr>
                  <w:tcW w:w="874" w:type="pct"/>
                  <w:tcBorders>
                    <w:tl2br w:val="nil"/>
                    <w:tr2bl w:val="nil"/>
                  </w:tcBorders>
                  <w:vAlign w:val="center"/>
                </w:tcPr>
                <w:p w14:paraId="33089128">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2"/>
                      <w:kern w:val="2"/>
                      <w:sz w:val="21"/>
                      <w:szCs w:val="21"/>
                      <w:highlight w:val="none"/>
                      <w:u w:val="none" w:color="auto"/>
                      <w:lang w:val="en-US" w:eastAsia="zh-CN" w:bidi="ar-SA"/>
                    </w:rPr>
                  </w:pPr>
                  <w:r>
                    <w:rPr>
                      <w:rFonts w:hint="eastAsia" w:ascii="Times New Roman" w:hAnsi="Times New Roman" w:cs="Times New Roman"/>
                      <w:color w:val="auto"/>
                      <w:spacing w:val="2"/>
                      <w:kern w:val="2"/>
                      <w:sz w:val="21"/>
                      <w:szCs w:val="21"/>
                      <w:highlight w:val="none"/>
                      <w:u w:val="none" w:color="auto"/>
                      <w:lang w:val="en-US" w:eastAsia="zh-CN" w:bidi="ar-SA"/>
                    </w:rPr>
                    <w:t>废角阀</w:t>
                  </w:r>
                </w:p>
              </w:tc>
              <w:tc>
                <w:tcPr>
                  <w:tcW w:w="1261" w:type="pct"/>
                  <w:tcBorders>
                    <w:tl2br w:val="nil"/>
                    <w:tr2bl w:val="nil"/>
                  </w:tcBorders>
                  <w:vAlign w:val="center"/>
                </w:tcPr>
                <w:p w14:paraId="1DF759C8">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2"/>
                      <w:kern w:val="2"/>
                      <w:sz w:val="21"/>
                      <w:szCs w:val="21"/>
                      <w:highlight w:val="none"/>
                      <w:u w:val="none" w:color="auto"/>
                      <w:lang w:val="en-US" w:eastAsia="zh-CN" w:bidi="ar-SA"/>
                    </w:rPr>
                  </w:pPr>
                  <w:r>
                    <w:rPr>
                      <w:rFonts w:hint="eastAsia" w:ascii="Times New Roman" w:hAnsi="Times New Roman" w:eastAsia="宋体" w:cs="Times New Roman"/>
                      <w:color w:val="auto"/>
                      <w:spacing w:val="2"/>
                      <w:kern w:val="2"/>
                      <w:sz w:val="21"/>
                      <w:szCs w:val="21"/>
                      <w:highlight w:val="none"/>
                      <w:u w:val="none" w:color="auto"/>
                      <w:lang w:val="en-US" w:eastAsia="zh-CN" w:bidi="ar-SA"/>
                    </w:rPr>
                    <w:t>一般固废，900-999-99</w:t>
                  </w:r>
                </w:p>
              </w:tc>
              <w:tc>
                <w:tcPr>
                  <w:tcW w:w="746" w:type="pct"/>
                  <w:tcBorders>
                    <w:tl2br w:val="nil"/>
                    <w:tr2bl w:val="nil"/>
                  </w:tcBorders>
                  <w:vAlign w:val="center"/>
                </w:tcPr>
                <w:p w14:paraId="0CD77389">
                  <w:pPr>
                    <w:keepNext w:val="0"/>
                    <w:keepLines w:val="0"/>
                    <w:pageBreakBefore w:val="0"/>
                    <w:widowControl/>
                    <w:kinsoku/>
                    <w:wordWrap w:val="0"/>
                    <w:overflowPunct/>
                    <w:topLinePunct/>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spacing w:val="2"/>
                      <w:kern w:val="2"/>
                      <w:sz w:val="21"/>
                      <w:szCs w:val="21"/>
                      <w:highlight w:val="none"/>
                      <w:u w:val="none" w:color="auto"/>
                      <w:lang w:val="en-US" w:eastAsia="zh-CN" w:bidi="ar-SA"/>
                    </w:rPr>
                  </w:pPr>
                  <w:r>
                    <w:rPr>
                      <w:rFonts w:hint="eastAsia" w:ascii="Times New Roman" w:hAnsi="Times New Roman" w:eastAsia="宋体" w:cs="Times New Roman"/>
                      <w:color w:val="auto"/>
                      <w:spacing w:val="2"/>
                      <w:kern w:val="2"/>
                      <w:sz w:val="21"/>
                      <w:szCs w:val="21"/>
                      <w:highlight w:val="none"/>
                      <w:u w:val="none" w:color="auto"/>
                      <w:lang w:val="en-US" w:eastAsia="zh-CN" w:bidi="ar-SA"/>
                    </w:rPr>
                    <w:t>12万只/a</w:t>
                  </w:r>
                </w:p>
              </w:tc>
              <w:tc>
                <w:tcPr>
                  <w:tcW w:w="1459" w:type="pct"/>
                  <w:tcBorders>
                    <w:tl2br w:val="nil"/>
                    <w:tr2bl w:val="nil"/>
                  </w:tcBorders>
                  <w:vAlign w:val="center"/>
                </w:tcPr>
                <w:p w14:paraId="1E583918">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pacing w:val="2"/>
                      <w:kern w:val="2"/>
                      <w:sz w:val="21"/>
                      <w:szCs w:val="21"/>
                      <w:highlight w:val="none"/>
                      <w:u w:val="none" w:color="auto"/>
                      <w:lang w:val="en-US" w:eastAsia="zh-CN" w:bidi="ar-SA"/>
                    </w:rPr>
                  </w:pPr>
                  <w:r>
                    <w:rPr>
                      <w:rFonts w:hint="eastAsia" w:ascii="Times New Roman" w:hAnsi="Times New Roman" w:eastAsia="宋体" w:cs="Times New Roman"/>
                      <w:color w:val="auto"/>
                      <w:spacing w:val="2"/>
                      <w:kern w:val="2"/>
                      <w:sz w:val="21"/>
                      <w:szCs w:val="21"/>
                      <w:highlight w:val="none"/>
                      <w:u w:val="none" w:color="auto"/>
                      <w:lang w:val="en-US" w:eastAsia="zh-CN" w:bidi="ar-SA"/>
                    </w:rPr>
                    <w:t>交由特定的回收厂家回收</w:t>
                  </w:r>
                </w:p>
              </w:tc>
            </w:tr>
            <w:tr w14:paraId="17467D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2" w:hRule="atLeast"/>
              </w:trPr>
              <w:tc>
                <w:tcPr>
                  <w:tcW w:w="657" w:type="pct"/>
                  <w:tcBorders>
                    <w:tl2br w:val="nil"/>
                    <w:tr2bl w:val="nil"/>
                  </w:tcBorders>
                  <w:vAlign w:val="center"/>
                </w:tcPr>
                <w:p w14:paraId="1961DE76">
                  <w:pPr>
                    <w:adjustRightInd w:val="0"/>
                    <w:snapToGrid w:val="0"/>
                    <w:spacing w:line="240" w:lineRule="exact"/>
                    <w:jc w:val="center"/>
                    <w:rPr>
                      <w:rFonts w:hint="default" w:ascii="Times New Roman" w:hAnsi="Times New Roman" w:eastAsia="宋体" w:cs="Times New Roman"/>
                      <w:color w:val="auto"/>
                      <w:spacing w:val="2"/>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焚烧炉</w:t>
                  </w:r>
                  <w:r>
                    <w:rPr>
                      <w:rFonts w:hint="eastAsia" w:cs="Times New Roman"/>
                      <w:color w:val="auto"/>
                      <w:kern w:val="2"/>
                      <w:sz w:val="21"/>
                      <w:szCs w:val="21"/>
                      <w:highlight w:val="none"/>
                      <w:u w:val="none" w:color="auto"/>
                      <w:lang w:val="en-US" w:eastAsia="zh-CN" w:bidi="ar-SA"/>
                    </w:rPr>
                    <w:t>燃烧</w:t>
                  </w:r>
                </w:p>
              </w:tc>
              <w:tc>
                <w:tcPr>
                  <w:tcW w:w="874" w:type="pct"/>
                  <w:tcBorders>
                    <w:tl2br w:val="nil"/>
                    <w:tr2bl w:val="nil"/>
                  </w:tcBorders>
                  <w:vAlign w:val="center"/>
                </w:tcPr>
                <w:p w14:paraId="6D5505C7">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cs="Times New Roman"/>
                      <w:color w:val="auto"/>
                      <w:spacing w:val="2"/>
                      <w:kern w:val="2"/>
                      <w:sz w:val="21"/>
                      <w:szCs w:val="21"/>
                      <w:highlight w:val="none"/>
                      <w:u w:val="none" w:color="auto"/>
                      <w:lang w:val="en-US" w:eastAsia="zh-CN" w:bidi="ar-SA"/>
                    </w:rPr>
                  </w:pPr>
                  <w:r>
                    <w:rPr>
                      <w:rFonts w:hint="eastAsia" w:ascii="Times New Roman" w:hAnsi="Times New Roman" w:cs="Times New Roman"/>
                      <w:color w:val="auto"/>
                      <w:spacing w:val="2"/>
                      <w:kern w:val="2"/>
                      <w:sz w:val="21"/>
                      <w:szCs w:val="21"/>
                      <w:highlight w:val="none"/>
                      <w:u w:val="none" w:color="auto"/>
                      <w:lang w:val="en-US" w:eastAsia="zh-CN" w:bidi="ar-SA"/>
                    </w:rPr>
                    <w:t>灰渣</w:t>
                  </w:r>
                </w:p>
              </w:tc>
              <w:tc>
                <w:tcPr>
                  <w:tcW w:w="1261" w:type="pct"/>
                  <w:tcBorders>
                    <w:tl2br w:val="nil"/>
                    <w:tr2bl w:val="nil"/>
                  </w:tcBorders>
                  <w:vAlign w:val="center"/>
                </w:tcPr>
                <w:p w14:paraId="56C52BDA">
                  <w:pPr>
                    <w:adjustRightInd w:val="0"/>
                    <w:snapToGrid w:val="0"/>
                    <w:spacing w:line="240" w:lineRule="exact"/>
                    <w:jc w:val="center"/>
                    <w:rPr>
                      <w:rFonts w:hint="eastAsia" w:ascii="Times New Roman" w:hAnsi="Times New Roman" w:eastAsia="宋体" w:cs="Times New Roman"/>
                      <w:color w:val="auto"/>
                      <w:spacing w:val="2"/>
                      <w:kern w:val="2"/>
                      <w:sz w:val="21"/>
                      <w:szCs w:val="21"/>
                      <w:highlight w:val="none"/>
                      <w:u w:val="none" w:color="auto"/>
                      <w:lang w:val="en-US" w:eastAsia="zh-CN" w:bidi="ar-SA"/>
                    </w:rPr>
                  </w:pPr>
                  <w:r>
                    <w:rPr>
                      <w:rFonts w:hint="default" w:ascii="Times New Roman" w:hAnsi="Times New Roman" w:cs="Times New Roman"/>
                      <w:color w:val="auto"/>
                      <w:highlight w:val="none"/>
                      <w:u w:val="none" w:color="auto"/>
                    </w:rPr>
                    <w:t>一般固废</w:t>
                  </w:r>
                  <w:r>
                    <w:rPr>
                      <w:rFonts w:hint="eastAsia"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lang w:val="en-US" w:eastAsia="zh-CN"/>
                    </w:rPr>
                    <w:t>900-00</w:t>
                  </w:r>
                  <w:r>
                    <w:rPr>
                      <w:rFonts w:hint="eastAsia" w:cs="Times New Roman"/>
                      <w:color w:val="auto"/>
                      <w:highlight w:val="none"/>
                      <w:u w:val="none" w:color="auto"/>
                      <w:lang w:val="en-US" w:eastAsia="zh-CN"/>
                    </w:rPr>
                    <w:t>1</w:t>
                  </w:r>
                  <w:r>
                    <w:rPr>
                      <w:rFonts w:hint="default" w:ascii="Times New Roman" w:hAnsi="Times New Roman" w:cs="Times New Roman"/>
                      <w:color w:val="auto"/>
                      <w:highlight w:val="none"/>
                      <w:u w:val="none" w:color="auto"/>
                      <w:lang w:val="en-US" w:eastAsia="zh-CN"/>
                    </w:rPr>
                    <w:t>-S</w:t>
                  </w:r>
                  <w:r>
                    <w:rPr>
                      <w:rFonts w:hint="eastAsia" w:cs="Times New Roman"/>
                      <w:color w:val="auto"/>
                      <w:highlight w:val="none"/>
                      <w:u w:val="none" w:color="auto"/>
                      <w:lang w:val="en-US" w:eastAsia="zh-CN"/>
                    </w:rPr>
                    <w:t>03</w:t>
                  </w:r>
                </w:p>
              </w:tc>
              <w:tc>
                <w:tcPr>
                  <w:tcW w:w="746" w:type="pct"/>
                  <w:tcBorders>
                    <w:tl2br w:val="nil"/>
                    <w:tr2bl w:val="nil"/>
                  </w:tcBorders>
                  <w:vAlign w:val="center"/>
                </w:tcPr>
                <w:p w14:paraId="06F4C6C5">
                  <w:pPr>
                    <w:keepNext w:val="0"/>
                    <w:keepLines w:val="0"/>
                    <w:pageBreakBefore w:val="0"/>
                    <w:widowControl/>
                    <w:kinsoku/>
                    <w:wordWrap w:val="0"/>
                    <w:overflowPunct/>
                    <w:topLinePunct/>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spacing w:val="2"/>
                      <w:kern w:val="2"/>
                      <w:sz w:val="21"/>
                      <w:szCs w:val="21"/>
                      <w:highlight w:val="none"/>
                      <w:u w:val="none" w:color="auto"/>
                      <w:lang w:val="en-US" w:eastAsia="zh-CN" w:bidi="ar-SA"/>
                    </w:rPr>
                  </w:pPr>
                  <w:r>
                    <w:rPr>
                      <w:rFonts w:hint="eastAsia" w:cs="Times New Roman"/>
                      <w:color w:val="auto"/>
                      <w:spacing w:val="2"/>
                      <w:kern w:val="2"/>
                      <w:sz w:val="21"/>
                      <w:szCs w:val="21"/>
                      <w:highlight w:val="none"/>
                      <w:u w:val="none" w:color="auto"/>
                      <w:lang w:val="en-US" w:eastAsia="zh-CN" w:bidi="ar-SA"/>
                    </w:rPr>
                    <w:t>6.93t/a</w:t>
                  </w:r>
                </w:p>
              </w:tc>
              <w:tc>
                <w:tcPr>
                  <w:tcW w:w="1459" w:type="pct"/>
                  <w:tcBorders>
                    <w:tl2br w:val="nil"/>
                    <w:tr2bl w:val="nil"/>
                  </w:tcBorders>
                  <w:vAlign w:val="center"/>
                </w:tcPr>
                <w:p w14:paraId="4025D967">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pacing w:val="2"/>
                      <w:kern w:val="2"/>
                      <w:sz w:val="21"/>
                      <w:szCs w:val="21"/>
                      <w:highlight w:val="none"/>
                      <w:u w:val="none" w:color="auto"/>
                      <w:lang w:val="en-US" w:eastAsia="zh-CN" w:bidi="ar-SA"/>
                    </w:rPr>
                  </w:pPr>
                  <w:r>
                    <w:rPr>
                      <w:rFonts w:hint="eastAsia" w:ascii="Times New Roman" w:hAnsi="Times New Roman" w:eastAsia="宋体" w:cs="Times New Roman"/>
                      <w:color w:val="auto"/>
                      <w:spacing w:val="2"/>
                      <w:kern w:val="2"/>
                      <w:sz w:val="21"/>
                      <w:szCs w:val="21"/>
                      <w:highlight w:val="none"/>
                      <w:u w:val="none" w:color="auto"/>
                      <w:lang w:val="en-US" w:eastAsia="zh-CN" w:bidi="ar-SA"/>
                    </w:rPr>
                    <w:t>可作为用作周边道路路基垫层、回填材料</w:t>
                  </w:r>
                </w:p>
              </w:tc>
            </w:tr>
            <w:tr w14:paraId="25CE59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2" w:hRule="atLeast"/>
              </w:trPr>
              <w:tc>
                <w:tcPr>
                  <w:tcW w:w="657" w:type="pct"/>
                  <w:tcBorders>
                    <w:tl2br w:val="nil"/>
                    <w:tr2bl w:val="nil"/>
                  </w:tcBorders>
                  <w:vAlign w:val="center"/>
                </w:tcPr>
                <w:p w14:paraId="4AB54028">
                  <w:pPr>
                    <w:adjustRightInd w:val="0"/>
                    <w:snapToGrid w:val="0"/>
                    <w:spacing w:line="240" w:lineRule="exact"/>
                    <w:jc w:val="center"/>
                    <w:rPr>
                      <w:rFonts w:hint="default" w:ascii="Times New Roman" w:hAnsi="Times New Roman" w:eastAsia="宋体" w:cs="Times New Roman"/>
                      <w:color w:val="auto"/>
                      <w:spacing w:val="2"/>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辅料使用</w:t>
                  </w:r>
                </w:p>
              </w:tc>
              <w:tc>
                <w:tcPr>
                  <w:tcW w:w="874" w:type="pct"/>
                  <w:tcBorders>
                    <w:tl2br w:val="nil"/>
                    <w:tr2bl w:val="nil"/>
                  </w:tcBorders>
                  <w:vAlign w:val="center"/>
                </w:tcPr>
                <w:p w14:paraId="3626FBD1">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cs="Times New Roman"/>
                      <w:color w:val="auto"/>
                      <w:spacing w:val="2"/>
                      <w:kern w:val="2"/>
                      <w:sz w:val="21"/>
                      <w:szCs w:val="21"/>
                      <w:highlight w:val="none"/>
                      <w:u w:val="none" w:color="auto"/>
                      <w:lang w:val="en-US" w:eastAsia="zh-CN" w:bidi="ar-SA"/>
                    </w:rPr>
                  </w:pPr>
                  <w:r>
                    <w:rPr>
                      <w:rFonts w:hint="eastAsia" w:ascii="Times New Roman" w:hAnsi="Times New Roman" w:cs="Times New Roman"/>
                      <w:color w:val="auto"/>
                      <w:spacing w:val="2"/>
                      <w:kern w:val="2"/>
                      <w:sz w:val="21"/>
                      <w:szCs w:val="21"/>
                      <w:highlight w:val="none"/>
                      <w:u w:val="none" w:color="auto"/>
                      <w:lang w:val="en-US" w:eastAsia="zh-CN" w:bidi="ar-SA"/>
                    </w:rPr>
                    <w:t>废包装材料</w:t>
                  </w:r>
                </w:p>
              </w:tc>
              <w:tc>
                <w:tcPr>
                  <w:tcW w:w="1261" w:type="pct"/>
                  <w:tcBorders>
                    <w:tl2br w:val="nil"/>
                    <w:tr2bl w:val="nil"/>
                  </w:tcBorders>
                  <w:vAlign w:val="center"/>
                </w:tcPr>
                <w:p w14:paraId="10FE290F">
                  <w:pPr>
                    <w:adjustRightInd w:val="0"/>
                    <w:snapToGrid w:val="0"/>
                    <w:spacing w:line="240" w:lineRule="exact"/>
                    <w:jc w:val="center"/>
                    <w:rPr>
                      <w:rFonts w:hint="eastAsia" w:ascii="Times New Roman" w:hAnsi="Times New Roman" w:eastAsia="宋体" w:cs="Times New Roman"/>
                      <w:color w:val="auto"/>
                      <w:spacing w:val="2"/>
                      <w:kern w:val="2"/>
                      <w:sz w:val="21"/>
                      <w:szCs w:val="21"/>
                      <w:highlight w:val="none"/>
                      <w:u w:val="none" w:color="auto"/>
                      <w:lang w:val="en-US" w:eastAsia="zh-CN" w:bidi="ar-SA"/>
                    </w:rPr>
                  </w:pPr>
                  <w:r>
                    <w:rPr>
                      <w:rFonts w:hint="default" w:ascii="Times New Roman" w:hAnsi="Times New Roman" w:cs="Times New Roman"/>
                      <w:color w:val="auto"/>
                      <w:highlight w:val="none"/>
                      <w:u w:val="none" w:color="auto"/>
                    </w:rPr>
                    <w:t>一般固废</w:t>
                  </w:r>
                  <w:r>
                    <w:rPr>
                      <w:rFonts w:hint="eastAsia"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rPr>
                    <w:t>900-00</w:t>
                  </w:r>
                  <w:r>
                    <w:rPr>
                      <w:rFonts w:hint="default" w:ascii="Times New Roman" w:hAnsi="Times New Roman" w:cs="Times New Roman"/>
                      <w:color w:val="auto"/>
                      <w:highlight w:val="none"/>
                      <w:u w:val="none" w:color="auto"/>
                      <w:lang w:val="en-US" w:eastAsia="zh-CN"/>
                    </w:rPr>
                    <w:t>3</w:t>
                  </w:r>
                  <w:r>
                    <w:rPr>
                      <w:rFonts w:hint="default" w:ascii="Times New Roman" w:hAnsi="Times New Roman" w:cs="Times New Roman"/>
                      <w:color w:val="auto"/>
                      <w:highlight w:val="none"/>
                      <w:u w:val="none" w:color="auto"/>
                    </w:rPr>
                    <w:t>-S</w:t>
                  </w:r>
                  <w:r>
                    <w:rPr>
                      <w:rFonts w:hint="default" w:ascii="Times New Roman" w:hAnsi="Times New Roman" w:cs="Times New Roman"/>
                      <w:color w:val="auto"/>
                      <w:highlight w:val="none"/>
                      <w:u w:val="none" w:color="auto"/>
                      <w:lang w:val="en-US" w:eastAsia="zh-CN"/>
                    </w:rPr>
                    <w:t>17</w:t>
                  </w:r>
                </w:p>
              </w:tc>
              <w:tc>
                <w:tcPr>
                  <w:tcW w:w="746" w:type="pct"/>
                  <w:tcBorders>
                    <w:tl2br w:val="nil"/>
                    <w:tr2bl w:val="nil"/>
                  </w:tcBorders>
                  <w:vAlign w:val="center"/>
                </w:tcPr>
                <w:p w14:paraId="6C21E7FC">
                  <w:pPr>
                    <w:keepNext w:val="0"/>
                    <w:keepLines w:val="0"/>
                    <w:pageBreakBefore w:val="0"/>
                    <w:widowControl/>
                    <w:kinsoku/>
                    <w:wordWrap w:val="0"/>
                    <w:overflowPunct/>
                    <w:topLinePunct/>
                    <w:autoSpaceDE/>
                    <w:autoSpaceDN/>
                    <w:bidi w:val="0"/>
                    <w:adjustRightInd/>
                    <w:snapToGrid/>
                    <w:spacing w:line="240" w:lineRule="auto"/>
                    <w:ind w:left="0" w:leftChars="0" w:right="0" w:firstLine="0"/>
                    <w:jc w:val="center"/>
                    <w:textAlignment w:val="auto"/>
                    <w:rPr>
                      <w:rFonts w:hint="default" w:cs="Times New Roman"/>
                      <w:color w:val="auto"/>
                      <w:spacing w:val="2"/>
                      <w:kern w:val="2"/>
                      <w:sz w:val="21"/>
                      <w:szCs w:val="21"/>
                      <w:highlight w:val="none"/>
                      <w:u w:val="none" w:color="auto"/>
                      <w:lang w:val="en-US" w:eastAsia="zh-CN" w:bidi="ar-SA"/>
                    </w:rPr>
                  </w:pPr>
                  <w:r>
                    <w:rPr>
                      <w:rFonts w:hint="eastAsia" w:cs="Times New Roman"/>
                      <w:color w:val="auto"/>
                      <w:spacing w:val="2"/>
                      <w:kern w:val="2"/>
                      <w:sz w:val="21"/>
                      <w:szCs w:val="21"/>
                      <w:highlight w:val="none"/>
                      <w:u w:val="none" w:color="auto"/>
                      <w:lang w:val="en-US" w:eastAsia="zh-CN" w:bidi="ar-SA"/>
                    </w:rPr>
                    <w:t>0.2t/a</w:t>
                  </w:r>
                </w:p>
              </w:tc>
              <w:tc>
                <w:tcPr>
                  <w:tcW w:w="1459" w:type="pct"/>
                  <w:vMerge w:val="restart"/>
                  <w:tcBorders>
                    <w:tl2br w:val="nil"/>
                    <w:tr2bl w:val="nil"/>
                  </w:tcBorders>
                  <w:vAlign w:val="center"/>
                </w:tcPr>
                <w:p w14:paraId="28A8AB4E">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外售综合回收利用</w:t>
                  </w:r>
                </w:p>
              </w:tc>
            </w:tr>
            <w:tr w14:paraId="4F21E5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2" w:hRule="atLeast"/>
              </w:trPr>
              <w:tc>
                <w:tcPr>
                  <w:tcW w:w="657" w:type="pct"/>
                  <w:vMerge w:val="restart"/>
                  <w:tcBorders>
                    <w:tl2br w:val="nil"/>
                    <w:tr2bl w:val="nil"/>
                  </w:tcBorders>
                  <w:vAlign w:val="center"/>
                </w:tcPr>
                <w:p w14:paraId="66113198">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highlight w:val="none"/>
                      <w:u w:val="none" w:color="auto"/>
                      <w:lang w:val="en-US" w:eastAsia="zh-CN"/>
                    </w:rPr>
                  </w:pPr>
                  <w:r>
                    <w:rPr>
                      <w:rFonts w:hint="eastAsia" w:ascii="Times New Roman" w:hAnsi="Times New Roman" w:eastAsia="宋体" w:cs="Times New Roman"/>
                      <w:color w:val="auto"/>
                      <w:spacing w:val="6"/>
                      <w:sz w:val="21"/>
                      <w:szCs w:val="21"/>
                      <w:highlight w:val="none"/>
                      <w:u w:val="none" w:color="auto"/>
                      <w:lang w:val="en-US" w:eastAsia="zh-CN"/>
                    </w:rPr>
                    <w:t>废气处理</w:t>
                  </w:r>
                </w:p>
              </w:tc>
              <w:tc>
                <w:tcPr>
                  <w:tcW w:w="874" w:type="pct"/>
                  <w:tcBorders>
                    <w:tl2br w:val="nil"/>
                    <w:tr2bl w:val="nil"/>
                  </w:tcBorders>
                  <w:vAlign w:val="center"/>
                </w:tcPr>
                <w:p w14:paraId="4C073BEC">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6"/>
                      <w:sz w:val="21"/>
                      <w:szCs w:val="21"/>
                      <w:highlight w:val="none"/>
                      <w:u w:val="none" w:color="auto"/>
                      <w:lang w:val="en-US" w:eastAsia="zh-CN"/>
                    </w:rPr>
                  </w:pPr>
                  <w:r>
                    <w:rPr>
                      <w:rFonts w:hint="eastAsia" w:ascii="Times New Roman" w:hAnsi="Times New Roman" w:eastAsia="宋体" w:cs="Times New Roman"/>
                      <w:color w:val="auto"/>
                      <w:spacing w:val="6"/>
                      <w:sz w:val="21"/>
                      <w:szCs w:val="21"/>
                      <w:highlight w:val="none"/>
                      <w:u w:val="none" w:color="auto"/>
                      <w:lang w:val="en-US" w:eastAsia="zh-CN"/>
                    </w:rPr>
                    <w:t>高效高温布袋除尘器收集的粉尘</w:t>
                  </w:r>
                </w:p>
              </w:tc>
              <w:tc>
                <w:tcPr>
                  <w:tcW w:w="1261" w:type="pct"/>
                  <w:tcBorders>
                    <w:tl2br w:val="nil"/>
                    <w:tr2bl w:val="nil"/>
                  </w:tcBorders>
                  <w:vAlign w:val="center"/>
                </w:tcPr>
                <w:p w14:paraId="731DF00F">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6"/>
                      <w:sz w:val="21"/>
                      <w:szCs w:val="21"/>
                      <w:highlight w:val="none"/>
                      <w:u w:val="none" w:color="auto"/>
                      <w:lang w:val="en-US" w:eastAsia="zh-CN"/>
                    </w:rPr>
                  </w:pPr>
                  <w:r>
                    <w:rPr>
                      <w:rFonts w:hint="eastAsia" w:ascii="Times New Roman" w:hAnsi="Times New Roman" w:eastAsia="宋体" w:cs="Times New Roman"/>
                      <w:color w:val="auto"/>
                      <w:spacing w:val="6"/>
                      <w:sz w:val="21"/>
                      <w:szCs w:val="21"/>
                      <w:highlight w:val="none"/>
                      <w:u w:val="none" w:color="auto"/>
                      <w:lang w:val="en-US" w:eastAsia="zh-CN"/>
                    </w:rPr>
                    <w:t>一般固废，</w:t>
                  </w:r>
                  <w:r>
                    <w:rPr>
                      <w:rFonts w:hint="default" w:ascii="Times New Roman" w:hAnsi="Times New Roman" w:eastAsia="宋体" w:cs="Times New Roman"/>
                      <w:color w:val="auto"/>
                      <w:spacing w:val="6"/>
                      <w:sz w:val="21"/>
                      <w:szCs w:val="21"/>
                      <w:highlight w:val="none"/>
                      <w:u w:val="none" w:color="auto"/>
                    </w:rPr>
                    <w:t>309-001-66</w:t>
                  </w:r>
                </w:p>
              </w:tc>
              <w:tc>
                <w:tcPr>
                  <w:tcW w:w="746" w:type="pct"/>
                  <w:tcBorders>
                    <w:tl2br w:val="nil"/>
                    <w:tr2bl w:val="nil"/>
                  </w:tcBorders>
                  <w:vAlign w:val="center"/>
                </w:tcPr>
                <w:p w14:paraId="33BF353E">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highlight w:val="none"/>
                      <w:u w:val="none" w:color="auto"/>
                      <w:lang w:val="en-US" w:eastAsia="zh-CN"/>
                    </w:rPr>
                  </w:pPr>
                  <w:r>
                    <w:rPr>
                      <w:rFonts w:hint="eastAsia" w:ascii="Times New Roman" w:hAnsi="Times New Roman" w:cs="Times New Roman"/>
                      <w:color w:val="auto"/>
                      <w:spacing w:val="6"/>
                      <w:sz w:val="21"/>
                      <w:szCs w:val="21"/>
                      <w:highlight w:val="none"/>
                      <w:u w:val="none" w:color="auto"/>
                      <w:lang w:val="en-US" w:eastAsia="zh-CN"/>
                    </w:rPr>
                    <w:t>1.9</w:t>
                  </w:r>
                  <w:r>
                    <w:rPr>
                      <w:rFonts w:hint="eastAsia" w:ascii="Times New Roman" w:hAnsi="Times New Roman" w:eastAsia="宋体" w:cs="Times New Roman"/>
                      <w:color w:val="auto"/>
                      <w:spacing w:val="6"/>
                      <w:sz w:val="21"/>
                      <w:szCs w:val="21"/>
                      <w:highlight w:val="none"/>
                      <w:u w:val="none" w:color="auto"/>
                      <w:lang w:val="en-US" w:eastAsia="zh-CN"/>
                    </w:rPr>
                    <w:t>t</w:t>
                  </w:r>
                </w:p>
              </w:tc>
              <w:tc>
                <w:tcPr>
                  <w:tcW w:w="1459" w:type="pct"/>
                  <w:vMerge w:val="continue"/>
                  <w:tcBorders>
                    <w:tl2br w:val="nil"/>
                    <w:tr2bl w:val="nil"/>
                  </w:tcBorders>
                  <w:vAlign w:val="center"/>
                </w:tcPr>
                <w:p w14:paraId="5E274F2B">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highlight w:val="none"/>
                      <w:u w:val="none" w:color="auto"/>
                      <w:lang w:val="en-US" w:eastAsia="zh-CN"/>
                    </w:rPr>
                  </w:pPr>
                </w:p>
              </w:tc>
            </w:tr>
            <w:tr w14:paraId="3ABA47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2" w:hRule="atLeast"/>
              </w:trPr>
              <w:tc>
                <w:tcPr>
                  <w:tcW w:w="657" w:type="pct"/>
                  <w:vMerge w:val="continue"/>
                  <w:tcBorders>
                    <w:tl2br w:val="nil"/>
                    <w:tr2bl w:val="nil"/>
                  </w:tcBorders>
                  <w:vAlign w:val="center"/>
                </w:tcPr>
                <w:p w14:paraId="6283298C">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6"/>
                      <w:sz w:val="21"/>
                      <w:szCs w:val="21"/>
                      <w:highlight w:val="none"/>
                      <w:u w:val="none" w:color="auto"/>
                      <w:lang w:val="en-US" w:eastAsia="zh-CN"/>
                    </w:rPr>
                  </w:pPr>
                </w:p>
              </w:tc>
              <w:tc>
                <w:tcPr>
                  <w:tcW w:w="874" w:type="pct"/>
                  <w:tcBorders>
                    <w:tl2br w:val="nil"/>
                    <w:tr2bl w:val="nil"/>
                  </w:tcBorders>
                  <w:vAlign w:val="center"/>
                </w:tcPr>
                <w:p w14:paraId="3370881F">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highlight w:val="none"/>
                      <w:u w:val="none" w:color="auto"/>
                      <w:lang w:val="en-US" w:eastAsia="zh-CN"/>
                    </w:rPr>
                  </w:pPr>
                  <w:r>
                    <w:rPr>
                      <w:rFonts w:hint="eastAsia" w:ascii="Times New Roman" w:hAnsi="Times New Roman" w:cs="Times New Roman"/>
                      <w:color w:val="auto"/>
                      <w:spacing w:val="6"/>
                      <w:sz w:val="21"/>
                      <w:szCs w:val="21"/>
                      <w:highlight w:val="none"/>
                      <w:u w:val="none" w:color="auto"/>
                      <w:lang w:val="en-US" w:eastAsia="zh-CN"/>
                    </w:rPr>
                    <w:t>废布袋</w:t>
                  </w:r>
                </w:p>
              </w:tc>
              <w:tc>
                <w:tcPr>
                  <w:tcW w:w="1261" w:type="pct"/>
                  <w:tcBorders>
                    <w:tl2br w:val="nil"/>
                    <w:tr2bl w:val="nil"/>
                  </w:tcBorders>
                  <w:vAlign w:val="center"/>
                </w:tcPr>
                <w:p w14:paraId="5D5DC881">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6"/>
                      <w:sz w:val="21"/>
                      <w:szCs w:val="21"/>
                      <w:highlight w:val="none"/>
                      <w:u w:val="none" w:color="auto"/>
                      <w:lang w:val="en-US" w:eastAsia="zh-CN"/>
                    </w:rPr>
                  </w:pPr>
                  <w:r>
                    <w:rPr>
                      <w:rFonts w:hint="eastAsia" w:ascii="Times New Roman" w:hAnsi="Times New Roman" w:eastAsia="宋体" w:cs="Times New Roman"/>
                      <w:color w:val="auto"/>
                      <w:spacing w:val="6"/>
                      <w:sz w:val="21"/>
                      <w:szCs w:val="21"/>
                      <w:highlight w:val="none"/>
                      <w:u w:val="none" w:color="auto"/>
                      <w:lang w:val="en-US" w:eastAsia="zh-CN"/>
                    </w:rPr>
                    <w:t>一般固废，900-009-S59</w:t>
                  </w:r>
                </w:p>
              </w:tc>
              <w:tc>
                <w:tcPr>
                  <w:tcW w:w="746" w:type="pct"/>
                  <w:tcBorders>
                    <w:tl2br w:val="nil"/>
                    <w:tr2bl w:val="nil"/>
                  </w:tcBorders>
                  <w:vAlign w:val="center"/>
                </w:tcPr>
                <w:p w14:paraId="69E1083F">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pacing w:val="6"/>
                      <w:sz w:val="21"/>
                      <w:szCs w:val="21"/>
                      <w:highlight w:val="none"/>
                      <w:u w:val="none" w:color="auto"/>
                      <w:lang w:val="en-US" w:eastAsia="zh-CN"/>
                    </w:rPr>
                  </w:pPr>
                  <w:r>
                    <w:rPr>
                      <w:rFonts w:hint="eastAsia" w:ascii="Times New Roman" w:hAnsi="Times New Roman" w:cs="Times New Roman"/>
                      <w:color w:val="auto"/>
                      <w:spacing w:val="6"/>
                      <w:sz w:val="21"/>
                      <w:szCs w:val="21"/>
                      <w:highlight w:val="none"/>
                      <w:u w:val="none" w:color="auto"/>
                      <w:lang w:val="en-US" w:eastAsia="zh-CN"/>
                    </w:rPr>
                    <w:t>0.3t</w:t>
                  </w:r>
                </w:p>
              </w:tc>
              <w:tc>
                <w:tcPr>
                  <w:tcW w:w="1459" w:type="pct"/>
                  <w:vMerge w:val="continue"/>
                  <w:tcBorders>
                    <w:tl2br w:val="nil"/>
                    <w:tr2bl w:val="nil"/>
                  </w:tcBorders>
                  <w:vAlign w:val="center"/>
                </w:tcPr>
                <w:p w14:paraId="73A45356">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color w:val="auto"/>
                      <w:spacing w:val="6"/>
                      <w:sz w:val="21"/>
                      <w:szCs w:val="21"/>
                      <w:highlight w:val="none"/>
                      <w:u w:val="none" w:color="auto"/>
                      <w:lang w:val="en-US" w:eastAsia="zh-CN"/>
                    </w:rPr>
                  </w:pPr>
                </w:p>
              </w:tc>
            </w:tr>
            <w:tr w14:paraId="6714F3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657" w:type="pct"/>
                  <w:vMerge w:val="restart"/>
                  <w:tcBorders>
                    <w:tl2br w:val="nil"/>
                    <w:tr2bl w:val="nil"/>
                  </w:tcBorders>
                  <w:vAlign w:val="center"/>
                </w:tcPr>
                <w:p w14:paraId="69CAA0E3">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拆卸；维修</w:t>
                  </w:r>
                </w:p>
              </w:tc>
              <w:tc>
                <w:tcPr>
                  <w:tcW w:w="874" w:type="pct"/>
                  <w:tcBorders>
                    <w:tl2br w:val="nil"/>
                    <w:tr2bl w:val="nil"/>
                  </w:tcBorders>
                  <w:vAlign w:val="center"/>
                </w:tcPr>
                <w:p w14:paraId="2B82E86D">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废机油</w:t>
                  </w:r>
                </w:p>
              </w:tc>
              <w:tc>
                <w:tcPr>
                  <w:tcW w:w="1261" w:type="pct"/>
                  <w:tcBorders>
                    <w:tl2br w:val="nil"/>
                    <w:tr2bl w:val="nil"/>
                  </w:tcBorders>
                  <w:vAlign w:val="center"/>
                </w:tcPr>
                <w:p w14:paraId="1855012B">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highlight w:val="none"/>
                      <w:u w:val="none" w:color="auto"/>
                    </w:rPr>
                  </w:pPr>
                  <w:r>
                    <w:rPr>
                      <w:rFonts w:hint="default" w:ascii="Times New Roman" w:hAnsi="Times New Roman" w:eastAsia="宋体" w:cs="Times New Roman"/>
                      <w:color w:val="auto"/>
                      <w:sz w:val="21"/>
                      <w:szCs w:val="21"/>
                      <w:highlight w:val="none"/>
                      <w:u w:val="none" w:color="auto"/>
                      <w:lang w:val="en-US" w:eastAsia="zh-CN"/>
                    </w:rPr>
                    <w:t>危险废物，HW08，900-214-08</w:t>
                  </w:r>
                </w:p>
              </w:tc>
              <w:tc>
                <w:tcPr>
                  <w:tcW w:w="746" w:type="pct"/>
                  <w:tcBorders>
                    <w:tl2br w:val="nil"/>
                    <w:tr2bl w:val="nil"/>
                  </w:tcBorders>
                  <w:vAlign w:val="center"/>
                </w:tcPr>
                <w:p w14:paraId="11B5BD39">
                  <w:pPr>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cs="Times New Roman"/>
                      <w:color w:val="auto"/>
                      <w:sz w:val="21"/>
                      <w:szCs w:val="21"/>
                      <w:highlight w:val="none"/>
                      <w:u w:val="none" w:color="auto"/>
                      <w:lang w:val="en-US" w:eastAsia="zh-CN"/>
                    </w:rPr>
                  </w:pPr>
                  <w:r>
                    <w:rPr>
                      <w:rFonts w:hint="default" w:ascii="Times New Roman" w:hAnsi="Times New Roman" w:eastAsia="宋体" w:cs="Times New Roman"/>
                      <w:color w:val="auto"/>
                      <w:spacing w:val="1"/>
                      <w:sz w:val="21"/>
                      <w:szCs w:val="21"/>
                      <w:highlight w:val="none"/>
                      <w:u w:val="none" w:color="auto"/>
                    </w:rPr>
                    <w:t>0.</w:t>
                  </w:r>
                  <w:r>
                    <w:rPr>
                      <w:rFonts w:hint="eastAsia" w:cs="Times New Roman"/>
                      <w:color w:val="auto"/>
                      <w:spacing w:val="1"/>
                      <w:sz w:val="21"/>
                      <w:szCs w:val="21"/>
                      <w:highlight w:val="none"/>
                      <w:u w:val="none" w:color="auto"/>
                      <w:lang w:val="en-US" w:eastAsia="zh-CN"/>
                    </w:rPr>
                    <w:t>01t</w:t>
                  </w:r>
                </w:p>
              </w:tc>
              <w:tc>
                <w:tcPr>
                  <w:tcW w:w="1459" w:type="pct"/>
                  <w:vMerge w:val="restart"/>
                  <w:tcBorders>
                    <w:tl2br w:val="nil"/>
                    <w:tr2bl w:val="nil"/>
                  </w:tcBorders>
                  <w:vAlign w:val="center"/>
                </w:tcPr>
                <w:p w14:paraId="246471EB">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5"/>
                      <w:sz w:val="21"/>
                      <w:szCs w:val="21"/>
                      <w:highlight w:val="none"/>
                      <w:u w:val="none" w:color="auto"/>
                    </w:rPr>
                  </w:pPr>
                  <w:r>
                    <w:rPr>
                      <w:rFonts w:hint="eastAsia" w:ascii="Times New Roman" w:hAnsi="Times New Roman" w:eastAsia="宋体" w:cs="Times New Roman"/>
                      <w:color w:val="auto"/>
                      <w:sz w:val="21"/>
                      <w:szCs w:val="21"/>
                      <w:highlight w:val="none"/>
                      <w:u w:val="none" w:color="auto"/>
                      <w:lang w:val="en-US" w:eastAsia="zh-CN"/>
                    </w:rPr>
                    <w:t>危废间暂存，交由有资质单位处理</w:t>
                  </w:r>
                </w:p>
              </w:tc>
            </w:tr>
            <w:tr w14:paraId="5F40B8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57" w:type="pct"/>
                  <w:vMerge w:val="continue"/>
                  <w:tcBorders>
                    <w:tl2br w:val="nil"/>
                    <w:tr2bl w:val="nil"/>
                  </w:tcBorders>
                  <w:vAlign w:val="center"/>
                </w:tcPr>
                <w:p w14:paraId="61B3861A">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eastAsia" w:ascii="Times New Roman" w:hAnsi="Times New Roman" w:cs="Times New Roman"/>
                      <w:color w:val="auto"/>
                      <w:sz w:val="21"/>
                      <w:szCs w:val="21"/>
                      <w:highlight w:val="none"/>
                      <w:u w:val="none" w:color="auto"/>
                      <w:lang w:val="en-US" w:eastAsia="zh-CN"/>
                    </w:rPr>
                  </w:pPr>
                </w:p>
              </w:tc>
              <w:tc>
                <w:tcPr>
                  <w:tcW w:w="874" w:type="pct"/>
                  <w:tcBorders>
                    <w:tl2br w:val="nil"/>
                    <w:tr2bl w:val="nil"/>
                  </w:tcBorders>
                  <w:vAlign w:val="center"/>
                </w:tcPr>
                <w:p w14:paraId="2CE0D78B">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废机油桶</w:t>
                  </w:r>
                </w:p>
              </w:tc>
              <w:tc>
                <w:tcPr>
                  <w:tcW w:w="1261" w:type="pct"/>
                  <w:tcBorders>
                    <w:tl2br w:val="nil"/>
                    <w:tr2bl w:val="nil"/>
                  </w:tcBorders>
                  <w:vAlign w:val="center"/>
                </w:tcPr>
                <w:p w14:paraId="77631A77">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6"/>
                      <w:sz w:val="21"/>
                      <w:szCs w:val="21"/>
                      <w:highlight w:val="none"/>
                      <w:u w:val="none" w:color="auto"/>
                    </w:rPr>
                  </w:pPr>
                  <w:r>
                    <w:rPr>
                      <w:rFonts w:hint="default" w:ascii="Times New Roman" w:hAnsi="Times New Roman" w:eastAsia="宋体" w:cs="Times New Roman"/>
                      <w:color w:val="auto"/>
                      <w:sz w:val="21"/>
                      <w:szCs w:val="21"/>
                      <w:highlight w:val="none"/>
                      <w:u w:val="none" w:color="auto"/>
                      <w:lang w:val="en-US" w:eastAsia="zh-CN"/>
                    </w:rPr>
                    <w:t>危险废物，HW</w:t>
                  </w:r>
                  <w:r>
                    <w:rPr>
                      <w:rFonts w:hint="eastAsia" w:ascii="Times New Roman" w:hAnsi="Times New Roman" w:eastAsia="宋体" w:cs="Times New Roman"/>
                      <w:color w:val="auto"/>
                      <w:sz w:val="21"/>
                      <w:szCs w:val="21"/>
                      <w:highlight w:val="none"/>
                      <w:u w:val="none" w:color="auto"/>
                      <w:lang w:val="en-US" w:eastAsia="zh-CN"/>
                    </w:rPr>
                    <w:t>49</w:t>
                  </w:r>
                  <w:r>
                    <w:rPr>
                      <w:rFonts w:hint="default" w:ascii="Times New Roman" w:hAnsi="Times New Roman" w:eastAsia="宋体" w:cs="Times New Roman"/>
                      <w:color w:val="auto"/>
                      <w:sz w:val="21"/>
                      <w:szCs w:val="21"/>
                      <w:highlight w:val="none"/>
                      <w:u w:val="none" w:color="auto"/>
                      <w:lang w:val="en-US" w:eastAsia="zh-CN"/>
                    </w:rPr>
                    <w:t>，</w:t>
                  </w:r>
                  <w:r>
                    <w:rPr>
                      <w:rFonts w:hint="eastAsia" w:ascii="Times New Roman" w:hAnsi="Times New Roman" w:eastAsia="宋体" w:cs="Times New Roman"/>
                      <w:color w:val="auto"/>
                      <w:sz w:val="21"/>
                      <w:szCs w:val="21"/>
                      <w:highlight w:val="none"/>
                      <w:u w:val="none" w:color="auto"/>
                      <w:lang w:val="en-US" w:eastAsia="zh-CN"/>
                    </w:rPr>
                    <w:t>900-249-08</w:t>
                  </w:r>
                </w:p>
              </w:tc>
              <w:tc>
                <w:tcPr>
                  <w:tcW w:w="746" w:type="pct"/>
                  <w:tcBorders>
                    <w:tl2br w:val="nil"/>
                    <w:tr2bl w:val="nil"/>
                  </w:tcBorders>
                  <w:vAlign w:val="center"/>
                </w:tcPr>
                <w:p w14:paraId="0B1C6B3D">
                  <w:pPr>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cs="Times New Roman"/>
                      <w:color w:val="auto"/>
                      <w:sz w:val="21"/>
                      <w:szCs w:val="21"/>
                      <w:highlight w:val="none"/>
                      <w:u w:val="none" w:color="auto"/>
                      <w:lang w:val="en-US" w:eastAsia="zh-CN"/>
                    </w:rPr>
                  </w:pPr>
                  <w:r>
                    <w:rPr>
                      <w:rFonts w:hint="eastAsia" w:cs="Times New Roman"/>
                      <w:color w:val="auto"/>
                      <w:spacing w:val="1"/>
                      <w:sz w:val="21"/>
                      <w:szCs w:val="21"/>
                      <w:highlight w:val="none"/>
                      <w:u w:val="none" w:color="auto"/>
                      <w:lang w:val="en-US" w:eastAsia="zh-CN"/>
                    </w:rPr>
                    <w:t>0.05t</w:t>
                  </w:r>
                </w:p>
              </w:tc>
              <w:tc>
                <w:tcPr>
                  <w:tcW w:w="1459" w:type="pct"/>
                  <w:vMerge w:val="continue"/>
                  <w:tcBorders>
                    <w:tl2br w:val="nil"/>
                    <w:tr2bl w:val="nil"/>
                  </w:tcBorders>
                  <w:vAlign w:val="center"/>
                </w:tcPr>
                <w:p w14:paraId="32630EE2">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pacing w:val="5"/>
                      <w:sz w:val="21"/>
                      <w:szCs w:val="21"/>
                      <w:highlight w:val="none"/>
                      <w:u w:val="none" w:color="auto"/>
                    </w:rPr>
                  </w:pPr>
                </w:p>
              </w:tc>
            </w:tr>
          </w:tbl>
          <w:p w14:paraId="5FB0A737">
            <w:pPr>
              <w:pStyle w:val="142"/>
              <w:adjustRightInd/>
              <w:snapToGrid/>
              <w:spacing w:line="360" w:lineRule="auto"/>
              <w:rPr>
                <w:rFonts w:hint="default" w:ascii="Times New Roman" w:hAnsi="Times New Roman" w:eastAsia="宋体" w:cs="Times New Roman"/>
                <w:color w:val="auto"/>
                <w:highlight w:val="none"/>
                <w:u w:val="none"/>
                <w:lang w:val="en-US" w:eastAsia="zh-CN"/>
              </w:rPr>
            </w:pPr>
            <w:r>
              <w:rPr>
                <w:rFonts w:hint="eastAsia" w:ascii="Times New Roman" w:hAnsi="Times New Roman" w:cs="Times New Roman"/>
                <w:color w:val="auto"/>
                <w:highlight w:val="none"/>
                <w:u w:val="none"/>
                <w:lang w:val="en-US" w:eastAsia="zh-CN"/>
              </w:rPr>
              <w:t>变动前</w:t>
            </w:r>
            <w:r>
              <w:rPr>
                <w:rFonts w:hint="eastAsia" w:ascii="Times New Roman" w:hAnsi="Times New Roman" w:eastAsia="宋体" w:cs="Times New Roman"/>
                <w:color w:val="auto"/>
                <w:highlight w:val="none"/>
                <w:u w:val="none"/>
                <w:lang w:val="en-US" w:eastAsia="zh-CN"/>
              </w:rPr>
              <w:t>建设单位在厂区内北侧设</w:t>
            </w:r>
            <w:r>
              <w:rPr>
                <w:rFonts w:hint="default" w:ascii="Times New Roman" w:hAnsi="Times New Roman" w:eastAsia="宋体" w:cs="Times New Roman"/>
                <w:color w:val="auto"/>
                <w:highlight w:val="none"/>
                <w:u w:val="none"/>
              </w:rPr>
              <w:t>占地面积</w:t>
            </w:r>
            <w:r>
              <w:rPr>
                <w:rFonts w:hint="eastAsia" w:ascii="Times New Roman" w:hAnsi="Times New Roman" w:eastAsia="宋体" w:cs="Times New Roman"/>
                <w:color w:val="auto"/>
                <w:highlight w:val="none"/>
                <w:u w:val="none"/>
                <w:lang w:val="en-US" w:eastAsia="zh-CN"/>
              </w:rPr>
              <w:t>5</w:t>
            </w:r>
            <w:r>
              <w:rPr>
                <w:rFonts w:hint="default" w:ascii="Times New Roman" w:hAnsi="Times New Roman" w:eastAsia="宋体" w:cs="Times New Roman"/>
                <w:color w:val="auto"/>
                <w:highlight w:val="none"/>
                <w:u w:val="none"/>
                <w:lang w:val="en-US" w:eastAsia="zh-CN"/>
              </w:rPr>
              <w:t>m</w:t>
            </w:r>
            <w:r>
              <w:rPr>
                <w:rFonts w:hint="default" w:ascii="Times New Roman" w:hAnsi="Times New Roman" w:eastAsia="宋体" w:cs="Times New Roman"/>
                <w:color w:val="auto"/>
                <w:highlight w:val="none"/>
                <w:u w:val="none"/>
                <w:vertAlign w:val="superscript"/>
                <w:lang w:val="en-US" w:eastAsia="zh-CN"/>
              </w:rPr>
              <w:t>2</w:t>
            </w:r>
            <w:r>
              <w:rPr>
                <w:rFonts w:hint="default" w:ascii="Times New Roman" w:hAnsi="Times New Roman" w:eastAsia="宋体" w:cs="Times New Roman"/>
                <w:color w:val="auto"/>
                <w:highlight w:val="none"/>
                <w:u w:val="none"/>
              </w:rPr>
              <w:t>的危险废物暂存</w:t>
            </w:r>
            <w:r>
              <w:rPr>
                <w:rFonts w:hint="default" w:ascii="Times New Roman" w:hAnsi="Times New Roman" w:eastAsia="宋体" w:cs="Times New Roman"/>
                <w:color w:val="auto"/>
                <w:highlight w:val="none"/>
                <w:u w:val="none"/>
                <w:lang w:val="en-US" w:eastAsia="zh-CN"/>
              </w:rPr>
              <w:t>间</w:t>
            </w:r>
            <w:r>
              <w:rPr>
                <w:rFonts w:hint="eastAsia" w:ascii="Times New Roman" w:hAnsi="Times New Roman" w:eastAsia="宋体" w:cs="Times New Roman"/>
                <w:color w:val="auto"/>
                <w:highlight w:val="none"/>
                <w:u w:val="none"/>
                <w:lang w:val="en-US" w:eastAsia="zh-CN"/>
              </w:rPr>
              <w:t>，用于危废暂存。</w:t>
            </w:r>
          </w:p>
          <w:p w14:paraId="208C47EB">
            <w:pPr>
              <w:numPr>
                <w:ilvl w:val="0"/>
                <w:numId w:val="0"/>
              </w:numPr>
              <w:adjustRightInd w:val="0"/>
              <w:snapToGrid w:val="0"/>
              <w:spacing w:line="360" w:lineRule="auto"/>
              <w:ind w:leftChars="0"/>
              <w:rPr>
                <w:rFonts w:hint="default" w:cs="Times New Roman" w:eastAsiaTheme="minorEastAsia"/>
                <w:b/>
                <w:bCs w:val="0"/>
                <w:color w:val="auto"/>
                <w:sz w:val="24"/>
                <w:szCs w:val="24"/>
                <w:highlight w:val="none"/>
                <w:u w:val="none"/>
                <w:lang w:val="en-US" w:eastAsia="zh-CN"/>
              </w:rPr>
            </w:pPr>
            <w:r>
              <w:rPr>
                <w:rFonts w:hint="eastAsia" w:cs="Times New Roman" w:eastAsiaTheme="minorEastAsia"/>
                <w:b/>
                <w:bCs w:val="0"/>
                <w:color w:val="auto"/>
                <w:sz w:val="24"/>
                <w:szCs w:val="24"/>
                <w:highlight w:val="none"/>
                <w:u w:val="none"/>
                <w:lang w:val="en-US" w:eastAsia="zh-CN"/>
              </w:rPr>
              <w:t>五、原有环境问题及整改内容</w:t>
            </w:r>
          </w:p>
          <w:p w14:paraId="25469F8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color w:val="auto"/>
                <w:sz w:val="24"/>
                <w:szCs w:val="24"/>
                <w:u w:val="single"/>
              </w:rPr>
            </w:pPr>
            <w:r>
              <w:rPr>
                <w:rFonts w:ascii="宋体" w:hAnsi="宋体" w:eastAsia="宋体" w:cs="宋体"/>
                <w:color w:val="auto"/>
                <w:sz w:val="24"/>
                <w:szCs w:val="24"/>
                <w:u w:val="single"/>
              </w:rPr>
              <w:t>根据调查，变动前项目焚烧炉废气仅配套高温布袋除尘器处理后排放。项目设备调试阶段，焚烧烟气易造成布袋滤袋受损，引发炸袋问题，导致除尘系统风阻急剧升高、烟气处理通路受阻，废气难以稳定达标。为从根源防止炸袋问题、保障长期稳定达标排放，企业搬迁后将淘汰原有的单级布袋除尘，在新厂区采用 “旋风除尘+高温布袋除尘”组合治理工艺，通过旋风除尘预先截留烟气中固体颗粒物，减少污染物直接接触滤袋，减轻布袋负荷，进一步提升项目废气治理达标稳定性。</w:t>
            </w:r>
          </w:p>
          <w:p w14:paraId="35E155B4">
            <w:pPr>
              <w:adjustRightInd w:val="0"/>
              <w:snapToGrid w:val="0"/>
              <w:spacing w:line="360" w:lineRule="auto"/>
              <w:rPr>
                <w:rFonts w:hint="eastAsia" w:ascii="Times New Roman" w:hAnsi="Times New Roman" w:cs="Times New Roman"/>
                <w:b/>
                <w:bCs/>
                <w:color w:val="auto"/>
                <w:sz w:val="24"/>
                <w:szCs w:val="24"/>
                <w:u w:val="single"/>
                <w:lang w:val="en-US" w:eastAsia="zh-CN"/>
              </w:rPr>
            </w:pPr>
            <w:r>
              <w:rPr>
                <w:rFonts w:hint="eastAsia" w:cs="Times New Roman"/>
                <w:b/>
                <w:bCs/>
                <w:color w:val="auto"/>
                <w:sz w:val="24"/>
                <w:szCs w:val="24"/>
                <w:u w:val="single"/>
                <w:lang w:val="en-US" w:eastAsia="zh-CN"/>
              </w:rPr>
              <w:t>六、</w:t>
            </w:r>
            <w:r>
              <w:rPr>
                <w:rFonts w:hint="eastAsia" w:ascii="Times New Roman" w:hAnsi="Times New Roman" w:cs="Times New Roman"/>
                <w:b/>
                <w:bCs/>
                <w:color w:val="auto"/>
                <w:sz w:val="24"/>
                <w:szCs w:val="24"/>
                <w:u w:val="single"/>
                <w:lang w:val="en-US" w:eastAsia="zh-CN"/>
              </w:rPr>
              <w:t>迁建后原有用地环保管理要求</w:t>
            </w:r>
          </w:p>
          <w:p w14:paraId="53CB8D18">
            <w:pPr>
              <w:spacing w:line="360" w:lineRule="auto"/>
              <w:ind w:left="0" w:leftChars="0" w:firstLine="480" w:firstLineChars="200"/>
              <w:rPr>
                <w:rFonts w:hint="eastAsia" w:ascii="Times New Roman" w:hAnsi="Times New Roman" w:cs="Times New Roman"/>
                <w:color w:val="auto"/>
                <w:sz w:val="24"/>
                <w:u w:val="single"/>
                <w:lang w:val="en-US" w:eastAsia="zh-CN"/>
              </w:rPr>
            </w:pPr>
            <w:r>
              <w:rPr>
                <w:rFonts w:hint="eastAsia" w:ascii="Times New Roman" w:hAnsi="Times New Roman" w:cs="Times New Roman"/>
                <w:color w:val="auto"/>
                <w:sz w:val="24"/>
                <w:u w:val="single"/>
                <w:lang w:val="en-US" w:eastAsia="zh-CN"/>
              </w:rPr>
              <w:t>本次整体搬迁后将现有场地归还给</w:t>
            </w:r>
            <w:r>
              <w:rPr>
                <w:rFonts w:hint="eastAsia"/>
                <w:color w:val="auto"/>
                <w:kern w:val="21"/>
                <w:sz w:val="24"/>
                <w:u w:val="single"/>
                <w:lang w:val="en-US" w:eastAsia="zh-CN"/>
              </w:rPr>
              <w:t>湖南省湘阳食品有限公司</w:t>
            </w:r>
            <w:r>
              <w:rPr>
                <w:rFonts w:hint="eastAsia" w:ascii="Times New Roman" w:hAnsi="Times New Roman" w:cs="Times New Roman"/>
                <w:color w:val="auto"/>
                <w:sz w:val="24"/>
                <w:u w:val="single"/>
                <w:lang w:val="en-US" w:eastAsia="zh-CN"/>
              </w:rPr>
              <w:t>，为解决好搬迁过程中可能遗留的环境问题，本环评要求本项目</w:t>
            </w:r>
            <w:r>
              <w:rPr>
                <w:rFonts w:hint="eastAsia" w:cs="Times New Roman"/>
                <w:color w:val="auto"/>
                <w:sz w:val="24"/>
                <w:u w:val="single"/>
                <w:lang w:val="en-US" w:eastAsia="zh-CN"/>
              </w:rPr>
              <w:t>在搬迁</w:t>
            </w:r>
            <w:r>
              <w:rPr>
                <w:rFonts w:hint="eastAsia" w:ascii="Times New Roman" w:hAnsi="Times New Roman" w:cs="Times New Roman"/>
                <w:color w:val="auto"/>
                <w:sz w:val="24"/>
                <w:u w:val="single"/>
                <w:lang w:val="en-US" w:eastAsia="zh-CN"/>
              </w:rPr>
              <w:t>过程中必须按照环境保护部文件《关于加强工业企业关停、搬迁及原址场地再开发利用过程中污染防治工作的通知》（环发〔</w:t>
            </w:r>
            <w:r>
              <w:rPr>
                <w:rFonts w:hint="default" w:ascii="Times New Roman" w:hAnsi="Times New Roman" w:cs="Times New Roman"/>
                <w:color w:val="auto"/>
                <w:sz w:val="24"/>
                <w:u w:val="single"/>
                <w:lang w:val="en-US" w:eastAsia="zh-CN"/>
              </w:rPr>
              <w:t>2014</w:t>
            </w:r>
            <w:r>
              <w:rPr>
                <w:rFonts w:hint="eastAsia" w:ascii="Times New Roman" w:hAnsi="Times New Roman" w:cs="Times New Roman"/>
                <w:color w:val="auto"/>
                <w:sz w:val="24"/>
                <w:u w:val="single"/>
                <w:lang w:val="en-US" w:eastAsia="zh-CN"/>
              </w:rPr>
              <w:t>〕</w:t>
            </w:r>
            <w:r>
              <w:rPr>
                <w:rFonts w:hint="default" w:ascii="Times New Roman" w:hAnsi="Times New Roman" w:cs="Times New Roman"/>
                <w:color w:val="auto"/>
                <w:sz w:val="24"/>
                <w:u w:val="single"/>
                <w:lang w:val="en-US" w:eastAsia="zh-CN"/>
              </w:rPr>
              <w:t xml:space="preserve">66 </w:t>
            </w:r>
            <w:r>
              <w:rPr>
                <w:rFonts w:hint="eastAsia" w:ascii="Times New Roman" w:hAnsi="Times New Roman" w:cs="Times New Roman"/>
                <w:color w:val="auto"/>
                <w:sz w:val="24"/>
                <w:u w:val="single"/>
                <w:lang w:val="en-US" w:eastAsia="zh-CN"/>
              </w:rPr>
              <w:t>号）</w:t>
            </w:r>
            <w:r>
              <w:rPr>
                <w:rFonts w:hint="eastAsia" w:cs="Times New Roman"/>
                <w:color w:val="auto"/>
                <w:sz w:val="24"/>
                <w:u w:val="single"/>
                <w:lang w:val="en-US" w:eastAsia="zh-CN"/>
              </w:rPr>
              <w:t>的</w:t>
            </w:r>
            <w:r>
              <w:rPr>
                <w:rFonts w:hint="eastAsia" w:ascii="Times New Roman" w:hAnsi="Times New Roman" w:cs="Times New Roman"/>
                <w:color w:val="auto"/>
                <w:sz w:val="24"/>
                <w:u w:val="single"/>
                <w:lang w:val="en-US" w:eastAsia="zh-CN"/>
              </w:rPr>
              <w:t xml:space="preserve">要求，实施搬迁工作： </w:t>
            </w:r>
          </w:p>
          <w:p w14:paraId="3FFAB063">
            <w:pPr>
              <w:spacing w:line="360" w:lineRule="auto"/>
              <w:ind w:left="0" w:leftChars="0" w:firstLine="480" w:firstLineChars="200"/>
              <w:rPr>
                <w:rFonts w:hint="eastAsia" w:ascii="Times New Roman" w:hAnsi="Times New Roman" w:cs="Times New Roman"/>
                <w:color w:val="auto"/>
                <w:sz w:val="24"/>
                <w:u w:val="single"/>
                <w:lang w:val="en-US" w:eastAsia="zh-CN"/>
              </w:rPr>
            </w:pPr>
            <w:r>
              <w:rPr>
                <w:rFonts w:hint="eastAsia" w:ascii="Times New Roman" w:hAnsi="Times New Roman" w:cs="Times New Roman"/>
                <w:color w:val="auto"/>
                <w:sz w:val="24"/>
                <w:u w:val="single"/>
                <w:lang w:val="en-US" w:eastAsia="zh-CN"/>
              </w:rPr>
              <w:t>①为避免搬迁过程中突发环境事件的发生，在搬迁过程中应确保污染防治设施正常运行或使用，妥善处理遗留或搬迁过程中产生的污染物，待设备拆除完毕且相关污染物处理处置结束后方可拆除污染治理设施。如果污染防治设施不能正常运行或使用，在搬迁过程中应制定并实施各类污染物临时处理处置方案。</w:t>
            </w:r>
          </w:p>
          <w:p w14:paraId="0819E08C">
            <w:pPr>
              <w:spacing w:line="360" w:lineRule="auto"/>
              <w:ind w:left="0" w:leftChars="0" w:firstLine="480" w:firstLineChars="200"/>
              <w:rPr>
                <w:rFonts w:hint="eastAsia" w:ascii="Times New Roman" w:hAnsi="Times New Roman" w:cs="Times New Roman"/>
                <w:color w:val="auto"/>
                <w:sz w:val="24"/>
                <w:u w:val="single"/>
                <w:lang w:val="en-US" w:eastAsia="zh-CN"/>
              </w:rPr>
            </w:pPr>
            <w:r>
              <w:rPr>
                <w:rFonts w:hint="eastAsia" w:ascii="Times New Roman" w:hAnsi="Times New Roman" w:cs="Times New Roman"/>
                <w:color w:val="auto"/>
                <w:sz w:val="24"/>
                <w:u w:val="single"/>
                <w:lang w:val="en-US" w:eastAsia="zh-CN"/>
              </w:rPr>
              <w:t>②搬迁前应认真排查搬迁过程中可能引发突发环境事件的风险源和风险因素，根据各种情形制定有针对性的专项环境应急预案，搬迁过程中如遇到紧急或不明情况，应及时应对处置并向当地政府和环保部门报告。</w:t>
            </w:r>
          </w:p>
          <w:p w14:paraId="060096CC">
            <w:pPr>
              <w:spacing w:line="360" w:lineRule="auto"/>
              <w:ind w:left="0" w:leftChars="0" w:firstLine="480" w:firstLineChars="200"/>
              <w:rPr>
                <w:rFonts w:hint="eastAsia" w:ascii="Times New Roman" w:hAnsi="Times New Roman" w:cs="Times New Roman"/>
                <w:color w:val="auto"/>
                <w:sz w:val="24"/>
                <w:u w:val="none"/>
                <w:lang w:val="en-US" w:eastAsia="zh-CN"/>
              </w:rPr>
            </w:pPr>
            <w:r>
              <w:rPr>
                <w:rFonts w:hint="eastAsia" w:ascii="Times New Roman" w:hAnsi="Times New Roman" w:cs="Times New Roman"/>
                <w:color w:val="auto"/>
                <w:sz w:val="24"/>
                <w:u w:val="single"/>
                <w:lang w:val="en-US" w:eastAsia="zh-CN"/>
              </w:rPr>
              <w:t>③安全处置遗留固体废物，应对原有场地残留和搬迁过程中产生的危险废物和一般固体废物进行合理处理处置。</w:t>
            </w:r>
          </w:p>
          <w:p w14:paraId="3AB0915A">
            <w:pPr>
              <w:numPr>
                <w:ilvl w:val="0"/>
                <w:numId w:val="0"/>
              </w:numPr>
              <w:adjustRightInd w:val="0"/>
              <w:snapToGrid w:val="0"/>
              <w:spacing w:line="360" w:lineRule="auto"/>
              <w:jc w:val="both"/>
              <w:rPr>
                <w:b/>
                <w:bCs/>
                <w:color w:val="auto"/>
                <w:sz w:val="24"/>
              </w:rPr>
            </w:pPr>
            <w:r>
              <w:rPr>
                <w:rFonts w:hint="eastAsia"/>
                <w:b/>
                <w:bCs/>
                <w:color w:val="auto"/>
                <w:sz w:val="24"/>
                <w:lang w:val="en-US" w:eastAsia="zh-CN"/>
              </w:rPr>
              <w:t>七、</w:t>
            </w:r>
            <w:r>
              <w:rPr>
                <w:b/>
                <w:bCs/>
                <w:color w:val="auto"/>
                <w:sz w:val="24"/>
              </w:rPr>
              <w:t>新</w:t>
            </w:r>
            <w:r>
              <w:rPr>
                <w:rFonts w:hint="eastAsia"/>
                <w:b/>
                <w:bCs/>
                <w:color w:val="auto"/>
                <w:sz w:val="24"/>
                <w:lang w:val="en-US" w:eastAsia="zh-CN"/>
              </w:rPr>
              <w:t>场址用地现状</w:t>
            </w:r>
            <w:r>
              <w:rPr>
                <w:b/>
                <w:bCs/>
                <w:color w:val="auto"/>
                <w:sz w:val="24"/>
              </w:rPr>
              <w:t>情况</w:t>
            </w:r>
          </w:p>
          <w:p w14:paraId="64D82FA2">
            <w:pPr>
              <w:pStyle w:val="142"/>
              <w:adjustRightInd/>
              <w:snapToGrid/>
              <w:spacing w:line="360" w:lineRule="auto"/>
              <w:rPr>
                <w:rFonts w:hint="eastAsia" w:ascii="Times New Roman" w:hAnsi="Times New Roman"/>
                <w:color w:val="auto"/>
                <w:highlight w:val="none"/>
                <w:u w:val="none"/>
                <w:lang w:val="en-US" w:eastAsia="zh-CN"/>
              </w:rPr>
            </w:pPr>
            <w:r>
              <w:rPr>
                <w:rFonts w:hint="eastAsia" w:ascii="Times New Roman" w:hAnsi="Times New Roman"/>
                <w:color w:val="auto"/>
                <w:highlight w:val="none"/>
                <w:u w:val="none"/>
                <w:lang w:val="en-US" w:eastAsia="zh-CN"/>
              </w:rPr>
              <w:t>经现场踏勘核实，本项目搬迁后所租赁场地权属归岳阳县万来新能源科技有限公司所有。该场地前身为岳阳县王家方页岩环保砖厂，目前该砖厂已全面停产。原页岩砖厂的全部生产设施、生产设备及配套辅助设备均已完成拆除，场地内无生产遗存物，东侧现存40m高烟囱未拆除，</w:t>
            </w:r>
            <w:r>
              <w:rPr>
                <w:rFonts w:ascii="宋体" w:hAnsi="宋体" w:eastAsia="宋体" w:cs="宋体"/>
                <w:color w:val="auto"/>
                <w:sz w:val="24"/>
                <w:szCs w:val="24"/>
              </w:rPr>
              <w:t>烟囱停用无废气排放</w:t>
            </w:r>
            <w:r>
              <w:rPr>
                <w:rFonts w:hint="eastAsia" w:ascii="Times New Roman" w:hAnsi="Times New Roman"/>
                <w:color w:val="auto"/>
                <w:highlight w:val="none"/>
                <w:u w:val="none"/>
                <w:lang w:val="en-US" w:eastAsia="zh-CN"/>
              </w:rPr>
              <w:t>。该砖厂最西侧区域现已对外出租，由岳阳市峰璟新材料科技有限公司用于建设硅砂生产项目，场地内建有生产车间、原料贮存堆场等配套建筑，该企业《年产硅砂（玻璃原材料）10万吨建设项目》环评手续已办理，并于2025年3月28日正式取得环评批复（岳县环评【2025】4号）。目前该项目处于建设阶段，尚未开展调试、验收工作，未正式投产运营。</w:t>
            </w:r>
          </w:p>
          <w:p w14:paraId="770443ED">
            <w:pPr>
              <w:pStyle w:val="142"/>
              <w:adjustRightInd/>
              <w:snapToGrid/>
              <w:spacing w:line="360" w:lineRule="auto"/>
              <w:rPr>
                <w:rFonts w:hint="default" w:ascii="Times New Roman" w:hAnsi="Times New Roman" w:eastAsia="宋体" w:cs="Times New Roman"/>
                <w:color w:val="auto"/>
                <w:sz w:val="24"/>
                <w:highlight w:val="none"/>
                <w:lang w:val="en-US" w:eastAsia="zh-CN"/>
              </w:rPr>
            </w:pPr>
            <w:r>
              <w:rPr>
                <w:rFonts w:hint="eastAsia" w:ascii="Times New Roman" w:hAnsi="Times New Roman"/>
                <w:color w:val="auto"/>
                <w:highlight w:val="none"/>
                <w:u w:val="none"/>
                <w:lang w:val="en-US" w:eastAsia="zh-CN"/>
              </w:rPr>
              <w:t>通过实地踏勘可知，本项目租赁的砖厂最东侧钢筋棚厂房现阶段处于空置状态，场地内未发现与本项目建设、生产相关的遗留污染物及环境污染问题。</w:t>
            </w:r>
          </w:p>
        </w:tc>
      </w:tr>
    </w:tbl>
    <w:p w14:paraId="52EECA59">
      <w:pPr>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br w:type="page"/>
      </w:r>
    </w:p>
    <w:p w14:paraId="367FBD49">
      <w:pPr>
        <w:pStyle w:val="28"/>
        <w:jc w:val="center"/>
        <w:outlineLvl w:val="0"/>
        <w:rPr>
          <w:rFonts w:ascii="Times New Roman" w:hAnsi="Times New Roman" w:eastAsia="黑体"/>
          <w:snapToGrid w:val="0"/>
          <w:color w:val="auto"/>
          <w:sz w:val="30"/>
          <w:szCs w:val="30"/>
          <w:highlight w:val="none"/>
        </w:rPr>
      </w:pPr>
      <w:bookmarkStart w:id="19" w:name="_Toc23730"/>
      <w:r>
        <w:rPr>
          <w:rFonts w:ascii="Times New Roman" w:hAnsi="Times New Roman" w:eastAsia="黑体"/>
          <w:snapToGrid w:val="0"/>
          <w:color w:val="auto"/>
          <w:sz w:val="30"/>
          <w:szCs w:val="30"/>
          <w:highlight w:val="none"/>
        </w:rPr>
        <w:t>三、区域环境质量现状、环境保护目标及评价标准</w:t>
      </w:r>
      <w:bookmarkEnd w:id="17"/>
      <w:bookmarkEnd w:id="18"/>
      <w:bookmarkEnd w:id="19"/>
    </w:p>
    <w:tbl>
      <w:tblPr>
        <w:tblStyle w:val="33"/>
        <w:tblW w:w="899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00"/>
        <w:gridCol w:w="8190"/>
      </w:tblGrid>
      <w:tr w14:paraId="52E211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512" w:hRule="atLeast"/>
          <w:jc w:val="center"/>
        </w:trPr>
        <w:tc>
          <w:tcPr>
            <w:tcW w:w="800" w:type="dxa"/>
            <w:noWrap w:val="0"/>
            <w:vAlign w:val="center"/>
          </w:tcPr>
          <w:p w14:paraId="595C0176">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区域</w:t>
            </w:r>
          </w:p>
          <w:p w14:paraId="78EFDF92">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环境</w:t>
            </w:r>
          </w:p>
          <w:p w14:paraId="58424AD1">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质量</w:t>
            </w:r>
          </w:p>
          <w:p w14:paraId="2808D2FA">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现状</w:t>
            </w:r>
          </w:p>
        </w:tc>
        <w:tc>
          <w:tcPr>
            <w:tcW w:w="8190" w:type="dxa"/>
            <w:noWrap w:val="0"/>
            <w:vAlign w:val="center"/>
          </w:tcPr>
          <w:p w14:paraId="5B316B0B">
            <w:pPr>
              <w:adjustRightInd w:val="0"/>
              <w:snapToGrid w:val="0"/>
              <w:spacing w:line="360" w:lineRule="auto"/>
              <w:jc w:val="left"/>
              <w:rPr>
                <w:rFonts w:hint="default" w:ascii="Times New Roman" w:hAnsi="Times New Roman" w:cs="Times New Roman"/>
                <w:b/>
                <w:color w:val="auto"/>
                <w:sz w:val="24"/>
                <w:highlight w:val="none"/>
                <w:u w:val="none"/>
              </w:rPr>
            </w:pPr>
            <w:r>
              <w:rPr>
                <w:rFonts w:hint="default" w:ascii="Times New Roman" w:hAnsi="Times New Roman" w:cs="Times New Roman"/>
                <w:b/>
                <w:color w:val="auto"/>
                <w:sz w:val="24"/>
                <w:highlight w:val="none"/>
                <w:u w:val="none"/>
              </w:rPr>
              <w:t>1、大气环境质量现状</w:t>
            </w:r>
          </w:p>
          <w:p w14:paraId="5E62AEE1">
            <w:pPr>
              <w:keepNext w:val="0"/>
              <w:keepLines w:val="0"/>
              <w:pageBreakBefore w:val="0"/>
              <w:widowControl/>
              <w:kinsoku/>
              <w:wordWrap/>
              <w:overflowPunct/>
              <w:topLinePunct w:val="0"/>
              <w:autoSpaceDE/>
              <w:autoSpaceDN/>
              <w:bidi w:val="0"/>
              <w:adjustRightInd w:val="0"/>
              <w:snapToGrid/>
              <w:spacing w:line="360" w:lineRule="auto"/>
              <w:ind w:firstLine="482" w:firstLineChars="200"/>
              <w:textAlignment w:val="auto"/>
              <w:rPr>
                <w:rFonts w:hint="default" w:ascii="Times New Roman" w:hAnsi="Times New Roman" w:eastAsia="宋体" w:cs="Times New Roman"/>
                <w:b/>
                <w:color w:val="auto"/>
                <w:kern w:val="0"/>
                <w:sz w:val="24"/>
                <w:szCs w:val="24"/>
                <w:highlight w:val="none"/>
                <w:u w:val="none" w:color="auto"/>
                <w:lang w:val="en-US" w:eastAsia="zh-CN" w:bidi="ar-SA"/>
              </w:rPr>
            </w:pPr>
            <w:r>
              <w:rPr>
                <w:rFonts w:hint="default" w:ascii="Times New Roman" w:hAnsi="Times New Roman" w:eastAsia="宋体" w:cs="Times New Roman"/>
                <w:b/>
                <w:color w:val="auto"/>
                <w:kern w:val="0"/>
                <w:sz w:val="24"/>
                <w:szCs w:val="24"/>
                <w:highlight w:val="none"/>
                <w:u w:val="none" w:color="auto"/>
                <w:lang w:val="en-US" w:eastAsia="zh-CN" w:bidi="ar-SA"/>
              </w:rPr>
              <w:t>1.1常规因子环境质量现状</w:t>
            </w:r>
          </w:p>
          <w:p w14:paraId="2B801323">
            <w:pPr>
              <w:widowControl/>
              <w:spacing w:line="360" w:lineRule="auto"/>
              <w:ind w:firstLine="480" w:firstLineChars="200"/>
              <w:jc w:val="left"/>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根据《环境影响评价技术导则-大气环境》（HJ2.2-2018）中“6环境空气质量现状调查与评价”内容，首先需要调查项目所在区域环境质量达标情况，作为项目所在区域是否为达标区的判定依据。并且根据导则“5.5依据评价所需环境空气质量现状、气象资料等数据的可获得性、数据质量、代表性等因素，选择近3年中数据相对完整的1个日历年作为评价基准年”的内容，本项目筛选的评价基准年为202</w:t>
            </w:r>
            <w:r>
              <w:rPr>
                <w:rFonts w:hint="eastAsia" w:cs="Times New Roman"/>
                <w:color w:val="auto"/>
                <w:sz w:val="24"/>
                <w:highlight w:val="none"/>
                <w:u w:val="none"/>
                <w:lang w:val="en-US" w:eastAsia="zh-CN"/>
              </w:rPr>
              <w:t>5</w:t>
            </w:r>
            <w:r>
              <w:rPr>
                <w:rFonts w:hint="default" w:ascii="Times New Roman" w:hAnsi="Times New Roman" w:cs="Times New Roman"/>
                <w:color w:val="auto"/>
                <w:sz w:val="24"/>
                <w:highlight w:val="none"/>
                <w:u w:val="none"/>
              </w:rPr>
              <w:t>年。由于本项目评价范围为以厂址为中心，边长为5km的矩形区域，在评价范围内没有环境空气质量监测网数据，故区域达标判定所用数据引用岳阳市202</w:t>
            </w:r>
            <w:r>
              <w:rPr>
                <w:rFonts w:hint="eastAsia" w:cs="Times New Roman"/>
                <w:color w:val="auto"/>
                <w:sz w:val="24"/>
                <w:highlight w:val="none"/>
                <w:u w:val="none"/>
                <w:lang w:val="en-US" w:eastAsia="zh-CN"/>
              </w:rPr>
              <w:t>5</w:t>
            </w:r>
            <w:r>
              <w:rPr>
                <w:rFonts w:hint="default" w:ascii="Times New Roman" w:hAnsi="Times New Roman" w:cs="Times New Roman"/>
                <w:color w:val="auto"/>
                <w:sz w:val="24"/>
                <w:highlight w:val="none"/>
                <w:u w:val="none"/>
              </w:rPr>
              <w:t>年度生态环境质量公报数据</w:t>
            </w:r>
            <w:r>
              <w:rPr>
                <w:rFonts w:hint="eastAsia" w:cs="Times New Roman"/>
                <w:color w:val="auto"/>
                <w:sz w:val="24"/>
                <w:highlight w:val="none"/>
                <w:u w:val="none"/>
                <w:lang w:val="en-US" w:eastAsia="zh-CN"/>
              </w:rPr>
              <w:t>中岳阳县区域数据</w:t>
            </w:r>
            <w:r>
              <w:rPr>
                <w:rFonts w:hint="default" w:ascii="Times New Roman" w:hAnsi="Times New Roman" w:cs="Times New Roman"/>
                <w:color w:val="auto"/>
                <w:sz w:val="24"/>
                <w:highlight w:val="none"/>
                <w:u w:val="none"/>
              </w:rPr>
              <w:t>。</w:t>
            </w:r>
          </w:p>
          <w:p w14:paraId="1FE5670E">
            <w:pPr>
              <w:widowControl/>
              <w:spacing w:line="360" w:lineRule="auto"/>
              <w:ind w:firstLine="480" w:firstLineChars="200"/>
              <w:jc w:val="left"/>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具体达标判定监测数据及评价结果见下表。</w:t>
            </w:r>
          </w:p>
          <w:p w14:paraId="38F202FA">
            <w:pPr>
              <w:snapToGrid w:val="0"/>
              <w:jc w:val="center"/>
              <w:rPr>
                <w:rFonts w:hint="default" w:ascii="Times New Roman" w:hAnsi="Times New Roman" w:cs="Times New Roman"/>
                <w:b/>
                <w:color w:val="auto"/>
                <w:sz w:val="21"/>
                <w:szCs w:val="21"/>
                <w:highlight w:val="none"/>
                <w:u w:val="none"/>
              </w:rPr>
            </w:pPr>
            <w:r>
              <w:rPr>
                <w:rFonts w:hint="default" w:ascii="Times New Roman" w:hAnsi="Times New Roman" w:cs="Times New Roman"/>
                <w:b/>
                <w:color w:val="auto"/>
                <w:sz w:val="21"/>
                <w:szCs w:val="21"/>
                <w:highlight w:val="none"/>
                <w:u w:val="none"/>
              </w:rPr>
              <w:t>表3-1</w:t>
            </w:r>
            <w:r>
              <w:rPr>
                <w:rFonts w:hint="eastAsia" w:cs="Times New Roman"/>
                <w:b/>
                <w:color w:val="auto"/>
                <w:sz w:val="21"/>
                <w:szCs w:val="21"/>
                <w:highlight w:val="none"/>
                <w:u w:val="none"/>
                <w:lang w:val="en-US" w:eastAsia="zh-CN"/>
              </w:rPr>
              <w:t xml:space="preserve">  </w:t>
            </w:r>
            <w:r>
              <w:rPr>
                <w:rFonts w:hint="default" w:ascii="Times New Roman" w:hAnsi="Times New Roman" w:cs="Times New Roman"/>
                <w:b/>
                <w:color w:val="auto"/>
                <w:sz w:val="21"/>
                <w:szCs w:val="21"/>
                <w:highlight w:val="none"/>
                <w:u w:val="none"/>
              </w:rPr>
              <w:t>202</w:t>
            </w:r>
            <w:r>
              <w:rPr>
                <w:rFonts w:hint="eastAsia" w:cs="Times New Roman"/>
                <w:b/>
                <w:color w:val="auto"/>
                <w:sz w:val="21"/>
                <w:szCs w:val="21"/>
                <w:highlight w:val="none"/>
                <w:u w:val="none"/>
                <w:lang w:val="en-US" w:eastAsia="zh-CN"/>
              </w:rPr>
              <w:t>5</w:t>
            </w:r>
            <w:r>
              <w:rPr>
                <w:rFonts w:hint="default" w:ascii="Times New Roman" w:hAnsi="Times New Roman" w:cs="Times New Roman"/>
                <w:b/>
                <w:color w:val="auto"/>
                <w:sz w:val="21"/>
                <w:szCs w:val="21"/>
                <w:highlight w:val="none"/>
                <w:u w:val="none"/>
              </w:rPr>
              <w:t>年岳阳县空气质量现状评价表</w:t>
            </w:r>
          </w:p>
          <w:tbl>
            <w:tblPr>
              <w:tblStyle w:val="33"/>
              <w:tblW w:w="802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95"/>
              <w:gridCol w:w="1749"/>
              <w:gridCol w:w="780"/>
              <w:gridCol w:w="1251"/>
              <w:gridCol w:w="1249"/>
              <w:gridCol w:w="1050"/>
              <w:gridCol w:w="1170"/>
            </w:tblGrid>
            <w:tr w14:paraId="0ED083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09" w:hRule="atLeast"/>
                <w:jc w:val="center"/>
              </w:trPr>
              <w:tc>
                <w:tcPr>
                  <w:tcW w:w="701" w:type="dxa"/>
                  <w:noWrap/>
                  <w:vAlign w:val="center"/>
                </w:tcPr>
                <w:p w14:paraId="4B782EE8">
                  <w:pPr>
                    <w:adjustRightInd w:val="0"/>
                    <w:snapToGrid w:val="0"/>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评价因子</w:t>
                  </w:r>
                </w:p>
              </w:tc>
              <w:tc>
                <w:tcPr>
                  <w:tcW w:w="1767" w:type="dxa"/>
                  <w:noWrap/>
                  <w:vAlign w:val="center"/>
                </w:tcPr>
                <w:p w14:paraId="1A525CC4">
                  <w:pPr>
                    <w:adjustRightInd w:val="0"/>
                    <w:snapToGrid w:val="0"/>
                    <w:jc w:val="center"/>
                    <w:rPr>
                      <w:rFonts w:hint="default" w:ascii="Times New Roman" w:hAnsi="Times New Roman" w:cs="Times New Roman"/>
                      <w:b/>
                      <w:bCs/>
                      <w:color w:val="auto"/>
                      <w:szCs w:val="21"/>
                      <w:highlight w:val="none"/>
                      <w:u w:val="none"/>
                    </w:rPr>
                  </w:pPr>
                  <w:r>
                    <w:rPr>
                      <w:rFonts w:hint="eastAsia" w:cs="Times New Roman"/>
                      <w:b/>
                      <w:bCs/>
                      <w:color w:val="auto"/>
                      <w:szCs w:val="21"/>
                      <w:highlight w:val="none"/>
                      <w:u w:val="none"/>
                      <w:lang w:eastAsia="zh-CN"/>
                    </w:rPr>
                    <w:t>平均</w:t>
                  </w:r>
                  <w:r>
                    <w:rPr>
                      <w:rFonts w:hint="default" w:ascii="Times New Roman" w:hAnsi="Times New Roman" w:cs="Times New Roman"/>
                      <w:b/>
                      <w:bCs/>
                      <w:color w:val="auto"/>
                      <w:szCs w:val="21"/>
                      <w:highlight w:val="none"/>
                      <w:u w:val="none"/>
                    </w:rPr>
                    <w:t>时段</w:t>
                  </w:r>
                </w:p>
              </w:tc>
              <w:tc>
                <w:tcPr>
                  <w:tcW w:w="787" w:type="dxa"/>
                  <w:noWrap/>
                  <w:vAlign w:val="center"/>
                </w:tcPr>
                <w:p w14:paraId="46411FB1">
                  <w:pPr>
                    <w:adjustRightInd w:val="0"/>
                    <w:snapToGrid w:val="0"/>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百分位</w:t>
                  </w:r>
                </w:p>
              </w:tc>
              <w:tc>
                <w:tcPr>
                  <w:tcW w:w="1263" w:type="dxa"/>
                  <w:noWrap/>
                  <w:vAlign w:val="center"/>
                </w:tcPr>
                <w:p w14:paraId="7ECABC91">
                  <w:pPr>
                    <w:adjustRightInd w:val="0"/>
                    <w:snapToGrid w:val="0"/>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现状浓度/</w:t>
                  </w:r>
                </w:p>
              </w:tc>
              <w:tc>
                <w:tcPr>
                  <w:tcW w:w="1261" w:type="dxa"/>
                  <w:noWrap/>
                  <w:vAlign w:val="center"/>
                </w:tcPr>
                <w:p w14:paraId="371C6359">
                  <w:pPr>
                    <w:adjustRightInd w:val="0"/>
                    <w:snapToGrid w:val="0"/>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标准浓度/</w:t>
                  </w:r>
                </w:p>
              </w:tc>
              <w:tc>
                <w:tcPr>
                  <w:tcW w:w="1060" w:type="dxa"/>
                  <w:noWrap/>
                  <w:vAlign w:val="center"/>
                </w:tcPr>
                <w:p w14:paraId="11C84B56">
                  <w:pPr>
                    <w:adjustRightInd w:val="0"/>
                    <w:snapToGrid w:val="0"/>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占标率/％</w:t>
                  </w:r>
                </w:p>
              </w:tc>
              <w:tc>
                <w:tcPr>
                  <w:tcW w:w="1181" w:type="dxa"/>
                  <w:noWrap/>
                  <w:vAlign w:val="center"/>
                </w:tcPr>
                <w:p w14:paraId="11C8AE56">
                  <w:pPr>
                    <w:adjustRightInd w:val="0"/>
                    <w:snapToGrid w:val="0"/>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达标情况</w:t>
                  </w:r>
                </w:p>
              </w:tc>
            </w:tr>
            <w:tr w14:paraId="01C78C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5" w:hRule="atLeast"/>
                <w:jc w:val="center"/>
              </w:trPr>
              <w:tc>
                <w:tcPr>
                  <w:tcW w:w="701" w:type="dxa"/>
                  <w:noWrap/>
                  <w:vAlign w:val="center"/>
                </w:tcPr>
                <w:p w14:paraId="16B93D5F">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SO</w:t>
                  </w:r>
                  <w:r>
                    <w:rPr>
                      <w:rFonts w:hint="default" w:ascii="Times New Roman" w:hAnsi="Times New Roman" w:cs="Times New Roman"/>
                      <w:color w:val="auto"/>
                      <w:szCs w:val="21"/>
                      <w:highlight w:val="none"/>
                      <w:u w:val="none"/>
                      <w:vertAlign w:val="subscript"/>
                    </w:rPr>
                    <w:t>2</w:t>
                  </w:r>
                </w:p>
              </w:tc>
              <w:tc>
                <w:tcPr>
                  <w:tcW w:w="1767" w:type="dxa"/>
                  <w:noWrap/>
                  <w:vAlign w:val="center"/>
                </w:tcPr>
                <w:p w14:paraId="1DA451FB">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年平均浓度</w:t>
                  </w:r>
                </w:p>
              </w:tc>
              <w:tc>
                <w:tcPr>
                  <w:tcW w:w="787" w:type="dxa"/>
                  <w:noWrap/>
                  <w:vAlign w:val="center"/>
                </w:tcPr>
                <w:p w14:paraId="64D9F608">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w:t>
                  </w:r>
                </w:p>
              </w:tc>
              <w:tc>
                <w:tcPr>
                  <w:tcW w:w="1263" w:type="dxa"/>
                  <w:noWrap/>
                  <w:vAlign w:val="center"/>
                </w:tcPr>
                <w:p w14:paraId="4402EB92">
                  <w:pPr>
                    <w:adjustRightInd w:val="0"/>
                    <w:snapToGrid w:val="0"/>
                    <w:jc w:val="center"/>
                    <w:rPr>
                      <w:rFonts w:hint="default" w:ascii="Times New Roman" w:hAnsi="Times New Roman" w:cs="Times New Roman"/>
                      <w:color w:val="auto"/>
                      <w:szCs w:val="21"/>
                      <w:highlight w:val="none"/>
                      <w:u w:val="none"/>
                    </w:rPr>
                  </w:pPr>
                  <w:r>
                    <w:rPr>
                      <w:rFonts w:hint="eastAsia" w:cs="Times New Roman"/>
                      <w:color w:val="auto"/>
                      <w:szCs w:val="21"/>
                      <w:highlight w:val="none"/>
                      <w:u w:val="none"/>
                      <w:lang w:val="en-US" w:eastAsia="zh-CN"/>
                    </w:rPr>
                    <w:t>6</w:t>
                  </w:r>
                  <w:r>
                    <w:rPr>
                      <w:rFonts w:hint="default" w:ascii="Times New Roman" w:hAnsi="Times New Roman" w:cs="Times New Roman"/>
                      <w:color w:val="auto"/>
                      <w:szCs w:val="21"/>
                      <w:highlight w:val="none"/>
                      <w:u w:val="none"/>
                    </w:rPr>
                    <w:t>μg/m</w:t>
                  </w:r>
                  <w:r>
                    <w:rPr>
                      <w:rFonts w:hint="default" w:ascii="Times New Roman" w:hAnsi="Times New Roman" w:cs="Times New Roman"/>
                      <w:color w:val="auto"/>
                      <w:szCs w:val="21"/>
                      <w:highlight w:val="none"/>
                      <w:u w:val="none"/>
                      <w:vertAlign w:val="superscript"/>
                    </w:rPr>
                    <w:t>3</w:t>
                  </w:r>
                </w:p>
              </w:tc>
              <w:tc>
                <w:tcPr>
                  <w:tcW w:w="1261" w:type="dxa"/>
                  <w:noWrap/>
                  <w:vAlign w:val="center"/>
                </w:tcPr>
                <w:p w14:paraId="1C6BF7A5">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60μg/m</w:t>
                  </w:r>
                  <w:r>
                    <w:rPr>
                      <w:rFonts w:hint="default" w:ascii="Times New Roman" w:hAnsi="Times New Roman" w:cs="Times New Roman"/>
                      <w:color w:val="auto"/>
                      <w:szCs w:val="21"/>
                      <w:highlight w:val="none"/>
                      <w:u w:val="none"/>
                      <w:vertAlign w:val="superscript"/>
                    </w:rPr>
                    <w:t>3</w:t>
                  </w:r>
                </w:p>
              </w:tc>
              <w:tc>
                <w:tcPr>
                  <w:tcW w:w="1060" w:type="dxa"/>
                  <w:noWrap/>
                  <w:vAlign w:val="center"/>
                </w:tcPr>
                <w:p w14:paraId="5062BB5E">
                  <w:pPr>
                    <w:adjustRightInd w:val="0"/>
                    <w:snapToGrid w:val="0"/>
                    <w:jc w:val="center"/>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10</w:t>
                  </w:r>
                </w:p>
              </w:tc>
              <w:tc>
                <w:tcPr>
                  <w:tcW w:w="1181" w:type="dxa"/>
                  <w:noWrap/>
                  <w:vAlign w:val="center"/>
                </w:tcPr>
                <w:p w14:paraId="0A5D4AFF">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达标</w:t>
                  </w:r>
                </w:p>
              </w:tc>
            </w:tr>
            <w:tr w14:paraId="4C888F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5" w:hRule="atLeast"/>
                <w:jc w:val="center"/>
              </w:trPr>
              <w:tc>
                <w:tcPr>
                  <w:tcW w:w="701" w:type="dxa"/>
                  <w:noWrap/>
                  <w:vAlign w:val="center"/>
                </w:tcPr>
                <w:p w14:paraId="3089A5C8">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NO</w:t>
                  </w:r>
                  <w:r>
                    <w:rPr>
                      <w:rFonts w:hint="default" w:ascii="Times New Roman" w:hAnsi="Times New Roman" w:cs="Times New Roman"/>
                      <w:color w:val="auto"/>
                      <w:szCs w:val="21"/>
                      <w:highlight w:val="none"/>
                      <w:u w:val="none"/>
                      <w:vertAlign w:val="subscript"/>
                    </w:rPr>
                    <w:t>2</w:t>
                  </w:r>
                </w:p>
              </w:tc>
              <w:tc>
                <w:tcPr>
                  <w:tcW w:w="1767" w:type="dxa"/>
                  <w:noWrap/>
                  <w:vAlign w:val="center"/>
                </w:tcPr>
                <w:p w14:paraId="05E4F270">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年平均浓度</w:t>
                  </w:r>
                </w:p>
              </w:tc>
              <w:tc>
                <w:tcPr>
                  <w:tcW w:w="787" w:type="dxa"/>
                  <w:noWrap/>
                  <w:vAlign w:val="center"/>
                </w:tcPr>
                <w:p w14:paraId="5F46E174">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w:t>
                  </w:r>
                </w:p>
              </w:tc>
              <w:tc>
                <w:tcPr>
                  <w:tcW w:w="1263" w:type="dxa"/>
                  <w:noWrap/>
                  <w:vAlign w:val="center"/>
                </w:tcPr>
                <w:p w14:paraId="33347E93">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1</w:t>
                  </w:r>
                  <w:r>
                    <w:rPr>
                      <w:rFonts w:hint="eastAsia" w:cs="Times New Roman"/>
                      <w:color w:val="auto"/>
                      <w:szCs w:val="21"/>
                      <w:highlight w:val="none"/>
                      <w:u w:val="none"/>
                      <w:lang w:val="en-US" w:eastAsia="zh-CN"/>
                    </w:rPr>
                    <w:t>6</w:t>
                  </w:r>
                  <w:r>
                    <w:rPr>
                      <w:rFonts w:hint="default" w:ascii="Times New Roman" w:hAnsi="Times New Roman" w:cs="Times New Roman"/>
                      <w:color w:val="auto"/>
                      <w:szCs w:val="21"/>
                      <w:highlight w:val="none"/>
                      <w:u w:val="none"/>
                    </w:rPr>
                    <w:t>μg/m</w:t>
                  </w:r>
                  <w:r>
                    <w:rPr>
                      <w:rFonts w:hint="default" w:ascii="Times New Roman" w:hAnsi="Times New Roman" w:cs="Times New Roman"/>
                      <w:color w:val="auto"/>
                      <w:szCs w:val="21"/>
                      <w:highlight w:val="none"/>
                      <w:u w:val="none"/>
                      <w:vertAlign w:val="superscript"/>
                    </w:rPr>
                    <w:t>3</w:t>
                  </w:r>
                </w:p>
              </w:tc>
              <w:tc>
                <w:tcPr>
                  <w:tcW w:w="1261" w:type="dxa"/>
                  <w:noWrap/>
                  <w:vAlign w:val="center"/>
                </w:tcPr>
                <w:p w14:paraId="52B5FF3B">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40μg/m</w:t>
                  </w:r>
                  <w:r>
                    <w:rPr>
                      <w:rFonts w:hint="default" w:ascii="Times New Roman" w:hAnsi="Times New Roman" w:cs="Times New Roman"/>
                      <w:color w:val="auto"/>
                      <w:szCs w:val="21"/>
                      <w:highlight w:val="none"/>
                      <w:u w:val="none"/>
                      <w:vertAlign w:val="superscript"/>
                    </w:rPr>
                    <w:t>3</w:t>
                  </w:r>
                </w:p>
              </w:tc>
              <w:tc>
                <w:tcPr>
                  <w:tcW w:w="1060" w:type="dxa"/>
                  <w:noWrap/>
                  <w:vAlign w:val="center"/>
                </w:tcPr>
                <w:p w14:paraId="5936FD1C">
                  <w:pPr>
                    <w:adjustRightInd w:val="0"/>
                    <w:snapToGrid w:val="0"/>
                    <w:jc w:val="center"/>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40</w:t>
                  </w:r>
                </w:p>
              </w:tc>
              <w:tc>
                <w:tcPr>
                  <w:tcW w:w="1181" w:type="dxa"/>
                  <w:noWrap/>
                  <w:vAlign w:val="center"/>
                </w:tcPr>
                <w:p w14:paraId="6F18DA47">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达标</w:t>
                  </w:r>
                </w:p>
              </w:tc>
            </w:tr>
            <w:tr w14:paraId="1D8250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5" w:hRule="atLeast"/>
                <w:jc w:val="center"/>
              </w:trPr>
              <w:tc>
                <w:tcPr>
                  <w:tcW w:w="701" w:type="dxa"/>
                  <w:noWrap/>
                  <w:vAlign w:val="center"/>
                </w:tcPr>
                <w:p w14:paraId="7B9F5689">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CO</w:t>
                  </w:r>
                </w:p>
              </w:tc>
              <w:tc>
                <w:tcPr>
                  <w:tcW w:w="1767" w:type="dxa"/>
                  <w:noWrap/>
                  <w:vAlign w:val="center"/>
                </w:tcPr>
                <w:p w14:paraId="7947850A">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百分位上日平均</w:t>
                  </w:r>
                </w:p>
              </w:tc>
              <w:tc>
                <w:tcPr>
                  <w:tcW w:w="787" w:type="dxa"/>
                  <w:noWrap/>
                  <w:vAlign w:val="center"/>
                </w:tcPr>
                <w:p w14:paraId="60B73F6A">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95</w:t>
                  </w:r>
                </w:p>
              </w:tc>
              <w:tc>
                <w:tcPr>
                  <w:tcW w:w="1263" w:type="dxa"/>
                  <w:noWrap/>
                  <w:vAlign w:val="center"/>
                </w:tcPr>
                <w:p w14:paraId="542F8742">
                  <w:pPr>
                    <w:adjustRightInd w:val="0"/>
                    <w:snapToGrid w:val="0"/>
                    <w:jc w:val="center"/>
                    <w:rPr>
                      <w:rFonts w:hint="default" w:ascii="Times New Roman" w:hAnsi="Times New Roman" w:cs="Times New Roman"/>
                      <w:color w:val="auto"/>
                      <w:szCs w:val="21"/>
                      <w:highlight w:val="none"/>
                      <w:u w:val="none"/>
                    </w:rPr>
                  </w:pPr>
                  <w:r>
                    <w:rPr>
                      <w:rFonts w:hint="eastAsia" w:cs="Times New Roman"/>
                      <w:color w:val="auto"/>
                      <w:szCs w:val="21"/>
                      <w:highlight w:val="none"/>
                      <w:u w:val="none"/>
                      <w:lang w:val="en-US" w:eastAsia="zh-CN"/>
                    </w:rPr>
                    <w:t>1.0</w:t>
                  </w:r>
                  <w:r>
                    <w:rPr>
                      <w:rFonts w:hint="default" w:ascii="Times New Roman" w:hAnsi="Times New Roman" w:cs="Times New Roman"/>
                      <w:color w:val="auto"/>
                      <w:szCs w:val="21"/>
                      <w:highlight w:val="none"/>
                      <w:u w:val="none"/>
                    </w:rPr>
                    <w:t>mg/m</w:t>
                  </w:r>
                  <w:r>
                    <w:rPr>
                      <w:rFonts w:hint="default" w:ascii="Times New Roman" w:hAnsi="Times New Roman" w:cs="Times New Roman"/>
                      <w:color w:val="auto"/>
                      <w:szCs w:val="21"/>
                      <w:highlight w:val="none"/>
                      <w:u w:val="none"/>
                      <w:vertAlign w:val="superscript"/>
                    </w:rPr>
                    <w:t>3</w:t>
                  </w:r>
                </w:p>
              </w:tc>
              <w:tc>
                <w:tcPr>
                  <w:tcW w:w="1261" w:type="dxa"/>
                  <w:noWrap/>
                  <w:vAlign w:val="center"/>
                </w:tcPr>
                <w:p w14:paraId="181E2C85">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4.0mg/m</w:t>
                  </w:r>
                  <w:r>
                    <w:rPr>
                      <w:rFonts w:hint="default" w:ascii="Times New Roman" w:hAnsi="Times New Roman" w:cs="Times New Roman"/>
                      <w:color w:val="auto"/>
                      <w:szCs w:val="21"/>
                      <w:highlight w:val="none"/>
                      <w:u w:val="none"/>
                      <w:vertAlign w:val="superscript"/>
                    </w:rPr>
                    <w:t>3</w:t>
                  </w:r>
                </w:p>
              </w:tc>
              <w:tc>
                <w:tcPr>
                  <w:tcW w:w="1060" w:type="dxa"/>
                  <w:noWrap/>
                  <w:vAlign w:val="center"/>
                </w:tcPr>
                <w:p w14:paraId="72F2C87E">
                  <w:pPr>
                    <w:adjustRightInd w:val="0"/>
                    <w:snapToGrid w:val="0"/>
                    <w:jc w:val="center"/>
                    <w:rPr>
                      <w:rFonts w:hint="eastAsia" w:ascii="Times New Roman" w:hAnsi="Times New Roman" w:eastAsia="宋体" w:cs="Times New Roman"/>
                      <w:color w:val="auto"/>
                      <w:szCs w:val="21"/>
                      <w:highlight w:val="none"/>
                      <w:u w:val="none"/>
                      <w:lang w:eastAsia="zh-CN"/>
                    </w:rPr>
                  </w:pPr>
                  <w:r>
                    <w:rPr>
                      <w:rFonts w:hint="default" w:ascii="Times New Roman" w:hAnsi="Times New Roman" w:cs="Times New Roman"/>
                      <w:color w:val="auto"/>
                      <w:szCs w:val="21"/>
                      <w:highlight w:val="none"/>
                      <w:u w:val="none"/>
                    </w:rPr>
                    <w:t>2</w:t>
                  </w:r>
                  <w:r>
                    <w:rPr>
                      <w:rFonts w:hint="eastAsia" w:cs="Times New Roman"/>
                      <w:color w:val="auto"/>
                      <w:szCs w:val="21"/>
                      <w:highlight w:val="none"/>
                      <w:u w:val="none"/>
                      <w:lang w:val="en-US" w:eastAsia="zh-CN"/>
                    </w:rPr>
                    <w:t>5</w:t>
                  </w:r>
                </w:p>
              </w:tc>
              <w:tc>
                <w:tcPr>
                  <w:tcW w:w="1181" w:type="dxa"/>
                  <w:noWrap/>
                  <w:vAlign w:val="center"/>
                </w:tcPr>
                <w:p w14:paraId="4E51068F">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达标</w:t>
                  </w:r>
                </w:p>
              </w:tc>
            </w:tr>
            <w:tr w14:paraId="548177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5" w:hRule="atLeast"/>
                <w:jc w:val="center"/>
              </w:trPr>
              <w:tc>
                <w:tcPr>
                  <w:tcW w:w="701" w:type="dxa"/>
                  <w:noWrap/>
                  <w:vAlign w:val="center"/>
                </w:tcPr>
                <w:p w14:paraId="11F1AC35">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臭氧</w:t>
                  </w:r>
                </w:p>
              </w:tc>
              <w:tc>
                <w:tcPr>
                  <w:tcW w:w="1767" w:type="dxa"/>
                  <w:noWrap/>
                  <w:vAlign w:val="center"/>
                </w:tcPr>
                <w:p w14:paraId="5B37F5B2">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8h平均质量浓度</w:t>
                  </w:r>
                </w:p>
              </w:tc>
              <w:tc>
                <w:tcPr>
                  <w:tcW w:w="787" w:type="dxa"/>
                  <w:noWrap/>
                  <w:vAlign w:val="center"/>
                </w:tcPr>
                <w:p w14:paraId="59F06603">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90</w:t>
                  </w:r>
                </w:p>
              </w:tc>
              <w:tc>
                <w:tcPr>
                  <w:tcW w:w="1263" w:type="dxa"/>
                  <w:noWrap/>
                  <w:vAlign w:val="center"/>
                </w:tcPr>
                <w:p w14:paraId="5D079471">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1</w:t>
                  </w:r>
                  <w:r>
                    <w:rPr>
                      <w:rFonts w:hint="eastAsia" w:cs="Times New Roman"/>
                      <w:color w:val="auto"/>
                      <w:szCs w:val="21"/>
                      <w:highlight w:val="none"/>
                      <w:u w:val="none"/>
                      <w:lang w:val="en-US" w:eastAsia="zh-CN"/>
                    </w:rPr>
                    <w:t>35</w:t>
                  </w:r>
                  <w:r>
                    <w:rPr>
                      <w:rFonts w:hint="default" w:ascii="Times New Roman" w:hAnsi="Times New Roman" w:cs="Times New Roman"/>
                      <w:color w:val="auto"/>
                      <w:szCs w:val="21"/>
                      <w:highlight w:val="none"/>
                      <w:u w:val="none"/>
                    </w:rPr>
                    <w:t>μg/m</w:t>
                  </w:r>
                  <w:r>
                    <w:rPr>
                      <w:rFonts w:hint="default" w:ascii="Times New Roman" w:hAnsi="Times New Roman" w:cs="Times New Roman"/>
                      <w:color w:val="auto"/>
                      <w:szCs w:val="21"/>
                      <w:highlight w:val="none"/>
                      <w:u w:val="none"/>
                      <w:vertAlign w:val="superscript"/>
                    </w:rPr>
                    <w:t>3</w:t>
                  </w:r>
                </w:p>
              </w:tc>
              <w:tc>
                <w:tcPr>
                  <w:tcW w:w="1261" w:type="dxa"/>
                  <w:noWrap/>
                  <w:vAlign w:val="center"/>
                </w:tcPr>
                <w:p w14:paraId="0EBB600E">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160μg/m</w:t>
                  </w:r>
                  <w:r>
                    <w:rPr>
                      <w:rFonts w:hint="default" w:ascii="Times New Roman" w:hAnsi="Times New Roman" w:cs="Times New Roman"/>
                      <w:color w:val="auto"/>
                      <w:szCs w:val="21"/>
                      <w:highlight w:val="none"/>
                      <w:u w:val="none"/>
                      <w:vertAlign w:val="superscript"/>
                    </w:rPr>
                    <w:t>3</w:t>
                  </w:r>
                </w:p>
              </w:tc>
              <w:tc>
                <w:tcPr>
                  <w:tcW w:w="1060" w:type="dxa"/>
                  <w:noWrap/>
                  <w:vAlign w:val="center"/>
                </w:tcPr>
                <w:p w14:paraId="01137676">
                  <w:pPr>
                    <w:adjustRightInd w:val="0"/>
                    <w:snapToGrid w:val="0"/>
                    <w:jc w:val="center"/>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84.38</w:t>
                  </w:r>
                </w:p>
              </w:tc>
              <w:tc>
                <w:tcPr>
                  <w:tcW w:w="1181" w:type="dxa"/>
                  <w:noWrap/>
                  <w:vAlign w:val="center"/>
                </w:tcPr>
                <w:p w14:paraId="4CC77EE3">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达标</w:t>
                  </w:r>
                </w:p>
              </w:tc>
            </w:tr>
            <w:tr w14:paraId="18789A5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7" w:hRule="atLeast"/>
                <w:jc w:val="center"/>
              </w:trPr>
              <w:tc>
                <w:tcPr>
                  <w:tcW w:w="701" w:type="dxa"/>
                  <w:noWrap/>
                  <w:vAlign w:val="center"/>
                </w:tcPr>
                <w:p w14:paraId="768C97C7">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PM</w:t>
                  </w:r>
                  <w:r>
                    <w:rPr>
                      <w:rFonts w:hint="default" w:ascii="Times New Roman" w:hAnsi="Times New Roman" w:cs="Times New Roman"/>
                      <w:color w:val="auto"/>
                      <w:szCs w:val="21"/>
                      <w:highlight w:val="none"/>
                      <w:u w:val="none"/>
                      <w:vertAlign w:val="subscript"/>
                    </w:rPr>
                    <w:t>2.5</w:t>
                  </w:r>
                </w:p>
              </w:tc>
              <w:tc>
                <w:tcPr>
                  <w:tcW w:w="1767" w:type="dxa"/>
                  <w:noWrap/>
                  <w:vAlign w:val="center"/>
                </w:tcPr>
                <w:p w14:paraId="3E2FB7F6">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年平均浓度</w:t>
                  </w:r>
                </w:p>
              </w:tc>
              <w:tc>
                <w:tcPr>
                  <w:tcW w:w="787" w:type="dxa"/>
                  <w:noWrap/>
                  <w:vAlign w:val="center"/>
                </w:tcPr>
                <w:p w14:paraId="4B468C04">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w:t>
                  </w:r>
                </w:p>
              </w:tc>
              <w:tc>
                <w:tcPr>
                  <w:tcW w:w="1263" w:type="dxa"/>
                  <w:noWrap/>
                  <w:vAlign w:val="center"/>
                </w:tcPr>
                <w:p w14:paraId="664D4F79">
                  <w:pPr>
                    <w:adjustRightInd w:val="0"/>
                    <w:snapToGrid w:val="0"/>
                    <w:jc w:val="center"/>
                    <w:rPr>
                      <w:rFonts w:hint="default" w:ascii="Times New Roman" w:hAnsi="Times New Roman" w:cs="Times New Roman"/>
                      <w:color w:val="auto"/>
                      <w:szCs w:val="21"/>
                      <w:highlight w:val="none"/>
                      <w:u w:val="none"/>
                    </w:rPr>
                  </w:pPr>
                  <w:r>
                    <w:rPr>
                      <w:rFonts w:hint="eastAsia" w:cs="Times New Roman"/>
                      <w:color w:val="auto"/>
                      <w:szCs w:val="21"/>
                      <w:highlight w:val="none"/>
                      <w:u w:val="none"/>
                      <w:lang w:val="en-US" w:eastAsia="zh-CN"/>
                    </w:rPr>
                    <w:t>30.1</w:t>
                  </w:r>
                  <w:r>
                    <w:rPr>
                      <w:rFonts w:hint="default" w:ascii="Times New Roman" w:hAnsi="Times New Roman" w:cs="Times New Roman"/>
                      <w:color w:val="auto"/>
                      <w:szCs w:val="21"/>
                      <w:highlight w:val="none"/>
                      <w:u w:val="none"/>
                    </w:rPr>
                    <w:t>μg/m</w:t>
                  </w:r>
                  <w:r>
                    <w:rPr>
                      <w:rFonts w:hint="default" w:ascii="Times New Roman" w:hAnsi="Times New Roman" w:cs="Times New Roman"/>
                      <w:color w:val="auto"/>
                      <w:szCs w:val="21"/>
                      <w:highlight w:val="none"/>
                      <w:u w:val="none"/>
                      <w:vertAlign w:val="superscript"/>
                    </w:rPr>
                    <w:t>3</w:t>
                  </w:r>
                </w:p>
              </w:tc>
              <w:tc>
                <w:tcPr>
                  <w:tcW w:w="1261" w:type="dxa"/>
                  <w:noWrap/>
                  <w:vAlign w:val="center"/>
                </w:tcPr>
                <w:p w14:paraId="40E47B5A">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35μg/m</w:t>
                  </w:r>
                  <w:r>
                    <w:rPr>
                      <w:rFonts w:hint="default" w:ascii="Times New Roman" w:hAnsi="Times New Roman" w:cs="Times New Roman"/>
                      <w:color w:val="auto"/>
                      <w:szCs w:val="21"/>
                      <w:highlight w:val="none"/>
                      <w:u w:val="none"/>
                      <w:vertAlign w:val="superscript"/>
                    </w:rPr>
                    <w:t>3</w:t>
                  </w:r>
                </w:p>
              </w:tc>
              <w:tc>
                <w:tcPr>
                  <w:tcW w:w="1060" w:type="dxa"/>
                  <w:noWrap/>
                  <w:vAlign w:val="center"/>
                </w:tcPr>
                <w:p w14:paraId="77283257">
                  <w:pPr>
                    <w:adjustRightInd w:val="0"/>
                    <w:snapToGrid w:val="0"/>
                    <w:jc w:val="center"/>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86.00</w:t>
                  </w:r>
                </w:p>
              </w:tc>
              <w:tc>
                <w:tcPr>
                  <w:tcW w:w="1181" w:type="dxa"/>
                  <w:noWrap/>
                  <w:vAlign w:val="center"/>
                </w:tcPr>
                <w:p w14:paraId="211414D1">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达标</w:t>
                  </w:r>
                </w:p>
              </w:tc>
            </w:tr>
            <w:tr w14:paraId="67616F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9" w:hRule="atLeast"/>
                <w:jc w:val="center"/>
              </w:trPr>
              <w:tc>
                <w:tcPr>
                  <w:tcW w:w="701" w:type="dxa"/>
                  <w:noWrap/>
                  <w:vAlign w:val="center"/>
                </w:tcPr>
                <w:p w14:paraId="7AF4453F">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PM</w:t>
                  </w:r>
                  <w:r>
                    <w:rPr>
                      <w:rFonts w:hint="default" w:ascii="Times New Roman" w:hAnsi="Times New Roman" w:cs="Times New Roman"/>
                      <w:color w:val="auto"/>
                      <w:szCs w:val="21"/>
                      <w:highlight w:val="none"/>
                      <w:u w:val="none"/>
                      <w:vertAlign w:val="subscript"/>
                    </w:rPr>
                    <w:t>10</w:t>
                  </w:r>
                </w:p>
              </w:tc>
              <w:tc>
                <w:tcPr>
                  <w:tcW w:w="1767" w:type="dxa"/>
                  <w:noWrap/>
                  <w:vAlign w:val="center"/>
                </w:tcPr>
                <w:p w14:paraId="168FE595">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年平均浓度</w:t>
                  </w:r>
                </w:p>
              </w:tc>
              <w:tc>
                <w:tcPr>
                  <w:tcW w:w="787" w:type="dxa"/>
                  <w:noWrap/>
                  <w:vAlign w:val="center"/>
                </w:tcPr>
                <w:p w14:paraId="693B9E51">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w:t>
                  </w:r>
                </w:p>
              </w:tc>
              <w:tc>
                <w:tcPr>
                  <w:tcW w:w="1263" w:type="dxa"/>
                  <w:noWrap/>
                  <w:vAlign w:val="center"/>
                </w:tcPr>
                <w:p w14:paraId="4A38E586">
                  <w:pPr>
                    <w:adjustRightInd w:val="0"/>
                    <w:snapToGrid w:val="0"/>
                    <w:jc w:val="center"/>
                    <w:rPr>
                      <w:rFonts w:hint="default" w:ascii="Times New Roman" w:hAnsi="Times New Roman" w:cs="Times New Roman"/>
                      <w:color w:val="auto"/>
                      <w:szCs w:val="21"/>
                      <w:highlight w:val="none"/>
                      <w:u w:val="none"/>
                    </w:rPr>
                  </w:pPr>
                  <w:r>
                    <w:rPr>
                      <w:rFonts w:hint="eastAsia" w:cs="Times New Roman"/>
                      <w:color w:val="auto"/>
                      <w:szCs w:val="21"/>
                      <w:highlight w:val="none"/>
                      <w:u w:val="none"/>
                      <w:lang w:val="en-US" w:eastAsia="zh-CN"/>
                    </w:rPr>
                    <w:t>46</w:t>
                  </w:r>
                  <w:r>
                    <w:rPr>
                      <w:rFonts w:hint="default" w:ascii="Times New Roman" w:hAnsi="Times New Roman" w:cs="Times New Roman"/>
                      <w:color w:val="auto"/>
                      <w:szCs w:val="21"/>
                      <w:highlight w:val="none"/>
                      <w:u w:val="none"/>
                    </w:rPr>
                    <w:t>μg/m</w:t>
                  </w:r>
                  <w:r>
                    <w:rPr>
                      <w:rFonts w:hint="default" w:ascii="Times New Roman" w:hAnsi="Times New Roman" w:cs="Times New Roman"/>
                      <w:color w:val="auto"/>
                      <w:szCs w:val="21"/>
                      <w:highlight w:val="none"/>
                      <w:u w:val="none"/>
                      <w:vertAlign w:val="superscript"/>
                    </w:rPr>
                    <w:t>3</w:t>
                  </w:r>
                </w:p>
              </w:tc>
              <w:tc>
                <w:tcPr>
                  <w:tcW w:w="1261" w:type="dxa"/>
                  <w:noWrap/>
                  <w:vAlign w:val="center"/>
                </w:tcPr>
                <w:p w14:paraId="4608B885">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70μg/m</w:t>
                  </w:r>
                  <w:r>
                    <w:rPr>
                      <w:rFonts w:hint="default" w:ascii="Times New Roman" w:hAnsi="Times New Roman" w:cs="Times New Roman"/>
                      <w:color w:val="auto"/>
                      <w:szCs w:val="21"/>
                      <w:highlight w:val="none"/>
                      <w:u w:val="none"/>
                      <w:vertAlign w:val="superscript"/>
                    </w:rPr>
                    <w:t>3</w:t>
                  </w:r>
                </w:p>
              </w:tc>
              <w:tc>
                <w:tcPr>
                  <w:tcW w:w="1060" w:type="dxa"/>
                  <w:noWrap/>
                  <w:vAlign w:val="center"/>
                </w:tcPr>
                <w:p w14:paraId="0C5583BA">
                  <w:pPr>
                    <w:adjustRightInd w:val="0"/>
                    <w:snapToGrid w:val="0"/>
                    <w:jc w:val="center"/>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65.71</w:t>
                  </w:r>
                </w:p>
              </w:tc>
              <w:tc>
                <w:tcPr>
                  <w:tcW w:w="1181" w:type="dxa"/>
                  <w:noWrap/>
                  <w:vAlign w:val="center"/>
                </w:tcPr>
                <w:p w14:paraId="1D49F2F0">
                  <w:pPr>
                    <w:adjustRightInd w:val="0"/>
                    <w:snapToGrid w:val="0"/>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达标</w:t>
                  </w:r>
                </w:p>
              </w:tc>
            </w:tr>
          </w:tbl>
          <w:p w14:paraId="70787BF2">
            <w:pPr>
              <w:widowControl/>
              <w:spacing w:line="360" w:lineRule="auto"/>
              <w:ind w:firstLine="480" w:firstLineChars="200"/>
              <w:jc w:val="left"/>
              <w:rPr>
                <w:rFonts w:hint="default" w:ascii="Times New Roman" w:hAnsi="Times New Roman" w:eastAsia="宋体" w:cs="Times New Roman"/>
                <w:color w:val="auto"/>
                <w:sz w:val="24"/>
                <w:highlight w:val="none"/>
                <w:u w:val="none"/>
              </w:rPr>
            </w:pPr>
            <w:r>
              <w:rPr>
                <w:rFonts w:hint="default" w:ascii="Times New Roman" w:hAnsi="Times New Roman" w:eastAsia="宋体" w:cs="Times New Roman"/>
                <w:color w:val="auto"/>
                <w:sz w:val="24"/>
                <w:highlight w:val="none"/>
                <w:u w:val="none"/>
              </w:rPr>
              <w:t>由上表监测数据可知，202</w:t>
            </w:r>
            <w:r>
              <w:rPr>
                <w:rFonts w:hint="eastAsia" w:cs="Times New Roman"/>
                <w:color w:val="auto"/>
                <w:sz w:val="24"/>
                <w:highlight w:val="none"/>
                <w:u w:val="none"/>
                <w:lang w:val="en-US" w:eastAsia="zh-CN"/>
              </w:rPr>
              <w:t>5</w:t>
            </w:r>
            <w:r>
              <w:rPr>
                <w:rFonts w:hint="default" w:ascii="Times New Roman" w:hAnsi="Times New Roman" w:eastAsia="宋体" w:cs="Times New Roman"/>
                <w:color w:val="auto"/>
                <w:sz w:val="24"/>
                <w:highlight w:val="none"/>
                <w:u w:val="none"/>
              </w:rPr>
              <w:t>年项目所在区域环境空气质量可达到该年度执行的《环境空气质量标准》（GB3095-2012）及其2018年修改单中的二级标准，属于环境空气质量达标区域。</w:t>
            </w:r>
          </w:p>
          <w:p w14:paraId="4C6DD384">
            <w:pPr>
              <w:widowControl/>
              <w:spacing w:line="360" w:lineRule="auto"/>
              <w:ind w:firstLine="480" w:firstLineChars="200"/>
              <w:jc w:val="left"/>
              <w:rPr>
                <w:rFonts w:hint="default" w:ascii="Times New Roman" w:hAnsi="Times New Roman" w:cs="Times New Roman"/>
                <w:color w:val="auto"/>
                <w:sz w:val="24"/>
                <w:highlight w:val="none"/>
                <w:u w:val="none"/>
              </w:rPr>
            </w:pPr>
            <w:r>
              <w:rPr>
                <w:rFonts w:hint="default" w:ascii="Times New Roman" w:hAnsi="Times New Roman" w:eastAsia="宋体" w:cs="Times New Roman"/>
                <w:color w:val="auto"/>
                <w:sz w:val="24"/>
                <w:highlight w:val="none"/>
                <w:u w:val="none"/>
              </w:rPr>
              <w:t>根据2026年3月1日发布的《环境空气质量标准》（GB3095-2026）表1中过渡阶段</w:t>
            </w:r>
            <w:r>
              <w:rPr>
                <w:rFonts w:hint="eastAsia" w:ascii="Times New Roman" w:hAnsi="Times New Roman" w:cs="Times New Roman"/>
                <w:color w:val="auto"/>
                <w:sz w:val="24"/>
                <w:highlight w:val="none"/>
                <w:u w:val="none"/>
                <w:lang w:val="en-US" w:eastAsia="zh-CN"/>
              </w:rPr>
              <w:t>二级限值</w:t>
            </w:r>
            <w:r>
              <w:rPr>
                <w:rFonts w:hint="default" w:ascii="Times New Roman" w:hAnsi="Times New Roman" w:eastAsia="宋体" w:cs="Times New Roman"/>
                <w:color w:val="auto"/>
                <w:sz w:val="24"/>
                <w:highlight w:val="none"/>
                <w:u w:val="none"/>
              </w:rPr>
              <w:t>要求，202</w:t>
            </w:r>
            <w:r>
              <w:rPr>
                <w:rFonts w:hint="eastAsia" w:cs="Times New Roman"/>
                <w:color w:val="auto"/>
                <w:sz w:val="24"/>
                <w:highlight w:val="none"/>
                <w:u w:val="none"/>
                <w:lang w:val="en-US" w:eastAsia="zh-CN"/>
              </w:rPr>
              <w:t>5</w:t>
            </w:r>
            <w:r>
              <w:rPr>
                <w:rFonts w:hint="default" w:ascii="Times New Roman" w:hAnsi="Times New Roman" w:eastAsia="宋体" w:cs="Times New Roman"/>
                <w:color w:val="auto"/>
                <w:sz w:val="24"/>
                <w:highlight w:val="none"/>
                <w:u w:val="none"/>
              </w:rPr>
              <w:t>年该区域PM2.5浓度暂未达到该最新标准限值。目前，岳阳市政府正加大环境治理力度，通过采取更为严格的大气污染防治措施，后续所在区域环境空气质量将得到进一步改善，逐步满足最新标准要求。</w:t>
            </w:r>
          </w:p>
          <w:p w14:paraId="41BEBD49">
            <w:pPr>
              <w:keepNext w:val="0"/>
              <w:keepLines w:val="0"/>
              <w:pageBreakBefore w:val="0"/>
              <w:widowControl/>
              <w:kinsoku/>
              <w:wordWrap/>
              <w:overflowPunct/>
              <w:topLinePunct w:val="0"/>
              <w:autoSpaceDE/>
              <w:autoSpaceDN/>
              <w:bidi w:val="0"/>
              <w:adjustRightInd w:val="0"/>
              <w:snapToGrid/>
              <w:spacing w:line="360" w:lineRule="auto"/>
              <w:ind w:firstLine="482" w:firstLineChars="200"/>
              <w:textAlignment w:val="auto"/>
              <w:rPr>
                <w:rFonts w:hint="eastAsia" w:ascii="Times New Roman" w:hAnsi="Times New Roman" w:eastAsia="宋体" w:cs="Times New Roman"/>
                <w:b/>
                <w:color w:val="auto"/>
                <w:kern w:val="0"/>
                <w:sz w:val="24"/>
                <w:szCs w:val="24"/>
                <w:highlight w:val="none"/>
                <w:u w:val="none" w:color="auto"/>
                <w:lang w:val="en-US" w:eastAsia="zh-CN" w:bidi="ar-SA"/>
              </w:rPr>
            </w:pPr>
            <w:r>
              <w:rPr>
                <w:rFonts w:hint="eastAsia" w:ascii="Times New Roman" w:hAnsi="Times New Roman" w:eastAsia="宋体" w:cs="Times New Roman"/>
                <w:b/>
                <w:color w:val="auto"/>
                <w:kern w:val="0"/>
                <w:sz w:val="24"/>
                <w:szCs w:val="24"/>
                <w:highlight w:val="none"/>
                <w:u w:val="none" w:color="auto"/>
                <w:lang w:val="en-US" w:eastAsia="zh-CN" w:bidi="ar-SA"/>
              </w:rPr>
              <w:t>1.2特征因子环境质量现状</w:t>
            </w:r>
          </w:p>
          <w:p w14:paraId="366D6A3D">
            <w:pPr>
              <w:pStyle w:val="12"/>
              <w:spacing w:before="0" w:after="0" w:line="360" w:lineRule="auto"/>
              <w:ind w:right="0" w:firstLine="480" w:firstLineChars="200"/>
              <w:rPr>
                <w:rFonts w:hint="default"/>
                <w:color w:val="auto"/>
                <w:kern w:val="2"/>
                <w:sz w:val="24"/>
                <w:szCs w:val="24"/>
                <w:highlight w:val="none"/>
                <w:lang w:val="en-US" w:eastAsia="zh-CN"/>
              </w:rPr>
            </w:pPr>
            <w:r>
              <w:rPr>
                <w:rFonts w:hint="eastAsia"/>
                <w:color w:val="auto"/>
                <w:kern w:val="2"/>
                <w:sz w:val="24"/>
                <w:szCs w:val="24"/>
                <w:highlight w:val="none"/>
                <w:lang w:val="en-US" w:eastAsia="zh-CN"/>
              </w:rPr>
              <w:t>根据</w:t>
            </w:r>
            <w:r>
              <w:rPr>
                <w:rFonts w:hint="eastAsia"/>
                <w:color w:val="auto"/>
                <w:kern w:val="2"/>
                <w:sz w:val="24"/>
                <w:szCs w:val="24"/>
                <w:highlight w:val="none"/>
              </w:rPr>
              <w:t>生态环境部办公厅2020年12月24日印发的《建设项目环境影响报告表编制技术指南（污染影响类）（试行）》中具体编制要求</w:t>
            </w:r>
            <w:r>
              <w:rPr>
                <w:rFonts w:hint="eastAsia"/>
                <w:color w:val="auto"/>
                <w:kern w:val="2"/>
                <w:sz w:val="24"/>
                <w:szCs w:val="24"/>
                <w:highlight w:val="none"/>
                <w:lang w:eastAsia="zh-CN"/>
              </w:rPr>
              <w:t>“</w:t>
            </w:r>
            <w:r>
              <w:rPr>
                <w:rFonts w:hint="eastAsia"/>
                <w:color w:val="auto"/>
                <w:kern w:val="2"/>
                <w:sz w:val="24"/>
                <w:szCs w:val="24"/>
                <w:highlight w:val="none"/>
              </w:rPr>
              <w:t>排放国家、地方环境</w:t>
            </w:r>
            <w:r>
              <w:rPr>
                <w:rFonts w:hint="eastAsia"/>
                <w:color w:val="auto"/>
                <w:kern w:val="2"/>
                <w:sz w:val="24"/>
                <w:szCs w:val="24"/>
                <w:highlight w:val="none"/>
                <w:lang w:eastAsia="zh-CN"/>
              </w:rPr>
              <w:t>空气</w:t>
            </w:r>
            <w:r>
              <w:rPr>
                <w:rFonts w:hint="eastAsia"/>
                <w:color w:val="auto"/>
                <w:kern w:val="2"/>
                <w:sz w:val="24"/>
                <w:szCs w:val="24"/>
                <w:highlight w:val="none"/>
              </w:rPr>
              <w:t>质量标准中有标准</w:t>
            </w:r>
            <w:r>
              <w:rPr>
                <w:rFonts w:hint="eastAsia"/>
                <w:color w:val="auto"/>
                <w:kern w:val="2"/>
                <w:sz w:val="24"/>
                <w:szCs w:val="24"/>
                <w:highlight w:val="none"/>
                <w:lang w:eastAsia="zh-CN"/>
              </w:rPr>
              <w:t>限值</w:t>
            </w:r>
            <w:r>
              <w:rPr>
                <w:rFonts w:hint="eastAsia"/>
                <w:color w:val="auto"/>
                <w:kern w:val="2"/>
                <w:sz w:val="24"/>
                <w:szCs w:val="24"/>
                <w:highlight w:val="none"/>
              </w:rPr>
              <w:t>要求的特征污染物时， 引用建设项目周边</w:t>
            </w:r>
            <w:r>
              <w:rPr>
                <w:rFonts w:hint="eastAsia"/>
                <w:color w:val="auto"/>
                <w:kern w:val="2"/>
                <w:sz w:val="24"/>
                <w:szCs w:val="24"/>
                <w:highlight w:val="none"/>
                <w:lang w:val="en-US" w:eastAsia="zh-CN"/>
              </w:rPr>
              <w:t>5千米</w:t>
            </w:r>
            <w:r>
              <w:rPr>
                <w:rFonts w:hint="eastAsia"/>
                <w:color w:val="auto"/>
                <w:kern w:val="2"/>
                <w:sz w:val="24"/>
                <w:szCs w:val="24"/>
                <w:highlight w:val="none"/>
              </w:rPr>
              <w:t>范围内近</w:t>
            </w:r>
            <w:r>
              <w:rPr>
                <w:rFonts w:hint="eastAsia"/>
                <w:color w:val="auto"/>
                <w:kern w:val="2"/>
                <w:sz w:val="24"/>
                <w:szCs w:val="24"/>
                <w:highlight w:val="none"/>
                <w:lang w:val="en-US" w:eastAsia="zh-CN"/>
              </w:rPr>
              <w:t>3年</w:t>
            </w:r>
            <w:r>
              <w:rPr>
                <w:rFonts w:hint="eastAsia"/>
                <w:color w:val="auto"/>
                <w:kern w:val="2"/>
                <w:sz w:val="24"/>
                <w:szCs w:val="24"/>
                <w:highlight w:val="none"/>
              </w:rPr>
              <w:t>的现有监测数据，无相关数据的选择当</w:t>
            </w:r>
            <w:r>
              <w:rPr>
                <w:rFonts w:hint="eastAsia"/>
                <w:color w:val="auto"/>
                <w:kern w:val="2"/>
                <w:sz w:val="24"/>
                <w:szCs w:val="24"/>
                <w:highlight w:val="none"/>
                <w:lang w:eastAsia="zh-CN"/>
              </w:rPr>
              <w:t>季</w:t>
            </w:r>
            <w:r>
              <w:rPr>
                <w:rFonts w:hint="eastAsia"/>
                <w:color w:val="auto"/>
                <w:kern w:val="2"/>
                <w:sz w:val="24"/>
                <w:szCs w:val="24"/>
                <w:highlight w:val="none"/>
              </w:rPr>
              <w:t>主导风向下风向</w:t>
            </w:r>
            <w:r>
              <w:rPr>
                <w:rFonts w:hint="eastAsia"/>
                <w:color w:val="auto"/>
                <w:kern w:val="2"/>
                <w:sz w:val="24"/>
                <w:szCs w:val="24"/>
                <w:highlight w:val="none"/>
                <w:lang w:val="en-US" w:eastAsia="zh-CN"/>
              </w:rPr>
              <w:t>1个</w:t>
            </w:r>
            <w:r>
              <w:rPr>
                <w:rFonts w:hint="eastAsia"/>
                <w:color w:val="auto"/>
                <w:kern w:val="2"/>
                <w:sz w:val="24"/>
                <w:szCs w:val="24"/>
                <w:highlight w:val="none"/>
              </w:rPr>
              <w:t>点位补充不</w:t>
            </w:r>
            <w:r>
              <w:rPr>
                <w:rFonts w:hint="eastAsia"/>
                <w:color w:val="auto"/>
                <w:kern w:val="2"/>
                <w:sz w:val="24"/>
                <w:szCs w:val="24"/>
                <w:highlight w:val="none"/>
                <w:lang w:eastAsia="zh-CN"/>
              </w:rPr>
              <w:t>少于</w:t>
            </w:r>
            <w:r>
              <w:rPr>
                <w:rFonts w:hint="eastAsia"/>
                <w:color w:val="auto"/>
                <w:kern w:val="2"/>
                <w:sz w:val="24"/>
                <w:szCs w:val="24"/>
                <w:highlight w:val="none"/>
                <w:lang w:val="en-US" w:eastAsia="zh-CN"/>
              </w:rPr>
              <w:t>3天</w:t>
            </w:r>
            <w:r>
              <w:rPr>
                <w:rFonts w:hint="eastAsia"/>
                <w:color w:val="auto"/>
                <w:kern w:val="2"/>
                <w:sz w:val="24"/>
                <w:szCs w:val="24"/>
                <w:highlight w:val="none"/>
              </w:rPr>
              <w:t>的监测数据</w:t>
            </w:r>
            <w:r>
              <w:rPr>
                <w:rFonts w:hint="eastAsia"/>
                <w:color w:val="auto"/>
                <w:kern w:val="2"/>
                <w:sz w:val="24"/>
                <w:szCs w:val="24"/>
                <w:highlight w:val="none"/>
                <w:lang w:eastAsia="zh-CN"/>
              </w:rPr>
              <w:t>”，本项目特征因子为</w:t>
            </w:r>
            <w:r>
              <w:rPr>
                <w:rFonts w:hint="eastAsia"/>
                <w:color w:val="auto"/>
                <w:kern w:val="2"/>
                <w:sz w:val="24"/>
                <w:szCs w:val="24"/>
                <w:highlight w:val="none"/>
                <w:lang w:val="en-US" w:eastAsia="zh-CN"/>
              </w:rPr>
              <w:t>TSP、非甲烷总烃、臭气浓度，但非甲烷总烃、臭气浓度无国家或地方环境质量标准限制要求，故本次评价对区域所在地进行TSP的现状监测。</w:t>
            </w:r>
          </w:p>
          <w:p w14:paraId="383E6C20">
            <w:pPr>
              <w:pStyle w:val="54"/>
              <w:tabs>
                <w:tab w:val="left" w:pos="1021"/>
              </w:tabs>
              <w:bidi w:val="0"/>
              <w:spacing w:line="360" w:lineRule="auto"/>
              <w:rPr>
                <w:rFonts w:hint="default" w:ascii="Times New Roman" w:hAnsi="Times New Roman" w:cs="Times New Roman"/>
                <w:color w:val="auto"/>
                <w:sz w:val="24"/>
                <w:szCs w:val="24"/>
                <w:highlight w:val="green"/>
                <w:u w:val="none" w:color="auto"/>
              </w:rPr>
            </w:pPr>
            <w:r>
              <w:rPr>
                <w:rFonts w:hint="default" w:ascii="Times New Roman" w:hAnsi="Times New Roman" w:eastAsia="宋体" w:cs="Times New Roman"/>
                <w:color w:val="auto"/>
                <w:highlight w:val="none"/>
                <w:u w:val="none" w:color="auto"/>
              </w:rPr>
              <w:t>为了解项目特征污染物（TSP）的现状，本项目引用</w:t>
            </w:r>
            <w:r>
              <w:rPr>
                <w:rFonts w:hint="default" w:ascii="Times New Roman" w:hAnsi="Times New Roman" w:cs="Times New Roman"/>
                <w:color w:val="auto"/>
                <w:sz w:val="24"/>
                <w:highlight w:val="none"/>
                <w:lang w:val="en-US" w:eastAsia="zh-CN"/>
              </w:rPr>
              <w:t>岳阳市丰源机筛有限公司</w:t>
            </w:r>
            <w:r>
              <w:rPr>
                <w:rFonts w:hint="default" w:ascii="Times New Roman" w:hAnsi="Times New Roman" w:eastAsia="宋体" w:cs="Times New Roman"/>
                <w:color w:val="auto"/>
                <w:highlight w:val="none"/>
                <w:u w:val="none" w:color="auto"/>
              </w:rPr>
              <w:t>的《</w:t>
            </w:r>
            <w:r>
              <w:rPr>
                <w:rFonts w:hint="default" w:ascii="Times New Roman" w:hAnsi="Times New Roman" w:eastAsia="宋体" w:cs="Times New Roman"/>
                <w:color w:val="auto"/>
                <w:sz w:val="24"/>
                <w:szCs w:val="24"/>
                <w:highlight w:val="none"/>
                <w:lang w:val="en-US" w:eastAsia="zh-CN"/>
              </w:rPr>
              <w:t>年产机筛8万平方米扩建项目</w:t>
            </w:r>
            <w:r>
              <w:rPr>
                <w:rFonts w:hint="default" w:ascii="Times New Roman" w:hAnsi="Times New Roman" w:eastAsia="宋体" w:cs="Times New Roman"/>
                <w:color w:val="auto"/>
                <w:highlight w:val="none"/>
                <w:u w:val="none" w:color="auto"/>
              </w:rPr>
              <w:t>环境影响评价报告表》202</w:t>
            </w:r>
            <w:r>
              <w:rPr>
                <w:rFonts w:hint="default" w:ascii="Times New Roman" w:hAnsi="Times New Roman" w:cs="Times New Roman"/>
                <w:color w:val="auto"/>
                <w:highlight w:val="none"/>
                <w:u w:val="none" w:color="auto"/>
                <w:lang w:val="en-US" w:eastAsia="zh-CN"/>
              </w:rPr>
              <w:t>4</w:t>
            </w:r>
            <w:r>
              <w:rPr>
                <w:rFonts w:hint="default" w:ascii="Times New Roman" w:hAnsi="Times New Roman" w:eastAsia="宋体" w:cs="Times New Roman"/>
                <w:color w:val="auto"/>
                <w:highlight w:val="none"/>
                <w:u w:val="none" w:color="auto"/>
              </w:rPr>
              <w:t>年</w:t>
            </w:r>
            <w:r>
              <w:rPr>
                <w:rFonts w:hint="default" w:ascii="Times New Roman" w:hAnsi="Times New Roman" w:cs="Times New Roman"/>
                <w:color w:val="auto"/>
                <w:highlight w:val="none"/>
                <w:u w:val="none" w:color="auto"/>
                <w:lang w:val="en-US" w:eastAsia="zh-CN"/>
              </w:rPr>
              <w:t>9</w:t>
            </w:r>
            <w:r>
              <w:rPr>
                <w:rFonts w:hint="default" w:ascii="Times New Roman" w:hAnsi="Times New Roman" w:eastAsia="宋体" w:cs="Times New Roman"/>
                <w:color w:val="auto"/>
                <w:highlight w:val="none"/>
                <w:u w:val="none" w:color="auto"/>
              </w:rPr>
              <w:t>月21日至23日</w:t>
            </w:r>
            <w:r>
              <w:rPr>
                <w:color w:val="auto"/>
                <w:kern w:val="2"/>
                <w:sz w:val="24"/>
                <w:szCs w:val="24"/>
                <w:highlight w:val="none"/>
              </w:rPr>
              <w:t>对该项目</w:t>
            </w:r>
            <w:r>
              <w:rPr>
                <w:rFonts w:hint="eastAsia"/>
                <w:color w:val="auto"/>
                <w:kern w:val="2"/>
                <w:sz w:val="24"/>
                <w:szCs w:val="24"/>
                <w:highlight w:val="none"/>
                <w:lang w:val="en-US" w:eastAsia="zh-CN"/>
              </w:rPr>
              <w:t>厂址及</w:t>
            </w:r>
            <w:r>
              <w:rPr>
                <w:color w:val="auto"/>
                <w:kern w:val="2"/>
                <w:sz w:val="24"/>
                <w:szCs w:val="24"/>
                <w:highlight w:val="none"/>
              </w:rPr>
              <w:t>下风向</w:t>
            </w:r>
            <w:r>
              <w:rPr>
                <w:rFonts w:hint="eastAsia"/>
                <w:color w:val="auto"/>
                <w:kern w:val="2"/>
                <w:sz w:val="24"/>
                <w:szCs w:val="24"/>
                <w:highlight w:val="none"/>
                <w:lang w:val="en-US" w:eastAsia="zh-CN"/>
              </w:rPr>
              <w:t>敏感点</w:t>
            </w:r>
            <w:r>
              <w:rPr>
                <w:color w:val="auto"/>
                <w:kern w:val="2"/>
                <w:sz w:val="24"/>
                <w:szCs w:val="24"/>
                <w:highlight w:val="none"/>
              </w:rPr>
              <w:t>的监测数据，监测单位为：</w:t>
            </w:r>
            <w:r>
              <w:rPr>
                <w:rFonts w:hint="default" w:ascii="Times New Roman" w:hAnsi="Times New Roman" w:cs="Times New Roman"/>
                <w:color w:val="auto"/>
                <w:kern w:val="2"/>
                <w:sz w:val="24"/>
                <w:szCs w:val="24"/>
                <w:highlight w:val="none"/>
                <w:lang w:val="en-US" w:eastAsia="zh-CN"/>
              </w:rPr>
              <w:t>湖南昌旭环保科技有限公司</w:t>
            </w:r>
            <w:r>
              <w:rPr>
                <w:rFonts w:hint="eastAsia" w:ascii="Times New Roman" w:hAnsi="Times New Roman" w:cs="Times New Roman"/>
                <w:color w:val="auto"/>
                <w:kern w:val="2"/>
                <w:sz w:val="24"/>
                <w:szCs w:val="24"/>
                <w:highlight w:val="none"/>
                <w:lang w:val="en-US" w:eastAsia="zh-CN"/>
              </w:rPr>
              <w:t>。</w:t>
            </w:r>
            <w:r>
              <w:rPr>
                <w:rFonts w:hint="default" w:ascii="Times New Roman" w:hAnsi="Times New Roman" w:cs="Times New Roman"/>
                <w:color w:val="auto"/>
                <w:kern w:val="2"/>
                <w:sz w:val="24"/>
                <w:szCs w:val="24"/>
                <w:highlight w:val="none"/>
                <w:u w:val="none" w:color="auto"/>
              </w:rPr>
              <w:t>该项目监测点位位于本项目西</w:t>
            </w:r>
            <w:r>
              <w:rPr>
                <w:rFonts w:hint="default" w:ascii="Times New Roman" w:hAnsi="Times New Roman" w:cs="Times New Roman"/>
                <w:color w:val="auto"/>
                <w:kern w:val="2"/>
                <w:sz w:val="24"/>
                <w:szCs w:val="24"/>
                <w:highlight w:val="none"/>
                <w:u w:val="none" w:color="auto"/>
                <w:lang w:val="en-US" w:eastAsia="zh-CN"/>
              </w:rPr>
              <w:t>北</w:t>
            </w:r>
            <w:r>
              <w:rPr>
                <w:rFonts w:hint="default" w:ascii="Times New Roman" w:hAnsi="Times New Roman" w:cs="Times New Roman"/>
                <w:color w:val="auto"/>
                <w:kern w:val="2"/>
                <w:sz w:val="24"/>
                <w:szCs w:val="24"/>
                <w:highlight w:val="none"/>
                <w:u w:val="none" w:color="auto"/>
              </w:rPr>
              <w:t>侧</w:t>
            </w:r>
            <w:r>
              <w:rPr>
                <w:rFonts w:hint="default" w:ascii="Times New Roman" w:hAnsi="Times New Roman" w:cs="Times New Roman"/>
                <w:color w:val="auto"/>
                <w:kern w:val="2"/>
                <w:sz w:val="24"/>
                <w:szCs w:val="24"/>
                <w:highlight w:val="none"/>
                <w:u w:val="none" w:color="auto"/>
                <w:lang w:val="en-US" w:eastAsia="zh-CN"/>
              </w:rPr>
              <w:t>3037</w:t>
            </w:r>
            <w:r>
              <w:rPr>
                <w:rFonts w:hint="default" w:ascii="Times New Roman" w:hAnsi="Times New Roman" w:cs="Times New Roman"/>
                <w:color w:val="auto"/>
                <w:kern w:val="2"/>
                <w:sz w:val="24"/>
                <w:szCs w:val="24"/>
                <w:highlight w:val="none"/>
                <w:u w:val="none" w:color="auto"/>
              </w:rPr>
              <w:t>m左右，符合</w:t>
            </w:r>
            <w:r>
              <w:rPr>
                <w:rFonts w:hint="eastAsia" w:ascii="Times New Roman" w:hAnsi="Times New Roman" w:cs="Times New Roman"/>
                <w:color w:val="auto"/>
                <w:kern w:val="2"/>
                <w:sz w:val="24"/>
                <w:szCs w:val="24"/>
                <w:highlight w:val="none"/>
                <w:u w:val="none" w:color="auto"/>
                <w:lang w:eastAsia="zh-CN"/>
              </w:rPr>
              <w:t>“</w:t>
            </w:r>
            <w:r>
              <w:rPr>
                <w:rFonts w:hint="default" w:ascii="Times New Roman" w:hAnsi="Times New Roman" w:cs="Times New Roman"/>
                <w:color w:val="auto"/>
                <w:kern w:val="2"/>
                <w:sz w:val="24"/>
                <w:szCs w:val="24"/>
                <w:highlight w:val="none"/>
                <w:u w:val="none" w:color="auto"/>
              </w:rPr>
              <w:t>建设项目周边5千米范围内近3年的现有监测数据</w:t>
            </w:r>
            <w:r>
              <w:rPr>
                <w:rFonts w:hint="eastAsia" w:ascii="Times New Roman" w:hAnsi="Times New Roman" w:cs="Times New Roman"/>
                <w:color w:val="auto"/>
                <w:kern w:val="2"/>
                <w:sz w:val="24"/>
                <w:szCs w:val="24"/>
                <w:highlight w:val="none"/>
                <w:u w:val="none" w:color="auto"/>
                <w:lang w:eastAsia="zh-CN"/>
              </w:rPr>
              <w:t>”</w:t>
            </w:r>
            <w:r>
              <w:rPr>
                <w:rFonts w:hint="default" w:ascii="Times New Roman" w:hAnsi="Times New Roman" w:cs="Times New Roman"/>
                <w:color w:val="auto"/>
                <w:kern w:val="2"/>
                <w:sz w:val="24"/>
                <w:szCs w:val="24"/>
                <w:highlight w:val="none"/>
                <w:u w:val="none" w:color="auto"/>
              </w:rPr>
              <w:t>的引用要求</w:t>
            </w:r>
            <w:r>
              <w:rPr>
                <w:rFonts w:hint="default" w:ascii="Times New Roman" w:hAnsi="Times New Roman" w:cs="Times New Roman"/>
                <w:color w:val="auto"/>
                <w:kern w:val="2"/>
                <w:sz w:val="24"/>
                <w:szCs w:val="24"/>
                <w:highlight w:val="none"/>
                <w:u w:val="none" w:color="auto"/>
                <w:lang w:eastAsia="zh-CN"/>
              </w:rPr>
              <w:t>，</w:t>
            </w:r>
            <w:r>
              <w:rPr>
                <w:rFonts w:hint="default" w:ascii="Times New Roman" w:hAnsi="Times New Roman" w:cs="Times New Roman"/>
                <w:color w:val="auto"/>
                <w:kern w:val="2"/>
                <w:sz w:val="24"/>
                <w:szCs w:val="24"/>
                <w:highlight w:val="none"/>
                <w:u w:val="none" w:color="auto"/>
              </w:rPr>
              <w:t>监测情况及结果如下所示</w:t>
            </w:r>
            <w:r>
              <w:rPr>
                <w:rFonts w:hint="default" w:ascii="Times New Roman" w:hAnsi="Times New Roman" w:cs="Times New Roman"/>
                <w:color w:val="auto"/>
                <w:sz w:val="24"/>
                <w:szCs w:val="24"/>
                <w:highlight w:val="none"/>
                <w:u w:val="none" w:color="auto"/>
              </w:rPr>
              <w:t>。</w:t>
            </w:r>
          </w:p>
          <w:p w14:paraId="2F506300">
            <w:pPr>
              <w:pStyle w:val="12"/>
              <w:snapToGrid/>
              <w:spacing w:before="0" w:after="0" w:line="240" w:lineRule="auto"/>
              <w:ind w:right="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b/>
                <w:color w:val="auto"/>
                <w:sz w:val="21"/>
                <w:szCs w:val="21"/>
                <w:highlight w:val="none"/>
                <w:u w:val="none" w:color="auto"/>
              </w:rPr>
              <w:t>表3</w:t>
            </w:r>
            <w:r>
              <w:rPr>
                <w:rFonts w:hint="default" w:ascii="Times New Roman" w:hAnsi="Times New Roman" w:cs="Times New Roman"/>
                <w:b/>
                <w:color w:val="auto"/>
                <w:sz w:val="21"/>
                <w:szCs w:val="21"/>
                <w:highlight w:val="none"/>
                <w:u w:val="none" w:color="auto"/>
                <w:lang w:val="en-US" w:eastAsia="zh-CN"/>
              </w:rPr>
              <w:t>-2</w:t>
            </w:r>
            <w:r>
              <w:rPr>
                <w:rFonts w:hint="default" w:ascii="Times New Roman" w:hAnsi="Times New Roman" w:cs="Times New Roman"/>
                <w:b/>
                <w:color w:val="auto"/>
                <w:sz w:val="21"/>
                <w:szCs w:val="21"/>
                <w:highlight w:val="none"/>
                <w:u w:val="none" w:color="auto"/>
              </w:rPr>
              <w:t xml:space="preserve"> </w:t>
            </w:r>
            <w:r>
              <w:rPr>
                <w:rFonts w:hint="eastAsia" w:cs="Times New Roman"/>
                <w:b/>
                <w:color w:val="auto"/>
                <w:sz w:val="21"/>
                <w:szCs w:val="21"/>
                <w:highlight w:val="none"/>
                <w:u w:val="none" w:color="auto"/>
                <w:lang w:val="en-US" w:eastAsia="zh-CN"/>
              </w:rPr>
              <w:t xml:space="preserve"> </w:t>
            </w:r>
            <w:r>
              <w:rPr>
                <w:rFonts w:hint="default" w:ascii="Times New Roman" w:hAnsi="Times New Roman" w:cs="Times New Roman"/>
                <w:b/>
                <w:color w:val="auto"/>
                <w:sz w:val="21"/>
                <w:szCs w:val="21"/>
                <w:highlight w:val="none"/>
                <w:u w:val="none" w:color="auto"/>
              </w:rPr>
              <w:t xml:space="preserve"> 其他污染物补充监测点位基本信息</w:t>
            </w:r>
            <w:r>
              <w:rPr>
                <w:rFonts w:hint="default" w:ascii="Times New Roman" w:hAnsi="Times New Roman" w:eastAsia="宋体" w:cs="Times New Roman"/>
                <w:b/>
                <w:bCs/>
                <w:color w:val="auto"/>
                <w:szCs w:val="21"/>
              </w:rPr>
              <w:t>（mg/m³）</w:t>
            </w:r>
          </w:p>
          <w:tbl>
            <w:tblPr>
              <w:tblStyle w:val="33"/>
              <w:tblW w:w="4998" w:type="pct"/>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545"/>
              <w:gridCol w:w="1063"/>
              <w:gridCol w:w="1136"/>
              <w:gridCol w:w="1020"/>
              <w:gridCol w:w="1208"/>
              <w:gridCol w:w="856"/>
              <w:gridCol w:w="1113"/>
            </w:tblGrid>
            <w:tr w14:paraId="25DCCFB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trHeight w:val="397" w:hRule="atLeast"/>
              </w:trPr>
              <w:tc>
                <w:tcPr>
                  <w:tcW w:w="972" w:type="pct"/>
                  <w:tcBorders>
                    <w:tl2br w:val="nil"/>
                    <w:tr2bl w:val="nil"/>
                  </w:tcBorders>
                  <w:noWrap w:val="0"/>
                  <w:vAlign w:val="center"/>
                </w:tcPr>
                <w:p w14:paraId="16836E17">
                  <w:pPr>
                    <w:pStyle w:val="3"/>
                    <w:tabs>
                      <w:tab w:val="left" w:pos="630"/>
                    </w:tabs>
                    <w:overflowPunct w:val="0"/>
                    <w:autoSpaceDE w:val="0"/>
                    <w:autoSpaceDN w:val="0"/>
                    <w:jc w:val="center"/>
                    <w:outlineLvl w:val="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监测点位</w:t>
                  </w:r>
                </w:p>
              </w:tc>
              <w:tc>
                <w:tcPr>
                  <w:tcW w:w="669" w:type="pct"/>
                  <w:tcBorders>
                    <w:tl2br w:val="nil"/>
                    <w:tr2bl w:val="nil"/>
                  </w:tcBorders>
                  <w:noWrap w:val="0"/>
                  <w:vAlign w:val="center"/>
                </w:tcPr>
                <w:p w14:paraId="68F4C579">
                  <w:pPr>
                    <w:overflowPunct w:val="0"/>
                    <w:autoSpaceDE w:val="0"/>
                    <w:autoSpaceDN w:val="0"/>
                    <w:adjustRightInd w:val="0"/>
                    <w:jc w:val="center"/>
                    <w:textAlignment w:val="baseline"/>
                    <w:rPr>
                      <w:rFonts w:hint="default" w:ascii="Times New Roman" w:hAnsi="Times New Roman" w:cs="Times New Roman"/>
                      <w:b/>
                      <w:bCs/>
                      <w:color w:val="auto"/>
                      <w:szCs w:val="21"/>
                    </w:rPr>
                  </w:pPr>
                  <w:r>
                    <w:rPr>
                      <w:rFonts w:hint="default" w:ascii="Times New Roman" w:hAnsi="Times New Roman" w:cs="Times New Roman"/>
                      <w:b/>
                      <w:bCs/>
                      <w:color w:val="auto"/>
                      <w:kern w:val="0"/>
                      <w:szCs w:val="21"/>
                    </w:rPr>
                    <w:t>监测时间</w:t>
                  </w:r>
                </w:p>
              </w:tc>
              <w:tc>
                <w:tcPr>
                  <w:tcW w:w="715" w:type="pct"/>
                  <w:tcBorders>
                    <w:tl2br w:val="nil"/>
                    <w:tr2bl w:val="nil"/>
                  </w:tcBorders>
                  <w:noWrap w:val="0"/>
                  <w:vAlign w:val="center"/>
                </w:tcPr>
                <w:p w14:paraId="21B6F14B">
                  <w:pPr>
                    <w:overflowPunct w:val="0"/>
                    <w:autoSpaceDE w:val="0"/>
                    <w:autoSpaceDN w:val="0"/>
                    <w:adjustRightInd w:val="0"/>
                    <w:jc w:val="center"/>
                    <w:textAlignment w:val="baseline"/>
                    <w:rPr>
                      <w:rFonts w:hint="default" w:ascii="Times New Roman" w:hAnsi="Times New Roman" w:cs="Times New Roman"/>
                      <w:b/>
                      <w:bCs/>
                      <w:color w:val="auto"/>
                      <w:szCs w:val="21"/>
                    </w:rPr>
                  </w:pPr>
                  <w:r>
                    <w:rPr>
                      <w:rFonts w:hint="default" w:ascii="Times New Roman" w:hAnsi="Times New Roman" w:cs="Times New Roman"/>
                      <w:b/>
                      <w:bCs/>
                      <w:color w:val="auto"/>
                      <w:kern w:val="0"/>
                      <w:szCs w:val="21"/>
                    </w:rPr>
                    <w:t>监测因子</w:t>
                  </w:r>
                </w:p>
              </w:tc>
              <w:tc>
                <w:tcPr>
                  <w:tcW w:w="642" w:type="pct"/>
                  <w:tcBorders>
                    <w:tl2br w:val="nil"/>
                    <w:tr2bl w:val="nil"/>
                  </w:tcBorders>
                  <w:noWrap w:val="0"/>
                  <w:vAlign w:val="center"/>
                </w:tcPr>
                <w:p w14:paraId="01DDFC24">
                  <w:pPr>
                    <w:overflowPunct w:val="0"/>
                    <w:autoSpaceDE w:val="0"/>
                    <w:autoSpaceDN w:val="0"/>
                    <w:adjustRightInd w:val="0"/>
                    <w:jc w:val="center"/>
                    <w:textAlignment w:val="baseline"/>
                    <w:rPr>
                      <w:rFonts w:hint="default" w:ascii="Times New Roman" w:hAnsi="Times New Roman" w:cs="Times New Roman"/>
                      <w:b/>
                      <w:bCs/>
                      <w:color w:val="auto"/>
                      <w:szCs w:val="21"/>
                    </w:rPr>
                  </w:pPr>
                  <w:r>
                    <w:rPr>
                      <w:rFonts w:hint="default" w:ascii="Times New Roman" w:hAnsi="Times New Roman" w:cs="Times New Roman"/>
                      <w:b/>
                      <w:bCs/>
                      <w:color w:val="auto"/>
                      <w:kern w:val="0"/>
                      <w:szCs w:val="21"/>
                    </w:rPr>
                    <w:t>监测值</w:t>
                  </w:r>
                </w:p>
              </w:tc>
              <w:tc>
                <w:tcPr>
                  <w:tcW w:w="760" w:type="pct"/>
                  <w:tcBorders>
                    <w:tl2br w:val="nil"/>
                    <w:tr2bl w:val="nil"/>
                  </w:tcBorders>
                  <w:noWrap w:val="0"/>
                  <w:vAlign w:val="center"/>
                </w:tcPr>
                <w:p w14:paraId="6C59F004">
                  <w:pPr>
                    <w:overflowPunct w:val="0"/>
                    <w:autoSpaceDE w:val="0"/>
                    <w:autoSpaceDN w:val="0"/>
                    <w:adjustRightInd w:val="0"/>
                    <w:jc w:val="center"/>
                    <w:textAlignment w:val="baseline"/>
                    <w:rPr>
                      <w:rFonts w:hint="default" w:ascii="Times New Roman" w:hAnsi="Times New Roman" w:cs="Times New Roman"/>
                      <w:b/>
                      <w:bCs/>
                      <w:color w:val="auto"/>
                      <w:szCs w:val="21"/>
                    </w:rPr>
                  </w:pPr>
                  <w:r>
                    <w:rPr>
                      <w:rFonts w:hint="default" w:ascii="Times New Roman" w:hAnsi="Times New Roman" w:cs="Times New Roman"/>
                      <w:b/>
                      <w:bCs/>
                      <w:color w:val="auto"/>
                      <w:kern w:val="0"/>
                      <w:szCs w:val="21"/>
                    </w:rPr>
                    <w:t>最大超标倍数</w:t>
                  </w:r>
                </w:p>
              </w:tc>
              <w:tc>
                <w:tcPr>
                  <w:tcW w:w="538" w:type="pct"/>
                  <w:tcBorders>
                    <w:tl2br w:val="nil"/>
                    <w:tr2bl w:val="nil"/>
                  </w:tcBorders>
                  <w:noWrap w:val="0"/>
                  <w:vAlign w:val="center"/>
                </w:tcPr>
                <w:p w14:paraId="3F7CCD39">
                  <w:pPr>
                    <w:overflowPunct w:val="0"/>
                    <w:autoSpaceDE w:val="0"/>
                    <w:autoSpaceDN w:val="0"/>
                    <w:adjustRightInd w:val="0"/>
                    <w:jc w:val="center"/>
                    <w:textAlignment w:val="baseline"/>
                    <w:rPr>
                      <w:rFonts w:hint="default" w:ascii="Times New Roman" w:hAnsi="Times New Roman" w:cs="Times New Roman"/>
                      <w:b/>
                      <w:bCs/>
                      <w:color w:val="auto"/>
                      <w:szCs w:val="21"/>
                    </w:rPr>
                  </w:pPr>
                  <w:r>
                    <w:rPr>
                      <w:rFonts w:hint="default" w:ascii="Times New Roman" w:hAnsi="Times New Roman" w:cs="Times New Roman"/>
                      <w:b/>
                      <w:bCs/>
                      <w:color w:val="auto"/>
                      <w:kern w:val="0"/>
                      <w:szCs w:val="21"/>
                    </w:rPr>
                    <w:t>标准值</w:t>
                  </w:r>
                </w:p>
              </w:tc>
              <w:tc>
                <w:tcPr>
                  <w:tcW w:w="700" w:type="pct"/>
                  <w:tcBorders>
                    <w:tl2br w:val="nil"/>
                    <w:tr2bl w:val="nil"/>
                  </w:tcBorders>
                  <w:noWrap w:val="0"/>
                  <w:vAlign w:val="center"/>
                </w:tcPr>
                <w:p w14:paraId="3D494D9B">
                  <w:pPr>
                    <w:overflowPunct w:val="0"/>
                    <w:autoSpaceDE w:val="0"/>
                    <w:autoSpaceDN w:val="0"/>
                    <w:adjustRightInd w:val="0"/>
                    <w:jc w:val="center"/>
                    <w:textAlignment w:val="baseline"/>
                    <w:rPr>
                      <w:rFonts w:hint="default" w:ascii="Times New Roman" w:hAnsi="Times New Roman" w:cs="Times New Roman"/>
                      <w:b/>
                      <w:bCs/>
                      <w:color w:val="auto"/>
                      <w:szCs w:val="21"/>
                    </w:rPr>
                  </w:pPr>
                  <w:r>
                    <w:rPr>
                      <w:rFonts w:hint="default" w:ascii="Times New Roman" w:hAnsi="Times New Roman" w:cs="Times New Roman"/>
                      <w:b/>
                      <w:bCs/>
                      <w:color w:val="auto"/>
                      <w:kern w:val="0"/>
                      <w:szCs w:val="21"/>
                    </w:rPr>
                    <w:t>是否达标</w:t>
                  </w:r>
                </w:p>
              </w:tc>
            </w:tr>
            <w:tr w14:paraId="2139273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972" w:type="pct"/>
                  <w:vMerge w:val="restart"/>
                  <w:tcBorders>
                    <w:tl2br w:val="nil"/>
                    <w:tr2bl w:val="nil"/>
                  </w:tcBorders>
                  <w:noWrap w:val="0"/>
                  <w:vAlign w:val="center"/>
                </w:tcPr>
                <w:p w14:paraId="4EF7D1BD">
                  <w:pPr>
                    <w:jc w:val="center"/>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t>G1</w:t>
                  </w:r>
                  <w:r>
                    <w:rPr>
                      <w:rFonts w:hint="default" w:ascii="Times New Roman" w:hAnsi="Times New Roman" w:cs="Times New Roman"/>
                      <w:b w:val="0"/>
                      <w:bCs w:val="0"/>
                      <w:color w:val="auto"/>
                      <w:szCs w:val="21"/>
                      <w:lang w:val="en-US" w:eastAsia="zh-CN"/>
                    </w:rPr>
                    <w:t>厂址下风向40m处</w:t>
                  </w:r>
                  <w:r>
                    <w:rPr>
                      <w:rFonts w:hint="eastAsia" w:ascii="Times New Roman" w:hAnsi="Times New Roman" w:cs="Times New Roman"/>
                      <w:b w:val="0"/>
                      <w:bCs w:val="0"/>
                      <w:color w:val="auto"/>
                      <w:szCs w:val="21"/>
                      <w:lang w:val="en-US" w:eastAsia="zh-CN"/>
                    </w:rPr>
                    <w:t>（本项目西北侧3037m）</w:t>
                  </w:r>
                </w:p>
              </w:tc>
              <w:tc>
                <w:tcPr>
                  <w:tcW w:w="669" w:type="pct"/>
                  <w:tcBorders>
                    <w:tl2br w:val="nil"/>
                    <w:tr2bl w:val="nil"/>
                  </w:tcBorders>
                  <w:noWrap w:val="0"/>
                  <w:vAlign w:val="center"/>
                </w:tcPr>
                <w:p w14:paraId="4643FA24">
                  <w:pPr>
                    <w:overflowPunct w:val="0"/>
                    <w:autoSpaceDE w:val="0"/>
                    <w:autoSpaceDN w:val="0"/>
                    <w:adjustRightInd w:val="0"/>
                    <w:jc w:val="center"/>
                    <w:textAlignment w:val="baseline"/>
                    <w:rPr>
                      <w:rFonts w:hint="default" w:ascii="Times New Roman" w:hAnsi="Times New Roman" w:eastAsia="宋体" w:cs="Times New Roman"/>
                      <w:b w:val="0"/>
                      <w:bCs w:val="0"/>
                      <w:color w:val="auto"/>
                      <w:szCs w:val="21"/>
                      <w:lang w:val="en-US" w:eastAsia="zh-CN"/>
                    </w:rPr>
                  </w:pPr>
                  <w:r>
                    <w:rPr>
                      <w:rFonts w:hint="default" w:ascii="Times New Roman" w:hAnsi="Times New Roman" w:cs="Times New Roman"/>
                      <w:b w:val="0"/>
                      <w:bCs w:val="0"/>
                      <w:color w:val="auto"/>
                      <w:szCs w:val="21"/>
                      <w:lang w:val="en-US" w:eastAsia="zh-CN"/>
                    </w:rPr>
                    <w:t>2024.9.21</w:t>
                  </w:r>
                </w:p>
              </w:tc>
              <w:tc>
                <w:tcPr>
                  <w:tcW w:w="715" w:type="pct"/>
                  <w:tcBorders>
                    <w:tl2br w:val="nil"/>
                    <w:tr2bl w:val="nil"/>
                  </w:tcBorders>
                  <w:noWrap w:val="0"/>
                  <w:vAlign w:val="center"/>
                </w:tcPr>
                <w:p w14:paraId="26AFA8DD">
                  <w:pPr>
                    <w:overflowPunct w:val="0"/>
                    <w:autoSpaceDE w:val="0"/>
                    <w:autoSpaceDN w:val="0"/>
                    <w:adjustRightInd w:val="0"/>
                    <w:jc w:val="center"/>
                    <w:textAlignment w:val="baseline"/>
                    <w:rPr>
                      <w:rFonts w:hint="default" w:ascii="Times New Roman" w:hAnsi="Times New Roman" w:cs="Times New Roman"/>
                      <w:b w:val="0"/>
                      <w:bCs w:val="0"/>
                      <w:color w:val="auto"/>
                      <w:szCs w:val="21"/>
                    </w:rPr>
                  </w:pPr>
                  <w:r>
                    <w:rPr>
                      <w:rFonts w:hint="default" w:ascii="Times New Roman" w:hAnsi="Times New Roman" w:cs="Times New Roman"/>
                      <w:b w:val="0"/>
                      <w:bCs w:val="0"/>
                      <w:color w:val="auto"/>
                      <w:kern w:val="0"/>
                      <w:szCs w:val="21"/>
                    </w:rPr>
                    <w:t>TSP</w:t>
                  </w:r>
                </w:p>
              </w:tc>
              <w:tc>
                <w:tcPr>
                  <w:tcW w:w="642" w:type="pct"/>
                  <w:tcBorders>
                    <w:tl2br w:val="nil"/>
                    <w:tr2bl w:val="nil"/>
                  </w:tcBorders>
                  <w:noWrap w:val="0"/>
                  <w:vAlign w:val="center"/>
                </w:tcPr>
                <w:p w14:paraId="34AC918D">
                  <w:pPr>
                    <w:overflowPunct w:val="0"/>
                    <w:autoSpaceDE w:val="0"/>
                    <w:autoSpaceDN w:val="0"/>
                    <w:adjustRightInd w:val="0"/>
                    <w:jc w:val="center"/>
                    <w:textAlignment w:val="baseline"/>
                    <w:rPr>
                      <w:rFonts w:hint="default" w:ascii="Times New Roman" w:hAnsi="Times New Roman" w:eastAsia="宋体" w:cs="Times New Roman"/>
                      <w:b w:val="0"/>
                      <w:bCs w:val="0"/>
                      <w:color w:val="auto"/>
                      <w:szCs w:val="21"/>
                      <w:lang w:val="en-US" w:eastAsia="zh-CN"/>
                    </w:rPr>
                  </w:pPr>
                  <w:r>
                    <w:rPr>
                      <w:rFonts w:hint="default" w:ascii="Times New Roman" w:hAnsi="Times New Roman" w:cs="Times New Roman"/>
                      <w:b w:val="0"/>
                      <w:bCs w:val="0"/>
                      <w:color w:val="auto"/>
                      <w:szCs w:val="21"/>
                    </w:rPr>
                    <w:t>0.1</w:t>
                  </w:r>
                  <w:r>
                    <w:rPr>
                      <w:rFonts w:hint="default" w:ascii="Times New Roman" w:hAnsi="Times New Roman" w:cs="Times New Roman"/>
                      <w:b w:val="0"/>
                      <w:bCs w:val="0"/>
                      <w:color w:val="auto"/>
                      <w:szCs w:val="21"/>
                      <w:lang w:val="en-US" w:eastAsia="zh-CN"/>
                    </w:rPr>
                    <w:t>06</w:t>
                  </w:r>
                </w:p>
              </w:tc>
              <w:tc>
                <w:tcPr>
                  <w:tcW w:w="760" w:type="pct"/>
                  <w:tcBorders>
                    <w:tl2br w:val="nil"/>
                    <w:tr2bl w:val="nil"/>
                  </w:tcBorders>
                  <w:noWrap w:val="0"/>
                  <w:vAlign w:val="center"/>
                </w:tcPr>
                <w:p w14:paraId="0AC75BAA">
                  <w:pPr>
                    <w:overflowPunct w:val="0"/>
                    <w:autoSpaceDE w:val="0"/>
                    <w:autoSpaceDN w:val="0"/>
                    <w:adjustRightInd w:val="0"/>
                    <w:jc w:val="center"/>
                    <w:textAlignment w:val="baseline"/>
                    <w:rPr>
                      <w:rFonts w:hint="default" w:ascii="Times New Roman" w:hAnsi="Times New Roman" w:cs="Times New Roman"/>
                      <w:b w:val="0"/>
                      <w:bCs w:val="0"/>
                      <w:color w:val="auto"/>
                      <w:szCs w:val="21"/>
                    </w:rPr>
                  </w:pPr>
                  <w:r>
                    <w:rPr>
                      <w:rFonts w:hint="default" w:ascii="Times New Roman" w:hAnsi="Times New Roman" w:cs="Times New Roman"/>
                      <w:b w:val="0"/>
                      <w:bCs w:val="0"/>
                      <w:color w:val="auto"/>
                      <w:kern w:val="0"/>
                      <w:szCs w:val="21"/>
                    </w:rPr>
                    <w:t>0</w:t>
                  </w:r>
                </w:p>
              </w:tc>
              <w:tc>
                <w:tcPr>
                  <w:tcW w:w="538" w:type="pct"/>
                  <w:tcBorders>
                    <w:tl2br w:val="nil"/>
                    <w:tr2bl w:val="nil"/>
                  </w:tcBorders>
                  <w:noWrap w:val="0"/>
                  <w:vAlign w:val="center"/>
                </w:tcPr>
                <w:p w14:paraId="7A9E857A">
                  <w:pPr>
                    <w:overflowPunct w:val="0"/>
                    <w:autoSpaceDE w:val="0"/>
                    <w:autoSpaceDN w:val="0"/>
                    <w:adjustRightInd w:val="0"/>
                    <w:jc w:val="center"/>
                    <w:textAlignment w:val="baseline"/>
                    <w:rPr>
                      <w:rFonts w:hint="default" w:ascii="Times New Roman" w:hAnsi="Times New Roman" w:cs="Times New Roman"/>
                      <w:b w:val="0"/>
                      <w:bCs w:val="0"/>
                      <w:color w:val="auto"/>
                      <w:szCs w:val="21"/>
                    </w:rPr>
                  </w:pPr>
                  <w:r>
                    <w:rPr>
                      <w:rFonts w:hint="default" w:ascii="Times New Roman" w:hAnsi="Times New Roman" w:cs="Times New Roman"/>
                      <w:b w:val="0"/>
                      <w:bCs w:val="0"/>
                      <w:color w:val="auto"/>
                      <w:kern w:val="0"/>
                      <w:szCs w:val="21"/>
                    </w:rPr>
                    <w:t>0.3</w:t>
                  </w:r>
                </w:p>
              </w:tc>
              <w:tc>
                <w:tcPr>
                  <w:tcW w:w="700" w:type="pct"/>
                  <w:tcBorders>
                    <w:tl2br w:val="nil"/>
                    <w:tr2bl w:val="nil"/>
                  </w:tcBorders>
                  <w:noWrap w:val="0"/>
                  <w:vAlign w:val="center"/>
                </w:tcPr>
                <w:p w14:paraId="516D8017">
                  <w:pPr>
                    <w:overflowPunct w:val="0"/>
                    <w:autoSpaceDE w:val="0"/>
                    <w:autoSpaceDN w:val="0"/>
                    <w:adjustRightInd w:val="0"/>
                    <w:jc w:val="center"/>
                    <w:textAlignment w:val="baseline"/>
                    <w:rPr>
                      <w:rFonts w:hint="default" w:ascii="Times New Roman" w:hAnsi="Times New Roman" w:cs="Times New Roman"/>
                      <w:b w:val="0"/>
                      <w:bCs w:val="0"/>
                      <w:color w:val="auto"/>
                      <w:szCs w:val="21"/>
                    </w:rPr>
                  </w:pPr>
                  <w:r>
                    <w:rPr>
                      <w:rFonts w:hint="default" w:ascii="Times New Roman" w:hAnsi="Times New Roman" w:cs="Times New Roman"/>
                      <w:b w:val="0"/>
                      <w:bCs w:val="0"/>
                      <w:color w:val="auto"/>
                      <w:kern w:val="0"/>
                      <w:szCs w:val="21"/>
                    </w:rPr>
                    <w:t>是</w:t>
                  </w:r>
                </w:p>
              </w:tc>
            </w:tr>
            <w:tr w14:paraId="6B336EC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972" w:type="pct"/>
                  <w:vMerge w:val="continue"/>
                  <w:tcBorders>
                    <w:tl2br w:val="nil"/>
                    <w:tr2bl w:val="nil"/>
                  </w:tcBorders>
                  <w:noWrap w:val="0"/>
                  <w:vAlign w:val="center"/>
                </w:tcPr>
                <w:p w14:paraId="36886505">
                  <w:pPr>
                    <w:jc w:val="center"/>
                    <w:rPr>
                      <w:rFonts w:hint="default" w:ascii="Times New Roman" w:hAnsi="Times New Roman" w:cs="Times New Roman"/>
                      <w:b w:val="0"/>
                      <w:bCs w:val="0"/>
                      <w:color w:val="auto"/>
                      <w:szCs w:val="21"/>
                    </w:rPr>
                  </w:pPr>
                </w:p>
              </w:tc>
              <w:tc>
                <w:tcPr>
                  <w:tcW w:w="669" w:type="pct"/>
                  <w:tcBorders>
                    <w:tl2br w:val="nil"/>
                    <w:tr2bl w:val="nil"/>
                  </w:tcBorders>
                  <w:noWrap w:val="0"/>
                  <w:vAlign w:val="center"/>
                </w:tcPr>
                <w:p w14:paraId="63B57F27">
                  <w:pPr>
                    <w:overflowPunct w:val="0"/>
                    <w:autoSpaceDE w:val="0"/>
                    <w:autoSpaceDN w:val="0"/>
                    <w:adjustRightInd w:val="0"/>
                    <w:jc w:val="center"/>
                    <w:textAlignment w:val="baseline"/>
                    <w:rPr>
                      <w:rFonts w:hint="default" w:ascii="Times New Roman" w:hAnsi="Times New Roman" w:cs="Times New Roman"/>
                      <w:b w:val="0"/>
                      <w:bCs w:val="0"/>
                      <w:color w:val="auto"/>
                      <w:szCs w:val="21"/>
                      <w:lang w:val="en-US"/>
                    </w:rPr>
                  </w:pPr>
                  <w:r>
                    <w:rPr>
                      <w:rFonts w:hint="default" w:ascii="Times New Roman" w:hAnsi="Times New Roman" w:cs="Times New Roman"/>
                      <w:b w:val="0"/>
                      <w:bCs w:val="0"/>
                      <w:color w:val="auto"/>
                      <w:szCs w:val="21"/>
                      <w:lang w:val="en-US" w:eastAsia="zh-CN"/>
                    </w:rPr>
                    <w:t>2024.9.22</w:t>
                  </w:r>
                </w:p>
              </w:tc>
              <w:tc>
                <w:tcPr>
                  <w:tcW w:w="715" w:type="pct"/>
                  <w:tcBorders>
                    <w:tl2br w:val="nil"/>
                    <w:tr2bl w:val="nil"/>
                  </w:tcBorders>
                  <w:noWrap w:val="0"/>
                  <w:vAlign w:val="center"/>
                </w:tcPr>
                <w:p w14:paraId="1BEE7D5F">
                  <w:pPr>
                    <w:overflowPunct w:val="0"/>
                    <w:autoSpaceDE w:val="0"/>
                    <w:autoSpaceDN w:val="0"/>
                    <w:adjustRightInd w:val="0"/>
                    <w:jc w:val="center"/>
                    <w:textAlignment w:val="baseline"/>
                    <w:rPr>
                      <w:rFonts w:hint="default" w:ascii="Times New Roman" w:hAnsi="Times New Roman" w:cs="Times New Roman"/>
                      <w:b w:val="0"/>
                      <w:bCs w:val="0"/>
                      <w:color w:val="auto"/>
                      <w:szCs w:val="21"/>
                    </w:rPr>
                  </w:pPr>
                  <w:r>
                    <w:rPr>
                      <w:rFonts w:hint="default" w:ascii="Times New Roman" w:hAnsi="Times New Roman" w:cs="Times New Roman"/>
                      <w:b w:val="0"/>
                      <w:bCs w:val="0"/>
                      <w:color w:val="auto"/>
                      <w:kern w:val="0"/>
                      <w:szCs w:val="21"/>
                    </w:rPr>
                    <w:t>TSP</w:t>
                  </w:r>
                </w:p>
              </w:tc>
              <w:tc>
                <w:tcPr>
                  <w:tcW w:w="642" w:type="pct"/>
                  <w:tcBorders>
                    <w:tl2br w:val="nil"/>
                    <w:tr2bl w:val="nil"/>
                  </w:tcBorders>
                  <w:noWrap w:val="0"/>
                  <w:vAlign w:val="center"/>
                </w:tcPr>
                <w:p w14:paraId="3F1670F5">
                  <w:pPr>
                    <w:overflowPunct w:val="0"/>
                    <w:autoSpaceDE w:val="0"/>
                    <w:autoSpaceDN w:val="0"/>
                    <w:adjustRightInd w:val="0"/>
                    <w:jc w:val="center"/>
                    <w:textAlignment w:val="baseline"/>
                    <w:rPr>
                      <w:rFonts w:hint="default" w:ascii="Times New Roman" w:hAnsi="Times New Roman" w:eastAsia="宋体" w:cs="Times New Roman"/>
                      <w:b w:val="0"/>
                      <w:bCs w:val="0"/>
                      <w:color w:val="auto"/>
                      <w:szCs w:val="21"/>
                      <w:lang w:val="en-US" w:eastAsia="zh-CN"/>
                    </w:rPr>
                  </w:pPr>
                  <w:r>
                    <w:rPr>
                      <w:rFonts w:hint="default" w:ascii="Times New Roman" w:hAnsi="Times New Roman" w:cs="Times New Roman"/>
                      <w:b w:val="0"/>
                      <w:bCs w:val="0"/>
                      <w:color w:val="auto"/>
                      <w:szCs w:val="21"/>
                    </w:rPr>
                    <w:t>0.</w:t>
                  </w:r>
                  <w:r>
                    <w:rPr>
                      <w:rFonts w:hint="default" w:ascii="Times New Roman" w:hAnsi="Times New Roman" w:cs="Times New Roman"/>
                      <w:b w:val="0"/>
                      <w:bCs w:val="0"/>
                      <w:color w:val="auto"/>
                      <w:szCs w:val="21"/>
                      <w:lang w:val="en-US" w:eastAsia="zh-CN"/>
                    </w:rPr>
                    <w:t>088</w:t>
                  </w:r>
                </w:p>
              </w:tc>
              <w:tc>
                <w:tcPr>
                  <w:tcW w:w="760" w:type="pct"/>
                  <w:tcBorders>
                    <w:tl2br w:val="nil"/>
                    <w:tr2bl w:val="nil"/>
                  </w:tcBorders>
                  <w:noWrap w:val="0"/>
                  <w:vAlign w:val="center"/>
                </w:tcPr>
                <w:p w14:paraId="20C79809">
                  <w:pPr>
                    <w:overflowPunct w:val="0"/>
                    <w:autoSpaceDE w:val="0"/>
                    <w:autoSpaceDN w:val="0"/>
                    <w:adjustRightInd w:val="0"/>
                    <w:jc w:val="center"/>
                    <w:textAlignment w:val="baseline"/>
                    <w:rPr>
                      <w:rFonts w:hint="default" w:ascii="Times New Roman" w:hAnsi="Times New Roman" w:cs="Times New Roman"/>
                      <w:b w:val="0"/>
                      <w:bCs w:val="0"/>
                      <w:color w:val="auto"/>
                      <w:szCs w:val="21"/>
                    </w:rPr>
                  </w:pPr>
                  <w:r>
                    <w:rPr>
                      <w:rFonts w:hint="default" w:ascii="Times New Roman" w:hAnsi="Times New Roman" w:cs="Times New Roman"/>
                      <w:b w:val="0"/>
                      <w:bCs w:val="0"/>
                      <w:color w:val="auto"/>
                      <w:kern w:val="0"/>
                      <w:szCs w:val="21"/>
                    </w:rPr>
                    <w:t>0</w:t>
                  </w:r>
                </w:p>
              </w:tc>
              <w:tc>
                <w:tcPr>
                  <w:tcW w:w="538" w:type="pct"/>
                  <w:tcBorders>
                    <w:tl2br w:val="nil"/>
                    <w:tr2bl w:val="nil"/>
                  </w:tcBorders>
                  <w:noWrap w:val="0"/>
                  <w:vAlign w:val="center"/>
                </w:tcPr>
                <w:p w14:paraId="71DE704F">
                  <w:pPr>
                    <w:overflowPunct w:val="0"/>
                    <w:autoSpaceDE w:val="0"/>
                    <w:autoSpaceDN w:val="0"/>
                    <w:adjustRightInd w:val="0"/>
                    <w:jc w:val="center"/>
                    <w:textAlignment w:val="baseline"/>
                    <w:rPr>
                      <w:rFonts w:hint="default" w:ascii="Times New Roman" w:hAnsi="Times New Roman" w:cs="Times New Roman"/>
                      <w:b w:val="0"/>
                      <w:bCs w:val="0"/>
                      <w:color w:val="auto"/>
                      <w:szCs w:val="21"/>
                    </w:rPr>
                  </w:pPr>
                  <w:r>
                    <w:rPr>
                      <w:rFonts w:hint="default" w:ascii="Times New Roman" w:hAnsi="Times New Roman" w:cs="Times New Roman"/>
                      <w:b w:val="0"/>
                      <w:bCs w:val="0"/>
                      <w:color w:val="auto"/>
                      <w:kern w:val="0"/>
                      <w:szCs w:val="21"/>
                    </w:rPr>
                    <w:t>0.3</w:t>
                  </w:r>
                </w:p>
              </w:tc>
              <w:tc>
                <w:tcPr>
                  <w:tcW w:w="700" w:type="pct"/>
                  <w:tcBorders>
                    <w:tl2br w:val="nil"/>
                    <w:tr2bl w:val="nil"/>
                  </w:tcBorders>
                  <w:noWrap w:val="0"/>
                  <w:vAlign w:val="center"/>
                </w:tcPr>
                <w:p w14:paraId="1B73937D">
                  <w:pPr>
                    <w:overflowPunct w:val="0"/>
                    <w:autoSpaceDE w:val="0"/>
                    <w:autoSpaceDN w:val="0"/>
                    <w:adjustRightInd w:val="0"/>
                    <w:jc w:val="center"/>
                    <w:textAlignment w:val="baseline"/>
                    <w:rPr>
                      <w:rFonts w:hint="default" w:ascii="Times New Roman" w:hAnsi="Times New Roman" w:cs="Times New Roman"/>
                      <w:b w:val="0"/>
                      <w:bCs w:val="0"/>
                      <w:color w:val="auto"/>
                      <w:szCs w:val="21"/>
                    </w:rPr>
                  </w:pPr>
                  <w:r>
                    <w:rPr>
                      <w:rFonts w:hint="default" w:ascii="Times New Roman" w:hAnsi="Times New Roman" w:cs="Times New Roman"/>
                      <w:b w:val="0"/>
                      <w:bCs w:val="0"/>
                      <w:color w:val="auto"/>
                      <w:kern w:val="0"/>
                      <w:szCs w:val="21"/>
                    </w:rPr>
                    <w:t>是</w:t>
                  </w:r>
                </w:p>
              </w:tc>
            </w:tr>
            <w:tr w14:paraId="69CA2AD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972" w:type="pct"/>
                  <w:vMerge w:val="continue"/>
                  <w:tcBorders>
                    <w:tl2br w:val="nil"/>
                    <w:tr2bl w:val="nil"/>
                  </w:tcBorders>
                  <w:noWrap w:val="0"/>
                  <w:vAlign w:val="center"/>
                </w:tcPr>
                <w:p w14:paraId="697D1105">
                  <w:pPr>
                    <w:jc w:val="center"/>
                    <w:rPr>
                      <w:rFonts w:hint="default" w:ascii="Times New Roman" w:hAnsi="Times New Roman" w:cs="Times New Roman"/>
                      <w:b w:val="0"/>
                      <w:bCs w:val="0"/>
                      <w:color w:val="auto"/>
                      <w:szCs w:val="21"/>
                    </w:rPr>
                  </w:pPr>
                </w:p>
              </w:tc>
              <w:tc>
                <w:tcPr>
                  <w:tcW w:w="669" w:type="pct"/>
                  <w:tcBorders>
                    <w:tl2br w:val="nil"/>
                    <w:tr2bl w:val="nil"/>
                  </w:tcBorders>
                  <w:noWrap w:val="0"/>
                  <w:vAlign w:val="center"/>
                </w:tcPr>
                <w:p w14:paraId="65F4E1EF">
                  <w:pPr>
                    <w:overflowPunct w:val="0"/>
                    <w:autoSpaceDE w:val="0"/>
                    <w:autoSpaceDN w:val="0"/>
                    <w:adjustRightInd w:val="0"/>
                    <w:jc w:val="center"/>
                    <w:textAlignment w:val="baseline"/>
                    <w:rPr>
                      <w:rFonts w:hint="default" w:ascii="Times New Roman" w:hAnsi="Times New Roman" w:cs="Times New Roman"/>
                      <w:b w:val="0"/>
                      <w:bCs w:val="0"/>
                      <w:color w:val="auto"/>
                      <w:szCs w:val="21"/>
                      <w:lang w:val="en-US"/>
                    </w:rPr>
                  </w:pPr>
                  <w:r>
                    <w:rPr>
                      <w:rFonts w:hint="default" w:ascii="Times New Roman" w:hAnsi="Times New Roman" w:cs="Times New Roman"/>
                      <w:b w:val="0"/>
                      <w:bCs w:val="0"/>
                      <w:color w:val="auto"/>
                      <w:szCs w:val="21"/>
                      <w:lang w:val="en-US" w:eastAsia="zh-CN"/>
                    </w:rPr>
                    <w:t>2024.9.23</w:t>
                  </w:r>
                </w:p>
              </w:tc>
              <w:tc>
                <w:tcPr>
                  <w:tcW w:w="715" w:type="pct"/>
                  <w:tcBorders>
                    <w:tl2br w:val="nil"/>
                    <w:tr2bl w:val="nil"/>
                  </w:tcBorders>
                  <w:noWrap w:val="0"/>
                  <w:vAlign w:val="center"/>
                </w:tcPr>
                <w:p w14:paraId="35A51847">
                  <w:pPr>
                    <w:overflowPunct w:val="0"/>
                    <w:autoSpaceDE w:val="0"/>
                    <w:autoSpaceDN w:val="0"/>
                    <w:adjustRightInd w:val="0"/>
                    <w:jc w:val="center"/>
                    <w:textAlignment w:val="baseline"/>
                    <w:rPr>
                      <w:rFonts w:hint="default" w:ascii="Times New Roman" w:hAnsi="Times New Roman" w:cs="Times New Roman"/>
                      <w:b w:val="0"/>
                      <w:bCs w:val="0"/>
                      <w:color w:val="auto"/>
                      <w:szCs w:val="21"/>
                    </w:rPr>
                  </w:pPr>
                  <w:r>
                    <w:rPr>
                      <w:rFonts w:hint="default" w:ascii="Times New Roman" w:hAnsi="Times New Roman" w:cs="Times New Roman"/>
                      <w:b w:val="0"/>
                      <w:bCs w:val="0"/>
                      <w:color w:val="auto"/>
                      <w:kern w:val="0"/>
                      <w:szCs w:val="21"/>
                    </w:rPr>
                    <w:t>TSP</w:t>
                  </w:r>
                </w:p>
              </w:tc>
              <w:tc>
                <w:tcPr>
                  <w:tcW w:w="642" w:type="pct"/>
                  <w:tcBorders>
                    <w:tl2br w:val="nil"/>
                    <w:tr2bl w:val="nil"/>
                  </w:tcBorders>
                  <w:noWrap w:val="0"/>
                  <w:vAlign w:val="center"/>
                </w:tcPr>
                <w:p w14:paraId="3B58E3BE">
                  <w:pPr>
                    <w:overflowPunct w:val="0"/>
                    <w:autoSpaceDE w:val="0"/>
                    <w:autoSpaceDN w:val="0"/>
                    <w:adjustRightInd w:val="0"/>
                    <w:jc w:val="center"/>
                    <w:textAlignment w:val="baseline"/>
                    <w:rPr>
                      <w:rFonts w:hint="default" w:ascii="Times New Roman" w:hAnsi="Times New Roman" w:eastAsia="宋体" w:cs="Times New Roman"/>
                      <w:b w:val="0"/>
                      <w:bCs w:val="0"/>
                      <w:color w:val="auto"/>
                      <w:szCs w:val="21"/>
                      <w:lang w:val="en-US" w:eastAsia="zh-CN"/>
                    </w:rPr>
                  </w:pPr>
                  <w:r>
                    <w:rPr>
                      <w:rFonts w:hint="default" w:ascii="Times New Roman" w:hAnsi="Times New Roman" w:cs="Times New Roman"/>
                      <w:b w:val="0"/>
                      <w:bCs w:val="0"/>
                      <w:color w:val="auto"/>
                      <w:szCs w:val="21"/>
                    </w:rPr>
                    <w:t>0.</w:t>
                  </w:r>
                  <w:r>
                    <w:rPr>
                      <w:rFonts w:hint="default" w:ascii="Times New Roman" w:hAnsi="Times New Roman" w:cs="Times New Roman"/>
                      <w:b w:val="0"/>
                      <w:bCs w:val="0"/>
                      <w:color w:val="auto"/>
                      <w:szCs w:val="21"/>
                      <w:lang w:val="en-US" w:eastAsia="zh-CN"/>
                    </w:rPr>
                    <w:t>089</w:t>
                  </w:r>
                </w:p>
              </w:tc>
              <w:tc>
                <w:tcPr>
                  <w:tcW w:w="760" w:type="pct"/>
                  <w:tcBorders>
                    <w:tl2br w:val="nil"/>
                    <w:tr2bl w:val="nil"/>
                  </w:tcBorders>
                  <w:noWrap w:val="0"/>
                  <w:vAlign w:val="center"/>
                </w:tcPr>
                <w:p w14:paraId="22E95956">
                  <w:pPr>
                    <w:overflowPunct w:val="0"/>
                    <w:autoSpaceDE w:val="0"/>
                    <w:autoSpaceDN w:val="0"/>
                    <w:adjustRightInd w:val="0"/>
                    <w:jc w:val="center"/>
                    <w:textAlignment w:val="baseline"/>
                    <w:rPr>
                      <w:rFonts w:hint="default" w:ascii="Times New Roman" w:hAnsi="Times New Roman" w:cs="Times New Roman"/>
                      <w:b w:val="0"/>
                      <w:bCs w:val="0"/>
                      <w:color w:val="auto"/>
                      <w:szCs w:val="21"/>
                    </w:rPr>
                  </w:pPr>
                  <w:r>
                    <w:rPr>
                      <w:rFonts w:hint="default" w:ascii="Times New Roman" w:hAnsi="Times New Roman" w:cs="Times New Roman"/>
                      <w:b w:val="0"/>
                      <w:bCs w:val="0"/>
                      <w:color w:val="auto"/>
                      <w:kern w:val="0"/>
                      <w:szCs w:val="21"/>
                    </w:rPr>
                    <w:t>0</w:t>
                  </w:r>
                </w:p>
              </w:tc>
              <w:tc>
                <w:tcPr>
                  <w:tcW w:w="538" w:type="pct"/>
                  <w:tcBorders>
                    <w:tl2br w:val="nil"/>
                    <w:tr2bl w:val="nil"/>
                  </w:tcBorders>
                  <w:noWrap w:val="0"/>
                  <w:vAlign w:val="center"/>
                </w:tcPr>
                <w:p w14:paraId="58A6B4C7">
                  <w:pPr>
                    <w:overflowPunct w:val="0"/>
                    <w:autoSpaceDE w:val="0"/>
                    <w:autoSpaceDN w:val="0"/>
                    <w:adjustRightInd w:val="0"/>
                    <w:jc w:val="center"/>
                    <w:textAlignment w:val="baseline"/>
                    <w:rPr>
                      <w:rFonts w:hint="default" w:ascii="Times New Roman" w:hAnsi="Times New Roman" w:cs="Times New Roman"/>
                      <w:b w:val="0"/>
                      <w:bCs w:val="0"/>
                      <w:color w:val="auto"/>
                      <w:szCs w:val="21"/>
                    </w:rPr>
                  </w:pPr>
                  <w:r>
                    <w:rPr>
                      <w:rFonts w:hint="default" w:ascii="Times New Roman" w:hAnsi="Times New Roman" w:cs="Times New Roman"/>
                      <w:b w:val="0"/>
                      <w:bCs w:val="0"/>
                      <w:color w:val="auto"/>
                      <w:kern w:val="0"/>
                      <w:szCs w:val="21"/>
                    </w:rPr>
                    <w:t>0.3</w:t>
                  </w:r>
                </w:p>
              </w:tc>
              <w:tc>
                <w:tcPr>
                  <w:tcW w:w="700" w:type="pct"/>
                  <w:tcBorders>
                    <w:tl2br w:val="nil"/>
                    <w:tr2bl w:val="nil"/>
                  </w:tcBorders>
                  <w:noWrap w:val="0"/>
                  <w:vAlign w:val="center"/>
                </w:tcPr>
                <w:p w14:paraId="3DAFA569">
                  <w:pPr>
                    <w:overflowPunct w:val="0"/>
                    <w:autoSpaceDE w:val="0"/>
                    <w:autoSpaceDN w:val="0"/>
                    <w:adjustRightInd w:val="0"/>
                    <w:jc w:val="center"/>
                    <w:textAlignment w:val="baseline"/>
                    <w:rPr>
                      <w:rFonts w:hint="default" w:ascii="Times New Roman" w:hAnsi="Times New Roman" w:cs="Times New Roman"/>
                      <w:b w:val="0"/>
                      <w:bCs w:val="0"/>
                      <w:color w:val="auto"/>
                      <w:szCs w:val="21"/>
                    </w:rPr>
                  </w:pPr>
                  <w:r>
                    <w:rPr>
                      <w:rFonts w:hint="default" w:ascii="Times New Roman" w:hAnsi="Times New Roman" w:cs="Times New Roman"/>
                      <w:b w:val="0"/>
                      <w:bCs w:val="0"/>
                      <w:color w:val="auto"/>
                      <w:kern w:val="0"/>
                      <w:szCs w:val="21"/>
                    </w:rPr>
                    <w:t>是</w:t>
                  </w:r>
                </w:p>
              </w:tc>
            </w:tr>
          </w:tbl>
          <w:p w14:paraId="3E472573">
            <w:pPr>
              <w:widowControl/>
              <w:spacing w:line="360" w:lineRule="auto"/>
              <w:ind w:firstLine="480" w:firstLineChars="200"/>
              <w:jc w:val="left"/>
              <w:rPr>
                <w:rFonts w:hint="default" w:ascii="Times New Roman" w:hAnsi="Times New Roman" w:cs="Times New Roman"/>
                <w:color w:val="auto"/>
                <w:sz w:val="24"/>
                <w:highlight w:val="none"/>
              </w:rPr>
            </w:pPr>
            <w:r>
              <w:rPr>
                <w:color w:val="auto"/>
                <w:sz w:val="24"/>
                <w:highlight w:val="none"/>
              </w:rPr>
              <w:t>由上表的结果可知，项目</w:t>
            </w:r>
            <w:r>
              <w:rPr>
                <w:rFonts w:hint="eastAsia"/>
                <w:color w:val="auto"/>
                <w:sz w:val="24"/>
                <w:highlight w:val="none"/>
              </w:rPr>
              <w:t>所在地周边T</w:t>
            </w:r>
            <w:r>
              <w:rPr>
                <w:color w:val="auto"/>
                <w:sz w:val="24"/>
                <w:highlight w:val="none"/>
              </w:rPr>
              <w:t>SP</w:t>
            </w:r>
            <w:r>
              <w:rPr>
                <w:rFonts w:hint="eastAsia"/>
                <w:color w:val="auto"/>
                <w:sz w:val="24"/>
                <w:highlight w:val="none"/>
              </w:rPr>
              <w:t>因子监测结果</w:t>
            </w:r>
            <w:r>
              <w:rPr>
                <w:rFonts w:hint="eastAsia"/>
                <w:color w:val="auto"/>
                <w:sz w:val="24"/>
                <w:highlight w:val="none"/>
                <w:lang w:val="en-US" w:eastAsia="zh-CN"/>
              </w:rPr>
              <w:t>可满足《环境空气质量标准》(GB3095-2012)及其2018年修改单二级标准，以及最新发布的</w:t>
            </w:r>
            <w:r>
              <w:rPr>
                <w:rFonts w:hint="eastAsia"/>
                <w:color w:val="auto"/>
                <w:sz w:val="24"/>
                <w:highlight w:val="none"/>
              </w:rPr>
              <w:t>《环境空气质量标准》（GB3095-2026）表</w:t>
            </w:r>
            <w:r>
              <w:rPr>
                <w:rFonts w:hint="eastAsia"/>
                <w:color w:val="auto"/>
                <w:sz w:val="24"/>
                <w:highlight w:val="none"/>
                <w:lang w:val="en-US" w:eastAsia="zh-CN"/>
              </w:rPr>
              <w:t>2</w:t>
            </w:r>
            <w:r>
              <w:rPr>
                <w:rFonts w:hint="eastAsia"/>
                <w:color w:val="auto"/>
                <w:sz w:val="24"/>
                <w:highlight w:val="none"/>
              </w:rPr>
              <w:t>中</w:t>
            </w:r>
            <w:r>
              <w:rPr>
                <w:rFonts w:hint="eastAsia"/>
                <w:color w:val="auto"/>
                <w:sz w:val="24"/>
                <w:highlight w:val="none"/>
                <w:lang w:val="en-US" w:eastAsia="zh-CN"/>
              </w:rPr>
              <w:t>二级标准；</w:t>
            </w:r>
          </w:p>
          <w:p w14:paraId="1FCCDDB9">
            <w:pPr>
              <w:pStyle w:val="14"/>
              <w:spacing w:after="0" w:line="360" w:lineRule="auto"/>
              <w:ind w:left="0" w:leftChars="0" w:firstLine="0" w:firstLineChars="0"/>
              <w:textAlignment w:val="baseline"/>
              <w:rPr>
                <w:b/>
                <w:color w:val="auto"/>
                <w:szCs w:val="24"/>
                <w:u w:val="none" w:color="auto"/>
              </w:rPr>
            </w:pPr>
            <w:r>
              <w:rPr>
                <w:b/>
                <w:color w:val="auto"/>
                <w:szCs w:val="24"/>
                <w:u w:val="none" w:color="auto"/>
              </w:rPr>
              <w:t>2、地表水环境</w:t>
            </w:r>
          </w:p>
          <w:p w14:paraId="7B442532">
            <w:pPr>
              <w:widowControl/>
              <w:spacing w:line="360" w:lineRule="auto"/>
              <w:ind w:firstLine="480" w:firstLineChars="200"/>
              <w:jc w:val="left"/>
              <w:rPr>
                <w:rFonts w:hint="default"/>
                <w:color w:val="auto"/>
                <w:sz w:val="24"/>
                <w:highlight w:val="none"/>
              </w:rPr>
            </w:pPr>
            <w:r>
              <w:rPr>
                <w:rFonts w:hint="eastAsia"/>
                <w:color w:val="auto"/>
                <w:sz w:val="24"/>
                <w:highlight w:val="none"/>
                <w:lang w:val="en-US" w:eastAsia="zh-CN"/>
              </w:rPr>
              <w:t>项目</w:t>
            </w:r>
            <w:r>
              <w:rPr>
                <w:rFonts w:hint="eastAsia"/>
                <w:color w:val="auto"/>
                <w:sz w:val="24"/>
                <w:highlight w:val="none"/>
              </w:rPr>
              <w:t>生活污水</w:t>
            </w:r>
            <w:r>
              <w:rPr>
                <w:rFonts w:hint="eastAsia"/>
                <w:color w:val="auto"/>
                <w:sz w:val="24"/>
                <w:highlight w:val="none"/>
                <w:lang w:val="en-US" w:eastAsia="zh-CN"/>
              </w:rPr>
              <w:t>经厂区化粪池预处理后用于周边农田施肥，综合利用，不外排。</w:t>
            </w:r>
            <w:r>
              <w:rPr>
                <w:rFonts w:hint="default"/>
                <w:color w:val="auto"/>
                <w:sz w:val="24"/>
                <w:highlight w:val="none"/>
                <w:lang w:val="en-US" w:eastAsia="zh-CN"/>
              </w:rPr>
              <w:t>为了解评价区域地表水环境质量现状，本评价引用岳阳市202</w:t>
            </w:r>
            <w:r>
              <w:rPr>
                <w:rFonts w:hint="eastAsia"/>
                <w:color w:val="auto"/>
                <w:sz w:val="24"/>
                <w:highlight w:val="none"/>
                <w:lang w:val="en-US" w:eastAsia="zh-CN"/>
              </w:rPr>
              <w:t>5</w:t>
            </w:r>
            <w:r>
              <w:rPr>
                <w:rFonts w:hint="default"/>
                <w:color w:val="auto"/>
                <w:sz w:val="24"/>
                <w:highlight w:val="none"/>
                <w:lang w:val="en-US" w:eastAsia="zh-CN"/>
              </w:rPr>
              <w:t>年度生态环境质量公报内容（岳阳市2025年度生态环境质量公报-岳阳市生态环境</w:t>
            </w:r>
            <w:r>
              <w:rPr>
                <w:rFonts w:hint="eastAsia"/>
                <w:color w:val="auto"/>
                <w:sz w:val="24"/>
                <w:highlight w:val="none"/>
                <w:lang w:val="en-US" w:eastAsia="zh-CN"/>
              </w:rPr>
              <w:t>局</w:t>
            </w:r>
            <w:r>
              <w:rPr>
                <w:rFonts w:hint="default"/>
                <w:color w:val="auto"/>
                <w:sz w:val="24"/>
                <w:highlight w:val="none"/>
                <w:lang w:val="en-US" w:eastAsia="zh-CN"/>
              </w:rPr>
              <w:t>https://www.yueyang.gov.cn/ztxx/65997/65998/66006/content_2381439.html），在地表水环境—主要江河水质状</w:t>
            </w:r>
            <w:r>
              <w:rPr>
                <w:rFonts w:hint="eastAsia"/>
                <w:color w:val="auto"/>
                <w:sz w:val="24"/>
                <w:highlight w:val="none"/>
                <w:lang w:val="en-US" w:eastAsia="zh-CN"/>
              </w:rPr>
              <w:t>况中</w:t>
            </w:r>
            <w:r>
              <w:rPr>
                <w:rFonts w:hint="default"/>
                <w:color w:val="auto"/>
                <w:sz w:val="24"/>
                <w:highlight w:val="none"/>
                <w:lang w:val="en-US" w:eastAsia="zh-CN"/>
              </w:rPr>
              <w:t>提到：新墙河水质总体为优，9个控制断面水质均达到或优于Ⅱ类</w:t>
            </w:r>
            <w:r>
              <w:rPr>
                <w:rFonts w:hint="eastAsia"/>
                <w:color w:val="auto"/>
                <w:sz w:val="24"/>
                <w:highlight w:val="none"/>
                <w:lang w:val="en-US" w:eastAsia="zh-CN"/>
              </w:rPr>
              <w:t>。同时</w:t>
            </w:r>
            <w:r>
              <w:rPr>
                <w:rFonts w:hint="default"/>
                <w:color w:val="auto"/>
                <w:sz w:val="24"/>
                <w:highlight w:val="none"/>
              </w:rPr>
              <w:t>本评价引用生态环境主管部门202</w:t>
            </w:r>
            <w:r>
              <w:rPr>
                <w:rFonts w:hint="eastAsia"/>
                <w:color w:val="auto"/>
                <w:sz w:val="24"/>
                <w:highlight w:val="none"/>
                <w:lang w:val="en-US" w:eastAsia="zh-CN"/>
              </w:rPr>
              <w:t>4</w:t>
            </w:r>
            <w:r>
              <w:rPr>
                <w:rFonts w:hint="default"/>
                <w:color w:val="auto"/>
                <w:sz w:val="24"/>
                <w:highlight w:val="none"/>
              </w:rPr>
              <w:t>年对新墙</w:t>
            </w:r>
            <w:r>
              <w:rPr>
                <w:rFonts w:hint="eastAsia"/>
                <w:color w:val="auto"/>
                <w:sz w:val="24"/>
                <w:highlight w:val="none"/>
                <w:lang w:val="en-US" w:eastAsia="zh-CN"/>
              </w:rPr>
              <w:t>镇断面</w:t>
            </w:r>
            <w:r>
              <w:rPr>
                <w:rFonts w:hint="default"/>
                <w:color w:val="auto"/>
                <w:sz w:val="24"/>
                <w:highlight w:val="none"/>
              </w:rPr>
              <w:t>的地表水分析数据，监测结果见下表。</w:t>
            </w:r>
          </w:p>
          <w:p w14:paraId="5E6908CE">
            <w:pPr>
              <w:snapToGrid w:val="0"/>
              <w:spacing w:line="240" w:lineRule="auto"/>
              <w:ind w:firstLine="0" w:firstLineChars="0"/>
              <w:jc w:val="center"/>
              <w:rPr>
                <w:rFonts w:hint="default" w:ascii="Times New Roman" w:hAnsi="Times New Roman" w:eastAsia="宋体" w:cs="Times New Roman"/>
                <w:b/>
                <w:color w:val="auto"/>
                <w:sz w:val="21"/>
                <w:szCs w:val="21"/>
                <w:highlight w:val="none"/>
                <w:u w:val="none" w:color="auto"/>
                <w:lang w:val="en-US" w:eastAsia="zh-CN"/>
              </w:rPr>
            </w:pPr>
            <w:r>
              <w:rPr>
                <w:rFonts w:hint="default" w:ascii="Times New Roman" w:hAnsi="Times New Roman" w:eastAsia="宋体" w:cs="Times New Roman"/>
                <w:b/>
                <w:color w:val="auto"/>
                <w:sz w:val="21"/>
                <w:szCs w:val="21"/>
                <w:highlight w:val="none"/>
                <w:u w:val="none" w:color="auto"/>
                <w:lang w:val="en-US" w:eastAsia="zh-CN"/>
              </w:rPr>
              <w:t>表</w:t>
            </w:r>
            <w:r>
              <w:rPr>
                <w:rFonts w:hint="eastAsia" w:cs="Times New Roman"/>
                <w:b/>
                <w:color w:val="auto"/>
                <w:sz w:val="21"/>
                <w:szCs w:val="21"/>
                <w:highlight w:val="none"/>
                <w:u w:val="none" w:color="auto"/>
                <w:lang w:val="en-US" w:eastAsia="zh-CN"/>
              </w:rPr>
              <w:t xml:space="preserve">3-3  </w:t>
            </w:r>
            <w:r>
              <w:rPr>
                <w:rFonts w:hint="default" w:ascii="Times New Roman" w:hAnsi="Times New Roman" w:eastAsia="宋体" w:cs="Times New Roman"/>
                <w:b/>
                <w:color w:val="auto"/>
                <w:sz w:val="21"/>
                <w:szCs w:val="21"/>
                <w:highlight w:val="none"/>
                <w:u w:val="none" w:color="auto"/>
                <w:lang w:val="en-US" w:eastAsia="zh-CN"/>
              </w:rPr>
              <w:t>202</w:t>
            </w:r>
            <w:r>
              <w:rPr>
                <w:rFonts w:hint="eastAsia" w:ascii="Times New Roman" w:hAnsi="Times New Roman" w:eastAsia="宋体" w:cs="Times New Roman"/>
                <w:b/>
                <w:color w:val="auto"/>
                <w:sz w:val="21"/>
                <w:szCs w:val="21"/>
                <w:highlight w:val="none"/>
                <w:u w:val="none" w:color="auto"/>
                <w:lang w:val="en-US" w:eastAsia="zh-CN"/>
              </w:rPr>
              <w:t>4</w:t>
            </w:r>
            <w:r>
              <w:rPr>
                <w:rFonts w:hint="default" w:ascii="Times New Roman" w:hAnsi="Times New Roman" w:eastAsia="宋体" w:cs="Times New Roman"/>
                <w:b/>
                <w:color w:val="auto"/>
                <w:sz w:val="21"/>
                <w:szCs w:val="21"/>
                <w:highlight w:val="none"/>
                <w:u w:val="none" w:color="auto"/>
                <w:lang w:val="en-US" w:eastAsia="zh-CN"/>
              </w:rPr>
              <w:t>年新墙</w:t>
            </w:r>
            <w:r>
              <w:rPr>
                <w:rFonts w:hint="eastAsia" w:ascii="Times New Roman" w:hAnsi="Times New Roman" w:cs="Times New Roman"/>
                <w:b/>
                <w:color w:val="auto"/>
                <w:sz w:val="21"/>
                <w:szCs w:val="21"/>
                <w:highlight w:val="none"/>
                <w:u w:val="none" w:color="auto"/>
                <w:lang w:val="en-US" w:eastAsia="zh-CN"/>
              </w:rPr>
              <w:t>镇</w:t>
            </w:r>
            <w:r>
              <w:rPr>
                <w:rFonts w:hint="default" w:ascii="Times New Roman" w:hAnsi="Times New Roman" w:eastAsia="宋体" w:cs="Times New Roman"/>
                <w:b/>
                <w:color w:val="auto"/>
                <w:sz w:val="21"/>
                <w:szCs w:val="21"/>
                <w:highlight w:val="none"/>
                <w:u w:val="none" w:color="auto"/>
                <w:lang w:val="en-US" w:eastAsia="zh-CN"/>
              </w:rPr>
              <w:t>断面水质监测结果统计表单位 mg/L</w:t>
            </w:r>
          </w:p>
          <w:tbl>
            <w:tblPr>
              <w:tblStyle w:val="33"/>
              <w:tblW w:w="79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1741"/>
              <w:gridCol w:w="1233"/>
              <w:gridCol w:w="1229"/>
              <w:gridCol w:w="2348"/>
            </w:tblGrid>
            <w:tr w14:paraId="5AAA8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93" w:type="pct"/>
                  <w:noWrap w:val="0"/>
                  <w:vAlign w:val="center"/>
                </w:tcPr>
                <w:p w14:paraId="0677C80A">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b/>
                      <w:bCs/>
                      <w:color w:val="auto"/>
                      <w:kern w:val="2"/>
                      <w:sz w:val="21"/>
                      <w:szCs w:val="24"/>
                      <w:u w:val="none" w:color="auto"/>
                      <w:lang w:val="en-US" w:eastAsia="zh-CN" w:bidi="ar-SA"/>
                    </w:rPr>
                  </w:pPr>
                  <w:r>
                    <w:rPr>
                      <w:rFonts w:hint="default" w:ascii="Times New Roman" w:hAnsi="Times New Roman" w:eastAsia="宋体" w:cs="Times New Roman"/>
                      <w:b/>
                      <w:bCs/>
                      <w:color w:val="auto"/>
                      <w:kern w:val="2"/>
                      <w:sz w:val="21"/>
                      <w:szCs w:val="24"/>
                      <w:u w:val="none" w:color="auto"/>
                      <w:lang w:val="en-US" w:eastAsia="zh-CN" w:bidi="ar-SA"/>
                    </w:rPr>
                    <w:t>监测断面</w:t>
                  </w:r>
                </w:p>
              </w:tc>
              <w:tc>
                <w:tcPr>
                  <w:tcW w:w="1091" w:type="pct"/>
                  <w:noWrap w:val="0"/>
                  <w:vAlign w:val="center"/>
                </w:tcPr>
                <w:p w14:paraId="469E7ED3">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b/>
                      <w:bCs/>
                      <w:color w:val="auto"/>
                      <w:kern w:val="2"/>
                      <w:sz w:val="21"/>
                      <w:szCs w:val="24"/>
                      <w:u w:val="none" w:color="auto"/>
                      <w:lang w:val="en-US" w:eastAsia="zh-CN" w:bidi="ar-SA"/>
                    </w:rPr>
                  </w:pPr>
                  <w:r>
                    <w:rPr>
                      <w:rFonts w:hint="default" w:ascii="Times New Roman" w:hAnsi="Times New Roman" w:eastAsia="宋体" w:cs="Times New Roman"/>
                      <w:b/>
                      <w:bCs/>
                      <w:color w:val="auto"/>
                      <w:kern w:val="2"/>
                      <w:sz w:val="21"/>
                      <w:szCs w:val="24"/>
                      <w:u w:val="none" w:color="auto"/>
                      <w:lang w:val="en-US" w:eastAsia="zh-CN" w:bidi="ar-SA"/>
                    </w:rPr>
                    <w:t>监测因子</w:t>
                  </w:r>
                </w:p>
              </w:tc>
              <w:tc>
                <w:tcPr>
                  <w:tcW w:w="772" w:type="pct"/>
                  <w:noWrap w:val="0"/>
                  <w:vAlign w:val="center"/>
                </w:tcPr>
                <w:p w14:paraId="03E837F0">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b/>
                      <w:bCs/>
                      <w:color w:val="auto"/>
                      <w:kern w:val="2"/>
                      <w:sz w:val="21"/>
                      <w:szCs w:val="24"/>
                      <w:u w:val="none" w:color="auto"/>
                      <w:lang w:val="en-US" w:eastAsia="zh-CN" w:bidi="ar-SA"/>
                    </w:rPr>
                  </w:pPr>
                  <w:r>
                    <w:rPr>
                      <w:rFonts w:hint="default" w:ascii="Times New Roman" w:hAnsi="Times New Roman" w:eastAsia="宋体" w:cs="Times New Roman"/>
                      <w:b/>
                      <w:bCs/>
                      <w:color w:val="auto"/>
                      <w:kern w:val="2"/>
                      <w:sz w:val="21"/>
                      <w:szCs w:val="24"/>
                      <w:u w:val="none" w:color="auto"/>
                      <w:lang w:val="en-US" w:eastAsia="zh-CN" w:bidi="ar-SA"/>
                    </w:rPr>
                    <w:t>单位</w:t>
                  </w:r>
                </w:p>
              </w:tc>
              <w:tc>
                <w:tcPr>
                  <w:tcW w:w="770" w:type="pct"/>
                  <w:noWrap w:val="0"/>
                  <w:vAlign w:val="center"/>
                </w:tcPr>
                <w:p w14:paraId="2038FEF0">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b/>
                      <w:bCs/>
                      <w:color w:val="auto"/>
                      <w:kern w:val="2"/>
                      <w:sz w:val="21"/>
                      <w:szCs w:val="24"/>
                      <w:u w:val="none" w:color="auto"/>
                      <w:lang w:val="en-US" w:eastAsia="zh-CN" w:bidi="ar-SA"/>
                    </w:rPr>
                  </w:pPr>
                  <w:r>
                    <w:rPr>
                      <w:rFonts w:hint="default" w:ascii="Times New Roman" w:hAnsi="Times New Roman" w:eastAsia="宋体" w:cs="Times New Roman"/>
                      <w:b/>
                      <w:bCs/>
                      <w:color w:val="auto"/>
                      <w:kern w:val="2"/>
                      <w:sz w:val="21"/>
                      <w:szCs w:val="24"/>
                      <w:u w:val="none" w:color="auto"/>
                      <w:lang w:val="en-US" w:eastAsia="zh-CN" w:bidi="ar-SA"/>
                    </w:rPr>
                    <w:t>年均值</w:t>
                  </w:r>
                </w:p>
              </w:tc>
              <w:tc>
                <w:tcPr>
                  <w:tcW w:w="1471" w:type="pct"/>
                  <w:noWrap w:val="0"/>
                  <w:vAlign w:val="center"/>
                </w:tcPr>
                <w:p w14:paraId="5F395101">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b/>
                      <w:bCs/>
                      <w:color w:val="auto"/>
                      <w:kern w:val="2"/>
                      <w:sz w:val="21"/>
                      <w:szCs w:val="24"/>
                      <w:u w:val="none" w:color="auto"/>
                      <w:lang w:val="en-US" w:eastAsia="zh-CN" w:bidi="ar-SA"/>
                    </w:rPr>
                  </w:pPr>
                  <w:r>
                    <w:rPr>
                      <w:rFonts w:hint="default" w:ascii="Times New Roman" w:hAnsi="Times New Roman" w:eastAsia="宋体" w:cs="Times New Roman"/>
                      <w:b/>
                      <w:bCs/>
                      <w:color w:val="auto"/>
                      <w:kern w:val="2"/>
                      <w:sz w:val="21"/>
                      <w:szCs w:val="24"/>
                      <w:u w:val="none" w:color="auto"/>
                      <w:lang w:val="en-US" w:eastAsia="zh-CN" w:bidi="ar-SA"/>
                    </w:rPr>
                    <w:t>(GB3838-2002）Ⅲ类标准</w:t>
                  </w:r>
                </w:p>
              </w:tc>
            </w:tr>
            <w:tr w14:paraId="061C3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93" w:type="pct"/>
                  <w:vMerge w:val="restart"/>
                  <w:noWrap w:val="0"/>
                  <w:vAlign w:val="center"/>
                </w:tcPr>
                <w:p w14:paraId="565D065D">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新墙河</w:t>
                  </w:r>
                  <w:r>
                    <w:rPr>
                      <w:rFonts w:hint="eastAsia" w:ascii="Times New Roman" w:hAnsi="Times New Roman" w:eastAsia="宋体" w:cs="Times New Roman"/>
                      <w:color w:val="auto"/>
                      <w:kern w:val="2"/>
                      <w:sz w:val="21"/>
                      <w:szCs w:val="24"/>
                      <w:highlight w:val="none"/>
                      <w:u w:val="none" w:color="auto"/>
                      <w:lang w:val="en-US" w:eastAsia="zh-CN" w:bidi="ar-SA"/>
                    </w:rPr>
                    <w:t>新墙镇</w:t>
                  </w:r>
                  <w:r>
                    <w:rPr>
                      <w:rFonts w:hint="default" w:ascii="Times New Roman" w:hAnsi="Times New Roman" w:eastAsia="宋体" w:cs="Times New Roman"/>
                      <w:color w:val="auto"/>
                      <w:kern w:val="2"/>
                      <w:sz w:val="21"/>
                      <w:szCs w:val="24"/>
                      <w:highlight w:val="none"/>
                      <w:u w:val="none" w:color="auto"/>
                      <w:lang w:val="en-US" w:eastAsia="zh-CN" w:bidi="ar-SA"/>
                    </w:rPr>
                    <w:t>断面（Ⅲ类水体）</w:t>
                  </w:r>
                </w:p>
              </w:tc>
              <w:tc>
                <w:tcPr>
                  <w:tcW w:w="1091" w:type="pct"/>
                  <w:shd w:val="clear" w:color="auto" w:fill="auto"/>
                  <w:noWrap w:val="0"/>
                  <w:vAlign w:val="center"/>
                </w:tcPr>
                <w:p w14:paraId="5845351E">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pH</w:t>
                  </w:r>
                </w:p>
              </w:tc>
              <w:tc>
                <w:tcPr>
                  <w:tcW w:w="772" w:type="pct"/>
                  <w:noWrap w:val="0"/>
                  <w:vAlign w:val="center"/>
                </w:tcPr>
                <w:p w14:paraId="71F11BAA">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mg/L</w:t>
                  </w:r>
                </w:p>
              </w:tc>
              <w:tc>
                <w:tcPr>
                  <w:tcW w:w="770" w:type="pct"/>
                  <w:noWrap w:val="0"/>
                  <w:vAlign w:val="center"/>
                </w:tcPr>
                <w:p w14:paraId="784B2D2A">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cs="Times New Roman"/>
                      <w:color w:val="auto"/>
                      <w:kern w:val="2"/>
                      <w:sz w:val="21"/>
                      <w:szCs w:val="24"/>
                      <w:highlight w:val="none"/>
                      <w:u w:val="none" w:color="auto"/>
                      <w:lang w:val="en-US" w:eastAsia="zh-CN" w:bidi="ar-SA"/>
                    </w:rPr>
                    <w:t>7</w:t>
                  </w:r>
                </w:p>
              </w:tc>
              <w:tc>
                <w:tcPr>
                  <w:tcW w:w="1471" w:type="pct"/>
                  <w:noWrap w:val="0"/>
                  <w:vAlign w:val="center"/>
                </w:tcPr>
                <w:p w14:paraId="198EC875">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6-9</w:t>
                  </w:r>
                </w:p>
              </w:tc>
            </w:tr>
            <w:tr w14:paraId="0794B3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93" w:type="pct"/>
                  <w:vMerge w:val="continue"/>
                  <w:noWrap w:val="0"/>
                  <w:vAlign w:val="center"/>
                </w:tcPr>
                <w:p w14:paraId="65A0C69F">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1091" w:type="pct"/>
                  <w:shd w:val="clear" w:color="auto" w:fill="auto"/>
                  <w:noWrap w:val="0"/>
                  <w:vAlign w:val="center"/>
                </w:tcPr>
                <w:p w14:paraId="0FCEFE7D">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溶解氧</w:t>
                  </w:r>
                </w:p>
              </w:tc>
              <w:tc>
                <w:tcPr>
                  <w:tcW w:w="772" w:type="pct"/>
                  <w:noWrap w:val="0"/>
                  <w:vAlign w:val="center"/>
                </w:tcPr>
                <w:p w14:paraId="06D3B47B">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mg/L</w:t>
                  </w:r>
                </w:p>
              </w:tc>
              <w:tc>
                <w:tcPr>
                  <w:tcW w:w="770" w:type="pct"/>
                  <w:noWrap w:val="0"/>
                  <w:vAlign w:val="center"/>
                </w:tcPr>
                <w:p w14:paraId="09232C41">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cs="Times New Roman"/>
                      <w:color w:val="auto"/>
                      <w:kern w:val="2"/>
                      <w:sz w:val="21"/>
                      <w:szCs w:val="24"/>
                      <w:highlight w:val="none"/>
                      <w:u w:val="none" w:color="auto"/>
                      <w:lang w:val="en-US" w:eastAsia="zh-CN" w:bidi="ar-SA"/>
                    </w:rPr>
                    <w:t>9.58</w:t>
                  </w:r>
                </w:p>
              </w:tc>
              <w:tc>
                <w:tcPr>
                  <w:tcW w:w="1471" w:type="pct"/>
                  <w:noWrap w:val="0"/>
                  <w:vAlign w:val="center"/>
                </w:tcPr>
                <w:p w14:paraId="4BA70459">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≧5</w:t>
                  </w:r>
                </w:p>
              </w:tc>
            </w:tr>
            <w:tr w14:paraId="1A6B1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93" w:type="pct"/>
                  <w:vMerge w:val="continue"/>
                  <w:noWrap w:val="0"/>
                  <w:vAlign w:val="center"/>
                </w:tcPr>
                <w:p w14:paraId="5DBF2F65">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1091" w:type="pct"/>
                  <w:shd w:val="clear" w:color="auto" w:fill="auto"/>
                  <w:noWrap w:val="0"/>
                  <w:vAlign w:val="center"/>
                </w:tcPr>
                <w:p w14:paraId="24148FAD">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高锰酸盐指数</w:t>
                  </w:r>
                </w:p>
              </w:tc>
              <w:tc>
                <w:tcPr>
                  <w:tcW w:w="772" w:type="pct"/>
                  <w:noWrap w:val="0"/>
                  <w:vAlign w:val="center"/>
                </w:tcPr>
                <w:p w14:paraId="46F42670">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mg/L</w:t>
                  </w:r>
                </w:p>
              </w:tc>
              <w:tc>
                <w:tcPr>
                  <w:tcW w:w="770" w:type="pct"/>
                  <w:noWrap w:val="0"/>
                  <w:vAlign w:val="center"/>
                </w:tcPr>
                <w:p w14:paraId="6D22456B">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cs="Times New Roman"/>
                      <w:color w:val="auto"/>
                      <w:kern w:val="2"/>
                      <w:sz w:val="21"/>
                      <w:szCs w:val="24"/>
                      <w:highlight w:val="none"/>
                      <w:u w:val="none" w:color="auto"/>
                      <w:lang w:val="en-US" w:eastAsia="zh-CN" w:bidi="ar-SA"/>
                    </w:rPr>
                    <w:t>2.6</w:t>
                  </w:r>
                </w:p>
              </w:tc>
              <w:tc>
                <w:tcPr>
                  <w:tcW w:w="1471" w:type="pct"/>
                  <w:noWrap w:val="0"/>
                  <w:vAlign w:val="center"/>
                </w:tcPr>
                <w:p w14:paraId="289CA029">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≤6</w:t>
                  </w:r>
                </w:p>
              </w:tc>
            </w:tr>
            <w:tr w14:paraId="3F939B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93" w:type="pct"/>
                  <w:vMerge w:val="continue"/>
                  <w:noWrap w:val="0"/>
                  <w:vAlign w:val="center"/>
                </w:tcPr>
                <w:p w14:paraId="0B770841">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1091" w:type="pct"/>
                  <w:shd w:val="clear" w:color="auto" w:fill="auto"/>
                  <w:noWrap w:val="0"/>
                  <w:vAlign w:val="center"/>
                </w:tcPr>
                <w:p w14:paraId="0971E348">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化学需氧量</w:t>
                  </w:r>
                </w:p>
              </w:tc>
              <w:tc>
                <w:tcPr>
                  <w:tcW w:w="772" w:type="pct"/>
                  <w:noWrap w:val="0"/>
                  <w:vAlign w:val="center"/>
                </w:tcPr>
                <w:p w14:paraId="46EDA6D5">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mg/L</w:t>
                  </w:r>
                </w:p>
              </w:tc>
              <w:tc>
                <w:tcPr>
                  <w:tcW w:w="770" w:type="pct"/>
                  <w:noWrap w:val="0"/>
                  <w:vAlign w:val="center"/>
                </w:tcPr>
                <w:p w14:paraId="4DBC4698">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cs="Times New Roman"/>
                      <w:color w:val="auto"/>
                      <w:kern w:val="2"/>
                      <w:sz w:val="21"/>
                      <w:szCs w:val="24"/>
                      <w:highlight w:val="none"/>
                      <w:u w:val="none" w:color="auto"/>
                      <w:lang w:val="en-US" w:eastAsia="zh-CN" w:bidi="ar-SA"/>
                    </w:rPr>
                    <w:t>7</w:t>
                  </w:r>
                </w:p>
              </w:tc>
              <w:tc>
                <w:tcPr>
                  <w:tcW w:w="1471" w:type="pct"/>
                  <w:noWrap w:val="0"/>
                  <w:vAlign w:val="center"/>
                </w:tcPr>
                <w:p w14:paraId="47F4D7CF">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≤20</w:t>
                  </w:r>
                </w:p>
              </w:tc>
            </w:tr>
            <w:tr w14:paraId="6930FE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93" w:type="pct"/>
                  <w:vMerge w:val="continue"/>
                  <w:noWrap w:val="0"/>
                  <w:vAlign w:val="center"/>
                </w:tcPr>
                <w:p w14:paraId="54D13579">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1091" w:type="pct"/>
                  <w:shd w:val="clear" w:color="auto" w:fill="auto"/>
                  <w:noWrap w:val="0"/>
                  <w:vAlign w:val="center"/>
                </w:tcPr>
                <w:p w14:paraId="2D1D2899">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五日生化需氧量</w:t>
                  </w:r>
                </w:p>
              </w:tc>
              <w:tc>
                <w:tcPr>
                  <w:tcW w:w="772" w:type="pct"/>
                  <w:noWrap w:val="0"/>
                  <w:vAlign w:val="center"/>
                </w:tcPr>
                <w:p w14:paraId="2C4E4662">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mg/L</w:t>
                  </w:r>
                </w:p>
              </w:tc>
              <w:tc>
                <w:tcPr>
                  <w:tcW w:w="770" w:type="pct"/>
                  <w:noWrap w:val="0"/>
                  <w:vAlign w:val="center"/>
                </w:tcPr>
                <w:p w14:paraId="724C7856">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cs="Times New Roman"/>
                      <w:color w:val="auto"/>
                      <w:kern w:val="2"/>
                      <w:sz w:val="21"/>
                      <w:szCs w:val="24"/>
                      <w:highlight w:val="none"/>
                      <w:u w:val="none" w:color="auto"/>
                      <w:lang w:val="en-US" w:eastAsia="zh-CN" w:bidi="ar-SA"/>
                    </w:rPr>
                    <w:t>1.2</w:t>
                  </w:r>
                </w:p>
              </w:tc>
              <w:tc>
                <w:tcPr>
                  <w:tcW w:w="1471" w:type="pct"/>
                  <w:noWrap w:val="0"/>
                  <w:vAlign w:val="center"/>
                </w:tcPr>
                <w:p w14:paraId="0091D2A3">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≤4</w:t>
                  </w:r>
                </w:p>
              </w:tc>
            </w:tr>
            <w:tr w14:paraId="0A1CB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93" w:type="pct"/>
                  <w:vMerge w:val="continue"/>
                  <w:noWrap w:val="0"/>
                  <w:vAlign w:val="center"/>
                </w:tcPr>
                <w:p w14:paraId="5EC59764">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1091" w:type="pct"/>
                  <w:shd w:val="clear" w:color="auto" w:fill="auto"/>
                  <w:noWrap w:val="0"/>
                  <w:vAlign w:val="center"/>
                </w:tcPr>
                <w:p w14:paraId="7764B04E">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氨氮</w:t>
                  </w:r>
                </w:p>
              </w:tc>
              <w:tc>
                <w:tcPr>
                  <w:tcW w:w="772" w:type="pct"/>
                  <w:noWrap w:val="0"/>
                  <w:vAlign w:val="center"/>
                </w:tcPr>
                <w:p w14:paraId="7EF6436A">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mg/L</w:t>
                  </w:r>
                </w:p>
              </w:tc>
              <w:tc>
                <w:tcPr>
                  <w:tcW w:w="770" w:type="pct"/>
                  <w:noWrap w:val="0"/>
                  <w:vAlign w:val="center"/>
                </w:tcPr>
                <w:p w14:paraId="0236DCA0">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cs="Times New Roman"/>
                      <w:color w:val="auto"/>
                      <w:kern w:val="2"/>
                      <w:sz w:val="21"/>
                      <w:szCs w:val="24"/>
                      <w:highlight w:val="none"/>
                      <w:u w:val="none" w:color="auto"/>
                      <w:lang w:val="en-US" w:eastAsia="zh-CN" w:bidi="ar-SA"/>
                    </w:rPr>
                    <w:t>0.07</w:t>
                  </w:r>
                </w:p>
              </w:tc>
              <w:tc>
                <w:tcPr>
                  <w:tcW w:w="1471" w:type="pct"/>
                  <w:noWrap w:val="0"/>
                  <w:vAlign w:val="center"/>
                </w:tcPr>
                <w:p w14:paraId="59213FDD">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≤1</w:t>
                  </w:r>
                </w:p>
              </w:tc>
            </w:tr>
            <w:tr w14:paraId="0A8A67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93" w:type="pct"/>
                  <w:vMerge w:val="continue"/>
                  <w:noWrap w:val="0"/>
                  <w:vAlign w:val="center"/>
                </w:tcPr>
                <w:p w14:paraId="51765BDD">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1091" w:type="pct"/>
                  <w:shd w:val="clear" w:color="auto" w:fill="auto"/>
                  <w:noWrap w:val="0"/>
                  <w:vAlign w:val="center"/>
                </w:tcPr>
                <w:p w14:paraId="1717872F">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总磷</w:t>
                  </w:r>
                </w:p>
              </w:tc>
              <w:tc>
                <w:tcPr>
                  <w:tcW w:w="772" w:type="pct"/>
                  <w:noWrap w:val="0"/>
                  <w:vAlign w:val="center"/>
                </w:tcPr>
                <w:p w14:paraId="4648A491">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mg/L</w:t>
                  </w:r>
                </w:p>
              </w:tc>
              <w:tc>
                <w:tcPr>
                  <w:tcW w:w="770" w:type="pct"/>
                  <w:noWrap w:val="0"/>
                  <w:vAlign w:val="center"/>
                </w:tcPr>
                <w:p w14:paraId="649AEB36">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cs="Times New Roman"/>
                      <w:color w:val="auto"/>
                      <w:kern w:val="2"/>
                      <w:sz w:val="21"/>
                      <w:szCs w:val="24"/>
                      <w:highlight w:val="none"/>
                      <w:u w:val="none" w:color="auto"/>
                      <w:lang w:val="en-US" w:eastAsia="zh-CN" w:bidi="ar-SA"/>
                    </w:rPr>
                    <w:t>0.04</w:t>
                  </w:r>
                </w:p>
              </w:tc>
              <w:tc>
                <w:tcPr>
                  <w:tcW w:w="1471" w:type="pct"/>
                  <w:noWrap w:val="0"/>
                  <w:vAlign w:val="center"/>
                </w:tcPr>
                <w:p w14:paraId="30997CD4">
                  <w:pPr>
                    <w:keepNext w:val="0"/>
                    <w:keepLines w:val="0"/>
                    <w:widowControl/>
                    <w:suppressLineNumbers w:val="0"/>
                    <w:bidi w:val="0"/>
                    <w:spacing w:before="2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≤0.2</w:t>
                  </w:r>
                </w:p>
              </w:tc>
            </w:tr>
          </w:tbl>
          <w:p w14:paraId="400724B0">
            <w:pPr>
              <w:spacing w:line="360" w:lineRule="auto"/>
              <w:ind w:firstLine="480" w:firstLineChars="200"/>
              <w:rPr>
                <w:rFonts w:hint="default" w:ascii="Times New Roman" w:hAnsi="Times New Roman" w:eastAsia="宋体" w:cs="Times New Roman"/>
                <w:color w:val="auto"/>
                <w:sz w:val="24"/>
                <w:szCs w:val="20"/>
                <w:highlight w:val="none"/>
                <w:u w:val="none" w:color="auto"/>
                <w:lang w:val="en-US" w:eastAsia="zh-CN"/>
              </w:rPr>
            </w:pPr>
            <w:r>
              <w:rPr>
                <w:rFonts w:hint="default" w:ascii="Times New Roman" w:hAnsi="Times New Roman" w:eastAsia="宋体" w:cs="Times New Roman"/>
                <w:color w:val="auto"/>
                <w:sz w:val="24"/>
                <w:highlight w:val="none"/>
                <w:u w:val="none" w:color="auto"/>
              </w:rPr>
              <w:t>根据监测结果可知，新墙</w:t>
            </w:r>
            <w:r>
              <w:rPr>
                <w:rFonts w:hint="eastAsia" w:ascii="Times New Roman" w:hAnsi="Times New Roman" w:cs="Times New Roman"/>
                <w:color w:val="auto"/>
                <w:sz w:val="24"/>
                <w:highlight w:val="none"/>
                <w:u w:val="none" w:color="auto"/>
                <w:lang w:val="en-US" w:eastAsia="zh-CN"/>
              </w:rPr>
              <w:t>镇断面</w:t>
            </w:r>
            <w:r>
              <w:rPr>
                <w:rFonts w:hint="default" w:ascii="Times New Roman" w:hAnsi="Times New Roman" w:eastAsia="宋体" w:cs="Times New Roman"/>
                <w:color w:val="auto"/>
                <w:sz w:val="24"/>
                <w:highlight w:val="none"/>
                <w:u w:val="none" w:color="auto"/>
              </w:rPr>
              <w:t>监测因子能满足《地表水环境质量标准》（GB3838-2002）中的Ⅲ类标准要求</w:t>
            </w:r>
            <w:r>
              <w:rPr>
                <w:rFonts w:hint="default" w:ascii="Times New Roman" w:hAnsi="Times New Roman" w:eastAsia="宋体" w:cs="Times New Roman"/>
                <w:color w:val="auto"/>
                <w:sz w:val="24"/>
                <w:szCs w:val="22"/>
                <w:highlight w:val="none"/>
                <w:u w:val="none" w:color="auto"/>
              </w:rPr>
              <w:t>。</w:t>
            </w:r>
            <w:r>
              <w:rPr>
                <w:rFonts w:hint="default" w:ascii="Times New Roman" w:hAnsi="Times New Roman" w:eastAsia="宋体" w:cs="Times New Roman"/>
                <w:color w:val="auto"/>
                <w:sz w:val="24"/>
                <w:szCs w:val="22"/>
                <w:highlight w:val="none"/>
                <w:u w:val="none" w:color="auto"/>
                <w:lang w:val="en-US" w:eastAsia="zh-CN"/>
              </w:rPr>
              <w:t>地表水环境为达标区。</w:t>
            </w:r>
          </w:p>
          <w:p w14:paraId="47E7A75E">
            <w:pPr>
              <w:adjustRightInd w:val="0"/>
              <w:snapToGrid w:val="0"/>
              <w:spacing w:line="360" w:lineRule="auto"/>
              <w:rPr>
                <w:b/>
                <w:color w:val="auto"/>
                <w:sz w:val="24"/>
              </w:rPr>
            </w:pPr>
            <w:r>
              <w:rPr>
                <w:b/>
                <w:color w:val="auto"/>
                <w:sz w:val="24"/>
              </w:rPr>
              <w:t>3、声环境</w:t>
            </w:r>
          </w:p>
          <w:p w14:paraId="04BD756B">
            <w:pPr>
              <w:adjustRightInd w:val="0"/>
              <w:snapToGrid w:val="0"/>
              <w:spacing w:line="360" w:lineRule="auto"/>
              <w:ind w:firstLine="480" w:firstLineChars="200"/>
              <w:jc w:val="left"/>
              <w:rPr>
                <w:color w:val="auto"/>
                <w:sz w:val="24"/>
              </w:rPr>
            </w:pPr>
            <w:r>
              <w:rPr>
                <w:color w:val="auto"/>
                <w:sz w:val="24"/>
              </w:rPr>
              <w:t>根据生态环境部办公厅2020年12月24日印发的《建设项目环境影响报告表编制技术指南（污染影响类）（试行）》中具体编制要求“声环境、厂界外周边50米范围内存在声环境保护目标的建设项目，应监测保护目标声环境质量现状并评价达标情况。各点位应监测昼夜间噪声，监测时间不少于1天，项目夜间不生产则仅监测昼间噪声”。结合现场调查，本项目厂界外周边50m范围内的无声环境保护目标，无需进行声环境质量监测。</w:t>
            </w:r>
          </w:p>
          <w:p w14:paraId="4180F0CA">
            <w:pPr>
              <w:adjustRightInd w:val="0"/>
              <w:snapToGrid w:val="0"/>
              <w:spacing w:line="360" w:lineRule="auto"/>
              <w:jc w:val="left"/>
              <w:rPr>
                <w:rFonts w:hint="default" w:ascii="Times New Roman" w:hAnsi="Times New Roman" w:cs="Times New Roman"/>
                <w:b/>
                <w:color w:val="auto"/>
                <w:sz w:val="24"/>
                <w:highlight w:val="none"/>
              </w:rPr>
            </w:pPr>
            <w:r>
              <w:rPr>
                <w:b/>
                <w:color w:val="auto"/>
                <w:sz w:val="24"/>
              </w:rPr>
              <w:t>4、</w:t>
            </w:r>
            <w:r>
              <w:rPr>
                <w:rFonts w:hint="default" w:ascii="Times New Roman" w:hAnsi="Times New Roman" w:cs="Times New Roman"/>
                <w:b/>
                <w:color w:val="auto"/>
                <w:sz w:val="24"/>
                <w:highlight w:val="none"/>
              </w:rPr>
              <w:t>地下水、土壤环境质量现状</w:t>
            </w:r>
          </w:p>
          <w:p w14:paraId="27129357">
            <w:pPr>
              <w:adjustRightInd w:val="0"/>
              <w:snapToGrid w:val="0"/>
              <w:spacing w:line="360" w:lineRule="auto"/>
              <w:ind w:firstLine="480" w:firstLineChars="200"/>
              <w:jc w:val="left"/>
              <w:rPr>
                <w:rFonts w:hint="default" w:ascii="Times New Roman" w:hAnsi="Times New Roman" w:eastAsia="宋体" w:cs="Times New Roman"/>
                <w:color w:val="auto"/>
                <w:sz w:val="24"/>
              </w:rPr>
            </w:pPr>
            <w:bookmarkStart w:id="20" w:name="OLE_LINK92"/>
            <w:r>
              <w:rPr>
                <w:rFonts w:hint="default" w:ascii="Times New Roman" w:hAnsi="Times New Roman" w:eastAsia="宋体" w:cs="Times New Roman"/>
                <w:color w:val="auto"/>
                <w:sz w:val="24"/>
              </w:rPr>
              <w:t>根据《建设项目环境影响报告表编制技术指南（污染影响类）（试行）》中具体编制要求“原则上不开展环境质量现状调查。建设项目存在地下水、土壤环境污染途径的，应结合污染源、保护目标分布情况开展现状调查以留作背景值。”结合现场调查及工艺分析，本</w:t>
            </w:r>
            <w:r>
              <w:rPr>
                <w:rFonts w:hint="default" w:ascii="Times New Roman" w:hAnsi="Times New Roman" w:eastAsia="宋体" w:cs="Times New Roman"/>
                <w:color w:val="auto"/>
                <w:sz w:val="24"/>
                <w:lang w:val="en-US" w:eastAsia="zh-CN"/>
              </w:rPr>
              <w:t>项目</w:t>
            </w:r>
            <w:r>
              <w:rPr>
                <w:rFonts w:hint="default" w:ascii="Times New Roman" w:hAnsi="Times New Roman" w:eastAsia="宋体" w:cs="Times New Roman"/>
                <w:color w:val="auto"/>
                <w:sz w:val="24"/>
              </w:rPr>
              <w:t>位于</w:t>
            </w:r>
            <w:r>
              <w:rPr>
                <w:rFonts w:hint="default" w:ascii="Times New Roman" w:hAnsi="Times New Roman" w:eastAsia="宋体" w:cs="Times New Roman"/>
                <w:color w:val="auto"/>
                <w:sz w:val="24"/>
                <w:lang w:val="en-US" w:eastAsia="zh-CN"/>
              </w:rPr>
              <w:t>岳阳县新墙镇燎原村沙河片二组</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租赁车间内将</w:t>
            </w:r>
            <w:r>
              <w:rPr>
                <w:rFonts w:hint="default" w:ascii="Times New Roman" w:hAnsi="Times New Roman" w:eastAsia="宋体" w:cs="Times New Roman"/>
                <w:color w:val="auto"/>
                <w:sz w:val="24"/>
              </w:rPr>
              <w:t>做好硬化及“三防”措施（防扬散、防流失、防渗漏）</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项目不具备地面漫流和垂直入渗的途径，不存在土壤、地下水污染途径</w:t>
            </w:r>
            <w:r>
              <w:rPr>
                <w:rFonts w:hint="default" w:ascii="Times New Roman" w:hAnsi="Times New Roman" w:eastAsia="宋体" w:cs="Times New Roman"/>
                <w:color w:val="auto"/>
                <w:sz w:val="24"/>
              </w:rPr>
              <w:t>。</w:t>
            </w:r>
          </w:p>
          <w:bookmarkEnd w:id="20"/>
          <w:p w14:paraId="2CCFADE6">
            <w:pPr>
              <w:adjustRightInd w:val="0"/>
              <w:snapToGrid w:val="0"/>
              <w:spacing w:line="360" w:lineRule="auto"/>
              <w:jc w:val="left"/>
              <w:rPr>
                <w:rFonts w:hint="default" w:ascii="Times New Roman" w:hAnsi="Times New Roman" w:eastAsia="宋体" w:cs="Times New Roman"/>
                <w:b/>
                <w:color w:val="auto"/>
                <w:sz w:val="24"/>
              </w:rPr>
            </w:pPr>
            <w:r>
              <w:rPr>
                <w:rFonts w:ascii="Times New Roman" w:hAnsi="Times New Roman" w:eastAsia="宋体" w:cs="Times New Roman"/>
                <w:b/>
                <w:color w:val="auto"/>
                <w:sz w:val="24"/>
              </w:rPr>
              <w:t>5、</w:t>
            </w:r>
            <w:r>
              <w:rPr>
                <w:rFonts w:hint="default" w:ascii="Times New Roman" w:hAnsi="Times New Roman" w:eastAsia="宋体" w:cs="Times New Roman"/>
                <w:b/>
                <w:color w:val="auto"/>
                <w:sz w:val="24"/>
              </w:rPr>
              <w:t>生态环境现状</w:t>
            </w:r>
          </w:p>
          <w:p w14:paraId="05C93BDD">
            <w:pPr>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根据生态环境部办公厅2020年12月24日印发的《建设项目环境影响报告表编制技术指南（污染影响类）（试行）》中具体编制要求“产业园区外建设项目新增用地且用地范围内含有生态环境敏感目标时，应进行生态调查。”</w:t>
            </w:r>
          </w:p>
          <w:p w14:paraId="0CFEB818">
            <w:pPr>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w:t>
            </w:r>
            <w:r>
              <w:rPr>
                <w:rFonts w:hint="default" w:ascii="Times New Roman" w:hAnsi="Times New Roman" w:eastAsia="宋体" w:cs="Times New Roman"/>
                <w:color w:val="auto"/>
                <w:sz w:val="24"/>
                <w:lang w:val="en-US" w:eastAsia="zh-CN"/>
              </w:rPr>
              <w:t>位于湖南省岳阳市岳阳县新墙镇燎原村沙河片二组</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项目位于产业园外，但</w:t>
            </w:r>
            <w:r>
              <w:rPr>
                <w:rFonts w:hint="default" w:ascii="Times New Roman" w:hAnsi="Times New Roman" w:eastAsia="宋体" w:cs="Times New Roman"/>
                <w:color w:val="auto"/>
                <w:sz w:val="24"/>
              </w:rPr>
              <w:t>项目</w:t>
            </w:r>
            <w:r>
              <w:rPr>
                <w:rFonts w:hint="eastAsia" w:ascii="Times New Roman" w:hAnsi="Times New Roman" w:eastAsia="宋体" w:cs="Times New Roman"/>
                <w:color w:val="auto"/>
                <w:sz w:val="24"/>
                <w:lang w:val="en-US" w:eastAsia="zh-CN"/>
              </w:rPr>
              <w:t>不属于</w:t>
            </w:r>
            <w:r>
              <w:rPr>
                <w:rFonts w:hint="default" w:ascii="Times New Roman" w:hAnsi="Times New Roman" w:eastAsia="宋体" w:cs="Times New Roman"/>
                <w:color w:val="auto"/>
                <w:sz w:val="24"/>
              </w:rPr>
              <w:t>新增用地</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且用地范围内</w:t>
            </w:r>
            <w:r>
              <w:rPr>
                <w:rFonts w:hint="eastAsia" w:ascii="Times New Roman" w:hAnsi="Times New Roman" w:eastAsia="宋体" w:cs="Times New Roman"/>
                <w:color w:val="auto"/>
                <w:sz w:val="24"/>
                <w:lang w:val="en-US" w:eastAsia="zh-CN"/>
              </w:rPr>
              <w:t>不</w:t>
            </w:r>
            <w:r>
              <w:rPr>
                <w:rFonts w:hint="default" w:ascii="Times New Roman" w:hAnsi="Times New Roman" w:eastAsia="宋体" w:cs="Times New Roman"/>
                <w:color w:val="auto"/>
                <w:sz w:val="24"/>
              </w:rPr>
              <w:t>含有生态环境敏感目标，</w:t>
            </w:r>
            <w:r>
              <w:rPr>
                <w:rFonts w:hint="eastAsia" w:ascii="Times New Roman" w:hAnsi="Times New Roman" w:eastAsia="宋体" w:cs="Times New Roman"/>
                <w:color w:val="auto"/>
                <w:sz w:val="24"/>
                <w:lang w:val="en-US" w:eastAsia="zh-CN"/>
              </w:rPr>
              <w:t>同时</w:t>
            </w:r>
            <w:r>
              <w:rPr>
                <w:rFonts w:hint="default" w:ascii="Times New Roman" w:hAnsi="Times New Roman" w:eastAsia="宋体" w:cs="Times New Roman"/>
                <w:color w:val="auto"/>
                <w:sz w:val="24"/>
                <w:lang w:eastAsia="zh-CN"/>
              </w:rPr>
              <w:t>区域及周边范围无古树名木、自然保护区、风景名胜区、生态功能保护区和森林公园，</w:t>
            </w:r>
            <w:r>
              <w:rPr>
                <w:rFonts w:hint="default" w:ascii="Times New Roman" w:hAnsi="Times New Roman" w:eastAsia="宋体" w:cs="Times New Roman"/>
                <w:color w:val="auto"/>
                <w:sz w:val="24"/>
                <w:lang w:val="en-US" w:eastAsia="zh-CN"/>
              </w:rPr>
              <w:t>项目所在区域动植物均为常见物种，无珍稀保护动植物，其生态环境敏感程度较低。</w:t>
            </w:r>
            <w:r>
              <w:rPr>
                <w:rFonts w:hint="default" w:ascii="Times New Roman" w:hAnsi="Times New Roman" w:eastAsia="宋体" w:cs="Times New Roman"/>
                <w:color w:val="auto"/>
                <w:sz w:val="24"/>
              </w:rPr>
              <w:t>故本项目不开展生态环境质量现状调查。</w:t>
            </w:r>
          </w:p>
          <w:p w14:paraId="01533859">
            <w:pPr>
              <w:keepNext/>
              <w:keepLines w:val="0"/>
              <w:pageBreakBefore w:val="0"/>
              <w:widowControl w:val="0"/>
              <w:tabs>
                <w:tab w:val="left" w:pos="1021"/>
              </w:tabs>
              <w:kinsoku/>
              <w:wordWrap/>
              <w:overflowPunct w:val="0"/>
              <w:topLinePunct w:val="0"/>
              <w:autoSpaceDE/>
              <w:autoSpaceDN/>
              <w:bidi w:val="0"/>
              <w:adjustRightInd/>
              <w:snapToGrid w:val="0"/>
              <w:spacing w:before="0" w:after="0" w:line="360" w:lineRule="auto"/>
              <w:ind w:left="0" w:firstLine="0" w:firstLineChars="0"/>
              <w:textAlignment w:val="auto"/>
              <w:outlineLvl w:val="9"/>
              <w:rPr>
                <w:rFonts w:hint="default" w:ascii="Times New Roman" w:hAnsi="Times New Roman" w:eastAsia="宋体" w:cs="Times New Roman"/>
                <w:b/>
                <w:bCs/>
                <w:color w:val="auto"/>
                <w:sz w:val="28"/>
                <w:szCs w:val="28"/>
                <w:highlight w:val="none"/>
                <w:lang w:val="en-US" w:eastAsia="zh-CN"/>
              </w:rPr>
            </w:pPr>
            <w:r>
              <w:rPr>
                <w:rFonts w:hint="eastAsia" w:ascii="Times New Roman" w:hAnsi="Times New Roman" w:eastAsia="宋体" w:cs="Times New Roman"/>
                <w:b/>
                <w:bCs/>
                <w:color w:val="auto"/>
                <w:sz w:val="28"/>
                <w:szCs w:val="28"/>
                <w:highlight w:val="none"/>
                <w:lang w:val="en-US" w:eastAsia="zh-CN"/>
              </w:rPr>
              <w:t>6</w:t>
            </w:r>
            <w:r>
              <w:rPr>
                <w:rFonts w:hint="eastAsia" w:ascii="Times New Roman" w:hAnsi="Times New Roman" w:cs="Times New Roman"/>
                <w:b/>
                <w:color w:val="auto"/>
                <w:kern w:val="2"/>
                <w:sz w:val="24"/>
                <w:szCs w:val="24"/>
                <w:highlight w:val="none"/>
                <w:lang w:val="en-US" w:eastAsia="zh-CN" w:bidi="ar-SA"/>
              </w:rPr>
              <w:t>、电磁辐射</w:t>
            </w:r>
          </w:p>
          <w:p w14:paraId="21A34814">
            <w:pPr>
              <w:spacing w:line="360" w:lineRule="auto"/>
              <w:ind w:firstLine="600" w:firstLineChars="250"/>
              <w:jc w:val="left"/>
              <w:rPr>
                <w:rFonts w:hint="default" w:ascii="Times New Roman" w:hAnsi="Times New Roman" w:cs="Times New Roman"/>
                <w:color w:val="auto"/>
                <w:kern w:val="0"/>
                <w:szCs w:val="21"/>
                <w:highlight w:val="none"/>
              </w:rPr>
            </w:pPr>
            <w:r>
              <w:rPr>
                <w:rFonts w:hint="default" w:ascii="Times New Roman" w:hAnsi="Times New Roman" w:eastAsia="宋体" w:cs="Times New Roman"/>
                <w:color w:val="auto"/>
                <w:sz w:val="24"/>
                <w:highlight w:val="none"/>
              </w:rPr>
              <w:t>本项目</w:t>
            </w:r>
            <w:r>
              <w:rPr>
                <w:rFonts w:hint="eastAsia" w:ascii="Times New Roman" w:hAnsi="Times New Roman" w:eastAsia="宋体" w:cs="Times New Roman"/>
                <w:color w:val="auto"/>
                <w:sz w:val="24"/>
                <w:highlight w:val="none"/>
                <w:lang w:val="en-US" w:eastAsia="zh-CN"/>
              </w:rPr>
              <w:t>不</w:t>
            </w:r>
            <w:r>
              <w:rPr>
                <w:rFonts w:hint="default" w:ascii="Times New Roman" w:hAnsi="Times New Roman" w:eastAsia="宋体" w:cs="Times New Roman"/>
                <w:color w:val="auto"/>
                <w:sz w:val="24"/>
                <w:highlight w:val="none"/>
              </w:rPr>
              <w:t>涉及辐射部分</w:t>
            </w:r>
            <w:r>
              <w:rPr>
                <w:rFonts w:hint="default" w:ascii="Times New Roman" w:hAnsi="Times New Roman" w:eastAsia="宋体" w:cs="Times New Roman"/>
                <w:color w:val="auto"/>
                <w:sz w:val="24"/>
                <w:highlight w:val="none"/>
                <w:lang w:eastAsia="zh-CN"/>
              </w:rPr>
              <w:t>。</w:t>
            </w:r>
          </w:p>
        </w:tc>
      </w:tr>
      <w:tr w14:paraId="260FD7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992" w:hRule="atLeast"/>
          <w:jc w:val="center"/>
        </w:trPr>
        <w:tc>
          <w:tcPr>
            <w:tcW w:w="800" w:type="dxa"/>
            <w:noWrap w:val="0"/>
            <w:vAlign w:val="center"/>
          </w:tcPr>
          <w:p w14:paraId="73BC8383">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环境</w:t>
            </w:r>
          </w:p>
          <w:p w14:paraId="34468778">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保护</w:t>
            </w:r>
          </w:p>
          <w:p w14:paraId="5A0C49DC">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目标</w:t>
            </w:r>
          </w:p>
        </w:tc>
        <w:tc>
          <w:tcPr>
            <w:tcW w:w="8190" w:type="dxa"/>
            <w:noWrap w:val="0"/>
            <w:vAlign w:val="top"/>
          </w:tcPr>
          <w:p w14:paraId="4050172D">
            <w:pPr>
              <w:spacing w:line="360" w:lineRule="auto"/>
              <w:ind w:firstLine="480" w:firstLineChars="200"/>
              <w:rPr>
                <w:color w:val="auto"/>
                <w:sz w:val="24"/>
              </w:rPr>
            </w:pPr>
            <w:r>
              <w:rPr>
                <w:color w:val="auto"/>
                <w:sz w:val="24"/>
              </w:rPr>
              <w:t>项目评价范围主要环境保护目标详见表3-</w:t>
            </w:r>
            <w:r>
              <w:rPr>
                <w:rFonts w:hint="eastAsia"/>
                <w:color w:val="auto"/>
                <w:sz w:val="24"/>
                <w:lang w:val="en-US" w:eastAsia="zh-CN"/>
              </w:rPr>
              <w:t>4</w:t>
            </w:r>
            <w:r>
              <w:rPr>
                <w:color w:val="auto"/>
                <w:sz w:val="24"/>
              </w:rPr>
              <w:t>至表3-</w:t>
            </w:r>
            <w:r>
              <w:rPr>
                <w:rFonts w:hint="eastAsia"/>
                <w:color w:val="auto"/>
                <w:sz w:val="24"/>
                <w:lang w:val="en-US" w:eastAsia="zh-CN"/>
              </w:rPr>
              <w:t>5</w:t>
            </w:r>
            <w:r>
              <w:rPr>
                <w:color w:val="auto"/>
                <w:sz w:val="24"/>
              </w:rPr>
              <w:t>，评价范围内主要环境敏感目标分布情况见附图</w:t>
            </w:r>
            <w:r>
              <w:rPr>
                <w:rFonts w:hint="eastAsia"/>
                <w:color w:val="auto"/>
                <w:sz w:val="24"/>
                <w:lang w:val="en-US" w:eastAsia="zh-CN"/>
              </w:rPr>
              <w:t>3</w:t>
            </w:r>
            <w:r>
              <w:rPr>
                <w:color w:val="auto"/>
                <w:sz w:val="24"/>
              </w:rPr>
              <w:t>。</w:t>
            </w:r>
          </w:p>
          <w:p w14:paraId="11F64966">
            <w:pPr>
              <w:spacing w:line="360" w:lineRule="auto"/>
              <w:ind w:firstLine="482" w:firstLineChars="200"/>
              <w:jc w:val="both"/>
              <w:rPr>
                <w:rFonts w:hint="default" w:ascii="Times New Roman" w:hAnsi="Times New Roman" w:cs="Times New Roman"/>
                <w:b/>
                <w:bCs/>
                <w:color w:val="auto"/>
                <w:sz w:val="24"/>
                <w:highlight w:val="none"/>
                <w:u w:val="none"/>
                <w:lang w:val="en-US" w:eastAsia="zh-CN"/>
              </w:rPr>
            </w:pPr>
            <w:r>
              <w:rPr>
                <w:rFonts w:hint="eastAsia" w:ascii="Times New Roman" w:hAnsi="Times New Roman" w:cs="Times New Roman"/>
                <w:b/>
                <w:bCs/>
                <w:color w:val="auto"/>
                <w:sz w:val="24"/>
                <w:highlight w:val="none"/>
                <w:u w:val="none"/>
                <w:lang w:val="en-US" w:eastAsia="zh-CN"/>
              </w:rPr>
              <w:t>1、</w:t>
            </w:r>
            <w:r>
              <w:rPr>
                <w:rFonts w:hint="eastAsia" w:cs="Times New Roman"/>
                <w:b/>
                <w:bCs/>
                <w:color w:val="auto"/>
                <w:sz w:val="24"/>
                <w:highlight w:val="none"/>
                <w:u w:val="none"/>
                <w:lang w:val="en-US" w:eastAsia="zh-CN"/>
              </w:rPr>
              <w:t>大气环境保护目标</w:t>
            </w:r>
          </w:p>
          <w:p w14:paraId="7FE41D43">
            <w:pPr>
              <w:pStyle w:val="12"/>
              <w:snapToGrid/>
              <w:spacing w:before="0" w:after="0" w:line="240" w:lineRule="auto"/>
              <w:ind w:right="0"/>
              <w:jc w:val="center"/>
              <w:rPr>
                <w:b/>
                <w:bCs/>
                <w:color w:val="auto"/>
                <w:sz w:val="21"/>
                <w:szCs w:val="16"/>
              </w:rPr>
            </w:pPr>
            <w:r>
              <w:rPr>
                <w:rFonts w:hint="eastAsia"/>
                <w:b/>
                <w:bCs/>
                <w:color w:val="auto"/>
                <w:sz w:val="21"/>
                <w:szCs w:val="16"/>
              </w:rPr>
              <w:t>表</w:t>
            </w:r>
            <w:r>
              <w:rPr>
                <w:b/>
                <w:bCs/>
                <w:color w:val="auto"/>
                <w:sz w:val="21"/>
                <w:szCs w:val="16"/>
              </w:rPr>
              <w:t>3-</w:t>
            </w:r>
            <w:r>
              <w:rPr>
                <w:rFonts w:hint="eastAsia"/>
                <w:b/>
                <w:bCs/>
                <w:color w:val="auto"/>
                <w:sz w:val="21"/>
                <w:szCs w:val="16"/>
                <w:lang w:val="en-US" w:eastAsia="zh-CN"/>
              </w:rPr>
              <w:t>4</w:t>
            </w:r>
            <w:r>
              <w:rPr>
                <w:b/>
                <w:bCs/>
                <w:color w:val="auto"/>
                <w:sz w:val="21"/>
                <w:szCs w:val="16"/>
              </w:rPr>
              <w:t xml:space="preserve">  </w:t>
            </w:r>
            <w:r>
              <w:rPr>
                <w:rFonts w:hint="eastAsia"/>
                <w:b/>
                <w:bCs/>
                <w:color w:val="auto"/>
                <w:sz w:val="21"/>
                <w:szCs w:val="16"/>
              </w:rPr>
              <w:t>项目周边环境空气保护目标</w:t>
            </w:r>
            <w:r>
              <w:rPr>
                <w:rFonts w:hint="eastAsia"/>
                <w:b/>
                <w:color w:val="auto"/>
                <w:sz w:val="21"/>
                <w:szCs w:val="16"/>
              </w:rPr>
              <w:t>一览表</w:t>
            </w:r>
          </w:p>
          <w:tbl>
            <w:tblPr>
              <w:tblStyle w:val="33"/>
              <w:tblW w:w="499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102"/>
              <w:gridCol w:w="996"/>
              <w:gridCol w:w="778"/>
              <w:gridCol w:w="1183"/>
              <w:gridCol w:w="1243"/>
              <w:gridCol w:w="742"/>
              <w:gridCol w:w="907"/>
            </w:tblGrid>
            <w:tr w14:paraId="0B048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8" w:type="pct"/>
                  <w:vMerge w:val="restart"/>
                  <w:noWrap w:val="0"/>
                  <w:vAlign w:val="center"/>
                </w:tcPr>
                <w:p w14:paraId="55AA36C3">
                  <w:pPr>
                    <w:contextualSpacing/>
                    <w:jc w:val="center"/>
                    <w:rPr>
                      <w:b/>
                      <w:bCs/>
                      <w:color w:val="auto"/>
                    </w:rPr>
                  </w:pPr>
                  <w:r>
                    <w:rPr>
                      <w:rFonts w:hint="eastAsia"/>
                      <w:b/>
                      <w:bCs/>
                      <w:color w:val="auto"/>
                    </w:rPr>
                    <w:t>名称</w:t>
                  </w:r>
                </w:p>
              </w:tc>
              <w:tc>
                <w:tcPr>
                  <w:tcW w:w="1322" w:type="pct"/>
                  <w:gridSpan w:val="2"/>
                  <w:noWrap w:val="0"/>
                  <w:vAlign w:val="center"/>
                </w:tcPr>
                <w:p w14:paraId="0CB1F2DB">
                  <w:pPr>
                    <w:contextualSpacing/>
                    <w:jc w:val="center"/>
                    <w:rPr>
                      <w:b/>
                      <w:bCs/>
                      <w:color w:val="auto"/>
                    </w:rPr>
                  </w:pPr>
                  <w:r>
                    <w:rPr>
                      <w:rFonts w:hint="eastAsia"/>
                      <w:b/>
                      <w:bCs/>
                      <w:color w:val="auto"/>
                    </w:rPr>
                    <w:t>坐标</w:t>
                  </w:r>
                </w:p>
              </w:tc>
              <w:tc>
                <w:tcPr>
                  <w:tcW w:w="490" w:type="pct"/>
                  <w:vMerge w:val="restart"/>
                  <w:noWrap w:val="0"/>
                  <w:vAlign w:val="center"/>
                </w:tcPr>
                <w:p w14:paraId="540F893B">
                  <w:pPr>
                    <w:contextualSpacing/>
                    <w:jc w:val="center"/>
                    <w:rPr>
                      <w:b/>
                      <w:bCs/>
                      <w:color w:val="auto"/>
                    </w:rPr>
                  </w:pPr>
                  <w:r>
                    <w:rPr>
                      <w:rFonts w:hint="eastAsia"/>
                      <w:b/>
                      <w:bCs/>
                      <w:color w:val="auto"/>
                    </w:rPr>
                    <w:t>保护对象</w:t>
                  </w:r>
                </w:p>
              </w:tc>
              <w:tc>
                <w:tcPr>
                  <w:tcW w:w="745" w:type="pct"/>
                  <w:vMerge w:val="restart"/>
                  <w:noWrap w:val="0"/>
                  <w:vAlign w:val="center"/>
                </w:tcPr>
                <w:p w14:paraId="0FC066AF">
                  <w:pPr>
                    <w:contextualSpacing/>
                    <w:jc w:val="center"/>
                    <w:rPr>
                      <w:b/>
                      <w:bCs/>
                      <w:color w:val="auto"/>
                    </w:rPr>
                  </w:pPr>
                  <w:r>
                    <w:rPr>
                      <w:rFonts w:hint="eastAsia"/>
                      <w:b/>
                      <w:bCs/>
                      <w:color w:val="auto"/>
                    </w:rPr>
                    <w:t>保护内容</w:t>
                  </w:r>
                </w:p>
              </w:tc>
              <w:tc>
                <w:tcPr>
                  <w:tcW w:w="783" w:type="pct"/>
                  <w:vMerge w:val="restart"/>
                  <w:noWrap w:val="0"/>
                  <w:vAlign w:val="center"/>
                </w:tcPr>
                <w:p w14:paraId="198E3A2E">
                  <w:pPr>
                    <w:contextualSpacing/>
                    <w:jc w:val="center"/>
                    <w:rPr>
                      <w:b/>
                      <w:bCs/>
                      <w:color w:val="auto"/>
                    </w:rPr>
                  </w:pPr>
                  <w:r>
                    <w:rPr>
                      <w:rFonts w:hint="eastAsia"/>
                      <w:b/>
                      <w:bCs/>
                      <w:color w:val="auto"/>
                    </w:rPr>
                    <w:t>保护功能区</w:t>
                  </w:r>
                </w:p>
              </w:tc>
              <w:tc>
                <w:tcPr>
                  <w:tcW w:w="467" w:type="pct"/>
                  <w:vMerge w:val="restart"/>
                  <w:noWrap w:val="0"/>
                  <w:vAlign w:val="center"/>
                </w:tcPr>
                <w:p w14:paraId="593DF26D">
                  <w:pPr>
                    <w:contextualSpacing/>
                    <w:jc w:val="center"/>
                    <w:rPr>
                      <w:b/>
                      <w:bCs/>
                      <w:color w:val="auto"/>
                    </w:rPr>
                  </w:pPr>
                  <w:r>
                    <w:rPr>
                      <w:rFonts w:hint="eastAsia"/>
                      <w:b/>
                      <w:bCs/>
                      <w:color w:val="auto"/>
                    </w:rPr>
                    <w:t>相对厂址方位</w:t>
                  </w:r>
                </w:p>
              </w:tc>
              <w:tc>
                <w:tcPr>
                  <w:tcW w:w="571" w:type="pct"/>
                  <w:vMerge w:val="restart"/>
                  <w:noWrap w:val="0"/>
                  <w:vAlign w:val="center"/>
                </w:tcPr>
                <w:p w14:paraId="07F954AC">
                  <w:pPr>
                    <w:contextualSpacing/>
                    <w:jc w:val="center"/>
                    <w:rPr>
                      <w:b/>
                      <w:bCs/>
                      <w:color w:val="auto"/>
                    </w:rPr>
                  </w:pPr>
                  <w:r>
                    <w:rPr>
                      <w:rFonts w:hint="eastAsia"/>
                      <w:b/>
                      <w:bCs/>
                      <w:color w:val="auto"/>
                    </w:rPr>
                    <w:t>相对厂界距离</w:t>
                  </w:r>
                  <w:r>
                    <w:rPr>
                      <w:b/>
                      <w:bCs/>
                      <w:color w:val="auto"/>
                    </w:rPr>
                    <w:t>/m</w:t>
                  </w:r>
                </w:p>
              </w:tc>
            </w:tr>
            <w:tr w14:paraId="263465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8" w:type="pct"/>
                  <w:vMerge w:val="continue"/>
                  <w:noWrap w:val="0"/>
                  <w:vAlign w:val="center"/>
                </w:tcPr>
                <w:p w14:paraId="763FF017">
                  <w:pPr>
                    <w:contextualSpacing/>
                    <w:jc w:val="center"/>
                    <w:rPr>
                      <w:color w:val="auto"/>
                    </w:rPr>
                  </w:pPr>
                </w:p>
              </w:tc>
              <w:tc>
                <w:tcPr>
                  <w:tcW w:w="694" w:type="pct"/>
                  <w:noWrap w:val="0"/>
                  <w:vAlign w:val="center"/>
                </w:tcPr>
                <w:p w14:paraId="492911B8">
                  <w:pPr>
                    <w:contextualSpacing/>
                    <w:jc w:val="center"/>
                    <w:rPr>
                      <w:rFonts w:hint="default" w:eastAsia="宋体"/>
                      <w:b/>
                      <w:bCs/>
                      <w:color w:val="auto"/>
                      <w:lang w:val="en-US" w:eastAsia="zh-CN"/>
                    </w:rPr>
                  </w:pPr>
                  <w:r>
                    <w:rPr>
                      <w:rFonts w:hint="eastAsia"/>
                      <w:b/>
                      <w:bCs/>
                      <w:color w:val="auto"/>
                      <w:lang w:val="en-US" w:eastAsia="zh-CN"/>
                    </w:rPr>
                    <w:t>经度</w:t>
                  </w:r>
                </w:p>
              </w:tc>
              <w:tc>
                <w:tcPr>
                  <w:tcW w:w="627" w:type="pct"/>
                  <w:noWrap w:val="0"/>
                  <w:vAlign w:val="center"/>
                </w:tcPr>
                <w:p w14:paraId="2E93C30F">
                  <w:pPr>
                    <w:contextualSpacing/>
                    <w:jc w:val="center"/>
                    <w:rPr>
                      <w:b/>
                      <w:bCs/>
                      <w:color w:val="auto"/>
                    </w:rPr>
                  </w:pPr>
                  <w:r>
                    <w:rPr>
                      <w:rFonts w:hint="eastAsia"/>
                      <w:b/>
                      <w:bCs/>
                      <w:color w:val="auto"/>
                      <w:lang w:val="en-US" w:eastAsia="zh-CN"/>
                    </w:rPr>
                    <w:t>纬度</w:t>
                  </w:r>
                </w:p>
              </w:tc>
              <w:tc>
                <w:tcPr>
                  <w:tcW w:w="490" w:type="pct"/>
                  <w:vMerge w:val="continue"/>
                  <w:noWrap w:val="0"/>
                  <w:vAlign w:val="center"/>
                </w:tcPr>
                <w:p w14:paraId="55EF5D45">
                  <w:pPr>
                    <w:contextualSpacing/>
                    <w:jc w:val="center"/>
                    <w:rPr>
                      <w:color w:val="auto"/>
                    </w:rPr>
                  </w:pPr>
                </w:p>
              </w:tc>
              <w:tc>
                <w:tcPr>
                  <w:tcW w:w="745" w:type="pct"/>
                  <w:vMerge w:val="continue"/>
                  <w:noWrap w:val="0"/>
                  <w:vAlign w:val="center"/>
                </w:tcPr>
                <w:p w14:paraId="370F31A7">
                  <w:pPr>
                    <w:contextualSpacing/>
                    <w:jc w:val="center"/>
                    <w:rPr>
                      <w:color w:val="auto"/>
                    </w:rPr>
                  </w:pPr>
                </w:p>
              </w:tc>
              <w:tc>
                <w:tcPr>
                  <w:tcW w:w="783" w:type="pct"/>
                  <w:vMerge w:val="continue"/>
                  <w:noWrap w:val="0"/>
                  <w:vAlign w:val="center"/>
                </w:tcPr>
                <w:p w14:paraId="1E81B5F9">
                  <w:pPr>
                    <w:contextualSpacing/>
                    <w:jc w:val="center"/>
                    <w:rPr>
                      <w:color w:val="auto"/>
                    </w:rPr>
                  </w:pPr>
                </w:p>
              </w:tc>
              <w:tc>
                <w:tcPr>
                  <w:tcW w:w="467" w:type="pct"/>
                  <w:vMerge w:val="continue"/>
                  <w:noWrap w:val="0"/>
                  <w:vAlign w:val="center"/>
                </w:tcPr>
                <w:p w14:paraId="733F0827">
                  <w:pPr>
                    <w:contextualSpacing/>
                    <w:jc w:val="center"/>
                    <w:rPr>
                      <w:color w:val="auto"/>
                    </w:rPr>
                  </w:pPr>
                </w:p>
              </w:tc>
              <w:tc>
                <w:tcPr>
                  <w:tcW w:w="571" w:type="pct"/>
                  <w:vMerge w:val="continue"/>
                  <w:noWrap w:val="0"/>
                  <w:vAlign w:val="center"/>
                </w:tcPr>
                <w:p w14:paraId="434C5B36">
                  <w:pPr>
                    <w:contextualSpacing/>
                    <w:jc w:val="center"/>
                    <w:rPr>
                      <w:color w:val="auto"/>
                    </w:rPr>
                  </w:pPr>
                </w:p>
              </w:tc>
            </w:tr>
            <w:tr w14:paraId="1BAB0B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8" w:type="pct"/>
                  <w:shd w:val="clear" w:color="auto" w:fill="auto"/>
                  <w:noWrap w:val="0"/>
                  <w:vAlign w:val="center"/>
                </w:tcPr>
                <w:p w14:paraId="3DFD94FA">
                  <w:pPr>
                    <w:contextualSpacing/>
                    <w:jc w:val="center"/>
                    <w:rPr>
                      <w:rFonts w:hint="default" w:ascii="Times New Roman" w:hAnsi="Times New Roman" w:eastAsia="宋体" w:cs="Times New Roman"/>
                      <w:bCs/>
                      <w:color w:val="auto"/>
                      <w:spacing w:val="4"/>
                      <w:kern w:val="2"/>
                      <w:sz w:val="21"/>
                      <w:szCs w:val="21"/>
                      <w:lang w:val="en-US" w:eastAsia="zh-CN" w:bidi="ar-SA"/>
                    </w:rPr>
                  </w:pPr>
                  <w:r>
                    <w:rPr>
                      <w:rFonts w:hint="default" w:ascii="Times New Roman" w:hAnsi="Times New Roman" w:eastAsia="宋体" w:cs="Times New Roman"/>
                      <w:bCs/>
                      <w:color w:val="auto"/>
                      <w:spacing w:val="4"/>
                      <w:kern w:val="2"/>
                      <w:sz w:val="21"/>
                      <w:szCs w:val="21"/>
                      <w:lang w:val="en-US" w:eastAsia="zh-CN" w:bidi="ar-SA"/>
                    </w:rPr>
                    <w:t>沙河片</w:t>
                  </w:r>
                  <w:r>
                    <w:rPr>
                      <w:rFonts w:hint="eastAsia" w:cs="Times New Roman"/>
                      <w:bCs/>
                      <w:color w:val="auto"/>
                      <w:spacing w:val="4"/>
                      <w:kern w:val="2"/>
                      <w:sz w:val="21"/>
                      <w:szCs w:val="21"/>
                      <w:lang w:val="en-US" w:eastAsia="zh-CN" w:bidi="ar-SA"/>
                    </w:rPr>
                    <w:t>居民</w:t>
                  </w:r>
                </w:p>
              </w:tc>
              <w:tc>
                <w:tcPr>
                  <w:tcW w:w="694" w:type="pct"/>
                  <w:shd w:val="clear" w:color="auto" w:fill="auto"/>
                  <w:noWrap w:val="0"/>
                  <w:vAlign w:val="center"/>
                </w:tcPr>
                <w:p w14:paraId="21EA3A92">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113.17130327</w:t>
                  </w:r>
                </w:p>
              </w:tc>
              <w:tc>
                <w:tcPr>
                  <w:tcW w:w="627" w:type="pct"/>
                  <w:shd w:val="clear" w:color="auto" w:fill="auto"/>
                  <w:noWrap w:val="0"/>
                  <w:vAlign w:val="center"/>
                </w:tcPr>
                <w:p w14:paraId="15D340E8">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29.14012975</w:t>
                  </w:r>
                </w:p>
              </w:tc>
              <w:tc>
                <w:tcPr>
                  <w:tcW w:w="490" w:type="pct"/>
                  <w:vMerge w:val="restart"/>
                  <w:noWrap w:val="0"/>
                  <w:vAlign w:val="center"/>
                </w:tcPr>
                <w:p w14:paraId="6CBB3DC7">
                  <w:pPr>
                    <w:contextualSpacing/>
                    <w:jc w:val="center"/>
                    <w:rPr>
                      <w:color w:val="auto"/>
                    </w:rPr>
                  </w:pPr>
                  <w:r>
                    <w:rPr>
                      <w:rFonts w:hint="eastAsia"/>
                      <w:color w:val="auto"/>
                    </w:rPr>
                    <w:t>居民</w:t>
                  </w:r>
                </w:p>
              </w:tc>
              <w:tc>
                <w:tcPr>
                  <w:tcW w:w="745" w:type="pct"/>
                  <w:noWrap w:val="0"/>
                  <w:vAlign w:val="center"/>
                </w:tcPr>
                <w:p w14:paraId="59D9A826">
                  <w:pPr>
                    <w:contextualSpacing/>
                    <w:jc w:val="center"/>
                    <w:rPr>
                      <w:rFonts w:hint="default" w:eastAsia="宋体"/>
                      <w:color w:val="auto"/>
                      <w:lang w:val="en-US" w:eastAsia="zh-CN"/>
                    </w:rPr>
                  </w:pPr>
                  <w:r>
                    <w:rPr>
                      <w:rFonts w:hint="eastAsia"/>
                      <w:bCs/>
                      <w:color w:val="auto"/>
                      <w:spacing w:val="4"/>
                      <w:szCs w:val="21"/>
                      <w:lang w:val="en-US" w:eastAsia="zh-CN"/>
                    </w:rPr>
                    <w:t>9</w:t>
                  </w:r>
                  <w:r>
                    <w:rPr>
                      <w:rFonts w:hint="eastAsia"/>
                      <w:bCs/>
                      <w:color w:val="auto"/>
                      <w:spacing w:val="4"/>
                      <w:szCs w:val="21"/>
                    </w:rPr>
                    <w:t>户</w:t>
                  </w:r>
                  <w:r>
                    <w:rPr>
                      <w:rFonts w:hint="eastAsia"/>
                      <w:bCs/>
                      <w:color w:val="auto"/>
                      <w:spacing w:val="4"/>
                      <w:szCs w:val="21"/>
                      <w:lang w:eastAsia="zh-CN"/>
                    </w:rPr>
                    <w:t>，</w:t>
                  </w:r>
                  <w:r>
                    <w:rPr>
                      <w:rFonts w:hint="eastAsia"/>
                      <w:color w:val="auto"/>
                    </w:rPr>
                    <w:t>约</w:t>
                  </w:r>
                  <w:r>
                    <w:rPr>
                      <w:rFonts w:hint="eastAsia"/>
                      <w:bCs/>
                      <w:color w:val="auto"/>
                      <w:spacing w:val="4"/>
                      <w:szCs w:val="21"/>
                      <w:lang w:val="en-US" w:eastAsia="zh-CN"/>
                    </w:rPr>
                    <w:t>30人</w:t>
                  </w:r>
                </w:p>
              </w:tc>
              <w:tc>
                <w:tcPr>
                  <w:tcW w:w="783" w:type="pct"/>
                  <w:vMerge w:val="restart"/>
                  <w:noWrap w:val="0"/>
                  <w:vAlign w:val="center"/>
                </w:tcPr>
                <w:p w14:paraId="3FB02F52">
                  <w:pPr>
                    <w:contextualSpacing/>
                    <w:jc w:val="center"/>
                    <w:rPr>
                      <w:color w:val="auto"/>
                    </w:rPr>
                  </w:pPr>
                  <w:r>
                    <w:rPr>
                      <w:rFonts w:hint="eastAsia"/>
                      <w:color w:val="auto"/>
                    </w:rPr>
                    <w:t>《环境空气质量标准》（GB3095-2026）表1中过渡阶段</w:t>
                  </w:r>
                  <w:r>
                    <w:rPr>
                      <w:rFonts w:hint="eastAsia"/>
                      <w:color w:val="auto"/>
                      <w:lang w:val="en-US" w:eastAsia="zh-CN"/>
                    </w:rPr>
                    <w:t>二级标准</w:t>
                  </w:r>
                </w:p>
              </w:tc>
              <w:tc>
                <w:tcPr>
                  <w:tcW w:w="467" w:type="pct"/>
                  <w:noWrap w:val="0"/>
                  <w:vAlign w:val="center"/>
                </w:tcPr>
                <w:p w14:paraId="1C1FCAFB">
                  <w:pPr>
                    <w:contextualSpacing/>
                    <w:jc w:val="center"/>
                    <w:rPr>
                      <w:color w:val="auto"/>
                    </w:rPr>
                  </w:pPr>
                  <w:r>
                    <w:rPr>
                      <w:rFonts w:hint="eastAsia"/>
                      <w:color w:val="auto"/>
                      <w:lang w:val="en-US" w:eastAsia="zh-CN"/>
                    </w:rPr>
                    <w:t>东</w:t>
                  </w:r>
                  <w:r>
                    <w:rPr>
                      <w:rFonts w:hint="eastAsia"/>
                      <w:color w:val="auto"/>
                    </w:rPr>
                    <w:t>北面</w:t>
                  </w:r>
                </w:p>
              </w:tc>
              <w:tc>
                <w:tcPr>
                  <w:tcW w:w="571" w:type="pct"/>
                  <w:noWrap w:val="0"/>
                  <w:vAlign w:val="center"/>
                </w:tcPr>
                <w:p w14:paraId="116B59FB">
                  <w:pPr>
                    <w:contextualSpacing/>
                    <w:jc w:val="center"/>
                    <w:rPr>
                      <w:rFonts w:hint="default" w:eastAsia="宋体"/>
                      <w:color w:val="auto"/>
                      <w:lang w:val="en-US" w:eastAsia="zh-CN"/>
                    </w:rPr>
                  </w:pPr>
                  <w:r>
                    <w:rPr>
                      <w:rFonts w:hint="eastAsia"/>
                      <w:color w:val="auto"/>
                      <w:lang w:val="en-US" w:eastAsia="zh-CN"/>
                    </w:rPr>
                    <w:t>170-240</w:t>
                  </w:r>
                </w:p>
              </w:tc>
            </w:tr>
            <w:tr w14:paraId="13012B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8" w:type="pct"/>
                  <w:noWrap w:val="0"/>
                  <w:vAlign w:val="center"/>
                </w:tcPr>
                <w:p w14:paraId="4774BC5C">
                  <w:pPr>
                    <w:contextualSpacing/>
                    <w:jc w:val="center"/>
                    <w:rPr>
                      <w:color w:val="auto"/>
                    </w:rPr>
                  </w:pPr>
                  <w:r>
                    <w:rPr>
                      <w:rFonts w:hint="default" w:ascii="Times New Roman" w:hAnsi="Times New Roman" w:eastAsia="宋体" w:cs="Times New Roman"/>
                      <w:bCs/>
                      <w:color w:val="auto"/>
                      <w:spacing w:val="4"/>
                      <w:kern w:val="2"/>
                      <w:sz w:val="21"/>
                      <w:szCs w:val="21"/>
                      <w:lang w:val="en-US" w:eastAsia="zh-CN" w:bidi="ar-SA"/>
                    </w:rPr>
                    <w:t>沙河片</w:t>
                  </w:r>
                  <w:r>
                    <w:rPr>
                      <w:rFonts w:hint="eastAsia" w:cs="Times New Roman"/>
                      <w:bCs/>
                      <w:color w:val="auto"/>
                      <w:spacing w:val="4"/>
                      <w:kern w:val="2"/>
                      <w:sz w:val="21"/>
                      <w:szCs w:val="21"/>
                      <w:lang w:val="en-US" w:eastAsia="zh-CN" w:bidi="ar-SA"/>
                    </w:rPr>
                    <w:t>居民</w:t>
                  </w:r>
                </w:p>
              </w:tc>
              <w:tc>
                <w:tcPr>
                  <w:tcW w:w="694" w:type="pct"/>
                  <w:shd w:val="clear" w:color="auto" w:fill="auto"/>
                  <w:noWrap w:val="0"/>
                  <w:vAlign w:val="center"/>
                </w:tcPr>
                <w:p w14:paraId="78B96506">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113.17175388</w:t>
                  </w:r>
                </w:p>
              </w:tc>
              <w:tc>
                <w:tcPr>
                  <w:tcW w:w="627" w:type="pct"/>
                  <w:shd w:val="clear" w:color="auto" w:fill="auto"/>
                  <w:noWrap w:val="0"/>
                  <w:vAlign w:val="center"/>
                </w:tcPr>
                <w:p w14:paraId="09FDC3D9">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29.13722473</w:t>
                  </w:r>
                </w:p>
              </w:tc>
              <w:tc>
                <w:tcPr>
                  <w:tcW w:w="490" w:type="pct"/>
                  <w:vMerge w:val="continue"/>
                  <w:noWrap w:val="0"/>
                  <w:vAlign w:val="center"/>
                </w:tcPr>
                <w:p w14:paraId="101F4A0F">
                  <w:pPr>
                    <w:contextualSpacing/>
                    <w:jc w:val="center"/>
                    <w:rPr>
                      <w:color w:val="auto"/>
                    </w:rPr>
                  </w:pPr>
                </w:p>
              </w:tc>
              <w:tc>
                <w:tcPr>
                  <w:tcW w:w="745" w:type="pct"/>
                  <w:noWrap w:val="0"/>
                  <w:vAlign w:val="center"/>
                </w:tcPr>
                <w:p w14:paraId="628639D6">
                  <w:pPr>
                    <w:contextualSpacing/>
                    <w:jc w:val="center"/>
                    <w:rPr>
                      <w:color w:val="auto"/>
                    </w:rPr>
                  </w:pPr>
                  <w:r>
                    <w:rPr>
                      <w:rFonts w:hint="eastAsia"/>
                      <w:color w:val="auto"/>
                      <w:lang w:val="en-US" w:eastAsia="zh-CN"/>
                    </w:rPr>
                    <w:t>15</w:t>
                  </w:r>
                  <w:r>
                    <w:rPr>
                      <w:rFonts w:hint="eastAsia"/>
                      <w:color w:val="auto"/>
                    </w:rPr>
                    <w:t>户，约</w:t>
                  </w:r>
                  <w:r>
                    <w:rPr>
                      <w:rFonts w:hint="eastAsia"/>
                      <w:color w:val="auto"/>
                      <w:lang w:val="en-US" w:eastAsia="zh-CN"/>
                    </w:rPr>
                    <w:t>53</w:t>
                  </w:r>
                  <w:r>
                    <w:rPr>
                      <w:rFonts w:hint="eastAsia"/>
                      <w:color w:val="auto"/>
                    </w:rPr>
                    <w:t>人</w:t>
                  </w:r>
                </w:p>
              </w:tc>
              <w:tc>
                <w:tcPr>
                  <w:tcW w:w="783" w:type="pct"/>
                  <w:vMerge w:val="continue"/>
                  <w:noWrap w:val="0"/>
                  <w:vAlign w:val="center"/>
                </w:tcPr>
                <w:p w14:paraId="582B01F0">
                  <w:pPr>
                    <w:contextualSpacing/>
                    <w:jc w:val="center"/>
                    <w:rPr>
                      <w:color w:val="auto"/>
                    </w:rPr>
                  </w:pPr>
                </w:p>
              </w:tc>
              <w:tc>
                <w:tcPr>
                  <w:tcW w:w="467" w:type="pct"/>
                  <w:noWrap w:val="0"/>
                  <w:vAlign w:val="center"/>
                </w:tcPr>
                <w:p w14:paraId="2A08F88F">
                  <w:pPr>
                    <w:contextualSpacing/>
                    <w:jc w:val="center"/>
                    <w:rPr>
                      <w:color w:val="auto"/>
                    </w:rPr>
                  </w:pPr>
                  <w:r>
                    <w:rPr>
                      <w:rFonts w:hint="eastAsia"/>
                      <w:color w:val="auto"/>
                      <w:lang w:val="en-US" w:eastAsia="zh-CN"/>
                    </w:rPr>
                    <w:t>东</w:t>
                  </w:r>
                  <w:r>
                    <w:rPr>
                      <w:rFonts w:hint="eastAsia"/>
                      <w:color w:val="auto"/>
                    </w:rPr>
                    <w:t>面</w:t>
                  </w:r>
                </w:p>
              </w:tc>
              <w:tc>
                <w:tcPr>
                  <w:tcW w:w="571" w:type="pct"/>
                  <w:noWrap w:val="0"/>
                  <w:vAlign w:val="center"/>
                </w:tcPr>
                <w:p w14:paraId="01A46F68">
                  <w:pPr>
                    <w:contextualSpacing/>
                    <w:jc w:val="center"/>
                    <w:rPr>
                      <w:rFonts w:hint="default" w:eastAsia="宋体"/>
                      <w:color w:val="auto"/>
                      <w:lang w:val="en-US" w:eastAsia="zh-CN"/>
                    </w:rPr>
                  </w:pPr>
                  <w:r>
                    <w:rPr>
                      <w:rFonts w:hint="eastAsia"/>
                      <w:color w:val="auto"/>
                      <w:lang w:val="en-US" w:eastAsia="zh-CN"/>
                    </w:rPr>
                    <w:t>205</w:t>
                  </w:r>
                  <w:r>
                    <w:rPr>
                      <w:color w:val="auto"/>
                    </w:rPr>
                    <w:t>-</w:t>
                  </w:r>
                  <w:r>
                    <w:rPr>
                      <w:rFonts w:hint="eastAsia"/>
                      <w:color w:val="auto"/>
                      <w:lang w:val="en-US" w:eastAsia="zh-CN"/>
                    </w:rPr>
                    <w:t>500</w:t>
                  </w:r>
                </w:p>
              </w:tc>
            </w:tr>
            <w:tr w14:paraId="026C23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8" w:type="pct"/>
                  <w:noWrap w:val="0"/>
                  <w:vAlign w:val="center"/>
                </w:tcPr>
                <w:p w14:paraId="2C15E1A7">
                  <w:pPr>
                    <w:contextualSpacing/>
                    <w:jc w:val="center"/>
                    <w:rPr>
                      <w:rFonts w:hint="default" w:eastAsia="宋体"/>
                      <w:color w:val="auto"/>
                      <w:lang w:val="en-US" w:eastAsia="zh-CN"/>
                    </w:rPr>
                  </w:pPr>
                  <w:r>
                    <w:rPr>
                      <w:rFonts w:hint="default" w:eastAsia="宋体"/>
                      <w:color w:val="auto"/>
                      <w:lang w:val="en-US" w:eastAsia="zh-CN"/>
                    </w:rPr>
                    <w:t>燎原村</w:t>
                  </w:r>
                  <w:r>
                    <w:rPr>
                      <w:rFonts w:hint="eastAsia"/>
                      <w:color w:val="auto"/>
                      <w:lang w:val="en-US" w:eastAsia="zh-CN"/>
                    </w:rPr>
                    <w:t>居民</w:t>
                  </w:r>
                </w:p>
              </w:tc>
              <w:tc>
                <w:tcPr>
                  <w:tcW w:w="694" w:type="pct"/>
                  <w:shd w:val="clear" w:color="auto" w:fill="auto"/>
                  <w:noWrap w:val="0"/>
                  <w:vAlign w:val="center"/>
                </w:tcPr>
                <w:p w14:paraId="3B23528F">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113.16962957</w:t>
                  </w:r>
                </w:p>
              </w:tc>
              <w:tc>
                <w:tcPr>
                  <w:tcW w:w="627" w:type="pct"/>
                  <w:shd w:val="clear" w:color="auto" w:fill="auto"/>
                  <w:noWrap w:val="0"/>
                  <w:vAlign w:val="center"/>
                </w:tcPr>
                <w:p w14:paraId="15FFB390">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29.13645629</w:t>
                  </w:r>
                </w:p>
              </w:tc>
              <w:tc>
                <w:tcPr>
                  <w:tcW w:w="490" w:type="pct"/>
                  <w:vMerge w:val="continue"/>
                  <w:noWrap w:val="0"/>
                  <w:vAlign w:val="center"/>
                </w:tcPr>
                <w:p w14:paraId="3967E6E8">
                  <w:pPr>
                    <w:contextualSpacing/>
                    <w:jc w:val="center"/>
                    <w:rPr>
                      <w:color w:val="auto"/>
                    </w:rPr>
                  </w:pPr>
                </w:p>
              </w:tc>
              <w:tc>
                <w:tcPr>
                  <w:tcW w:w="745" w:type="pct"/>
                  <w:noWrap w:val="0"/>
                  <w:vAlign w:val="center"/>
                </w:tcPr>
                <w:p w14:paraId="50312045">
                  <w:pPr>
                    <w:contextualSpacing/>
                    <w:jc w:val="center"/>
                    <w:rPr>
                      <w:rFonts w:hint="eastAsia"/>
                      <w:color w:val="auto"/>
                    </w:rPr>
                  </w:pPr>
                  <w:r>
                    <w:rPr>
                      <w:rFonts w:hint="eastAsia"/>
                      <w:color w:val="auto"/>
                      <w:lang w:val="en-US" w:eastAsia="zh-CN"/>
                    </w:rPr>
                    <w:t>76</w:t>
                  </w:r>
                  <w:r>
                    <w:rPr>
                      <w:rFonts w:hint="eastAsia"/>
                      <w:color w:val="auto"/>
                    </w:rPr>
                    <w:t>户，约</w:t>
                  </w:r>
                  <w:r>
                    <w:rPr>
                      <w:rFonts w:hint="eastAsia"/>
                      <w:color w:val="auto"/>
                      <w:lang w:val="en-US" w:eastAsia="zh-CN"/>
                    </w:rPr>
                    <w:t>265</w:t>
                  </w:r>
                  <w:r>
                    <w:rPr>
                      <w:rFonts w:hint="eastAsia"/>
                      <w:color w:val="auto"/>
                    </w:rPr>
                    <w:t>人</w:t>
                  </w:r>
                </w:p>
              </w:tc>
              <w:tc>
                <w:tcPr>
                  <w:tcW w:w="783" w:type="pct"/>
                  <w:vMerge w:val="continue"/>
                  <w:noWrap w:val="0"/>
                  <w:vAlign w:val="center"/>
                </w:tcPr>
                <w:p w14:paraId="50BBB37E">
                  <w:pPr>
                    <w:contextualSpacing/>
                    <w:jc w:val="center"/>
                    <w:rPr>
                      <w:color w:val="auto"/>
                    </w:rPr>
                  </w:pPr>
                </w:p>
              </w:tc>
              <w:tc>
                <w:tcPr>
                  <w:tcW w:w="467" w:type="pct"/>
                  <w:noWrap w:val="0"/>
                  <w:vAlign w:val="center"/>
                </w:tcPr>
                <w:p w14:paraId="7C04ABF2">
                  <w:pPr>
                    <w:contextualSpacing/>
                    <w:jc w:val="center"/>
                    <w:rPr>
                      <w:rFonts w:hint="default"/>
                      <w:color w:val="auto"/>
                      <w:lang w:val="en-US"/>
                    </w:rPr>
                  </w:pPr>
                  <w:r>
                    <w:rPr>
                      <w:rFonts w:hint="eastAsia"/>
                      <w:color w:val="auto"/>
                      <w:lang w:val="en-US" w:eastAsia="zh-CN"/>
                    </w:rPr>
                    <w:t>东南面</w:t>
                  </w:r>
                </w:p>
              </w:tc>
              <w:tc>
                <w:tcPr>
                  <w:tcW w:w="571" w:type="pct"/>
                  <w:noWrap w:val="0"/>
                  <w:vAlign w:val="center"/>
                </w:tcPr>
                <w:p w14:paraId="7415C0DD">
                  <w:pPr>
                    <w:contextualSpacing/>
                    <w:jc w:val="center"/>
                    <w:rPr>
                      <w:rFonts w:hint="default" w:eastAsia="宋体"/>
                      <w:color w:val="auto"/>
                      <w:lang w:val="en-US" w:eastAsia="zh-CN"/>
                    </w:rPr>
                  </w:pPr>
                  <w:r>
                    <w:rPr>
                      <w:rFonts w:hint="eastAsia"/>
                      <w:color w:val="auto"/>
                      <w:lang w:val="en-US" w:eastAsia="zh-CN"/>
                    </w:rPr>
                    <w:t>200-500</w:t>
                  </w:r>
                </w:p>
              </w:tc>
            </w:tr>
            <w:tr w14:paraId="3B3DF7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8" w:type="pct"/>
                  <w:noWrap w:val="0"/>
                  <w:vAlign w:val="center"/>
                </w:tcPr>
                <w:p w14:paraId="7EC91346">
                  <w:pPr>
                    <w:contextualSpacing/>
                    <w:jc w:val="center"/>
                    <w:rPr>
                      <w:rFonts w:hint="default"/>
                      <w:color w:val="auto"/>
                      <w:lang w:val="en-US" w:eastAsia="zh-CN"/>
                    </w:rPr>
                  </w:pPr>
                  <w:r>
                    <w:rPr>
                      <w:rFonts w:hint="eastAsia"/>
                      <w:color w:val="auto"/>
                      <w:lang w:val="en-US" w:eastAsia="zh-CN"/>
                    </w:rPr>
                    <w:t>大唐家居民</w:t>
                  </w:r>
                </w:p>
              </w:tc>
              <w:tc>
                <w:tcPr>
                  <w:tcW w:w="694" w:type="pct"/>
                  <w:shd w:val="clear" w:color="auto" w:fill="auto"/>
                  <w:noWrap w:val="0"/>
                  <w:vAlign w:val="center"/>
                </w:tcPr>
                <w:p w14:paraId="61E22D19">
                  <w:pPr>
                    <w:pStyle w:val="63"/>
                    <w:tabs>
                      <w:tab w:val="left" w:pos="1021"/>
                    </w:tabs>
                    <w:autoSpaceDE w:val="0"/>
                    <w:autoSpaceDN w:val="0"/>
                    <w:bidi w:val="0"/>
                    <w:ind w:firstLine="0" w:firstLineChars="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113.16645384</w:t>
                  </w:r>
                </w:p>
              </w:tc>
              <w:tc>
                <w:tcPr>
                  <w:tcW w:w="627" w:type="pct"/>
                  <w:shd w:val="clear" w:color="auto" w:fill="auto"/>
                  <w:noWrap w:val="0"/>
                  <w:vAlign w:val="center"/>
                </w:tcPr>
                <w:p w14:paraId="49108D51">
                  <w:pPr>
                    <w:pStyle w:val="63"/>
                    <w:tabs>
                      <w:tab w:val="left" w:pos="1021"/>
                    </w:tabs>
                    <w:autoSpaceDE w:val="0"/>
                    <w:autoSpaceDN w:val="0"/>
                    <w:bidi w:val="0"/>
                    <w:ind w:firstLine="0" w:firstLineChars="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29.13660623</w:t>
                  </w:r>
                </w:p>
              </w:tc>
              <w:tc>
                <w:tcPr>
                  <w:tcW w:w="490" w:type="pct"/>
                  <w:vMerge w:val="continue"/>
                  <w:noWrap w:val="0"/>
                  <w:vAlign w:val="center"/>
                </w:tcPr>
                <w:p w14:paraId="0CEA9AFF">
                  <w:pPr>
                    <w:contextualSpacing/>
                    <w:jc w:val="center"/>
                    <w:rPr>
                      <w:color w:val="auto"/>
                    </w:rPr>
                  </w:pPr>
                </w:p>
              </w:tc>
              <w:tc>
                <w:tcPr>
                  <w:tcW w:w="745" w:type="pct"/>
                  <w:noWrap w:val="0"/>
                  <w:vAlign w:val="center"/>
                </w:tcPr>
                <w:p w14:paraId="42FC926F">
                  <w:pPr>
                    <w:contextualSpacing/>
                    <w:jc w:val="center"/>
                    <w:rPr>
                      <w:rFonts w:hint="default"/>
                      <w:color w:val="auto"/>
                      <w:lang w:val="en-US" w:eastAsia="zh-CN"/>
                    </w:rPr>
                  </w:pPr>
                  <w:r>
                    <w:rPr>
                      <w:rFonts w:hint="eastAsia"/>
                      <w:color w:val="auto"/>
                      <w:lang w:val="en-US" w:eastAsia="zh-CN"/>
                    </w:rPr>
                    <w:t>10户，35人</w:t>
                  </w:r>
                </w:p>
              </w:tc>
              <w:tc>
                <w:tcPr>
                  <w:tcW w:w="783" w:type="pct"/>
                  <w:vMerge w:val="continue"/>
                  <w:noWrap w:val="0"/>
                  <w:vAlign w:val="center"/>
                </w:tcPr>
                <w:p w14:paraId="4A19AA8D">
                  <w:pPr>
                    <w:contextualSpacing/>
                    <w:jc w:val="center"/>
                    <w:rPr>
                      <w:color w:val="auto"/>
                    </w:rPr>
                  </w:pPr>
                </w:p>
              </w:tc>
              <w:tc>
                <w:tcPr>
                  <w:tcW w:w="467" w:type="pct"/>
                  <w:noWrap w:val="0"/>
                  <w:vAlign w:val="center"/>
                </w:tcPr>
                <w:p w14:paraId="3FFFFB1A">
                  <w:pPr>
                    <w:contextualSpacing/>
                    <w:jc w:val="center"/>
                    <w:rPr>
                      <w:rFonts w:hint="default"/>
                      <w:color w:val="auto"/>
                      <w:lang w:val="en-US" w:eastAsia="zh-CN"/>
                    </w:rPr>
                  </w:pPr>
                  <w:r>
                    <w:rPr>
                      <w:rFonts w:hint="eastAsia"/>
                      <w:color w:val="auto"/>
                      <w:lang w:val="en-US" w:eastAsia="zh-CN"/>
                    </w:rPr>
                    <w:t>西南面</w:t>
                  </w:r>
                </w:p>
              </w:tc>
              <w:tc>
                <w:tcPr>
                  <w:tcW w:w="571" w:type="pct"/>
                  <w:noWrap w:val="0"/>
                  <w:vAlign w:val="center"/>
                </w:tcPr>
                <w:p w14:paraId="69D45698">
                  <w:pPr>
                    <w:contextualSpacing/>
                    <w:jc w:val="center"/>
                    <w:rPr>
                      <w:rFonts w:hint="eastAsia"/>
                      <w:color w:val="auto"/>
                      <w:lang w:val="en-US" w:eastAsia="zh-CN"/>
                    </w:rPr>
                  </w:pPr>
                  <w:r>
                    <w:rPr>
                      <w:rFonts w:hint="eastAsia"/>
                      <w:color w:val="auto"/>
                      <w:lang w:val="en-US" w:eastAsia="zh-CN"/>
                    </w:rPr>
                    <w:t>360-500</w:t>
                  </w:r>
                </w:p>
              </w:tc>
            </w:tr>
            <w:tr w14:paraId="00BA36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8" w:type="pct"/>
                  <w:noWrap w:val="0"/>
                  <w:vAlign w:val="center"/>
                </w:tcPr>
                <w:p w14:paraId="5E1D7AB6">
                  <w:pPr>
                    <w:contextualSpacing/>
                    <w:jc w:val="center"/>
                    <w:rPr>
                      <w:rFonts w:hint="eastAsia"/>
                      <w:color w:val="auto"/>
                      <w:u w:val="single" w:color="auto"/>
                      <w:lang w:val="en-US" w:eastAsia="zh-CN"/>
                    </w:rPr>
                  </w:pPr>
                  <w:r>
                    <w:rPr>
                      <w:rFonts w:hint="default" w:eastAsia="宋体"/>
                      <w:color w:val="auto"/>
                      <w:u w:val="single" w:color="auto"/>
                      <w:lang w:val="en-US" w:eastAsia="zh-CN"/>
                    </w:rPr>
                    <w:t>燎原村</w:t>
                  </w:r>
                  <w:r>
                    <w:rPr>
                      <w:rFonts w:hint="eastAsia"/>
                      <w:color w:val="auto"/>
                      <w:u w:val="single" w:color="auto"/>
                      <w:lang w:val="en-US" w:eastAsia="zh-CN"/>
                    </w:rPr>
                    <w:t>居民</w:t>
                  </w:r>
                </w:p>
              </w:tc>
              <w:tc>
                <w:tcPr>
                  <w:tcW w:w="694" w:type="pct"/>
                  <w:shd w:val="clear" w:color="auto" w:fill="auto"/>
                  <w:noWrap w:val="0"/>
                  <w:vAlign w:val="center"/>
                </w:tcPr>
                <w:p w14:paraId="45D25CB4">
                  <w:pPr>
                    <w:pStyle w:val="63"/>
                    <w:tabs>
                      <w:tab w:val="left" w:pos="1021"/>
                    </w:tabs>
                    <w:autoSpaceDE w:val="0"/>
                    <w:autoSpaceDN w:val="0"/>
                    <w:bidi w:val="0"/>
                    <w:ind w:firstLine="0" w:firstLineChars="0"/>
                    <w:jc w:val="center"/>
                    <w:rPr>
                      <w:rFonts w:hint="default" w:ascii="Times New Roman" w:hAnsi="Times New Roman" w:cs="Times New Roman"/>
                      <w:color w:val="auto"/>
                      <w:highlight w:val="none"/>
                      <w:u w:val="single" w:color="auto"/>
                      <w:lang w:val="en-US" w:eastAsia="zh-CN"/>
                    </w:rPr>
                  </w:pPr>
                  <w:r>
                    <w:rPr>
                      <w:rFonts w:hint="default" w:ascii="Times New Roman" w:hAnsi="Times New Roman" w:cs="Times New Roman"/>
                      <w:color w:val="auto"/>
                      <w:highlight w:val="none"/>
                      <w:u w:val="single" w:color="auto"/>
                      <w:lang w:val="en-US" w:eastAsia="zh-CN"/>
                    </w:rPr>
                    <w:t>113.170192</w:t>
                  </w:r>
                </w:p>
              </w:tc>
              <w:tc>
                <w:tcPr>
                  <w:tcW w:w="627" w:type="pct"/>
                  <w:shd w:val="clear" w:color="auto" w:fill="auto"/>
                  <w:noWrap w:val="0"/>
                  <w:vAlign w:val="center"/>
                </w:tcPr>
                <w:p w14:paraId="789CB943">
                  <w:pPr>
                    <w:pStyle w:val="63"/>
                    <w:tabs>
                      <w:tab w:val="left" w:pos="1021"/>
                    </w:tabs>
                    <w:autoSpaceDE w:val="0"/>
                    <w:autoSpaceDN w:val="0"/>
                    <w:bidi w:val="0"/>
                    <w:ind w:firstLine="0" w:firstLineChars="0"/>
                    <w:jc w:val="center"/>
                    <w:rPr>
                      <w:rFonts w:hint="default" w:ascii="Times New Roman" w:hAnsi="Times New Roman" w:cs="Times New Roman"/>
                      <w:color w:val="auto"/>
                      <w:highlight w:val="none"/>
                      <w:u w:val="single" w:color="auto"/>
                      <w:lang w:val="en-US" w:eastAsia="zh-CN"/>
                    </w:rPr>
                  </w:pPr>
                  <w:r>
                    <w:rPr>
                      <w:rFonts w:hint="default" w:ascii="Times New Roman" w:hAnsi="Times New Roman" w:cs="Times New Roman"/>
                      <w:color w:val="auto"/>
                      <w:highlight w:val="none"/>
                      <w:u w:val="single" w:color="auto"/>
                      <w:lang w:val="en-US" w:eastAsia="zh-CN"/>
                    </w:rPr>
                    <w:t>29.137637</w:t>
                  </w:r>
                </w:p>
              </w:tc>
              <w:tc>
                <w:tcPr>
                  <w:tcW w:w="490" w:type="pct"/>
                  <w:vMerge w:val="continue"/>
                  <w:noWrap w:val="0"/>
                  <w:vAlign w:val="center"/>
                </w:tcPr>
                <w:p w14:paraId="0123351E">
                  <w:pPr>
                    <w:contextualSpacing/>
                    <w:jc w:val="center"/>
                    <w:rPr>
                      <w:color w:val="auto"/>
                      <w:u w:val="single" w:color="auto"/>
                    </w:rPr>
                  </w:pPr>
                </w:p>
              </w:tc>
              <w:tc>
                <w:tcPr>
                  <w:tcW w:w="745" w:type="pct"/>
                  <w:noWrap w:val="0"/>
                  <w:vAlign w:val="center"/>
                </w:tcPr>
                <w:p w14:paraId="661D5D2B">
                  <w:pPr>
                    <w:contextualSpacing/>
                    <w:jc w:val="center"/>
                    <w:rPr>
                      <w:rFonts w:hint="default"/>
                      <w:color w:val="auto"/>
                      <w:u w:val="single" w:color="auto"/>
                      <w:lang w:val="en-US" w:eastAsia="zh-CN"/>
                    </w:rPr>
                  </w:pPr>
                  <w:r>
                    <w:rPr>
                      <w:rFonts w:hint="eastAsia"/>
                      <w:color w:val="auto"/>
                      <w:u w:val="single" w:color="auto"/>
                      <w:lang w:val="en-US" w:eastAsia="zh-CN"/>
                    </w:rPr>
                    <w:t>3户，12人</w:t>
                  </w:r>
                </w:p>
              </w:tc>
              <w:tc>
                <w:tcPr>
                  <w:tcW w:w="783" w:type="pct"/>
                  <w:vMerge w:val="continue"/>
                  <w:noWrap w:val="0"/>
                  <w:vAlign w:val="center"/>
                </w:tcPr>
                <w:p w14:paraId="3F690725">
                  <w:pPr>
                    <w:contextualSpacing/>
                    <w:jc w:val="center"/>
                    <w:rPr>
                      <w:color w:val="auto"/>
                      <w:u w:val="single" w:color="auto"/>
                    </w:rPr>
                  </w:pPr>
                </w:p>
              </w:tc>
              <w:tc>
                <w:tcPr>
                  <w:tcW w:w="467" w:type="pct"/>
                  <w:noWrap w:val="0"/>
                  <w:vAlign w:val="center"/>
                </w:tcPr>
                <w:p w14:paraId="63B4352B">
                  <w:pPr>
                    <w:contextualSpacing/>
                    <w:jc w:val="center"/>
                    <w:rPr>
                      <w:rFonts w:hint="eastAsia"/>
                      <w:color w:val="auto"/>
                      <w:u w:val="single" w:color="auto"/>
                      <w:lang w:val="en-US" w:eastAsia="zh-CN"/>
                    </w:rPr>
                  </w:pPr>
                  <w:r>
                    <w:rPr>
                      <w:rFonts w:hint="eastAsia"/>
                      <w:color w:val="auto"/>
                      <w:u w:val="single" w:color="auto"/>
                      <w:lang w:val="en-US" w:eastAsia="zh-CN"/>
                    </w:rPr>
                    <w:t>东南面</w:t>
                  </w:r>
                </w:p>
              </w:tc>
              <w:tc>
                <w:tcPr>
                  <w:tcW w:w="571" w:type="pct"/>
                  <w:noWrap w:val="0"/>
                  <w:vAlign w:val="center"/>
                </w:tcPr>
                <w:p w14:paraId="4F6C52B4">
                  <w:pPr>
                    <w:contextualSpacing/>
                    <w:jc w:val="center"/>
                    <w:rPr>
                      <w:rFonts w:hint="default"/>
                      <w:color w:val="auto"/>
                      <w:u w:val="single" w:color="auto"/>
                      <w:lang w:val="en-US" w:eastAsia="zh-CN"/>
                    </w:rPr>
                  </w:pPr>
                  <w:r>
                    <w:rPr>
                      <w:rFonts w:hint="eastAsia"/>
                      <w:color w:val="auto"/>
                      <w:u w:val="single" w:color="auto"/>
                      <w:lang w:val="en-US" w:eastAsia="zh-CN"/>
                    </w:rPr>
                    <w:t>80-180</w:t>
                  </w:r>
                </w:p>
              </w:tc>
            </w:tr>
          </w:tbl>
          <w:p w14:paraId="677ACF5F">
            <w:pPr>
              <w:numPr>
                <w:ilvl w:val="0"/>
                <w:numId w:val="0"/>
              </w:numPr>
              <w:spacing w:line="360" w:lineRule="auto"/>
              <w:ind w:leftChars="200"/>
              <w:jc w:val="both"/>
              <w:rPr>
                <w:rFonts w:hint="eastAsia" w:cs="Times New Roman"/>
                <w:b/>
                <w:bCs/>
                <w:color w:val="auto"/>
                <w:sz w:val="24"/>
                <w:highlight w:val="none"/>
                <w:u w:val="none"/>
                <w:lang w:val="en-US" w:eastAsia="zh-CN"/>
              </w:rPr>
            </w:pPr>
            <w:r>
              <w:rPr>
                <w:rFonts w:hint="eastAsia" w:cs="Times New Roman"/>
                <w:b/>
                <w:bCs/>
                <w:color w:val="auto"/>
                <w:sz w:val="24"/>
                <w:highlight w:val="none"/>
                <w:u w:val="none"/>
                <w:lang w:val="en-US" w:eastAsia="zh-CN"/>
              </w:rPr>
              <w:t>2、声环境保护目标</w:t>
            </w:r>
          </w:p>
          <w:p w14:paraId="401114EC">
            <w:pPr>
              <w:numPr>
                <w:ilvl w:val="0"/>
                <w:numId w:val="0"/>
              </w:numPr>
              <w:spacing w:line="360" w:lineRule="auto"/>
              <w:ind w:leftChars="200"/>
              <w:jc w:val="both"/>
              <w:rPr>
                <w:rFonts w:hint="eastAsia" w:cs="Times New Roman"/>
                <w:color w:val="auto"/>
                <w:sz w:val="24"/>
                <w:highlight w:val="none"/>
                <w:u w:val="none"/>
                <w:lang w:val="en-US" w:eastAsia="zh-CN"/>
              </w:rPr>
            </w:pPr>
            <w:r>
              <w:rPr>
                <w:rFonts w:hint="default" w:ascii="Times New Roman" w:hAnsi="Times New Roman" w:eastAsia="宋体" w:cs="Times New Roman"/>
                <w:color w:val="auto"/>
                <w:kern w:val="2"/>
                <w:sz w:val="24"/>
                <w:szCs w:val="24"/>
                <w:highlight w:val="none"/>
                <w:u w:val="none"/>
                <w:lang w:val="en-US" w:eastAsia="zh-CN" w:bidi="ar-SA"/>
              </w:rPr>
              <w:t>厂界外50m范围内无居民点</w:t>
            </w:r>
            <w:r>
              <w:rPr>
                <w:rFonts w:hint="eastAsia" w:cs="Times New Roman"/>
                <w:color w:val="auto"/>
                <w:kern w:val="2"/>
                <w:sz w:val="24"/>
                <w:szCs w:val="24"/>
                <w:highlight w:val="none"/>
                <w:u w:val="none"/>
                <w:lang w:val="en-US" w:eastAsia="zh-CN" w:bidi="ar-SA"/>
              </w:rPr>
              <w:t>。</w:t>
            </w:r>
          </w:p>
          <w:p w14:paraId="7785DAF7">
            <w:pPr>
              <w:numPr>
                <w:ilvl w:val="0"/>
                <w:numId w:val="0"/>
              </w:numPr>
              <w:spacing w:line="360" w:lineRule="auto"/>
              <w:ind w:leftChars="200"/>
              <w:jc w:val="both"/>
              <w:rPr>
                <w:rFonts w:hint="eastAsia" w:cs="Times New Roman"/>
                <w:b/>
                <w:bCs/>
                <w:color w:val="auto"/>
                <w:sz w:val="24"/>
                <w:highlight w:val="none"/>
                <w:u w:val="none"/>
                <w:lang w:val="en-US" w:eastAsia="zh-CN"/>
              </w:rPr>
            </w:pPr>
            <w:r>
              <w:rPr>
                <w:rFonts w:hint="eastAsia" w:cs="Times New Roman"/>
                <w:b/>
                <w:bCs/>
                <w:color w:val="auto"/>
                <w:sz w:val="24"/>
                <w:highlight w:val="none"/>
                <w:u w:val="none"/>
                <w:lang w:val="en-US" w:eastAsia="zh-CN"/>
              </w:rPr>
              <w:t>3、主要水、生态环境保护目标</w:t>
            </w:r>
          </w:p>
          <w:p w14:paraId="67827D85">
            <w:pPr>
              <w:tabs>
                <w:tab w:val="left" w:pos="2430"/>
                <w:tab w:val="center" w:pos="6511"/>
              </w:tabs>
              <w:jc w:val="center"/>
              <w:rPr>
                <w:rFonts w:hint="eastAsia" w:ascii="宋体" w:hAnsi="宋体" w:cs="宋体"/>
                <w:b/>
                <w:color w:val="auto"/>
                <w:szCs w:val="21"/>
                <w:highlight w:val="none"/>
                <w:u w:val="none"/>
              </w:rPr>
            </w:pPr>
            <w:r>
              <w:rPr>
                <w:rFonts w:hint="default" w:ascii="Times New Roman" w:hAnsi="Times New Roman" w:cs="Times New Roman"/>
                <w:b/>
                <w:bCs/>
                <w:color w:val="auto"/>
                <w:sz w:val="21"/>
                <w:szCs w:val="21"/>
                <w:highlight w:val="none"/>
                <w:u w:val="none"/>
              </w:rPr>
              <w:t>表3-</w:t>
            </w:r>
            <w:r>
              <w:rPr>
                <w:rFonts w:hint="eastAsia" w:cs="Times New Roman"/>
                <w:b/>
                <w:bCs/>
                <w:color w:val="auto"/>
                <w:sz w:val="21"/>
                <w:szCs w:val="21"/>
                <w:highlight w:val="none"/>
                <w:u w:val="none"/>
                <w:lang w:val="en-US" w:eastAsia="zh-CN"/>
              </w:rPr>
              <w:t>5   主要水、生态环境保护目标</w:t>
            </w:r>
          </w:p>
          <w:tbl>
            <w:tblPr>
              <w:tblStyle w:val="33"/>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7"/>
              <w:gridCol w:w="1114"/>
              <w:gridCol w:w="935"/>
              <w:gridCol w:w="911"/>
              <w:gridCol w:w="1076"/>
              <w:gridCol w:w="860"/>
              <w:gridCol w:w="2155"/>
            </w:tblGrid>
            <w:tr w14:paraId="41D113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558" w:type="pct"/>
                  <w:tcBorders>
                    <w:tl2br w:val="nil"/>
                    <w:tr2bl w:val="nil"/>
                  </w:tcBorders>
                  <w:noWrap w:val="0"/>
                  <w:vAlign w:val="center"/>
                </w:tcPr>
                <w:p w14:paraId="2F6C96DA">
                  <w:pPr>
                    <w:jc w:val="center"/>
                    <w:rPr>
                      <w:rFonts w:hint="default" w:ascii="Times New Roman" w:hAnsi="Times New Roman" w:cs="Times New Roman"/>
                      <w:b/>
                      <w:bCs/>
                      <w:color w:val="auto"/>
                      <w:highlight w:val="none"/>
                      <w:u w:val="none"/>
                    </w:rPr>
                  </w:pPr>
                  <w:r>
                    <w:rPr>
                      <w:rFonts w:hint="default" w:ascii="Times New Roman" w:hAnsi="Times New Roman" w:cs="Times New Roman"/>
                      <w:b/>
                      <w:bCs/>
                      <w:color w:val="auto"/>
                      <w:highlight w:val="none"/>
                      <w:u w:val="none"/>
                    </w:rPr>
                    <w:t>环境</w:t>
                  </w:r>
                </w:p>
                <w:p w14:paraId="10C02ABF">
                  <w:pPr>
                    <w:jc w:val="center"/>
                    <w:rPr>
                      <w:rFonts w:hint="default" w:ascii="Times New Roman" w:hAnsi="Times New Roman" w:cs="Times New Roman"/>
                      <w:b/>
                      <w:bCs/>
                      <w:color w:val="auto"/>
                      <w:highlight w:val="none"/>
                      <w:u w:val="none"/>
                    </w:rPr>
                  </w:pPr>
                  <w:r>
                    <w:rPr>
                      <w:rFonts w:hint="default" w:ascii="Times New Roman" w:hAnsi="Times New Roman" w:cs="Times New Roman"/>
                      <w:b/>
                      <w:bCs/>
                      <w:color w:val="auto"/>
                      <w:highlight w:val="none"/>
                      <w:u w:val="none"/>
                    </w:rPr>
                    <w:t>要素</w:t>
                  </w:r>
                </w:p>
              </w:tc>
              <w:tc>
                <w:tcPr>
                  <w:tcW w:w="701" w:type="pct"/>
                  <w:tcBorders>
                    <w:tl2br w:val="nil"/>
                    <w:tr2bl w:val="nil"/>
                  </w:tcBorders>
                  <w:noWrap w:val="0"/>
                  <w:vAlign w:val="center"/>
                </w:tcPr>
                <w:p w14:paraId="1AF03FA3">
                  <w:pPr>
                    <w:jc w:val="center"/>
                    <w:rPr>
                      <w:rFonts w:hint="default" w:ascii="Times New Roman" w:hAnsi="Times New Roman" w:cs="Times New Roman"/>
                      <w:b/>
                      <w:bCs/>
                      <w:color w:val="auto"/>
                      <w:highlight w:val="none"/>
                      <w:u w:val="none"/>
                    </w:rPr>
                  </w:pPr>
                  <w:r>
                    <w:rPr>
                      <w:rFonts w:hint="default" w:ascii="Times New Roman" w:hAnsi="Times New Roman" w:cs="Times New Roman"/>
                      <w:b/>
                      <w:bCs/>
                      <w:color w:val="auto"/>
                      <w:highlight w:val="none"/>
                      <w:u w:val="none"/>
                    </w:rPr>
                    <w:t>保护目标名称</w:t>
                  </w:r>
                </w:p>
              </w:tc>
              <w:tc>
                <w:tcPr>
                  <w:tcW w:w="588" w:type="pct"/>
                  <w:tcBorders>
                    <w:tl2br w:val="nil"/>
                    <w:tr2bl w:val="nil"/>
                  </w:tcBorders>
                  <w:noWrap w:val="0"/>
                  <w:vAlign w:val="center"/>
                </w:tcPr>
                <w:p w14:paraId="35229F45">
                  <w:pPr>
                    <w:jc w:val="center"/>
                    <w:rPr>
                      <w:rFonts w:hint="default" w:ascii="Times New Roman" w:hAnsi="Times New Roman" w:cs="Times New Roman"/>
                      <w:b/>
                      <w:bCs/>
                      <w:color w:val="auto"/>
                      <w:highlight w:val="none"/>
                      <w:u w:val="none"/>
                    </w:rPr>
                  </w:pPr>
                  <w:r>
                    <w:rPr>
                      <w:rFonts w:hint="default" w:ascii="Times New Roman" w:hAnsi="Times New Roman" w:cs="Times New Roman"/>
                      <w:b/>
                      <w:bCs/>
                      <w:color w:val="auto"/>
                      <w:highlight w:val="none"/>
                      <w:u w:val="none"/>
                    </w:rPr>
                    <w:t>相对</w:t>
                  </w:r>
                </w:p>
                <w:p w14:paraId="583EAFB8">
                  <w:pPr>
                    <w:jc w:val="center"/>
                    <w:rPr>
                      <w:rFonts w:hint="default" w:ascii="Times New Roman" w:hAnsi="Times New Roman" w:cs="Times New Roman"/>
                      <w:b/>
                      <w:bCs/>
                      <w:color w:val="auto"/>
                      <w:highlight w:val="none"/>
                      <w:u w:val="none"/>
                    </w:rPr>
                  </w:pPr>
                  <w:r>
                    <w:rPr>
                      <w:rFonts w:hint="default" w:ascii="Times New Roman" w:hAnsi="Times New Roman" w:cs="Times New Roman"/>
                      <w:b/>
                      <w:bCs/>
                      <w:color w:val="auto"/>
                      <w:highlight w:val="none"/>
                      <w:u w:val="none"/>
                    </w:rPr>
                    <w:t>方位</w:t>
                  </w:r>
                </w:p>
              </w:tc>
              <w:tc>
                <w:tcPr>
                  <w:tcW w:w="573" w:type="pct"/>
                  <w:tcBorders>
                    <w:tl2br w:val="nil"/>
                    <w:tr2bl w:val="nil"/>
                  </w:tcBorders>
                  <w:noWrap w:val="0"/>
                  <w:vAlign w:val="center"/>
                </w:tcPr>
                <w:p w14:paraId="08F1DC85">
                  <w:pPr>
                    <w:jc w:val="center"/>
                    <w:rPr>
                      <w:rFonts w:hint="default" w:ascii="Times New Roman" w:hAnsi="Times New Roman" w:cs="Times New Roman"/>
                      <w:b/>
                      <w:bCs/>
                      <w:color w:val="auto"/>
                      <w:highlight w:val="none"/>
                      <w:u w:val="none"/>
                    </w:rPr>
                  </w:pPr>
                  <w:r>
                    <w:rPr>
                      <w:rFonts w:hint="default" w:ascii="Times New Roman" w:hAnsi="Times New Roman" w:cs="Times New Roman"/>
                      <w:b/>
                      <w:bCs/>
                      <w:color w:val="auto"/>
                      <w:highlight w:val="none"/>
                      <w:u w:val="none"/>
                    </w:rPr>
                    <w:t>相对距离</w:t>
                  </w:r>
                </w:p>
              </w:tc>
              <w:tc>
                <w:tcPr>
                  <w:tcW w:w="677" w:type="pct"/>
                  <w:tcBorders>
                    <w:tl2br w:val="nil"/>
                    <w:tr2bl w:val="nil"/>
                  </w:tcBorders>
                  <w:noWrap w:val="0"/>
                  <w:vAlign w:val="center"/>
                </w:tcPr>
                <w:p w14:paraId="72E6C830">
                  <w:pPr>
                    <w:jc w:val="center"/>
                    <w:rPr>
                      <w:rFonts w:hint="default" w:ascii="Times New Roman" w:hAnsi="Times New Roman" w:cs="Times New Roman"/>
                      <w:b/>
                      <w:bCs/>
                      <w:color w:val="auto"/>
                      <w:highlight w:val="none"/>
                      <w:u w:val="none"/>
                    </w:rPr>
                  </w:pPr>
                  <w:r>
                    <w:rPr>
                      <w:rFonts w:hint="default" w:ascii="Times New Roman" w:hAnsi="Times New Roman" w:cs="Times New Roman"/>
                      <w:b/>
                      <w:bCs/>
                      <w:color w:val="auto"/>
                      <w:highlight w:val="none"/>
                      <w:u w:val="none"/>
                    </w:rPr>
                    <w:t>规模</w:t>
                  </w:r>
                </w:p>
              </w:tc>
              <w:tc>
                <w:tcPr>
                  <w:tcW w:w="541" w:type="pct"/>
                  <w:tcBorders>
                    <w:tl2br w:val="nil"/>
                    <w:tr2bl w:val="nil"/>
                  </w:tcBorders>
                  <w:noWrap w:val="0"/>
                  <w:vAlign w:val="center"/>
                </w:tcPr>
                <w:p w14:paraId="2EFC620E">
                  <w:pPr>
                    <w:jc w:val="center"/>
                    <w:rPr>
                      <w:rFonts w:hint="default" w:ascii="Times New Roman" w:hAnsi="Times New Roman" w:cs="Times New Roman"/>
                      <w:b/>
                      <w:bCs/>
                      <w:color w:val="auto"/>
                      <w:highlight w:val="none"/>
                      <w:u w:val="none"/>
                    </w:rPr>
                  </w:pPr>
                  <w:r>
                    <w:rPr>
                      <w:rFonts w:hint="eastAsia"/>
                      <w:b/>
                      <w:bCs/>
                      <w:color w:val="auto"/>
                      <w:u w:val="none"/>
                      <w:lang w:val="en-US" w:eastAsia="zh-CN"/>
                    </w:rPr>
                    <w:t>水域</w:t>
                  </w:r>
                  <w:r>
                    <w:rPr>
                      <w:rFonts w:hint="default" w:ascii="Times New Roman" w:hAnsi="Times New Roman" w:cs="Times New Roman"/>
                      <w:b/>
                      <w:bCs/>
                      <w:color w:val="auto"/>
                      <w:highlight w:val="none"/>
                      <w:u w:val="none"/>
                    </w:rPr>
                    <w:t>功能</w:t>
                  </w:r>
                </w:p>
              </w:tc>
              <w:tc>
                <w:tcPr>
                  <w:tcW w:w="1357" w:type="pct"/>
                  <w:tcBorders>
                    <w:tl2br w:val="nil"/>
                    <w:tr2bl w:val="nil"/>
                  </w:tcBorders>
                  <w:noWrap w:val="0"/>
                  <w:vAlign w:val="center"/>
                </w:tcPr>
                <w:p w14:paraId="44178602">
                  <w:pPr>
                    <w:jc w:val="center"/>
                    <w:rPr>
                      <w:rFonts w:hint="default" w:ascii="Times New Roman" w:hAnsi="Times New Roman" w:cs="Times New Roman"/>
                      <w:b/>
                      <w:bCs/>
                      <w:color w:val="auto"/>
                      <w:highlight w:val="none"/>
                      <w:u w:val="none"/>
                    </w:rPr>
                  </w:pPr>
                  <w:r>
                    <w:rPr>
                      <w:rFonts w:hint="default" w:ascii="Times New Roman" w:hAnsi="Times New Roman" w:cs="Times New Roman"/>
                      <w:b/>
                      <w:bCs/>
                      <w:color w:val="auto"/>
                      <w:highlight w:val="none"/>
                      <w:u w:val="none"/>
                    </w:rPr>
                    <w:t>保护级别</w:t>
                  </w:r>
                </w:p>
              </w:tc>
            </w:tr>
            <w:tr w14:paraId="7DD427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558" w:type="pct"/>
                  <w:vMerge w:val="restart"/>
                  <w:tcBorders>
                    <w:tl2br w:val="nil"/>
                    <w:tr2bl w:val="nil"/>
                  </w:tcBorders>
                  <w:noWrap w:val="0"/>
                  <w:vAlign w:val="center"/>
                </w:tcPr>
                <w:p w14:paraId="03C650C7">
                  <w:pPr>
                    <w:jc w:val="center"/>
                    <w:rPr>
                      <w:rFonts w:hint="default" w:ascii="Times New Roman" w:hAnsi="Times New Roman" w:eastAsia="宋体" w:cs="Times New Roman"/>
                      <w:color w:val="auto"/>
                      <w:kern w:val="2"/>
                      <w:sz w:val="21"/>
                      <w:szCs w:val="24"/>
                      <w:highlight w:val="none"/>
                      <w:u w:val="none"/>
                      <w:lang w:val="en-US" w:eastAsia="zh-CN" w:bidi="ar-SA"/>
                    </w:rPr>
                  </w:pPr>
                  <w:r>
                    <w:rPr>
                      <w:rFonts w:hint="default" w:ascii="Times New Roman" w:hAnsi="Times New Roman" w:cs="Times New Roman"/>
                      <w:color w:val="auto"/>
                      <w:highlight w:val="none"/>
                      <w:u w:val="none"/>
                    </w:rPr>
                    <w:t>地表水环境</w:t>
                  </w:r>
                </w:p>
              </w:tc>
              <w:tc>
                <w:tcPr>
                  <w:tcW w:w="701" w:type="pct"/>
                  <w:tcBorders>
                    <w:tl2br w:val="nil"/>
                    <w:tr2bl w:val="nil"/>
                  </w:tcBorders>
                  <w:shd w:val="clear" w:color="auto" w:fill="auto"/>
                  <w:noWrap w:val="0"/>
                  <w:vAlign w:val="center"/>
                </w:tcPr>
                <w:p w14:paraId="7B9714DB">
                  <w:pPr>
                    <w:jc w:val="center"/>
                    <w:rPr>
                      <w:rFonts w:hint="default" w:ascii="Times New Roman" w:hAnsi="Times New Roman" w:eastAsia="宋体" w:cs="Times New Roman"/>
                      <w:color w:val="auto"/>
                      <w:kern w:val="2"/>
                      <w:sz w:val="21"/>
                      <w:szCs w:val="24"/>
                      <w:highlight w:val="none"/>
                      <w:u w:val="none"/>
                      <w:lang w:val="en-US" w:eastAsia="zh-CN" w:bidi="ar-SA"/>
                    </w:rPr>
                  </w:pPr>
                  <w:r>
                    <w:rPr>
                      <w:rFonts w:hint="default" w:ascii="Times New Roman" w:hAnsi="Times New Roman" w:cs="Times New Roman"/>
                      <w:color w:val="auto"/>
                      <w:highlight w:val="none"/>
                      <w:u w:val="none"/>
                    </w:rPr>
                    <w:t>新墙河</w:t>
                  </w:r>
                </w:p>
              </w:tc>
              <w:tc>
                <w:tcPr>
                  <w:tcW w:w="588" w:type="pct"/>
                  <w:tcBorders>
                    <w:tl2br w:val="nil"/>
                    <w:tr2bl w:val="nil"/>
                  </w:tcBorders>
                  <w:shd w:val="clear" w:color="auto" w:fill="auto"/>
                  <w:noWrap w:val="0"/>
                  <w:vAlign w:val="center"/>
                </w:tcPr>
                <w:p w14:paraId="10040867">
                  <w:pPr>
                    <w:jc w:val="center"/>
                    <w:rPr>
                      <w:rFonts w:hint="eastAsia" w:ascii="Times New Roman" w:hAnsi="Times New Roman" w:eastAsia="宋体" w:cs="Times New Roman"/>
                      <w:color w:val="auto"/>
                      <w:kern w:val="2"/>
                      <w:sz w:val="21"/>
                      <w:szCs w:val="24"/>
                      <w:highlight w:val="none"/>
                      <w:u w:val="none"/>
                      <w:lang w:val="en-US" w:eastAsia="zh-CN" w:bidi="ar-SA"/>
                    </w:rPr>
                  </w:pPr>
                  <w:r>
                    <w:rPr>
                      <w:rFonts w:hint="default" w:ascii="Times New Roman" w:hAnsi="Times New Roman" w:cs="Times New Roman"/>
                      <w:color w:val="auto"/>
                      <w:highlight w:val="none"/>
                      <w:u w:val="none"/>
                    </w:rPr>
                    <w:t>北</w:t>
                  </w:r>
                  <w:r>
                    <w:rPr>
                      <w:rFonts w:hint="eastAsia" w:ascii="Times New Roman" w:hAnsi="Times New Roman" w:cs="Times New Roman"/>
                      <w:color w:val="auto"/>
                      <w:highlight w:val="none"/>
                      <w:u w:val="none"/>
                      <w:lang w:val="en-US" w:eastAsia="zh-CN"/>
                    </w:rPr>
                    <w:t>面</w:t>
                  </w:r>
                </w:p>
              </w:tc>
              <w:tc>
                <w:tcPr>
                  <w:tcW w:w="573" w:type="pct"/>
                  <w:tcBorders>
                    <w:tl2br w:val="nil"/>
                    <w:tr2bl w:val="nil"/>
                  </w:tcBorders>
                  <w:shd w:val="clear" w:color="auto" w:fill="auto"/>
                  <w:noWrap w:val="0"/>
                  <w:vAlign w:val="center"/>
                </w:tcPr>
                <w:p w14:paraId="5ADC2F3A">
                  <w:pPr>
                    <w:jc w:val="center"/>
                    <w:rPr>
                      <w:rFonts w:hint="default" w:ascii="Times New Roman" w:hAnsi="Times New Roman" w:eastAsia="宋体" w:cs="Times New Roman"/>
                      <w:color w:val="auto"/>
                      <w:kern w:val="2"/>
                      <w:sz w:val="21"/>
                      <w:szCs w:val="24"/>
                      <w:highlight w:val="none"/>
                      <w:u w:val="none"/>
                      <w:lang w:val="en-US" w:eastAsia="zh-CN" w:bidi="ar-SA"/>
                    </w:rPr>
                  </w:pPr>
                  <w:r>
                    <w:rPr>
                      <w:rFonts w:hint="eastAsia" w:cs="Times New Roman"/>
                      <w:color w:val="auto"/>
                      <w:highlight w:val="none"/>
                      <w:u w:val="none"/>
                      <w:lang w:val="en-US" w:eastAsia="zh-CN"/>
                    </w:rPr>
                    <w:t>2.4</w:t>
                  </w:r>
                  <w:r>
                    <w:rPr>
                      <w:rFonts w:hint="default" w:ascii="Times New Roman" w:hAnsi="Times New Roman" w:cs="Times New Roman"/>
                      <w:color w:val="auto"/>
                      <w:highlight w:val="none"/>
                      <w:u w:val="none"/>
                    </w:rPr>
                    <w:t>km</w:t>
                  </w:r>
                </w:p>
              </w:tc>
              <w:tc>
                <w:tcPr>
                  <w:tcW w:w="677" w:type="pct"/>
                  <w:tcBorders>
                    <w:tl2br w:val="nil"/>
                    <w:tr2bl w:val="nil"/>
                  </w:tcBorders>
                  <w:shd w:val="clear" w:color="auto" w:fill="auto"/>
                  <w:noWrap w:val="0"/>
                  <w:vAlign w:val="center"/>
                </w:tcPr>
                <w:p w14:paraId="2AE96CA4">
                  <w:pPr>
                    <w:jc w:val="center"/>
                    <w:rPr>
                      <w:rFonts w:hint="default" w:ascii="Times New Roman" w:hAnsi="Times New Roman" w:eastAsia="宋体" w:cs="Times New Roman"/>
                      <w:color w:val="auto"/>
                      <w:kern w:val="2"/>
                      <w:sz w:val="21"/>
                      <w:szCs w:val="24"/>
                      <w:highlight w:val="none"/>
                      <w:u w:val="none"/>
                      <w:lang w:val="en-US" w:eastAsia="zh-CN" w:bidi="ar-SA"/>
                    </w:rPr>
                  </w:pPr>
                  <w:r>
                    <w:rPr>
                      <w:rFonts w:hint="eastAsia"/>
                      <w:color w:val="auto"/>
                      <w:szCs w:val="21"/>
                    </w:rPr>
                    <w:t>中河，</w:t>
                  </w:r>
                  <w:r>
                    <w:rPr>
                      <w:rFonts w:hint="default" w:ascii="Times New Roman" w:hAnsi="Times New Roman" w:cs="Times New Roman"/>
                      <w:color w:val="auto"/>
                      <w:highlight w:val="none"/>
                      <w:u w:val="none"/>
                    </w:rPr>
                    <w:t>流域面积2370平方公里</w:t>
                  </w:r>
                </w:p>
              </w:tc>
              <w:tc>
                <w:tcPr>
                  <w:tcW w:w="541" w:type="pct"/>
                  <w:tcBorders>
                    <w:tl2br w:val="nil"/>
                    <w:tr2bl w:val="nil"/>
                  </w:tcBorders>
                  <w:shd w:val="clear" w:color="auto" w:fill="auto"/>
                  <w:noWrap w:val="0"/>
                  <w:vAlign w:val="center"/>
                </w:tcPr>
                <w:p w14:paraId="3A3B9AEC">
                  <w:pPr>
                    <w:widowControl/>
                    <w:jc w:val="center"/>
                    <w:rPr>
                      <w:rFonts w:hint="default" w:ascii="Times New Roman" w:hAnsi="Times New Roman" w:eastAsia="宋体" w:cs="Times New Roman"/>
                      <w:color w:val="auto"/>
                      <w:kern w:val="2"/>
                      <w:sz w:val="21"/>
                      <w:szCs w:val="24"/>
                      <w:highlight w:val="none"/>
                      <w:u w:val="none"/>
                      <w:lang w:val="en-US" w:eastAsia="zh-CN" w:bidi="ar-SA"/>
                    </w:rPr>
                  </w:pPr>
                  <w:r>
                    <w:rPr>
                      <w:rFonts w:hint="default" w:ascii="Times New Roman" w:hAnsi="Times New Roman" w:cs="Times New Roman"/>
                      <w:color w:val="auto"/>
                      <w:highlight w:val="none"/>
                      <w:u w:val="none"/>
                    </w:rPr>
                    <w:t>渔业</w:t>
                  </w:r>
                </w:p>
              </w:tc>
              <w:tc>
                <w:tcPr>
                  <w:tcW w:w="1357" w:type="pct"/>
                  <w:tcBorders>
                    <w:tl2br w:val="nil"/>
                    <w:tr2bl w:val="nil"/>
                  </w:tcBorders>
                  <w:shd w:val="clear" w:color="auto" w:fill="auto"/>
                  <w:noWrap w:val="0"/>
                  <w:vAlign w:val="center"/>
                </w:tcPr>
                <w:p w14:paraId="674F7622">
                  <w:pPr>
                    <w:widowControl/>
                    <w:jc w:val="center"/>
                    <w:rPr>
                      <w:rFonts w:hint="default" w:ascii="Times New Roman" w:hAnsi="Times New Roman" w:eastAsia="宋体" w:cs="Times New Roman"/>
                      <w:color w:val="auto"/>
                      <w:kern w:val="2"/>
                      <w:sz w:val="21"/>
                      <w:szCs w:val="24"/>
                      <w:highlight w:val="none"/>
                      <w:u w:val="none"/>
                      <w:lang w:val="en-US" w:eastAsia="zh-CN" w:bidi="ar-SA"/>
                    </w:rPr>
                  </w:pPr>
                  <w:r>
                    <w:rPr>
                      <w:rFonts w:hint="eastAsia"/>
                      <w:color w:val="auto"/>
                      <w:u w:val="none"/>
                      <w:lang w:eastAsia="zh-CN"/>
                    </w:rPr>
                    <w:t>《</w:t>
                  </w:r>
                  <w:r>
                    <w:rPr>
                      <w:rFonts w:hint="default"/>
                      <w:color w:val="auto"/>
                      <w:u w:val="none"/>
                    </w:rPr>
                    <w:t>地表水环境质量标准</w:t>
                  </w:r>
                  <w:r>
                    <w:rPr>
                      <w:rFonts w:hint="eastAsia"/>
                      <w:color w:val="auto"/>
                      <w:u w:val="none"/>
                      <w:lang w:eastAsia="zh-CN"/>
                    </w:rPr>
                    <w:t>》</w:t>
                  </w:r>
                  <w:r>
                    <w:rPr>
                      <w:rFonts w:hint="default" w:ascii="Times New Roman" w:hAnsi="Times New Roman" w:cs="Times New Roman"/>
                      <w:color w:val="auto"/>
                      <w:highlight w:val="none"/>
                      <w:u w:val="none"/>
                    </w:rPr>
                    <w:t>（GB3838-2002）中的Ⅲ类标准</w:t>
                  </w:r>
                </w:p>
              </w:tc>
            </w:tr>
            <w:tr w14:paraId="5A9A02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558" w:type="pct"/>
                  <w:vMerge w:val="continue"/>
                  <w:tcBorders>
                    <w:tl2br w:val="nil"/>
                    <w:tr2bl w:val="nil"/>
                  </w:tcBorders>
                  <w:noWrap w:val="0"/>
                  <w:vAlign w:val="center"/>
                </w:tcPr>
                <w:p w14:paraId="456C5D10">
                  <w:pPr>
                    <w:jc w:val="center"/>
                    <w:rPr>
                      <w:rFonts w:hint="default" w:ascii="Times New Roman" w:hAnsi="Times New Roman" w:cs="Times New Roman"/>
                      <w:color w:val="auto"/>
                      <w:highlight w:val="none"/>
                      <w:u w:val="none"/>
                    </w:rPr>
                  </w:pPr>
                </w:p>
              </w:tc>
              <w:tc>
                <w:tcPr>
                  <w:tcW w:w="701" w:type="pct"/>
                  <w:tcBorders>
                    <w:tl2br w:val="nil"/>
                    <w:tr2bl w:val="nil"/>
                  </w:tcBorders>
                  <w:shd w:val="clear" w:color="auto" w:fill="auto"/>
                  <w:noWrap w:val="0"/>
                  <w:vAlign w:val="center"/>
                </w:tcPr>
                <w:p w14:paraId="55C0287B">
                  <w:pPr>
                    <w:jc w:val="center"/>
                    <w:rPr>
                      <w:rFonts w:hint="default" w:ascii="Times New Roman" w:hAnsi="Times New Roman" w:eastAsia="宋体" w:cs="Times New Roman"/>
                      <w:color w:val="auto"/>
                      <w:highlight w:val="none"/>
                      <w:u w:val="none"/>
                      <w:lang w:val="en-US" w:eastAsia="zh-CN"/>
                    </w:rPr>
                  </w:pPr>
                  <w:r>
                    <w:rPr>
                      <w:rFonts w:hint="eastAsia" w:cs="Times New Roman"/>
                      <w:color w:val="auto"/>
                      <w:highlight w:val="none"/>
                      <w:u w:val="none"/>
                      <w:lang w:val="en-US" w:eastAsia="zh-CN"/>
                    </w:rPr>
                    <w:t>无名水沟</w:t>
                  </w:r>
                </w:p>
              </w:tc>
              <w:tc>
                <w:tcPr>
                  <w:tcW w:w="588" w:type="pct"/>
                  <w:tcBorders>
                    <w:tl2br w:val="nil"/>
                    <w:tr2bl w:val="nil"/>
                  </w:tcBorders>
                  <w:shd w:val="clear" w:color="auto" w:fill="auto"/>
                  <w:noWrap w:val="0"/>
                  <w:vAlign w:val="center"/>
                </w:tcPr>
                <w:p w14:paraId="682963CA">
                  <w:pPr>
                    <w:jc w:val="center"/>
                    <w:rPr>
                      <w:rFonts w:hint="default" w:ascii="Times New Roman" w:hAnsi="Times New Roman" w:eastAsia="宋体" w:cs="Times New Roman"/>
                      <w:color w:val="auto"/>
                      <w:highlight w:val="none"/>
                      <w:u w:val="none"/>
                      <w:lang w:val="en-US" w:eastAsia="zh-CN"/>
                    </w:rPr>
                  </w:pPr>
                  <w:r>
                    <w:rPr>
                      <w:rFonts w:hint="eastAsia" w:cs="Times New Roman"/>
                      <w:color w:val="auto"/>
                      <w:highlight w:val="none"/>
                      <w:u w:val="none"/>
                      <w:lang w:val="en-US" w:eastAsia="zh-CN"/>
                    </w:rPr>
                    <w:t>南面</w:t>
                  </w:r>
                </w:p>
              </w:tc>
              <w:tc>
                <w:tcPr>
                  <w:tcW w:w="573" w:type="pct"/>
                  <w:tcBorders>
                    <w:tl2br w:val="nil"/>
                    <w:tr2bl w:val="nil"/>
                  </w:tcBorders>
                  <w:shd w:val="clear" w:color="auto" w:fill="auto"/>
                  <w:noWrap w:val="0"/>
                  <w:vAlign w:val="center"/>
                </w:tcPr>
                <w:p w14:paraId="1E077CD1">
                  <w:pPr>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80m</w:t>
                  </w:r>
                </w:p>
              </w:tc>
              <w:tc>
                <w:tcPr>
                  <w:tcW w:w="677" w:type="pct"/>
                  <w:tcBorders>
                    <w:tl2br w:val="nil"/>
                    <w:tr2bl w:val="nil"/>
                  </w:tcBorders>
                  <w:shd w:val="clear" w:color="auto" w:fill="auto"/>
                  <w:noWrap w:val="0"/>
                  <w:vAlign w:val="center"/>
                </w:tcPr>
                <w:p w14:paraId="6161138E">
                  <w:pPr>
                    <w:jc w:val="center"/>
                    <w:rPr>
                      <w:rFonts w:hint="eastAsia" w:eastAsia="宋体"/>
                      <w:color w:val="auto"/>
                      <w:szCs w:val="21"/>
                      <w:lang w:val="en-US" w:eastAsia="zh-CN"/>
                    </w:rPr>
                  </w:pPr>
                  <w:r>
                    <w:rPr>
                      <w:rFonts w:hint="eastAsia"/>
                      <w:color w:val="auto"/>
                      <w:szCs w:val="21"/>
                      <w:lang w:val="en-US" w:eastAsia="zh-CN"/>
                    </w:rPr>
                    <w:t>/</w:t>
                  </w:r>
                </w:p>
              </w:tc>
              <w:tc>
                <w:tcPr>
                  <w:tcW w:w="541" w:type="pct"/>
                  <w:tcBorders>
                    <w:tl2br w:val="nil"/>
                    <w:tr2bl w:val="nil"/>
                  </w:tcBorders>
                  <w:shd w:val="clear" w:color="auto" w:fill="auto"/>
                  <w:noWrap w:val="0"/>
                  <w:vAlign w:val="center"/>
                </w:tcPr>
                <w:p w14:paraId="5C19FF1C">
                  <w:pPr>
                    <w:widowControl/>
                    <w:jc w:val="center"/>
                    <w:rPr>
                      <w:rFonts w:hint="eastAsia" w:ascii="Times New Roman" w:hAnsi="Times New Roman" w:eastAsia="宋体" w:cs="Times New Roman"/>
                      <w:color w:val="auto"/>
                      <w:highlight w:val="none"/>
                      <w:u w:val="none"/>
                      <w:lang w:val="en-US" w:eastAsia="zh-CN"/>
                    </w:rPr>
                  </w:pPr>
                  <w:r>
                    <w:rPr>
                      <w:rFonts w:hint="eastAsia" w:cs="Times New Roman"/>
                      <w:color w:val="auto"/>
                      <w:highlight w:val="none"/>
                      <w:u w:val="none"/>
                      <w:lang w:val="en-US" w:eastAsia="zh-CN"/>
                    </w:rPr>
                    <w:t>农灌</w:t>
                  </w:r>
                </w:p>
              </w:tc>
              <w:tc>
                <w:tcPr>
                  <w:tcW w:w="1357" w:type="pct"/>
                  <w:tcBorders>
                    <w:tl2br w:val="nil"/>
                    <w:tr2bl w:val="nil"/>
                  </w:tcBorders>
                  <w:shd w:val="clear" w:color="auto" w:fill="auto"/>
                  <w:noWrap w:val="0"/>
                  <w:vAlign w:val="center"/>
                </w:tcPr>
                <w:p w14:paraId="468A0AEA">
                  <w:pPr>
                    <w:widowControl/>
                    <w:jc w:val="center"/>
                    <w:rPr>
                      <w:rFonts w:hint="eastAsia"/>
                      <w:color w:val="auto"/>
                      <w:u w:val="none"/>
                      <w:lang w:eastAsia="zh-CN"/>
                    </w:rPr>
                  </w:pPr>
                  <w:r>
                    <w:rPr>
                      <w:rFonts w:hint="eastAsia"/>
                      <w:color w:val="auto"/>
                      <w:u w:val="none"/>
                      <w:lang w:eastAsia="zh-CN"/>
                    </w:rPr>
                    <w:t>《</w:t>
                  </w:r>
                  <w:r>
                    <w:rPr>
                      <w:rFonts w:hint="default" w:ascii="Times New Roman" w:hAnsi="Times New Roman" w:cs="Times New Roman"/>
                      <w:color w:val="auto"/>
                      <w:highlight w:val="none"/>
                      <w:u w:val="none"/>
                    </w:rPr>
                    <w:t>地表水环境质量标准</w:t>
                  </w:r>
                  <w:r>
                    <w:rPr>
                      <w:rFonts w:hint="default" w:ascii="Times New Roman" w:hAnsi="Times New Roman" w:cs="Times New Roman"/>
                      <w:color w:val="auto"/>
                      <w:highlight w:val="none"/>
                      <w:u w:val="none"/>
                      <w:lang w:eastAsia="zh-CN"/>
                    </w:rPr>
                    <w:t>》</w:t>
                  </w:r>
                  <w:r>
                    <w:rPr>
                      <w:rFonts w:hint="default" w:ascii="Times New Roman" w:hAnsi="Times New Roman" w:cs="Times New Roman"/>
                      <w:color w:val="auto"/>
                      <w:highlight w:val="none"/>
                      <w:u w:val="none"/>
                    </w:rPr>
                    <w:t>（GB3838-2002）中的ⅴ类标准</w:t>
                  </w:r>
                </w:p>
              </w:tc>
            </w:tr>
            <w:tr w14:paraId="1E6771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558" w:type="pct"/>
                  <w:tcBorders>
                    <w:tl2br w:val="nil"/>
                    <w:tr2bl w:val="nil"/>
                  </w:tcBorders>
                  <w:noWrap w:val="0"/>
                  <w:vAlign w:val="center"/>
                </w:tcPr>
                <w:p w14:paraId="37FC3AFC">
                  <w:pPr>
                    <w:adjustRightInd w:val="0"/>
                    <w:snapToGrid w:val="0"/>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t>生态</w:t>
                  </w:r>
                </w:p>
                <w:p w14:paraId="7E2EF8C3">
                  <w:pPr>
                    <w:adjustRightInd w:val="0"/>
                    <w:snapToGrid w:val="0"/>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t>环境</w:t>
                  </w:r>
                </w:p>
              </w:tc>
              <w:tc>
                <w:tcPr>
                  <w:tcW w:w="4441" w:type="pct"/>
                  <w:gridSpan w:val="6"/>
                  <w:tcBorders>
                    <w:tl2br w:val="nil"/>
                    <w:tr2bl w:val="nil"/>
                  </w:tcBorders>
                  <w:noWrap w:val="0"/>
                  <w:vAlign w:val="center"/>
                </w:tcPr>
                <w:p w14:paraId="638FEF0C">
                  <w:pPr>
                    <w:adjustRightInd w:val="0"/>
                    <w:snapToGrid w:val="0"/>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t>厂界外500m范围内的植被、林地、山地及水田</w:t>
                  </w:r>
                </w:p>
              </w:tc>
            </w:tr>
            <w:tr w14:paraId="213CC9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558" w:type="pct"/>
                  <w:tcBorders>
                    <w:tl2br w:val="nil"/>
                    <w:tr2bl w:val="nil"/>
                  </w:tcBorders>
                  <w:noWrap w:val="0"/>
                  <w:vAlign w:val="center"/>
                </w:tcPr>
                <w:p w14:paraId="60250767">
                  <w:pPr>
                    <w:adjustRightInd w:val="0"/>
                    <w:snapToGrid w:val="0"/>
                    <w:jc w:val="center"/>
                    <w:rPr>
                      <w:rFonts w:hint="default" w:ascii="Times New Roman" w:hAnsi="Times New Roman" w:eastAsia="宋体" w:cs="Times New Roman"/>
                      <w:color w:val="auto"/>
                      <w:highlight w:val="none"/>
                      <w:u w:val="none"/>
                      <w:lang w:val="en-US" w:eastAsia="zh-CN"/>
                    </w:rPr>
                  </w:pPr>
                  <w:r>
                    <w:rPr>
                      <w:rFonts w:hint="eastAsia" w:ascii="Times New Roman" w:hAnsi="Times New Roman" w:eastAsia="宋体" w:cs="Times New Roman"/>
                      <w:color w:val="auto"/>
                      <w:highlight w:val="none"/>
                      <w:u w:val="none"/>
                      <w:lang w:val="en-US" w:eastAsia="zh-CN"/>
                    </w:rPr>
                    <w:t>地下水环境</w:t>
                  </w:r>
                </w:p>
              </w:tc>
              <w:tc>
                <w:tcPr>
                  <w:tcW w:w="4441" w:type="pct"/>
                  <w:gridSpan w:val="6"/>
                  <w:tcBorders>
                    <w:tl2br w:val="nil"/>
                    <w:tr2bl w:val="nil"/>
                  </w:tcBorders>
                  <w:noWrap w:val="0"/>
                  <w:vAlign w:val="center"/>
                </w:tcPr>
                <w:p w14:paraId="4B4EA083">
                  <w:pPr>
                    <w:adjustRightInd w:val="0"/>
                    <w:snapToGrid w:val="0"/>
                    <w:jc w:val="center"/>
                    <w:rPr>
                      <w:rFonts w:hint="default" w:ascii="Times New Roman" w:hAnsi="Times New Roman" w:eastAsia="宋体" w:cs="Times New Roman"/>
                      <w:color w:val="auto"/>
                      <w:highlight w:val="none"/>
                      <w:u w:val="none"/>
                      <w:lang w:val="en-US" w:eastAsia="zh-CN"/>
                    </w:rPr>
                  </w:pPr>
                  <w:r>
                    <w:rPr>
                      <w:rFonts w:hint="eastAsia" w:ascii="Times New Roman" w:hAnsi="Times New Roman" w:eastAsia="宋体" w:cs="Times New Roman"/>
                      <w:color w:val="auto"/>
                      <w:highlight w:val="none"/>
                      <w:u w:val="none"/>
                    </w:rPr>
                    <w:t>厂界外500</w:t>
                  </w:r>
                  <w:r>
                    <w:rPr>
                      <w:rFonts w:hint="eastAsia" w:ascii="Times New Roman" w:hAnsi="Times New Roman" w:eastAsia="宋体" w:cs="Times New Roman"/>
                      <w:color w:val="auto"/>
                      <w:highlight w:val="none"/>
                      <w:u w:val="none"/>
                      <w:lang w:val="en-US" w:eastAsia="zh-CN"/>
                    </w:rPr>
                    <w:t>m</w:t>
                  </w:r>
                  <w:r>
                    <w:rPr>
                      <w:rFonts w:hint="eastAsia" w:ascii="Times New Roman" w:hAnsi="Times New Roman" w:eastAsia="宋体" w:cs="Times New Roman"/>
                      <w:color w:val="auto"/>
                      <w:highlight w:val="none"/>
                      <w:u w:val="none"/>
                    </w:rPr>
                    <w:t>范围内无地下水集中式饮用水水源和热水、矿泉水、温泉等特殊地下水资源</w:t>
                  </w:r>
                </w:p>
              </w:tc>
            </w:tr>
          </w:tbl>
          <w:p w14:paraId="17DE6863">
            <w:pPr>
              <w:pStyle w:val="60"/>
              <w:ind w:firstLine="0" w:firstLineChars="0"/>
              <w:jc w:val="both"/>
              <w:rPr>
                <w:rFonts w:hint="default" w:ascii="Times New Roman" w:hAnsi="Times New Roman" w:cs="Times New Roman"/>
                <w:color w:val="auto"/>
                <w:szCs w:val="21"/>
                <w:highlight w:val="none"/>
              </w:rPr>
            </w:pPr>
          </w:p>
        </w:tc>
      </w:tr>
      <w:tr w14:paraId="425851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94" w:hRule="atLeast"/>
          <w:jc w:val="center"/>
        </w:trPr>
        <w:tc>
          <w:tcPr>
            <w:tcW w:w="800" w:type="dxa"/>
            <w:noWrap w:val="0"/>
            <w:tcMar>
              <w:left w:w="28" w:type="dxa"/>
              <w:right w:w="28" w:type="dxa"/>
            </w:tcMar>
            <w:vAlign w:val="center"/>
          </w:tcPr>
          <w:p w14:paraId="5C67DBCE">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污染</w:t>
            </w:r>
          </w:p>
          <w:p w14:paraId="53945A43">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物排</w:t>
            </w:r>
          </w:p>
          <w:p w14:paraId="3E9B0958">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放控</w:t>
            </w:r>
          </w:p>
          <w:p w14:paraId="349AB3D4">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制标</w:t>
            </w:r>
          </w:p>
          <w:p w14:paraId="2074AC60">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准</w:t>
            </w:r>
          </w:p>
        </w:tc>
        <w:tc>
          <w:tcPr>
            <w:tcW w:w="8190" w:type="dxa"/>
            <w:noWrap w:val="0"/>
            <w:vAlign w:val="center"/>
          </w:tcPr>
          <w:p w14:paraId="626841FF">
            <w:pPr>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1、大气污染物</w:t>
            </w:r>
          </w:p>
          <w:p w14:paraId="2ACE7C8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color w:val="auto"/>
                <w:sz w:val="24"/>
                <w:szCs w:val="24"/>
                <w:u w:val="none"/>
                <w:lang w:eastAsia="zh-CN"/>
              </w:rPr>
            </w:pPr>
            <w:r>
              <w:rPr>
                <w:rFonts w:hint="eastAsia" w:cs="Times New Roman"/>
                <w:b/>
                <w:bCs/>
                <w:color w:val="auto"/>
                <w:sz w:val="24"/>
                <w:szCs w:val="24"/>
                <w:u w:val="none"/>
                <w:lang w:val="en-US" w:eastAsia="zh-CN"/>
              </w:rPr>
              <w:t>有组织废气：</w:t>
            </w:r>
            <w:r>
              <w:rPr>
                <w:rFonts w:hint="eastAsia" w:ascii="Times New Roman" w:hAnsi="Times New Roman" w:eastAsia="宋体" w:cs="Times New Roman"/>
                <w:color w:val="auto"/>
                <w:sz w:val="24"/>
                <w:szCs w:val="24"/>
                <w:u w:val="none"/>
                <w:lang w:val="en-US" w:eastAsia="zh-CN"/>
              </w:rPr>
              <w:t>焚烧炉废气执行《湖南省工业炉窑大气污染综合治理实施方案》附件1中相关排放限值。</w:t>
            </w:r>
          </w:p>
          <w:p w14:paraId="3ACE1304">
            <w:pPr>
              <w:pStyle w:val="63"/>
              <w:tabs>
                <w:tab w:val="left" w:pos="1021"/>
              </w:tabs>
              <w:bidi w:val="0"/>
              <w:jc w:val="center"/>
              <w:rPr>
                <w:rFonts w:hint="default" w:ascii="Times New Roman" w:hAnsi="Times New Roman" w:cs="Times New Roman"/>
                <w:b/>
                <w:bCs/>
                <w:color w:val="auto"/>
                <w:szCs w:val="16"/>
                <w:highlight w:val="none"/>
                <w:u w:val="none" w:color="auto"/>
              </w:rPr>
            </w:pPr>
            <w:r>
              <w:rPr>
                <w:rFonts w:hint="default" w:ascii="Times New Roman" w:hAnsi="Times New Roman" w:cs="Times New Roman"/>
                <w:b/>
                <w:bCs/>
                <w:color w:val="auto"/>
                <w:highlight w:val="none"/>
                <w:u w:val="none" w:color="auto"/>
              </w:rPr>
              <w:t>表3-</w:t>
            </w:r>
            <w:r>
              <w:rPr>
                <w:rFonts w:hint="default" w:ascii="Times New Roman" w:hAnsi="Times New Roman" w:cs="Times New Roman"/>
                <w:b/>
                <w:bCs/>
                <w:color w:val="auto"/>
                <w:highlight w:val="none"/>
                <w:u w:val="none" w:color="auto"/>
                <w:lang w:val="en-US" w:eastAsia="zh-CN"/>
              </w:rPr>
              <w:t>6   焚烧炉废气污染物排放标准</w:t>
            </w:r>
          </w:p>
          <w:tbl>
            <w:tblPr>
              <w:tblStyle w:val="33"/>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609"/>
              <w:gridCol w:w="2666"/>
              <w:gridCol w:w="2666"/>
            </w:tblGrid>
            <w:tr w14:paraId="5F01C0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642" w:type="pct"/>
                  <w:tcBorders>
                    <w:tl2br w:val="nil"/>
                    <w:tr2bl w:val="nil"/>
                  </w:tcBorders>
                  <w:vAlign w:val="center"/>
                </w:tcPr>
                <w:p w14:paraId="5E7D4AF2">
                  <w:pPr>
                    <w:pStyle w:val="63"/>
                    <w:tabs>
                      <w:tab w:val="left" w:pos="1021"/>
                    </w:tabs>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污染物</w:t>
                  </w:r>
                </w:p>
              </w:tc>
              <w:tc>
                <w:tcPr>
                  <w:tcW w:w="1678" w:type="pct"/>
                  <w:tcBorders>
                    <w:tl2br w:val="nil"/>
                    <w:tr2bl w:val="nil"/>
                  </w:tcBorders>
                  <w:vAlign w:val="center"/>
                </w:tcPr>
                <w:p w14:paraId="07B1047A">
                  <w:pPr>
                    <w:pStyle w:val="63"/>
                    <w:tabs>
                      <w:tab w:val="left" w:pos="1021"/>
                    </w:tabs>
                    <w:jc w:val="center"/>
                    <w:rPr>
                      <w:rFonts w:hint="default" w:ascii="Times New Roman" w:hAnsi="Times New Roman" w:eastAsia="宋体"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最高允许排放浓度</w:t>
                  </w:r>
                </w:p>
              </w:tc>
              <w:tc>
                <w:tcPr>
                  <w:tcW w:w="1678" w:type="pct"/>
                  <w:tcBorders>
                    <w:tl2br w:val="nil"/>
                    <w:tr2bl w:val="nil"/>
                  </w:tcBorders>
                  <w:vAlign w:val="center"/>
                </w:tcPr>
                <w:p w14:paraId="5B157F07">
                  <w:pPr>
                    <w:pStyle w:val="63"/>
                    <w:tabs>
                      <w:tab w:val="left" w:pos="1021"/>
                    </w:tabs>
                    <w:jc w:val="center"/>
                    <w:rPr>
                      <w:rFonts w:hint="default" w:ascii="Times New Roman" w:hAnsi="Times New Roman" w:eastAsia="宋体"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排气筒高度</w:t>
                  </w:r>
                </w:p>
              </w:tc>
            </w:tr>
            <w:tr w14:paraId="345B0E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642" w:type="pct"/>
                  <w:tcBorders>
                    <w:tl2br w:val="nil"/>
                    <w:tr2bl w:val="nil"/>
                  </w:tcBorders>
                  <w:vAlign w:val="center"/>
                </w:tcPr>
                <w:p w14:paraId="6C4BBF24">
                  <w:pPr>
                    <w:pStyle w:val="63"/>
                    <w:tabs>
                      <w:tab w:val="left" w:pos="1021"/>
                    </w:tabs>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颗粒物</w:t>
                  </w:r>
                </w:p>
              </w:tc>
              <w:tc>
                <w:tcPr>
                  <w:tcW w:w="1678" w:type="pct"/>
                  <w:tcBorders>
                    <w:tl2br w:val="nil"/>
                    <w:tr2bl w:val="nil"/>
                  </w:tcBorders>
                  <w:vAlign w:val="center"/>
                </w:tcPr>
                <w:p w14:paraId="30F0C283">
                  <w:pPr>
                    <w:pStyle w:val="63"/>
                    <w:tabs>
                      <w:tab w:val="left" w:pos="1021"/>
                    </w:tabs>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30mg/m</w:t>
                  </w:r>
                  <w:r>
                    <w:rPr>
                      <w:rFonts w:hint="default" w:ascii="Times New Roman" w:hAnsi="Times New Roman" w:cs="Times New Roman"/>
                      <w:color w:val="auto"/>
                      <w:highlight w:val="none"/>
                      <w:u w:val="none" w:color="auto"/>
                      <w:vertAlign w:val="superscript"/>
                    </w:rPr>
                    <w:t>3</w:t>
                  </w:r>
                </w:p>
              </w:tc>
              <w:tc>
                <w:tcPr>
                  <w:tcW w:w="1678" w:type="pct"/>
                  <w:vMerge w:val="restart"/>
                  <w:tcBorders>
                    <w:tl2br w:val="nil"/>
                    <w:tr2bl w:val="nil"/>
                  </w:tcBorders>
                  <w:vAlign w:val="center"/>
                </w:tcPr>
                <w:p w14:paraId="2170DC72">
                  <w:pPr>
                    <w:pStyle w:val="63"/>
                    <w:tabs>
                      <w:tab w:val="left" w:pos="1021"/>
                    </w:tabs>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15m</w:t>
                  </w:r>
                </w:p>
              </w:tc>
            </w:tr>
            <w:tr w14:paraId="47CC5A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642" w:type="pct"/>
                  <w:tcBorders>
                    <w:tl2br w:val="nil"/>
                    <w:tr2bl w:val="nil"/>
                  </w:tcBorders>
                  <w:vAlign w:val="center"/>
                </w:tcPr>
                <w:p w14:paraId="394A192D">
                  <w:pPr>
                    <w:pStyle w:val="63"/>
                    <w:tabs>
                      <w:tab w:val="left" w:pos="1021"/>
                    </w:tabs>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二氧化硫</w:t>
                  </w:r>
                </w:p>
              </w:tc>
              <w:tc>
                <w:tcPr>
                  <w:tcW w:w="1678" w:type="pct"/>
                  <w:tcBorders>
                    <w:tl2br w:val="nil"/>
                    <w:tr2bl w:val="nil"/>
                  </w:tcBorders>
                  <w:vAlign w:val="center"/>
                </w:tcPr>
                <w:p w14:paraId="6AB4A278">
                  <w:pPr>
                    <w:pStyle w:val="63"/>
                    <w:tabs>
                      <w:tab w:val="left" w:pos="1021"/>
                    </w:tabs>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200mg/m</w:t>
                  </w:r>
                  <w:r>
                    <w:rPr>
                      <w:rFonts w:hint="default" w:ascii="Times New Roman" w:hAnsi="Times New Roman" w:cs="Times New Roman"/>
                      <w:color w:val="auto"/>
                      <w:highlight w:val="none"/>
                      <w:u w:val="none" w:color="auto"/>
                      <w:vertAlign w:val="superscript"/>
                    </w:rPr>
                    <w:t>3</w:t>
                  </w:r>
                </w:p>
              </w:tc>
              <w:tc>
                <w:tcPr>
                  <w:tcW w:w="1678" w:type="pct"/>
                  <w:vMerge w:val="continue"/>
                  <w:tcBorders>
                    <w:tl2br w:val="nil"/>
                    <w:tr2bl w:val="nil"/>
                  </w:tcBorders>
                  <w:vAlign w:val="center"/>
                </w:tcPr>
                <w:p w14:paraId="205BAB9B">
                  <w:pPr>
                    <w:pStyle w:val="63"/>
                    <w:tabs>
                      <w:tab w:val="left" w:pos="1021"/>
                    </w:tabs>
                    <w:jc w:val="center"/>
                    <w:rPr>
                      <w:rFonts w:hint="default" w:ascii="Times New Roman" w:hAnsi="Times New Roman" w:cs="Times New Roman"/>
                      <w:color w:val="auto"/>
                      <w:highlight w:val="none"/>
                      <w:u w:val="none" w:color="auto"/>
                    </w:rPr>
                  </w:pPr>
                </w:p>
              </w:tc>
            </w:tr>
            <w:tr w14:paraId="6717FA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99" w:hRule="atLeast"/>
                <w:jc w:val="center"/>
              </w:trPr>
              <w:tc>
                <w:tcPr>
                  <w:tcW w:w="1642" w:type="pct"/>
                  <w:tcBorders>
                    <w:tl2br w:val="nil"/>
                    <w:tr2bl w:val="nil"/>
                  </w:tcBorders>
                  <w:vAlign w:val="center"/>
                </w:tcPr>
                <w:p w14:paraId="39F1508B">
                  <w:pPr>
                    <w:pStyle w:val="63"/>
                    <w:tabs>
                      <w:tab w:val="left" w:pos="1021"/>
                    </w:tabs>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氮氧化物</w:t>
                  </w:r>
                </w:p>
              </w:tc>
              <w:tc>
                <w:tcPr>
                  <w:tcW w:w="1678" w:type="pct"/>
                  <w:tcBorders>
                    <w:tl2br w:val="nil"/>
                    <w:tr2bl w:val="nil"/>
                  </w:tcBorders>
                  <w:vAlign w:val="center"/>
                </w:tcPr>
                <w:p w14:paraId="79ABB51E">
                  <w:pPr>
                    <w:pStyle w:val="63"/>
                    <w:tabs>
                      <w:tab w:val="left" w:pos="1021"/>
                    </w:tabs>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lang w:val="en-US" w:eastAsia="zh-CN"/>
                    </w:rPr>
                    <w:t>3</w:t>
                  </w:r>
                  <w:r>
                    <w:rPr>
                      <w:rFonts w:hint="default" w:ascii="Times New Roman" w:hAnsi="Times New Roman" w:cs="Times New Roman"/>
                      <w:color w:val="auto"/>
                      <w:highlight w:val="none"/>
                      <w:u w:val="none" w:color="auto"/>
                    </w:rPr>
                    <w:t>00mg/m</w:t>
                  </w:r>
                  <w:r>
                    <w:rPr>
                      <w:rFonts w:hint="default" w:ascii="Times New Roman" w:hAnsi="Times New Roman" w:cs="Times New Roman"/>
                      <w:color w:val="auto"/>
                      <w:highlight w:val="none"/>
                      <w:u w:val="none" w:color="auto"/>
                      <w:vertAlign w:val="superscript"/>
                    </w:rPr>
                    <w:t>3</w:t>
                  </w:r>
                </w:p>
              </w:tc>
              <w:tc>
                <w:tcPr>
                  <w:tcW w:w="1678" w:type="pct"/>
                  <w:vMerge w:val="continue"/>
                  <w:tcBorders>
                    <w:tl2br w:val="nil"/>
                    <w:tr2bl w:val="nil"/>
                  </w:tcBorders>
                  <w:vAlign w:val="center"/>
                </w:tcPr>
                <w:p w14:paraId="1374E87B">
                  <w:pPr>
                    <w:pStyle w:val="63"/>
                    <w:tabs>
                      <w:tab w:val="left" w:pos="1021"/>
                    </w:tabs>
                    <w:jc w:val="center"/>
                    <w:rPr>
                      <w:rFonts w:hint="default" w:ascii="Times New Roman" w:hAnsi="Times New Roman" w:cs="Times New Roman"/>
                      <w:color w:val="auto"/>
                      <w:highlight w:val="none"/>
                      <w:u w:val="none" w:color="auto"/>
                    </w:rPr>
                  </w:pPr>
                </w:p>
              </w:tc>
            </w:tr>
          </w:tbl>
          <w:p w14:paraId="5C45A682">
            <w:pPr>
              <w:spacing w:line="360" w:lineRule="auto"/>
              <w:ind w:firstLine="482" w:firstLineChars="200"/>
              <w:rPr>
                <w:b/>
                <w:bCs/>
                <w:color w:val="auto"/>
                <w:sz w:val="24"/>
              </w:rPr>
            </w:pPr>
            <w:r>
              <w:rPr>
                <w:b/>
                <w:bCs/>
                <w:color w:val="auto"/>
                <w:sz w:val="24"/>
              </w:rPr>
              <w:t>无组织</w:t>
            </w:r>
            <w:r>
              <w:rPr>
                <w:rFonts w:hint="eastAsia"/>
                <w:b/>
                <w:bCs/>
                <w:color w:val="auto"/>
                <w:sz w:val="24"/>
                <w:lang w:val="en-US" w:eastAsia="zh-CN"/>
              </w:rPr>
              <w:t>废气</w:t>
            </w:r>
            <w:r>
              <w:rPr>
                <w:b/>
                <w:bCs/>
                <w:color w:val="auto"/>
                <w:sz w:val="24"/>
              </w:rPr>
              <w:t>：</w:t>
            </w:r>
            <w:r>
              <w:rPr>
                <w:rFonts w:hint="default"/>
                <w:b w:val="0"/>
                <w:bCs w:val="0"/>
                <w:color w:val="auto"/>
                <w:sz w:val="24"/>
              </w:rPr>
              <w:t>厂区内无组织排放监控点</w:t>
            </w:r>
            <w:r>
              <w:rPr>
                <w:rFonts w:hint="eastAsia"/>
                <w:b w:val="0"/>
                <w:bCs w:val="0"/>
                <w:color w:val="auto"/>
                <w:sz w:val="24"/>
                <w:lang w:val="en-US" w:eastAsia="zh-CN"/>
              </w:rPr>
              <w:t>非甲烷总烃（NMHC）</w:t>
            </w:r>
            <w:r>
              <w:rPr>
                <w:rFonts w:hint="default"/>
                <w:b w:val="0"/>
                <w:bCs w:val="0"/>
                <w:color w:val="auto"/>
                <w:sz w:val="24"/>
              </w:rPr>
              <w:t>执行</w:t>
            </w:r>
            <w:r>
              <w:rPr>
                <w:rFonts w:hint="default"/>
                <w:b w:val="0"/>
                <w:bCs w:val="0"/>
                <w:color w:val="auto"/>
                <w:sz w:val="24"/>
                <w:lang w:val="en-US" w:eastAsia="zh-CN"/>
              </w:rPr>
              <w:t>《工业企业挥发性有机物排放标准》（DB43/3550-2026）</w:t>
            </w:r>
            <w:r>
              <w:rPr>
                <w:rFonts w:hint="default"/>
                <w:b w:val="0"/>
                <w:bCs w:val="0"/>
                <w:color w:val="auto"/>
                <w:sz w:val="24"/>
              </w:rPr>
              <w:t>表</w:t>
            </w:r>
            <w:r>
              <w:rPr>
                <w:rFonts w:hint="eastAsia"/>
                <w:b w:val="0"/>
                <w:bCs w:val="0"/>
                <w:color w:val="auto"/>
                <w:sz w:val="24"/>
                <w:lang w:val="en-US" w:eastAsia="zh-CN"/>
              </w:rPr>
              <w:t>2</w:t>
            </w:r>
            <w:r>
              <w:rPr>
                <w:rFonts w:hint="default"/>
                <w:b w:val="0"/>
                <w:bCs w:val="0"/>
                <w:color w:val="auto"/>
                <w:sz w:val="24"/>
              </w:rPr>
              <w:t>排放限值要求；</w:t>
            </w:r>
            <w:r>
              <w:rPr>
                <w:rFonts w:hint="eastAsia"/>
                <w:b w:val="0"/>
                <w:bCs w:val="0"/>
                <w:color w:val="auto"/>
                <w:sz w:val="24"/>
                <w:lang w:val="en-US" w:eastAsia="zh-CN"/>
              </w:rPr>
              <w:t>厂界非甲烷总烃执行《大气污染物综合排放标准》（GB16297-1996）；恶臭（以臭气浓度为表征）执行《恶臭污染物排放标准》（</w:t>
            </w:r>
            <w:r>
              <w:rPr>
                <w:rFonts w:hint="default"/>
                <w:b w:val="0"/>
                <w:bCs w:val="0"/>
                <w:color w:val="auto"/>
                <w:sz w:val="24"/>
                <w:lang w:val="en-US" w:eastAsia="zh-CN"/>
              </w:rPr>
              <w:t>GB14554-1993</w:t>
            </w:r>
            <w:r>
              <w:rPr>
                <w:rFonts w:hint="eastAsia"/>
                <w:b w:val="0"/>
                <w:bCs w:val="0"/>
                <w:color w:val="auto"/>
                <w:sz w:val="24"/>
                <w:lang w:val="en-US" w:eastAsia="zh-CN"/>
              </w:rPr>
              <w:t>）</w:t>
            </w:r>
            <w:r>
              <w:rPr>
                <w:rFonts w:hint="default"/>
                <w:b w:val="0"/>
                <w:bCs w:val="0"/>
                <w:color w:val="auto"/>
                <w:sz w:val="24"/>
                <w:lang w:val="en-US" w:eastAsia="zh-CN"/>
              </w:rPr>
              <w:t>2</w:t>
            </w:r>
            <w:r>
              <w:rPr>
                <w:rFonts w:hint="eastAsia"/>
                <w:b w:val="0"/>
                <w:bCs w:val="0"/>
                <w:color w:val="auto"/>
                <w:sz w:val="24"/>
                <w:lang w:val="en-US" w:eastAsia="zh-CN"/>
              </w:rPr>
              <w:t>级标准。</w:t>
            </w:r>
          </w:p>
          <w:p w14:paraId="383C573F">
            <w:pPr>
              <w:pStyle w:val="63"/>
              <w:tabs>
                <w:tab w:val="left" w:pos="1021"/>
              </w:tabs>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表3-7   《工业企业挥发性有机物排放标准》（DB43/3550-2026）</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604"/>
              <w:gridCol w:w="2608"/>
              <w:gridCol w:w="2406"/>
            </w:tblGrid>
            <w:tr w14:paraId="012F55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33" w:type="pct"/>
                  <w:tcBorders>
                    <w:tl2br w:val="nil"/>
                    <w:tr2bl w:val="nil"/>
                  </w:tcBorders>
                  <w:vAlign w:val="center"/>
                </w:tcPr>
                <w:p w14:paraId="7A174536">
                  <w:pPr>
                    <w:pStyle w:val="63"/>
                    <w:tabs>
                      <w:tab w:val="left" w:pos="1021"/>
                    </w:tabs>
                    <w:bidi w:val="0"/>
                    <w:jc w:val="center"/>
                    <w:rPr>
                      <w:rFonts w:hint="default" w:ascii="Times New Roman" w:hAnsi="Times New Roman"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污染物</w:t>
                  </w:r>
                </w:p>
              </w:tc>
              <w:tc>
                <w:tcPr>
                  <w:tcW w:w="1010" w:type="pct"/>
                  <w:tcBorders>
                    <w:tl2br w:val="nil"/>
                    <w:tr2bl w:val="nil"/>
                  </w:tcBorders>
                  <w:vAlign w:val="center"/>
                </w:tcPr>
                <w:p w14:paraId="3C1ABC7D">
                  <w:pPr>
                    <w:pStyle w:val="63"/>
                    <w:tabs>
                      <w:tab w:val="left" w:pos="1021"/>
                    </w:tabs>
                    <w:bidi w:val="0"/>
                    <w:jc w:val="center"/>
                    <w:rPr>
                      <w:rFonts w:hint="default" w:ascii="Times New Roman" w:hAnsi="Times New Roman" w:eastAsia="宋体"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特别排放限值（mg/m</w:t>
                  </w:r>
                  <w:r>
                    <w:rPr>
                      <w:rFonts w:hint="default" w:ascii="Times New Roman" w:hAnsi="Times New Roman" w:cs="Times New Roman"/>
                      <w:b/>
                      <w:bCs/>
                      <w:color w:val="auto"/>
                      <w:highlight w:val="none"/>
                      <w:u w:val="none" w:color="auto"/>
                      <w:vertAlign w:val="superscript"/>
                      <w:lang w:val="en-US" w:eastAsia="zh-CN"/>
                    </w:rPr>
                    <w:t>3</w:t>
                  </w:r>
                  <w:r>
                    <w:rPr>
                      <w:rFonts w:hint="default" w:ascii="Times New Roman" w:hAnsi="Times New Roman" w:cs="Times New Roman"/>
                      <w:b/>
                      <w:bCs/>
                      <w:color w:val="auto"/>
                      <w:highlight w:val="none"/>
                      <w:u w:val="none" w:color="auto"/>
                      <w:lang w:val="en-US" w:eastAsia="zh-CN"/>
                    </w:rPr>
                    <w:t>）</w:t>
                  </w:r>
                </w:p>
              </w:tc>
              <w:tc>
                <w:tcPr>
                  <w:tcW w:w="1642" w:type="pct"/>
                  <w:tcBorders>
                    <w:tl2br w:val="nil"/>
                    <w:tr2bl w:val="nil"/>
                  </w:tcBorders>
                  <w:vAlign w:val="center"/>
                </w:tcPr>
                <w:p w14:paraId="455CB941">
                  <w:pPr>
                    <w:pStyle w:val="63"/>
                    <w:tabs>
                      <w:tab w:val="left" w:pos="1021"/>
                    </w:tabs>
                    <w:bidi w:val="0"/>
                    <w:jc w:val="center"/>
                    <w:rPr>
                      <w:rFonts w:hint="default" w:ascii="Times New Roman" w:hAnsi="Times New Roman" w:eastAsia="宋体"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限值含义</w:t>
                  </w:r>
                </w:p>
              </w:tc>
              <w:tc>
                <w:tcPr>
                  <w:tcW w:w="1514" w:type="pct"/>
                  <w:tcBorders>
                    <w:tl2br w:val="nil"/>
                    <w:tr2bl w:val="nil"/>
                  </w:tcBorders>
                  <w:vAlign w:val="center"/>
                </w:tcPr>
                <w:p w14:paraId="76A98B86">
                  <w:pPr>
                    <w:pStyle w:val="63"/>
                    <w:tabs>
                      <w:tab w:val="left" w:pos="1021"/>
                    </w:tabs>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监控位置</w:t>
                  </w:r>
                </w:p>
              </w:tc>
            </w:tr>
            <w:tr w14:paraId="58766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3" w:type="pct"/>
                  <w:vMerge w:val="restart"/>
                  <w:tcBorders>
                    <w:tl2br w:val="nil"/>
                    <w:tr2bl w:val="nil"/>
                  </w:tcBorders>
                  <w:vAlign w:val="center"/>
                </w:tcPr>
                <w:p w14:paraId="33B2AB97">
                  <w:pPr>
                    <w:pStyle w:val="63"/>
                    <w:tabs>
                      <w:tab w:val="left" w:pos="1021"/>
                    </w:tabs>
                    <w:bidi w:val="0"/>
                    <w:jc w:val="center"/>
                    <w:rPr>
                      <w:rFonts w:hint="default" w:ascii="Times New Roman" w:hAnsi="Times New Roman"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NMHC</w:t>
                  </w:r>
                </w:p>
              </w:tc>
              <w:tc>
                <w:tcPr>
                  <w:tcW w:w="1010" w:type="pct"/>
                  <w:tcBorders>
                    <w:tl2br w:val="nil"/>
                    <w:tr2bl w:val="nil"/>
                  </w:tcBorders>
                  <w:vAlign w:val="center"/>
                </w:tcPr>
                <w:p w14:paraId="3BC08F03">
                  <w:pPr>
                    <w:pStyle w:val="63"/>
                    <w:tabs>
                      <w:tab w:val="left" w:pos="1021"/>
                    </w:tabs>
                    <w:bidi w:val="0"/>
                    <w:jc w:val="center"/>
                    <w:rPr>
                      <w:rFonts w:hint="default" w:ascii="Times New Roman" w:hAnsi="Times New Roman"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6</w:t>
                  </w:r>
                </w:p>
              </w:tc>
              <w:tc>
                <w:tcPr>
                  <w:tcW w:w="1642" w:type="pct"/>
                  <w:tcBorders>
                    <w:tl2br w:val="nil"/>
                    <w:tr2bl w:val="nil"/>
                  </w:tcBorders>
                  <w:vAlign w:val="center"/>
                </w:tcPr>
                <w:p w14:paraId="683208A3">
                  <w:pPr>
                    <w:pStyle w:val="63"/>
                    <w:tabs>
                      <w:tab w:val="left" w:pos="1021"/>
                    </w:tabs>
                    <w:bidi w:val="0"/>
                    <w:jc w:val="center"/>
                    <w:rPr>
                      <w:rFonts w:hint="default" w:ascii="Times New Roman" w:hAnsi="Times New Roman"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监控点处1h平均浓度值</w:t>
                  </w:r>
                </w:p>
              </w:tc>
              <w:tc>
                <w:tcPr>
                  <w:tcW w:w="1514" w:type="pct"/>
                  <w:vMerge w:val="restart"/>
                  <w:tcBorders>
                    <w:tl2br w:val="nil"/>
                    <w:tr2bl w:val="nil"/>
                  </w:tcBorders>
                  <w:vAlign w:val="center"/>
                </w:tcPr>
                <w:p w14:paraId="1A8D4ADC">
                  <w:pPr>
                    <w:pStyle w:val="63"/>
                    <w:tabs>
                      <w:tab w:val="left" w:pos="1021"/>
                    </w:tabs>
                    <w:bidi w:val="0"/>
                    <w:jc w:val="center"/>
                    <w:rPr>
                      <w:rFonts w:hint="default" w:ascii="Times New Roman" w:hAnsi="Times New Roman" w:eastAsia="宋体" w:cs="Times New Roman"/>
                      <w:b w:val="0"/>
                      <w:bCs w:val="0"/>
                      <w:color w:val="auto"/>
                      <w:highlight w:val="none"/>
                      <w:u w:val="none" w:color="auto"/>
                      <w:lang w:val="en-US" w:eastAsia="zh-CN"/>
                    </w:rPr>
                  </w:pPr>
                  <w:r>
                    <w:rPr>
                      <w:rFonts w:hint="eastAsia" w:ascii="Times New Roman" w:hAnsi="Times New Roman" w:cs="Times New Roman"/>
                      <w:b w:val="0"/>
                      <w:bCs w:val="0"/>
                      <w:color w:val="auto"/>
                      <w:highlight w:val="none"/>
                      <w:u w:val="none" w:color="auto"/>
                      <w:lang w:val="en-US" w:eastAsia="zh-CN"/>
                    </w:rPr>
                    <w:t>厂区内无组织排放监控点</w:t>
                  </w:r>
                </w:p>
              </w:tc>
            </w:tr>
            <w:tr w14:paraId="75BFE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3" w:type="pct"/>
                  <w:vMerge w:val="continue"/>
                  <w:tcBorders>
                    <w:tl2br w:val="nil"/>
                    <w:tr2bl w:val="nil"/>
                  </w:tcBorders>
                  <w:vAlign w:val="center"/>
                </w:tcPr>
                <w:p w14:paraId="16D9B453">
                  <w:pPr>
                    <w:pStyle w:val="63"/>
                    <w:tabs>
                      <w:tab w:val="left" w:pos="1021"/>
                    </w:tabs>
                    <w:bidi w:val="0"/>
                    <w:jc w:val="center"/>
                    <w:rPr>
                      <w:rFonts w:hint="default" w:ascii="Times New Roman" w:hAnsi="Times New Roman" w:cs="Times New Roman"/>
                      <w:b w:val="0"/>
                      <w:bCs w:val="0"/>
                      <w:color w:val="auto"/>
                      <w:highlight w:val="none"/>
                      <w:u w:val="none" w:color="auto"/>
                      <w:lang w:val="en-US" w:eastAsia="zh-CN"/>
                    </w:rPr>
                  </w:pPr>
                </w:p>
              </w:tc>
              <w:tc>
                <w:tcPr>
                  <w:tcW w:w="1010" w:type="pct"/>
                  <w:tcBorders>
                    <w:tl2br w:val="nil"/>
                    <w:tr2bl w:val="nil"/>
                  </w:tcBorders>
                  <w:vAlign w:val="center"/>
                </w:tcPr>
                <w:p w14:paraId="0ECE788E">
                  <w:pPr>
                    <w:pStyle w:val="63"/>
                    <w:tabs>
                      <w:tab w:val="left" w:pos="1021"/>
                    </w:tabs>
                    <w:bidi w:val="0"/>
                    <w:jc w:val="center"/>
                    <w:rPr>
                      <w:rFonts w:hint="default" w:ascii="Times New Roman" w:hAnsi="Times New Roman"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20</w:t>
                  </w:r>
                </w:p>
              </w:tc>
              <w:tc>
                <w:tcPr>
                  <w:tcW w:w="1642" w:type="pct"/>
                  <w:tcBorders>
                    <w:tl2br w:val="nil"/>
                    <w:tr2bl w:val="nil"/>
                  </w:tcBorders>
                  <w:vAlign w:val="center"/>
                </w:tcPr>
                <w:p w14:paraId="731A7267">
                  <w:pPr>
                    <w:pStyle w:val="63"/>
                    <w:tabs>
                      <w:tab w:val="left" w:pos="1021"/>
                    </w:tabs>
                    <w:bidi w:val="0"/>
                    <w:jc w:val="center"/>
                    <w:rPr>
                      <w:rFonts w:hint="default" w:ascii="Times New Roman" w:hAnsi="Times New Roman" w:cs="Times New Roman"/>
                      <w:b w:val="0"/>
                      <w:bCs w:val="0"/>
                      <w:color w:val="auto"/>
                      <w:highlight w:val="none"/>
                      <w:u w:val="none" w:color="auto"/>
                      <w:lang w:val="en-US" w:eastAsia="zh-CN"/>
                    </w:rPr>
                  </w:pPr>
                  <w:r>
                    <w:rPr>
                      <w:rFonts w:hint="default" w:ascii="Times New Roman" w:hAnsi="Times New Roman" w:cs="Times New Roman"/>
                      <w:b w:val="0"/>
                      <w:bCs w:val="0"/>
                      <w:color w:val="auto"/>
                      <w:highlight w:val="none"/>
                      <w:u w:val="none" w:color="auto"/>
                      <w:lang w:val="en-US" w:eastAsia="zh-CN"/>
                    </w:rPr>
                    <w:t>监控点处任意一次浓度值</w:t>
                  </w:r>
                </w:p>
              </w:tc>
              <w:tc>
                <w:tcPr>
                  <w:tcW w:w="1514" w:type="pct"/>
                  <w:vMerge w:val="continue"/>
                  <w:tcBorders>
                    <w:tl2br w:val="nil"/>
                    <w:tr2bl w:val="nil"/>
                  </w:tcBorders>
                  <w:vAlign w:val="center"/>
                </w:tcPr>
                <w:p w14:paraId="129DD2F4">
                  <w:pPr>
                    <w:pStyle w:val="63"/>
                    <w:tabs>
                      <w:tab w:val="left" w:pos="1021"/>
                    </w:tabs>
                    <w:bidi w:val="0"/>
                    <w:jc w:val="center"/>
                    <w:rPr>
                      <w:rFonts w:hint="default" w:ascii="Times New Roman" w:hAnsi="Times New Roman" w:cs="Times New Roman"/>
                      <w:b w:val="0"/>
                      <w:bCs w:val="0"/>
                      <w:color w:val="auto"/>
                      <w:highlight w:val="none"/>
                      <w:u w:val="none" w:color="auto"/>
                    </w:rPr>
                  </w:pPr>
                </w:p>
              </w:tc>
            </w:tr>
          </w:tbl>
          <w:p w14:paraId="507F27F6">
            <w:pPr>
              <w:pStyle w:val="63"/>
              <w:tabs>
                <w:tab w:val="left" w:pos="1021"/>
              </w:tabs>
              <w:bidi w:val="0"/>
              <w:jc w:val="center"/>
              <w:rPr>
                <w:rFonts w:hint="default" w:ascii="Times New Roman" w:hAnsi="Times New Roman"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表3-8   《大气污染物综合排放标准》（GB16297-1996）</w:t>
            </w:r>
          </w:p>
          <w:tbl>
            <w:tblPr>
              <w:tblStyle w:val="34"/>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2855"/>
              <w:gridCol w:w="2381"/>
            </w:tblGrid>
            <w:tr w14:paraId="4DF42C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17" w:type="dxa"/>
                  <w:vMerge w:val="restart"/>
                  <w:tcBorders>
                    <w:tl2br w:val="nil"/>
                    <w:tr2bl w:val="nil"/>
                  </w:tcBorders>
                  <w:vAlign w:val="center"/>
                </w:tcPr>
                <w:p w14:paraId="6086A440">
                  <w:pPr>
                    <w:pStyle w:val="104"/>
                    <w:jc w:val="center"/>
                    <w:rPr>
                      <w:rFonts w:hint="default" w:ascii="Times New Roman" w:hAnsi="Times New Roman" w:cs="Times New Roman"/>
                      <w:color w:val="auto"/>
                      <w:highlight w:val="none"/>
                      <w:u w:val="none" w:color="auto"/>
                      <w:vertAlign w:val="baseline"/>
                      <w:lang w:val="en-US" w:eastAsia="zh-CN"/>
                    </w:rPr>
                  </w:pPr>
                  <w:r>
                    <w:rPr>
                      <w:rFonts w:hint="default" w:ascii="Times New Roman" w:hAnsi="Times New Roman" w:cs="Times New Roman"/>
                      <w:color w:val="auto"/>
                      <w:highlight w:val="none"/>
                      <w:u w:val="none" w:color="auto"/>
                      <w:vertAlign w:val="baseline"/>
                      <w:lang w:val="en-US" w:eastAsia="zh-CN"/>
                    </w:rPr>
                    <w:t>污染物</w:t>
                  </w:r>
                </w:p>
              </w:tc>
              <w:tc>
                <w:tcPr>
                  <w:tcW w:w="5236" w:type="dxa"/>
                  <w:gridSpan w:val="2"/>
                  <w:tcBorders>
                    <w:tl2br w:val="nil"/>
                    <w:tr2bl w:val="nil"/>
                  </w:tcBorders>
                </w:tcPr>
                <w:p w14:paraId="38562CAC">
                  <w:pPr>
                    <w:pStyle w:val="104"/>
                    <w:rPr>
                      <w:rFonts w:hint="default" w:ascii="Times New Roman" w:hAnsi="Times New Roman" w:cs="Times New Roman"/>
                      <w:color w:val="auto"/>
                      <w:highlight w:val="none"/>
                      <w:u w:val="none" w:color="auto"/>
                      <w:vertAlign w:val="baseline"/>
                      <w:lang w:val="en-US" w:eastAsia="zh-CN"/>
                    </w:rPr>
                  </w:pPr>
                  <w:r>
                    <w:rPr>
                      <w:rFonts w:hint="default" w:ascii="Times New Roman" w:hAnsi="Times New Roman" w:cs="Times New Roman"/>
                      <w:color w:val="auto"/>
                      <w:highlight w:val="none"/>
                      <w:u w:val="none" w:color="auto"/>
                      <w:vertAlign w:val="baseline"/>
                      <w:lang w:val="en-US" w:eastAsia="zh-CN"/>
                    </w:rPr>
                    <w:t>无组织排放监控浓度限值</w:t>
                  </w:r>
                </w:p>
              </w:tc>
            </w:tr>
            <w:tr w14:paraId="77F37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17" w:type="dxa"/>
                  <w:vMerge w:val="continue"/>
                  <w:tcBorders>
                    <w:tl2br w:val="nil"/>
                    <w:tr2bl w:val="nil"/>
                  </w:tcBorders>
                </w:tcPr>
                <w:p w14:paraId="6010EAC4">
                  <w:pPr>
                    <w:pStyle w:val="104"/>
                    <w:rPr>
                      <w:rFonts w:hint="default" w:ascii="Times New Roman" w:hAnsi="Times New Roman" w:cs="Times New Roman"/>
                      <w:color w:val="auto"/>
                      <w:highlight w:val="none"/>
                      <w:u w:val="none" w:color="auto"/>
                      <w:vertAlign w:val="baseline"/>
                      <w:lang w:val="en-US" w:eastAsia="zh-CN"/>
                    </w:rPr>
                  </w:pPr>
                </w:p>
              </w:tc>
              <w:tc>
                <w:tcPr>
                  <w:tcW w:w="2855" w:type="dxa"/>
                  <w:tcBorders>
                    <w:tl2br w:val="nil"/>
                    <w:tr2bl w:val="nil"/>
                  </w:tcBorders>
                </w:tcPr>
                <w:p w14:paraId="25BF0296">
                  <w:pPr>
                    <w:pStyle w:val="104"/>
                    <w:rPr>
                      <w:rFonts w:hint="default" w:ascii="Times New Roman" w:hAnsi="Times New Roman" w:cs="Times New Roman"/>
                      <w:color w:val="auto"/>
                      <w:highlight w:val="none"/>
                      <w:u w:val="none" w:color="auto"/>
                      <w:vertAlign w:val="baseline"/>
                      <w:lang w:val="en-US" w:eastAsia="zh-CN"/>
                    </w:rPr>
                  </w:pPr>
                  <w:r>
                    <w:rPr>
                      <w:rFonts w:hint="default" w:ascii="Times New Roman" w:hAnsi="Times New Roman" w:cs="Times New Roman"/>
                      <w:color w:val="auto"/>
                      <w:highlight w:val="none"/>
                      <w:u w:val="none" w:color="auto"/>
                      <w:vertAlign w:val="baseline"/>
                      <w:lang w:val="en-US" w:eastAsia="zh-CN"/>
                    </w:rPr>
                    <w:t>监控点</w:t>
                  </w:r>
                </w:p>
              </w:tc>
              <w:tc>
                <w:tcPr>
                  <w:tcW w:w="2381" w:type="dxa"/>
                  <w:tcBorders>
                    <w:tl2br w:val="nil"/>
                    <w:tr2bl w:val="nil"/>
                  </w:tcBorders>
                </w:tcPr>
                <w:p w14:paraId="39D950EE">
                  <w:pPr>
                    <w:pStyle w:val="104"/>
                    <w:rPr>
                      <w:rFonts w:hint="default" w:ascii="Times New Roman" w:hAnsi="Times New Roman" w:cs="Times New Roman"/>
                      <w:color w:val="auto"/>
                      <w:highlight w:val="none"/>
                      <w:u w:val="none" w:color="auto"/>
                      <w:vertAlign w:val="baseline"/>
                      <w:lang w:val="en-US" w:eastAsia="zh-CN"/>
                    </w:rPr>
                  </w:pPr>
                  <w:r>
                    <w:rPr>
                      <w:rFonts w:hint="default" w:ascii="Times New Roman" w:hAnsi="Times New Roman" w:cs="Times New Roman"/>
                      <w:color w:val="auto"/>
                      <w:highlight w:val="none"/>
                      <w:u w:val="none" w:color="auto"/>
                      <w:vertAlign w:val="baseline"/>
                      <w:lang w:val="en-US" w:eastAsia="zh-CN"/>
                    </w:rPr>
                    <w:t>浓度</w:t>
                  </w:r>
                  <w:r>
                    <w:rPr>
                      <w:rFonts w:hint="default" w:ascii="Times New Roman" w:hAnsi="Times New Roman" w:cs="Times New Roman"/>
                      <w:b/>
                      <w:bCs/>
                      <w:color w:val="auto"/>
                      <w:highlight w:val="none"/>
                      <w:u w:val="none" w:color="auto"/>
                      <w:lang w:val="en-US" w:eastAsia="zh-CN"/>
                    </w:rPr>
                    <w:t>（mg/m</w:t>
                  </w:r>
                  <w:r>
                    <w:rPr>
                      <w:rFonts w:hint="default" w:ascii="Times New Roman" w:hAnsi="Times New Roman" w:cs="Times New Roman"/>
                      <w:b/>
                      <w:bCs/>
                      <w:color w:val="auto"/>
                      <w:highlight w:val="none"/>
                      <w:u w:val="none" w:color="auto"/>
                      <w:vertAlign w:val="superscript"/>
                      <w:lang w:val="en-US" w:eastAsia="zh-CN"/>
                    </w:rPr>
                    <w:t>3</w:t>
                  </w:r>
                  <w:r>
                    <w:rPr>
                      <w:rFonts w:hint="default" w:ascii="Times New Roman" w:hAnsi="Times New Roman" w:cs="Times New Roman"/>
                      <w:b/>
                      <w:bCs/>
                      <w:color w:val="auto"/>
                      <w:highlight w:val="none"/>
                      <w:u w:val="none" w:color="auto"/>
                      <w:lang w:val="en-US" w:eastAsia="zh-CN"/>
                    </w:rPr>
                    <w:t>）</w:t>
                  </w:r>
                </w:p>
              </w:tc>
            </w:tr>
            <w:tr w14:paraId="624A50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17" w:type="dxa"/>
                  <w:tcBorders>
                    <w:tl2br w:val="nil"/>
                    <w:tr2bl w:val="nil"/>
                  </w:tcBorders>
                </w:tcPr>
                <w:p w14:paraId="5F8B50BF">
                  <w:pPr>
                    <w:pStyle w:val="104"/>
                    <w:rPr>
                      <w:rFonts w:hint="default" w:ascii="Times New Roman" w:hAnsi="Times New Roman" w:cs="Times New Roman"/>
                      <w:color w:val="auto"/>
                      <w:highlight w:val="none"/>
                      <w:u w:val="none" w:color="auto"/>
                      <w:vertAlign w:val="baseline"/>
                      <w:lang w:val="en-US" w:eastAsia="zh-CN"/>
                    </w:rPr>
                  </w:pPr>
                  <w:r>
                    <w:rPr>
                      <w:rFonts w:hint="default" w:ascii="Times New Roman" w:hAnsi="Times New Roman" w:cs="Times New Roman"/>
                      <w:b w:val="0"/>
                      <w:bCs w:val="0"/>
                      <w:color w:val="auto"/>
                      <w:highlight w:val="none"/>
                      <w:u w:val="none" w:color="auto"/>
                      <w:lang w:val="en-US" w:eastAsia="zh-CN"/>
                    </w:rPr>
                    <w:t>非甲烷总烃</w:t>
                  </w:r>
                </w:p>
              </w:tc>
              <w:tc>
                <w:tcPr>
                  <w:tcW w:w="2855" w:type="dxa"/>
                  <w:tcBorders>
                    <w:tl2br w:val="nil"/>
                    <w:tr2bl w:val="nil"/>
                  </w:tcBorders>
                </w:tcPr>
                <w:p w14:paraId="67329D7E">
                  <w:pPr>
                    <w:pStyle w:val="104"/>
                    <w:rPr>
                      <w:rFonts w:hint="default" w:ascii="Times New Roman" w:hAnsi="Times New Roman" w:cs="Times New Roman"/>
                      <w:b w:val="0"/>
                      <w:bCs/>
                      <w:color w:val="auto"/>
                      <w:highlight w:val="none"/>
                      <w:u w:val="none" w:color="auto"/>
                      <w:vertAlign w:val="baseline"/>
                      <w:lang w:val="en-US" w:eastAsia="zh-CN"/>
                    </w:rPr>
                  </w:pPr>
                  <w:r>
                    <w:rPr>
                      <w:rFonts w:hint="default" w:ascii="Times New Roman" w:hAnsi="Times New Roman" w:cs="Times New Roman"/>
                      <w:b w:val="0"/>
                      <w:bCs/>
                      <w:color w:val="auto"/>
                      <w:highlight w:val="none"/>
                      <w:u w:val="none" w:color="auto"/>
                      <w:vertAlign w:val="baseline"/>
                      <w:lang w:val="en-US" w:eastAsia="zh-CN"/>
                    </w:rPr>
                    <w:t>周界外浓度最高点</w:t>
                  </w:r>
                </w:p>
              </w:tc>
              <w:tc>
                <w:tcPr>
                  <w:tcW w:w="2381" w:type="dxa"/>
                  <w:tcBorders>
                    <w:tl2br w:val="nil"/>
                    <w:tr2bl w:val="nil"/>
                  </w:tcBorders>
                </w:tcPr>
                <w:p w14:paraId="40DF63BF">
                  <w:pPr>
                    <w:pStyle w:val="104"/>
                    <w:rPr>
                      <w:rFonts w:hint="default" w:ascii="Times New Roman" w:hAnsi="Times New Roman" w:cs="Times New Roman"/>
                      <w:b w:val="0"/>
                      <w:bCs/>
                      <w:color w:val="auto"/>
                      <w:highlight w:val="none"/>
                      <w:u w:val="none" w:color="auto"/>
                      <w:vertAlign w:val="baseline"/>
                      <w:lang w:val="en-US" w:eastAsia="zh-CN"/>
                    </w:rPr>
                  </w:pPr>
                  <w:r>
                    <w:rPr>
                      <w:rFonts w:hint="default" w:ascii="Times New Roman" w:hAnsi="Times New Roman" w:cs="Times New Roman"/>
                      <w:b w:val="0"/>
                      <w:bCs/>
                      <w:color w:val="auto"/>
                      <w:highlight w:val="none"/>
                      <w:u w:val="none" w:color="auto"/>
                      <w:vertAlign w:val="baseline"/>
                      <w:lang w:val="en-US" w:eastAsia="zh-CN"/>
                    </w:rPr>
                    <w:t>4.0</w:t>
                  </w:r>
                </w:p>
              </w:tc>
            </w:tr>
          </w:tbl>
          <w:p w14:paraId="638D1187">
            <w:pPr>
              <w:pStyle w:val="63"/>
              <w:tabs>
                <w:tab w:val="left" w:pos="1021"/>
              </w:tabs>
              <w:bidi w:val="0"/>
              <w:jc w:val="center"/>
              <w:rPr>
                <w:rFonts w:hint="default" w:ascii="Times New Roman" w:hAnsi="Times New Roman"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表3-9   恶臭废气污染物排放标准（GB14554-1993）</w:t>
            </w:r>
          </w:p>
          <w:tbl>
            <w:tblPr>
              <w:tblStyle w:val="34"/>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36"/>
              <w:gridCol w:w="2786"/>
              <w:gridCol w:w="3331"/>
            </w:tblGrid>
            <w:tr w14:paraId="2A829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36" w:type="dxa"/>
                  <w:tcBorders>
                    <w:tl2br w:val="nil"/>
                    <w:tr2bl w:val="nil"/>
                  </w:tcBorders>
                  <w:vAlign w:val="center"/>
                </w:tcPr>
                <w:p w14:paraId="05EC5D04">
                  <w:pPr>
                    <w:pStyle w:val="63"/>
                    <w:tabs>
                      <w:tab w:val="left" w:pos="1021"/>
                    </w:tabs>
                    <w:bidi w:val="0"/>
                    <w:ind w:firstLine="0" w:firstLineChars="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污染物</w:t>
                  </w:r>
                </w:p>
              </w:tc>
              <w:tc>
                <w:tcPr>
                  <w:tcW w:w="2786" w:type="dxa"/>
                  <w:tcBorders>
                    <w:tl2br w:val="nil"/>
                    <w:tr2bl w:val="nil"/>
                  </w:tcBorders>
                  <w:vAlign w:val="center"/>
                </w:tcPr>
                <w:p w14:paraId="4D7D2356">
                  <w:pPr>
                    <w:pStyle w:val="63"/>
                    <w:tabs>
                      <w:tab w:val="left" w:pos="1021"/>
                    </w:tabs>
                    <w:bidi w:val="0"/>
                    <w:ind w:firstLine="0" w:firstLineChars="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b/>
                      <w:bCs/>
                      <w:color w:val="auto"/>
                      <w:highlight w:val="none"/>
                      <w:u w:val="none" w:color="auto"/>
                    </w:rPr>
                    <w:t>最高允许排放监控浓度限值</w:t>
                  </w:r>
                </w:p>
              </w:tc>
              <w:tc>
                <w:tcPr>
                  <w:tcW w:w="3331" w:type="dxa"/>
                  <w:tcBorders>
                    <w:tl2br w:val="nil"/>
                    <w:tr2bl w:val="nil"/>
                  </w:tcBorders>
                  <w:vAlign w:val="center"/>
                </w:tcPr>
                <w:p w14:paraId="2CCD236C">
                  <w:pPr>
                    <w:pStyle w:val="63"/>
                    <w:tabs>
                      <w:tab w:val="left" w:pos="1021"/>
                    </w:tabs>
                    <w:bidi w:val="0"/>
                    <w:ind w:firstLine="0" w:firstLineChars="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b/>
                      <w:bCs/>
                      <w:color w:val="auto"/>
                      <w:highlight w:val="none"/>
                      <w:u w:val="none" w:color="auto"/>
                    </w:rPr>
                    <w:t>污染物排放监控位置及要求</w:t>
                  </w:r>
                </w:p>
              </w:tc>
            </w:tr>
            <w:tr w14:paraId="6C7C58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36" w:type="dxa"/>
                  <w:tcBorders>
                    <w:tl2br w:val="nil"/>
                    <w:tr2bl w:val="nil"/>
                  </w:tcBorders>
                  <w:vAlign w:val="center"/>
                </w:tcPr>
                <w:p w14:paraId="0A96580A">
                  <w:pPr>
                    <w:pStyle w:val="63"/>
                    <w:tabs>
                      <w:tab w:val="left" w:pos="1021"/>
                    </w:tabs>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臭气浓度</w:t>
                  </w:r>
                </w:p>
              </w:tc>
              <w:tc>
                <w:tcPr>
                  <w:tcW w:w="2786" w:type="dxa"/>
                  <w:tcBorders>
                    <w:tl2br w:val="nil"/>
                    <w:tr2bl w:val="nil"/>
                  </w:tcBorders>
                  <w:vAlign w:val="center"/>
                </w:tcPr>
                <w:p w14:paraId="76040F94">
                  <w:pPr>
                    <w:pStyle w:val="63"/>
                    <w:tabs>
                      <w:tab w:val="left" w:pos="1021"/>
                    </w:tabs>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20（无量纲）</w:t>
                  </w:r>
                </w:p>
              </w:tc>
              <w:tc>
                <w:tcPr>
                  <w:tcW w:w="3331" w:type="dxa"/>
                  <w:tcBorders>
                    <w:tl2br w:val="nil"/>
                    <w:tr2bl w:val="nil"/>
                  </w:tcBorders>
                  <w:vAlign w:val="center"/>
                </w:tcPr>
                <w:p w14:paraId="0896FD9F">
                  <w:pPr>
                    <w:pStyle w:val="63"/>
                    <w:tabs>
                      <w:tab w:val="left" w:pos="1021"/>
                    </w:tabs>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厂界</w:t>
                  </w:r>
                </w:p>
              </w:tc>
            </w:tr>
          </w:tbl>
          <w:p w14:paraId="6EFB6E9B">
            <w:pPr>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2、废水污染物</w:t>
            </w:r>
          </w:p>
          <w:p w14:paraId="03D3AB18">
            <w:pPr>
              <w:widowControl/>
              <w:spacing w:line="360" w:lineRule="auto"/>
              <w:ind w:firstLine="360" w:firstLineChars="150"/>
              <w:rPr>
                <w:rFonts w:hint="eastAsia" w:ascii="Times New Roman" w:hAnsi="Times New Roman" w:eastAsia="宋体" w:cs="Times New Roman"/>
                <w:color w:val="auto"/>
                <w:sz w:val="24"/>
                <w:u w:val="none"/>
              </w:rPr>
            </w:pPr>
            <w:r>
              <w:rPr>
                <w:rFonts w:hint="eastAsia" w:ascii="Times New Roman" w:hAnsi="Times New Roman" w:eastAsia="宋体" w:cs="Times New Roman"/>
                <w:color w:val="auto"/>
                <w:sz w:val="24"/>
                <w:u w:val="none"/>
              </w:rPr>
              <w:t>本项目运营期无外排生产废水，生活污水经</w:t>
            </w:r>
            <w:r>
              <w:rPr>
                <w:rFonts w:hint="eastAsia" w:ascii="Times New Roman" w:hAnsi="Times New Roman" w:eastAsia="宋体" w:cs="Times New Roman"/>
                <w:color w:val="auto"/>
                <w:sz w:val="24"/>
                <w:u w:val="none"/>
                <w:lang w:val="en-US" w:eastAsia="zh-CN"/>
              </w:rPr>
              <w:t>化粪池</w:t>
            </w:r>
            <w:r>
              <w:rPr>
                <w:rFonts w:hint="eastAsia" w:ascii="Times New Roman" w:hAnsi="Times New Roman" w:eastAsia="宋体" w:cs="Times New Roman"/>
                <w:color w:val="auto"/>
                <w:sz w:val="24"/>
                <w:u w:val="none"/>
              </w:rPr>
              <w:t>处理后用作</w:t>
            </w:r>
            <w:r>
              <w:rPr>
                <w:rFonts w:hint="eastAsia" w:ascii="Times New Roman" w:hAnsi="Times New Roman" w:eastAsia="宋体" w:cs="Times New Roman"/>
                <w:color w:val="auto"/>
                <w:sz w:val="24"/>
                <w:u w:val="none"/>
                <w:lang w:val="en-US" w:eastAsia="zh-CN"/>
              </w:rPr>
              <w:t>农田施肥</w:t>
            </w:r>
            <w:r>
              <w:rPr>
                <w:rFonts w:hint="eastAsia" w:ascii="Times New Roman" w:hAnsi="Times New Roman" w:eastAsia="宋体" w:cs="Times New Roman"/>
                <w:color w:val="auto"/>
                <w:sz w:val="24"/>
                <w:u w:val="none"/>
              </w:rPr>
              <w:t>，不直接排入外环境。</w:t>
            </w:r>
          </w:p>
          <w:p w14:paraId="754BC5CC">
            <w:pPr>
              <w:adjustRightInd w:val="0"/>
              <w:snapToGrid w:val="0"/>
              <w:spacing w:line="360" w:lineRule="auto"/>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3、噪声</w:t>
            </w:r>
          </w:p>
          <w:p w14:paraId="5D411CB3">
            <w:pPr>
              <w:widowControl/>
              <w:spacing w:line="360" w:lineRule="auto"/>
              <w:ind w:firstLine="360" w:firstLineChars="150"/>
              <w:rPr>
                <w:color w:val="auto"/>
                <w:sz w:val="24"/>
              </w:rPr>
            </w:pPr>
            <w:r>
              <w:rPr>
                <w:color w:val="auto"/>
                <w:sz w:val="24"/>
              </w:rPr>
              <w:t>项目运营期厂界噪声执行《工业企业厂界环境噪声排放标准》（GB12348-2008）中的</w:t>
            </w:r>
            <w:r>
              <w:rPr>
                <w:rFonts w:hint="eastAsia"/>
                <w:color w:val="auto"/>
                <w:sz w:val="24"/>
                <w:lang w:val="en-US" w:eastAsia="zh-CN"/>
              </w:rPr>
              <w:t>2</w:t>
            </w:r>
            <w:r>
              <w:rPr>
                <w:color w:val="auto"/>
                <w:sz w:val="24"/>
              </w:rPr>
              <w:t>类标准。</w:t>
            </w:r>
          </w:p>
          <w:p w14:paraId="0C381E82">
            <w:pPr>
              <w:widowControl/>
              <w:jc w:val="center"/>
              <w:rPr>
                <w:b/>
                <w:bCs/>
                <w:color w:val="auto"/>
                <w:kern w:val="0"/>
                <w:sz w:val="21"/>
                <w:szCs w:val="21"/>
              </w:rPr>
            </w:pPr>
            <w:r>
              <w:rPr>
                <w:b/>
                <w:bCs/>
                <w:color w:val="auto"/>
                <w:kern w:val="0"/>
                <w:sz w:val="21"/>
                <w:szCs w:val="21"/>
              </w:rPr>
              <w:t>表3-</w:t>
            </w:r>
            <w:r>
              <w:rPr>
                <w:rFonts w:hint="eastAsia"/>
                <w:b/>
                <w:bCs/>
                <w:color w:val="auto"/>
                <w:kern w:val="0"/>
                <w:sz w:val="21"/>
                <w:szCs w:val="21"/>
                <w:lang w:val="en-US" w:eastAsia="zh-CN"/>
              </w:rPr>
              <w:t xml:space="preserve">10 </w:t>
            </w:r>
            <w:r>
              <w:rPr>
                <w:b/>
                <w:bCs/>
                <w:color w:val="auto"/>
                <w:kern w:val="0"/>
                <w:sz w:val="21"/>
                <w:szCs w:val="21"/>
              </w:rPr>
              <w:t xml:space="preserve"> 项目噪声排放标准</w:t>
            </w:r>
          </w:p>
          <w:tbl>
            <w:tblPr>
              <w:tblStyle w:val="33"/>
              <w:tblW w:w="80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796"/>
              <w:gridCol w:w="2264"/>
            </w:tblGrid>
            <w:tr w14:paraId="79B77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7" w:hRule="atLeast"/>
                <w:jc w:val="center"/>
              </w:trPr>
              <w:tc>
                <w:tcPr>
                  <w:tcW w:w="5796" w:type="dxa"/>
                  <w:vMerge w:val="restart"/>
                  <w:noWrap w:val="0"/>
                  <w:vAlign w:val="center"/>
                </w:tcPr>
                <w:p w14:paraId="0F0B0302">
                  <w:pPr>
                    <w:adjustRightInd w:val="0"/>
                    <w:snapToGrid w:val="0"/>
                    <w:jc w:val="center"/>
                    <w:rPr>
                      <w:b/>
                      <w:color w:val="auto"/>
                      <w:szCs w:val="21"/>
                    </w:rPr>
                  </w:pPr>
                  <w:r>
                    <w:rPr>
                      <w:b/>
                      <w:color w:val="auto"/>
                      <w:szCs w:val="21"/>
                    </w:rPr>
                    <w:t>执行标准</w:t>
                  </w:r>
                </w:p>
              </w:tc>
              <w:tc>
                <w:tcPr>
                  <w:tcW w:w="2264" w:type="dxa"/>
                  <w:noWrap w:val="0"/>
                  <w:vAlign w:val="center"/>
                </w:tcPr>
                <w:p w14:paraId="4DBB67C9">
                  <w:pPr>
                    <w:adjustRightInd w:val="0"/>
                    <w:snapToGrid w:val="0"/>
                    <w:jc w:val="center"/>
                    <w:rPr>
                      <w:b/>
                      <w:color w:val="auto"/>
                      <w:szCs w:val="21"/>
                    </w:rPr>
                  </w:pPr>
                  <w:r>
                    <w:rPr>
                      <w:b/>
                      <w:color w:val="auto"/>
                      <w:szCs w:val="21"/>
                    </w:rPr>
                    <w:t>标准值dB(A)</w:t>
                  </w:r>
                </w:p>
              </w:tc>
            </w:tr>
            <w:tr w14:paraId="21B5E6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1" w:hRule="atLeast"/>
                <w:jc w:val="center"/>
              </w:trPr>
              <w:tc>
                <w:tcPr>
                  <w:tcW w:w="5796" w:type="dxa"/>
                  <w:vMerge w:val="continue"/>
                  <w:noWrap w:val="0"/>
                  <w:vAlign w:val="center"/>
                </w:tcPr>
                <w:p w14:paraId="6FFE4DF5">
                  <w:pPr>
                    <w:adjustRightInd w:val="0"/>
                    <w:snapToGrid w:val="0"/>
                    <w:jc w:val="center"/>
                    <w:rPr>
                      <w:b/>
                      <w:color w:val="auto"/>
                      <w:szCs w:val="21"/>
                    </w:rPr>
                  </w:pPr>
                </w:p>
              </w:tc>
              <w:tc>
                <w:tcPr>
                  <w:tcW w:w="2264" w:type="dxa"/>
                  <w:noWrap w:val="0"/>
                  <w:vAlign w:val="center"/>
                </w:tcPr>
                <w:p w14:paraId="277DFB11">
                  <w:pPr>
                    <w:adjustRightInd w:val="0"/>
                    <w:snapToGrid w:val="0"/>
                    <w:jc w:val="center"/>
                    <w:rPr>
                      <w:b/>
                      <w:color w:val="auto"/>
                      <w:szCs w:val="21"/>
                    </w:rPr>
                  </w:pPr>
                  <w:r>
                    <w:rPr>
                      <w:b/>
                      <w:color w:val="auto"/>
                      <w:szCs w:val="21"/>
                    </w:rPr>
                    <w:t>昼间</w:t>
                  </w:r>
                </w:p>
              </w:tc>
            </w:tr>
            <w:tr w14:paraId="247C4D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atLeast"/>
                <w:jc w:val="center"/>
              </w:trPr>
              <w:tc>
                <w:tcPr>
                  <w:tcW w:w="5796" w:type="dxa"/>
                  <w:noWrap w:val="0"/>
                  <w:vAlign w:val="center"/>
                </w:tcPr>
                <w:p w14:paraId="0462C45D">
                  <w:pPr>
                    <w:adjustRightInd w:val="0"/>
                    <w:snapToGrid w:val="0"/>
                    <w:jc w:val="center"/>
                    <w:rPr>
                      <w:bCs/>
                      <w:color w:val="auto"/>
                      <w:szCs w:val="21"/>
                    </w:rPr>
                  </w:pPr>
                  <w:r>
                    <w:rPr>
                      <w:bCs/>
                      <w:color w:val="auto"/>
                      <w:szCs w:val="21"/>
                    </w:rPr>
                    <w:t>《工业企业厂界环境噪声排放标准》（GB12348-2008）中的</w:t>
                  </w:r>
                  <w:r>
                    <w:rPr>
                      <w:rFonts w:hint="eastAsia"/>
                      <w:bCs/>
                      <w:color w:val="auto"/>
                      <w:szCs w:val="21"/>
                      <w:lang w:val="en-US" w:eastAsia="zh-CN"/>
                    </w:rPr>
                    <w:t>2</w:t>
                  </w:r>
                  <w:r>
                    <w:rPr>
                      <w:bCs/>
                      <w:color w:val="auto"/>
                      <w:szCs w:val="21"/>
                    </w:rPr>
                    <w:t>类标准</w:t>
                  </w:r>
                </w:p>
              </w:tc>
              <w:tc>
                <w:tcPr>
                  <w:tcW w:w="2264" w:type="dxa"/>
                  <w:noWrap w:val="0"/>
                  <w:vAlign w:val="center"/>
                </w:tcPr>
                <w:p w14:paraId="1CFAE017">
                  <w:pPr>
                    <w:adjustRightInd w:val="0"/>
                    <w:snapToGrid w:val="0"/>
                    <w:jc w:val="center"/>
                    <w:rPr>
                      <w:rFonts w:hint="eastAsia" w:eastAsia="宋体"/>
                      <w:bCs/>
                      <w:color w:val="auto"/>
                      <w:szCs w:val="21"/>
                      <w:lang w:eastAsia="zh-CN"/>
                    </w:rPr>
                  </w:pPr>
                  <w:r>
                    <w:rPr>
                      <w:bCs/>
                      <w:color w:val="auto"/>
                      <w:szCs w:val="21"/>
                    </w:rPr>
                    <w:t>6</w:t>
                  </w:r>
                  <w:r>
                    <w:rPr>
                      <w:rFonts w:hint="eastAsia"/>
                      <w:bCs/>
                      <w:color w:val="auto"/>
                      <w:szCs w:val="21"/>
                      <w:lang w:val="en-US" w:eastAsia="zh-CN"/>
                    </w:rPr>
                    <w:t>0</w:t>
                  </w:r>
                </w:p>
              </w:tc>
            </w:tr>
          </w:tbl>
          <w:p w14:paraId="361A70CA">
            <w:pPr>
              <w:widowControl/>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4、固体废弃物</w:t>
            </w:r>
          </w:p>
          <w:p w14:paraId="73387B1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sz w:val="24"/>
                <w:highlight w:val="none"/>
              </w:rPr>
              <w:t>一般固体废物执行</w:t>
            </w: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HYPERLINK "https://www.so.com/link?m=bMbw+CrH/nUr3S4dzqqRRzVUGCCRb7hSeAkrSqA6/yQsZYFrVljGzEsOsIAK/ZnU6u/h1F+7qOrFcaOehbiU0qnylLeuHM1YO/Q738OmdnxGFw5J5rLH1lWRxQ9LNnDxgZbQqAQ==" \t "https://www.so.com/_blank" </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t>《一般工业固体废物贮存和填埋污染控制标准》</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（GB18599-2020）固体废物控制要求。</w:t>
            </w:r>
            <w:r>
              <w:rPr>
                <w:rFonts w:hint="default" w:ascii="Times New Roman" w:hAnsi="Times New Roman" w:cs="Times New Roman"/>
                <w:color w:val="auto"/>
                <w:kern w:val="0"/>
                <w:sz w:val="24"/>
                <w:highlight w:val="none"/>
              </w:rPr>
              <w:t>危险废物执行《危险废物贮存污染控制标准》(GB18597-2023)的相关要求。</w:t>
            </w:r>
          </w:p>
        </w:tc>
      </w:tr>
      <w:tr w14:paraId="5F0881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917" w:hRule="atLeast"/>
          <w:jc w:val="center"/>
        </w:trPr>
        <w:tc>
          <w:tcPr>
            <w:tcW w:w="800" w:type="dxa"/>
            <w:noWrap w:val="0"/>
            <w:vAlign w:val="center"/>
          </w:tcPr>
          <w:p w14:paraId="5E39CC68">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总量</w:t>
            </w:r>
          </w:p>
          <w:p w14:paraId="77072148">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控制</w:t>
            </w:r>
          </w:p>
          <w:p w14:paraId="1F19AD70">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指标</w:t>
            </w:r>
          </w:p>
        </w:tc>
        <w:tc>
          <w:tcPr>
            <w:tcW w:w="8190" w:type="dxa"/>
            <w:noWrap w:val="0"/>
            <w:vAlign w:val="center"/>
          </w:tcPr>
          <w:p w14:paraId="3A7B5387">
            <w:pPr>
              <w:wordWrap w:val="0"/>
              <w:adjustRightInd w:val="0"/>
              <w:snapToGrid w:val="0"/>
              <w:spacing w:line="360" w:lineRule="auto"/>
              <w:ind w:firstLine="480" w:firstLineChars="200"/>
              <w:jc w:val="left"/>
              <w:rPr>
                <w:rFonts w:hint="default" w:ascii="Times New Roman" w:hAnsi="Times New Roman" w:eastAsia="宋体" w:cs="Times New Roman"/>
                <w:snapToGrid w:val="0"/>
                <w:color w:val="auto"/>
                <w:kern w:val="0"/>
                <w:sz w:val="24"/>
                <w:highlight w:val="none"/>
                <w:u w:val="none"/>
              </w:rPr>
            </w:pPr>
            <w:r>
              <w:rPr>
                <w:rFonts w:hint="default" w:ascii="Times New Roman" w:hAnsi="Times New Roman" w:eastAsia="宋体" w:cs="Times New Roman"/>
                <w:snapToGrid w:val="0"/>
                <w:color w:val="auto"/>
                <w:kern w:val="0"/>
                <w:sz w:val="24"/>
                <w:highlight w:val="none"/>
                <w:u w:val="none"/>
              </w:rPr>
              <w:t>根据《湖南省主要污染物排污权有偿使用和交易实施细则》</w:t>
            </w:r>
            <w:r>
              <w:rPr>
                <w:rFonts w:hint="eastAsia" w:ascii="Times New Roman" w:hAnsi="Times New Roman" w:eastAsia="宋体" w:cs="Times New Roman"/>
                <w:snapToGrid w:val="0"/>
                <w:color w:val="auto"/>
                <w:kern w:val="0"/>
                <w:sz w:val="24"/>
                <w:highlight w:val="none"/>
                <w:u w:val="none"/>
                <w:lang w:eastAsia="zh-CN"/>
              </w:rPr>
              <w:t>（湘政办发〔2022〕23号）</w:t>
            </w:r>
            <w:r>
              <w:rPr>
                <w:rFonts w:hint="eastAsia" w:ascii="Times New Roman" w:hAnsi="Times New Roman" w:eastAsia="宋体" w:cs="Times New Roman"/>
                <w:snapToGrid w:val="0"/>
                <w:color w:val="auto"/>
                <w:kern w:val="0"/>
                <w:sz w:val="24"/>
                <w:highlight w:val="none"/>
                <w:u w:val="none"/>
                <w:lang w:val="en-US" w:eastAsia="zh-CN"/>
              </w:rPr>
              <w:t>规定</w:t>
            </w:r>
            <w:r>
              <w:rPr>
                <w:rFonts w:hint="default" w:ascii="Times New Roman" w:hAnsi="Times New Roman" w:eastAsia="宋体" w:cs="Times New Roman"/>
                <w:snapToGrid w:val="0"/>
                <w:color w:val="auto"/>
                <w:kern w:val="0"/>
                <w:sz w:val="24"/>
                <w:highlight w:val="none"/>
                <w:u w:val="none"/>
                <w:lang w:val="en-US" w:eastAsia="zh-CN"/>
              </w:rPr>
              <w:t>，</w:t>
            </w:r>
            <w:r>
              <w:rPr>
                <w:rFonts w:hint="eastAsia" w:ascii="Times New Roman" w:hAnsi="Times New Roman" w:eastAsia="宋体" w:cs="Times New Roman"/>
                <w:snapToGrid w:val="0"/>
                <w:color w:val="auto"/>
                <w:kern w:val="0"/>
                <w:sz w:val="24"/>
                <w:highlight w:val="none"/>
                <w:u w:val="none"/>
                <w:lang w:val="en-US" w:eastAsia="zh-CN"/>
              </w:rPr>
              <w:t>目</w:t>
            </w:r>
            <w:r>
              <w:rPr>
                <w:rFonts w:hint="default" w:ascii="Times New Roman" w:hAnsi="Times New Roman" w:eastAsia="宋体" w:cs="Times New Roman"/>
                <w:snapToGrid w:val="0"/>
                <w:color w:val="auto"/>
                <w:kern w:val="0"/>
                <w:sz w:val="24"/>
                <w:highlight w:val="none"/>
                <w:u w:val="none"/>
                <w:lang w:val="en-US" w:eastAsia="zh-CN"/>
              </w:rPr>
              <w:t>前湖南省涉及排污权交易的主要污染物有化学需氧量、氨氮、二氧化硫、氮氧化物、挥发性有机物、总磷、铅、镉、砷、汞、铬十一类污染物</w:t>
            </w:r>
            <w:r>
              <w:rPr>
                <w:rFonts w:hint="default" w:ascii="Times New Roman" w:hAnsi="Times New Roman" w:eastAsia="宋体" w:cs="Times New Roman"/>
                <w:snapToGrid w:val="0"/>
                <w:color w:val="auto"/>
                <w:kern w:val="0"/>
                <w:sz w:val="24"/>
                <w:highlight w:val="none"/>
                <w:u w:val="none"/>
              </w:rPr>
              <w:t>。</w:t>
            </w:r>
            <w:r>
              <w:rPr>
                <w:rFonts w:hint="default" w:ascii="Times New Roman" w:hAnsi="Times New Roman" w:eastAsia="宋体" w:cs="Times New Roman"/>
                <w:snapToGrid w:val="0"/>
                <w:color w:val="auto"/>
                <w:kern w:val="0"/>
                <w:sz w:val="24"/>
                <w:highlight w:val="none"/>
                <w:u w:val="none"/>
                <w:lang w:val="en-US" w:eastAsia="zh-CN"/>
              </w:rPr>
              <w:t>在项目取得排污许可证后按照收费标准缴纳有偿使用费</w:t>
            </w:r>
            <w:r>
              <w:rPr>
                <w:rFonts w:hint="default" w:ascii="Times New Roman" w:hAnsi="Times New Roman" w:eastAsia="宋体" w:cs="Times New Roman"/>
                <w:snapToGrid w:val="0"/>
                <w:color w:val="auto"/>
                <w:kern w:val="0"/>
                <w:sz w:val="24"/>
                <w:highlight w:val="none"/>
                <w:u w:val="none"/>
              </w:rPr>
              <w:t>，综合考虑工程项目的工艺特征和排污特点，并结合项目周围环境状况来确定本项目总量控制因子。</w:t>
            </w:r>
          </w:p>
          <w:p w14:paraId="7E1659A1">
            <w:pPr>
              <w:spacing w:line="360" w:lineRule="auto"/>
              <w:ind w:firstLine="482" w:firstLineChars="200"/>
              <w:rPr>
                <w:rFonts w:ascii="Times New Roman" w:hAnsi="Times New Roman" w:cs="Times New Roman"/>
                <w:b/>
                <w:bCs/>
                <w:color w:val="auto"/>
                <w:sz w:val="24"/>
                <w:highlight w:val="none"/>
                <w:u w:val="none"/>
              </w:rPr>
            </w:pPr>
            <w:r>
              <w:rPr>
                <w:rFonts w:ascii="Times New Roman" w:hAnsi="Times New Roman" w:cs="Times New Roman"/>
                <w:b/>
                <w:bCs/>
                <w:color w:val="auto"/>
                <w:sz w:val="24"/>
                <w:highlight w:val="none"/>
                <w:u w:val="none"/>
              </w:rPr>
              <w:t>1、水污染总量控制指标</w:t>
            </w:r>
          </w:p>
          <w:p w14:paraId="0CA4F797">
            <w:pPr>
              <w:snapToGrid w:val="0"/>
              <w:spacing w:line="360" w:lineRule="auto"/>
              <w:ind w:firstLine="480" w:firstLineChars="200"/>
              <w:rPr>
                <w:rFonts w:ascii="Times New Roman" w:hAnsi="Times New Roman" w:eastAsia="宋体" w:cs="Times New Roman"/>
                <w:color w:val="auto"/>
                <w:sz w:val="24"/>
                <w:u w:val="none"/>
              </w:rPr>
            </w:pPr>
            <w:r>
              <w:rPr>
                <w:rFonts w:hint="default" w:ascii="Times New Roman" w:hAnsi="Times New Roman" w:eastAsia="宋体" w:cs="Times New Roman"/>
                <w:color w:val="auto"/>
                <w:sz w:val="24"/>
                <w:u w:val="none"/>
                <w:lang w:val="en-US" w:eastAsia="zh-CN"/>
              </w:rPr>
              <w:t>本项目生活污水经</w:t>
            </w:r>
            <w:r>
              <w:rPr>
                <w:rFonts w:hint="eastAsia" w:ascii="Times New Roman" w:hAnsi="Times New Roman" w:eastAsia="宋体" w:cs="Times New Roman"/>
                <w:color w:val="auto"/>
                <w:sz w:val="24"/>
                <w:u w:val="none"/>
                <w:lang w:val="en-US" w:eastAsia="zh-CN"/>
              </w:rPr>
              <w:t>三级化粪池</w:t>
            </w:r>
            <w:r>
              <w:rPr>
                <w:rFonts w:hint="default" w:ascii="Times New Roman" w:hAnsi="Times New Roman" w:eastAsia="宋体" w:cs="Times New Roman"/>
                <w:color w:val="auto"/>
                <w:sz w:val="24"/>
                <w:u w:val="none"/>
                <w:lang w:val="en-US" w:eastAsia="zh-CN"/>
              </w:rPr>
              <w:t>处理后用作农肥</w:t>
            </w:r>
            <w:r>
              <w:rPr>
                <w:rFonts w:hint="eastAsia" w:ascii="Times New Roman" w:hAnsi="Times New Roman" w:eastAsia="宋体" w:cs="Times New Roman"/>
                <w:color w:val="auto"/>
                <w:sz w:val="24"/>
                <w:u w:val="none"/>
                <w:lang w:val="en-US" w:eastAsia="zh-CN"/>
              </w:rPr>
              <w:t>，不涉及总量控制指标</w:t>
            </w:r>
            <w:r>
              <w:rPr>
                <w:rFonts w:hint="eastAsia" w:ascii="Times New Roman" w:hAnsi="Times New Roman" w:eastAsia="宋体" w:cs="Times New Roman"/>
                <w:color w:val="auto"/>
                <w:sz w:val="24"/>
                <w:u w:val="none"/>
                <w:lang w:eastAsia="zh-CN"/>
              </w:rPr>
              <w:t>。</w:t>
            </w:r>
          </w:p>
          <w:p w14:paraId="43917755">
            <w:pPr>
              <w:spacing w:line="360" w:lineRule="auto"/>
              <w:ind w:firstLine="482" w:firstLineChars="200"/>
              <w:rPr>
                <w:rFonts w:ascii="Times New Roman" w:hAnsi="Times New Roman" w:eastAsia="宋体" w:cs="Times New Roman"/>
                <w:b/>
                <w:bCs/>
                <w:color w:val="auto"/>
                <w:sz w:val="24"/>
                <w:highlight w:val="none"/>
                <w:u w:val="none"/>
              </w:rPr>
            </w:pPr>
            <w:r>
              <w:rPr>
                <w:rFonts w:ascii="Times New Roman" w:hAnsi="Times New Roman" w:eastAsia="宋体" w:cs="Times New Roman"/>
                <w:b/>
                <w:bCs/>
                <w:color w:val="auto"/>
                <w:sz w:val="24"/>
                <w:highlight w:val="none"/>
                <w:u w:val="none"/>
              </w:rPr>
              <w:t>2、大气总量控制指标</w:t>
            </w:r>
          </w:p>
          <w:p w14:paraId="3F5DA494">
            <w:pPr>
              <w:wordWrap w:val="0"/>
              <w:adjustRightInd w:val="0"/>
              <w:snapToGrid w:val="0"/>
              <w:spacing w:line="360" w:lineRule="auto"/>
              <w:ind w:firstLine="480" w:firstLineChars="200"/>
              <w:jc w:val="left"/>
              <w:rPr>
                <w:rFonts w:hint="eastAsia" w:ascii="Times New Roman" w:hAnsi="Times New Roman" w:eastAsia="宋体" w:cs="Times New Roman"/>
                <w:snapToGrid w:val="0"/>
                <w:color w:val="auto"/>
                <w:kern w:val="0"/>
                <w:sz w:val="24"/>
                <w:highlight w:val="none"/>
                <w:u w:val="single" w:color="auto"/>
                <w:lang w:eastAsia="zh-CN"/>
              </w:rPr>
            </w:pPr>
            <w:r>
              <w:rPr>
                <w:rFonts w:hint="default" w:ascii="Times New Roman" w:hAnsi="Times New Roman" w:eastAsia="宋体" w:cs="Times New Roman"/>
                <w:snapToGrid w:val="0"/>
                <w:color w:val="auto"/>
                <w:kern w:val="0"/>
                <w:sz w:val="24"/>
                <w:highlight w:val="none"/>
                <w:u w:val="single" w:color="auto"/>
              </w:rPr>
              <w:t>本项目生产过程中大气污染因子中涉及总量控制指标为二氧</w:t>
            </w:r>
            <w:r>
              <w:rPr>
                <w:rFonts w:hint="eastAsia" w:ascii="Times New Roman" w:hAnsi="Times New Roman" w:eastAsia="宋体" w:cs="Times New Roman"/>
                <w:snapToGrid w:val="0"/>
                <w:color w:val="auto"/>
                <w:kern w:val="0"/>
                <w:sz w:val="24"/>
                <w:highlight w:val="none"/>
                <w:u w:val="single" w:color="auto"/>
              </w:rPr>
              <w:t>化硫</w:t>
            </w:r>
            <w:r>
              <w:rPr>
                <w:rFonts w:hint="default" w:ascii="Times New Roman" w:hAnsi="Times New Roman" w:eastAsia="宋体" w:cs="Times New Roman"/>
                <w:snapToGrid w:val="0"/>
                <w:color w:val="auto"/>
                <w:kern w:val="0"/>
                <w:sz w:val="24"/>
                <w:highlight w:val="none"/>
                <w:u w:val="single" w:color="auto"/>
              </w:rPr>
              <w:t>、氮氧</w:t>
            </w:r>
            <w:r>
              <w:rPr>
                <w:rFonts w:hint="eastAsia" w:ascii="Times New Roman" w:hAnsi="Times New Roman" w:eastAsia="宋体" w:cs="Times New Roman"/>
                <w:snapToGrid w:val="0"/>
                <w:color w:val="auto"/>
                <w:kern w:val="0"/>
                <w:sz w:val="24"/>
                <w:highlight w:val="none"/>
                <w:u w:val="single" w:color="auto"/>
              </w:rPr>
              <w:t>化物，排放量</w:t>
            </w:r>
            <w:r>
              <w:rPr>
                <w:rFonts w:hint="eastAsia" w:ascii="Times New Roman" w:hAnsi="Times New Roman" w:eastAsia="宋体" w:cs="Times New Roman"/>
                <w:snapToGrid w:val="0"/>
                <w:color w:val="auto"/>
                <w:kern w:val="0"/>
                <w:sz w:val="24"/>
                <w:highlight w:val="none"/>
                <w:u w:val="single" w:color="auto"/>
                <w:lang w:val="en-US" w:eastAsia="zh-CN"/>
              </w:rPr>
              <w:t>及建议购买量</w:t>
            </w:r>
            <w:r>
              <w:rPr>
                <w:rFonts w:hint="eastAsia" w:ascii="Times New Roman" w:hAnsi="Times New Roman" w:eastAsia="宋体" w:cs="Times New Roman"/>
                <w:snapToGrid w:val="0"/>
                <w:color w:val="auto"/>
                <w:kern w:val="0"/>
                <w:sz w:val="24"/>
                <w:highlight w:val="none"/>
                <w:u w:val="single" w:color="auto"/>
              </w:rPr>
              <w:t>见下表</w:t>
            </w:r>
            <w:r>
              <w:rPr>
                <w:rFonts w:hint="eastAsia" w:ascii="Times New Roman" w:hAnsi="Times New Roman" w:eastAsia="宋体" w:cs="Times New Roman"/>
                <w:snapToGrid w:val="0"/>
                <w:color w:val="auto"/>
                <w:kern w:val="0"/>
                <w:sz w:val="24"/>
                <w:highlight w:val="none"/>
                <w:u w:val="single" w:color="auto"/>
                <w:lang w:eastAsia="zh-CN"/>
              </w:rPr>
              <w:t>：</w:t>
            </w:r>
          </w:p>
          <w:p w14:paraId="067F9B62">
            <w:pPr>
              <w:pStyle w:val="63"/>
              <w:tabs>
                <w:tab w:val="left" w:pos="1021"/>
              </w:tabs>
              <w:spacing w:line="240" w:lineRule="auto"/>
              <w:jc w:val="center"/>
              <w:rPr>
                <w:rFonts w:hint="default" w:ascii="Times New Roman" w:hAnsi="Times New Roman" w:cs="Times New Roman"/>
                <w:b/>
                <w:bCs/>
                <w:color w:val="auto"/>
                <w:kern w:val="2"/>
                <w:szCs w:val="24"/>
                <w:highlight w:val="none"/>
                <w:u w:val="single" w:color="auto"/>
                <w:lang w:bidi="en-US"/>
              </w:rPr>
            </w:pPr>
            <w:r>
              <w:rPr>
                <w:rFonts w:hint="default" w:ascii="Times New Roman" w:hAnsi="Times New Roman" w:cs="Times New Roman"/>
                <w:b/>
                <w:bCs/>
                <w:color w:val="auto"/>
                <w:highlight w:val="none"/>
                <w:u w:val="single" w:color="auto"/>
              </w:rPr>
              <w:t>表3-1</w:t>
            </w:r>
            <w:r>
              <w:rPr>
                <w:rFonts w:hint="default" w:ascii="Times New Roman" w:hAnsi="Times New Roman" w:cs="Times New Roman"/>
                <w:b/>
                <w:bCs/>
                <w:color w:val="auto"/>
                <w:highlight w:val="none"/>
                <w:u w:val="single" w:color="auto"/>
                <w:lang w:val="en-US" w:eastAsia="zh-CN"/>
              </w:rPr>
              <w:t xml:space="preserve">1   </w:t>
            </w:r>
            <w:r>
              <w:rPr>
                <w:rFonts w:hint="default" w:ascii="Times New Roman" w:hAnsi="Times New Roman" w:cs="Times New Roman"/>
                <w:b/>
                <w:bCs/>
                <w:color w:val="auto"/>
                <w:highlight w:val="none"/>
                <w:u w:val="single" w:color="auto"/>
              </w:rPr>
              <w:t>项目大气污染物总量控制指标一览表（单位：t/a）</w:t>
            </w:r>
          </w:p>
          <w:tbl>
            <w:tblPr>
              <w:tblStyle w:val="12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190"/>
              <w:gridCol w:w="3609"/>
              <w:gridCol w:w="2143"/>
            </w:tblGrid>
            <w:tr w14:paraId="7B1B2F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exact"/>
              </w:trPr>
              <w:tc>
                <w:tcPr>
                  <w:tcW w:w="1378" w:type="pct"/>
                  <w:tcBorders>
                    <w:tl2br w:val="nil"/>
                    <w:tr2bl w:val="nil"/>
                  </w:tcBorders>
                  <w:vAlign w:val="center"/>
                </w:tcPr>
                <w:p w14:paraId="6878BB5E">
                  <w:pPr>
                    <w:pStyle w:val="63"/>
                    <w:tabs>
                      <w:tab w:val="left" w:pos="1021"/>
                    </w:tabs>
                    <w:autoSpaceDE w:val="0"/>
                    <w:autoSpaceDN w:val="0"/>
                    <w:spacing w:line="240" w:lineRule="auto"/>
                    <w:jc w:val="center"/>
                    <w:rPr>
                      <w:b/>
                      <w:bCs/>
                      <w:color w:val="auto"/>
                      <w:szCs w:val="21"/>
                      <w:highlight w:val="none"/>
                      <w:u w:val="single" w:color="auto"/>
                    </w:rPr>
                  </w:pPr>
                  <w:r>
                    <w:rPr>
                      <w:rFonts w:hint="eastAsia"/>
                      <w:b/>
                      <w:bCs/>
                      <w:color w:val="auto"/>
                      <w:szCs w:val="21"/>
                      <w:highlight w:val="none"/>
                      <w:u w:val="single" w:color="auto"/>
                    </w:rPr>
                    <w:t>总量因子</w:t>
                  </w:r>
                </w:p>
              </w:tc>
              <w:tc>
                <w:tcPr>
                  <w:tcW w:w="2272" w:type="pct"/>
                  <w:tcBorders>
                    <w:tl2br w:val="nil"/>
                    <w:tr2bl w:val="nil"/>
                  </w:tcBorders>
                  <w:vAlign w:val="center"/>
                </w:tcPr>
                <w:p w14:paraId="7AB8EAE6">
                  <w:pPr>
                    <w:pStyle w:val="63"/>
                    <w:tabs>
                      <w:tab w:val="left" w:pos="1021"/>
                    </w:tabs>
                    <w:autoSpaceDE w:val="0"/>
                    <w:autoSpaceDN w:val="0"/>
                    <w:spacing w:line="240" w:lineRule="auto"/>
                    <w:jc w:val="center"/>
                    <w:rPr>
                      <w:b/>
                      <w:bCs/>
                      <w:color w:val="auto"/>
                      <w:szCs w:val="21"/>
                      <w:highlight w:val="none"/>
                      <w:u w:val="single" w:color="auto"/>
                    </w:rPr>
                  </w:pPr>
                  <w:r>
                    <w:rPr>
                      <w:rFonts w:hint="eastAsia"/>
                      <w:b/>
                      <w:bCs/>
                      <w:color w:val="auto"/>
                      <w:szCs w:val="21"/>
                      <w:highlight w:val="none"/>
                      <w:u w:val="single" w:color="auto"/>
                    </w:rPr>
                    <w:t>本项目排放量</w:t>
                  </w:r>
                </w:p>
              </w:tc>
              <w:tc>
                <w:tcPr>
                  <w:tcW w:w="1349" w:type="pct"/>
                  <w:tcBorders>
                    <w:tl2br w:val="nil"/>
                    <w:tr2bl w:val="nil"/>
                  </w:tcBorders>
                  <w:vAlign w:val="center"/>
                </w:tcPr>
                <w:p w14:paraId="23186D05">
                  <w:pPr>
                    <w:pStyle w:val="63"/>
                    <w:tabs>
                      <w:tab w:val="left" w:pos="1021"/>
                    </w:tabs>
                    <w:autoSpaceDE w:val="0"/>
                    <w:autoSpaceDN w:val="0"/>
                    <w:spacing w:line="240" w:lineRule="auto"/>
                    <w:jc w:val="center"/>
                    <w:rPr>
                      <w:b/>
                      <w:bCs/>
                      <w:color w:val="auto"/>
                      <w:szCs w:val="21"/>
                      <w:highlight w:val="none"/>
                      <w:u w:val="single" w:color="auto"/>
                    </w:rPr>
                  </w:pPr>
                  <w:r>
                    <w:rPr>
                      <w:rFonts w:hint="eastAsia"/>
                      <w:b/>
                      <w:bCs/>
                      <w:color w:val="auto"/>
                      <w:szCs w:val="21"/>
                      <w:highlight w:val="none"/>
                      <w:u w:val="single" w:color="auto"/>
                    </w:rPr>
                    <w:t>建议购买量</w:t>
                  </w:r>
                </w:p>
              </w:tc>
            </w:tr>
            <w:tr w14:paraId="4B038E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1378" w:type="pct"/>
                  <w:tcBorders>
                    <w:tl2br w:val="nil"/>
                    <w:tr2bl w:val="nil"/>
                  </w:tcBorders>
                  <w:vAlign w:val="center"/>
                </w:tcPr>
                <w:p w14:paraId="5CEEEEA7">
                  <w:pPr>
                    <w:pStyle w:val="60"/>
                    <w:widowControl w:val="0"/>
                    <w:spacing w:line="240" w:lineRule="auto"/>
                    <w:ind w:firstLine="0" w:firstLineChars="0"/>
                    <w:jc w:val="center"/>
                    <w:rPr>
                      <w:rFonts w:ascii="Times New Roman" w:hAnsi="Calibri"/>
                      <w:color w:val="auto"/>
                      <w:szCs w:val="21"/>
                      <w:highlight w:val="none"/>
                      <w:u w:val="single" w:color="auto"/>
                    </w:rPr>
                  </w:pPr>
                  <w:r>
                    <w:rPr>
                      <w:rFonts w:ascii="Times New Roman" w:hAnsi="Calibri"/>
                      <w:color w:val="auto"/>
                      <w:kern w:val="2"/>
                      <w:szCs w:val="21"/>
                      <w:highlight w:val="none"/>
                      <w:u w:val="single" w:color="auto"/>
                    </w:rPr>
                    <w:t>SO</w:t>
                  </w:r>
                  <w:r>
                    <w:rPr>
                      <w:rFonts w:ascii="Times New Roman" w:hAnsi="Calibri"/>
                      <w:color w:val="auto"/>
                      <w:kern w:val="2"/>
                      <w:szCs w:val="21"/>
                      <w:highlight w:val="none"/>
                      <w:u w:val="single" w:color="auto"/>
                      <w:vertAlign w:val="subscript"/>
                    </w:rPr>
                    <w:t>2</w:t>
                  </w:r>
                </w:p>
              </w:tc>
              <w:tc>
                <w:tcPr>
                  <w:tcW w:w="2272" w:type="pct"/>
                  <w:tcBorders>
                    <w:tl2br w:val="nil"/>
                    <w:tr2bl w:val="nil"/>
                  </w:tcBorders>
                  <w:vAlign w:val="center"/>
                </w:tcPr>
                <w:p w14:paraId="554653CF">
                  <w:pPr>
                    <w:pStyle w:val="60"/>
                    <w:widowControl w:val="0"/>
                    <w:spacing w:line="240" w:lineRule="auto"/>
                    <w:ind w:firstLine="0" w:firstLineChars="0"/>
                    <w:jc w:val="center"/>
                    <w:rPr>
                      <w:rFonts w:hint="default" w:ascii="Times New Roman" w:hAnsi="Calibri" w:cs="Times New Roman"/>
                      <w:color w:val="auto"/>
                      <w:kern w:val="2"/>
                      <w:szCs w:val="21"/>
                      <w:highlight w:val="none"/>
                      <w:u w:val="single" w:color="auto"/>
                      <w:lang w:val="en-US" w:eastAsia="zh-CN"/>
                    </w:rPr>
                  </w:pPr>
                  <w:r>
                    <w:rPr>
                      <w:rFonts w:hint="eastAsia" w:ascii="Times New Roman" w:hAnsi="Calibri" w:cs="Times New Roman"/>
                      <w:color w:val="auto"/>
                      <w:kern w:val="2"/>
                      <w:szCs w:val="21"/>
                      <w:highlight w:val="none"/>
                      <w:u w:val="single" w:color="auto"/>
                      <w:lang w:val="en-US" w:eastAsia="zh-CN"/>
                    </w:rPr>
                    <w:t>0.031</w:t>
                  </w:r>
                </w:p>
              </w:tc>
              <w:tc>
                <w:tcPr>
                  <w:tcW w:w="1349" w:type="pct"/>
                  <w:tcBorders>
                    <w:tl2br w:val="nil"/>
                    <w:tr2bl w:val="nil"/>
                  </w:tcBorders>
                  <w:vAlign w:val="center"/>
                </w:tcPr>
                <w:p w14:paraId="060A0F8F">
                  <w:pPr>
                    <w:pStyle w:val="60"/>
                    <w:widowControl w:val="0"/>
                    <w:spacing w:line="240" w:lineRule="auto"/>
                    <w:ind w:firstLine="0" w:firstLineChars="0"/>
                    <w:jc w:val="center"/>
                    <w:rPr>
                      <w:rFonts w:hint="default" w:ascii="Times New Roman" w:hAnsi="Calibri" w:eastAsia="宋体"/>
                      <w:color w:val="auto"/>
                      <w:kern w:val="2"/>
                      <w:szCs w:val="21"/>
                      <w:highlight w:val="none"/>
                      <w:u w:val="single" w:color="auto"/>
                      <w:lang w:val="en-US" w:eastAsia="zh-CN"/>
                    </w:rPr>
                  </w:pPr>
                  <w:r>
                    <w:rPr>
                      <w:rFonts w:hint="eastAsia" w:ascii="Times New Roman" w:hAnsi="Calibri"/>
                      <w:color w:val="auto"/>
                      <w:kern w:val="2"/>
                      <w:szCs w:val="21"/>
                      <w:highlight w:val="none"/>
                      <w:u w:val="single" w:color="auto"/>
                      <w:lang w:val="en-US" w:eastAsia="zh-CN"/>
                    </w:rPr>
                    <w:t>0.04</w:t>
                  </w:r>
                </w:p>
              </w:tc>
            </w:tr>
            <w:tr w14:paraId="609A15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1378" w:type="pct"/>
                  <w:tcBorders>
                    <w:tl2br w:val="nil"/>
                    <w:tr2bl w:val="nil"/>
                  </w:tcBorders>
                  <w:vAlign w:val="center"/>
                </w:tcPr>
                <w:p w14:paraId="628D34D6">
                  <w:pPr>
                    <w:pStyle w:val="60"/>
                    <w:widowControl w:val="0"/>
                    <w:spacing w:line="240" w:lineRule="auto"/>
                    <w:ind w:firstLine="0" w:firstLineChars="0"/>
                    <w:jc w:val="center"/>
                    <w:rPr>
                      <w:rFonts w:ascii="Times New Roman" w:hAnsi="Calibri"/>
                      <w:color w:val="auto"/>
                      <w:szCs w:val="21"/>
                      <w:highlight w:val="none"/>
                      <w:u w:val="single" w:color="auto"/>
                    </w:rPr>
                  </w:pPr>
                  <w:r>
                    <w:rPr>
                      <w:rFonts w:ascii="Times New Roman" w:hAnsi="Calibri"/>
                      <w:color w:val="auto"/>
                      <w:kern w:val="2"/>
                      <w:szCs w:val="21"/>
                      <w:highlight w:val="none"/>
                      <w:u w:val="single" w:color="auto"/>
                    </w:rPr>
                    <w:t>NO</w:t>
                  </w:r>
                  <w:r>
                    <w:rPr>
                      <w:rFonts w:ascii="Times New Roman" w:hAnsi="Calibri"/>
                      <w:color w:val="auto"/>
                      <w:kern w:val="2"/>
                      <w:szCs w:val="21"/>
                      <w:highlight w:val="none"/>
                      <w:u w:val="single" w:color="auto"/>
                      <w:vertAlign w:val="subscript"/>
                    </w:rPr>
                    <w:t>X</w:t>
                  </w:r>
                </w:p>
              </w:tc>
              <w:tc>
                <w:tcPr>
                  <w:tcW w:w="2272" w:type="pct"/>
                  <w:tcBorders>
                    <w:tl2br w:val="nil"/>
                    <w:tr2bl w:val="nil"/>
                  </w:tcBorders>
                  <w:vAlign w:val="center"/>
                </w:tcPr>
                <w:p w14:paraId="5E30F38C">
                  <w:pPr>
                    <w:pStyle w:val="60"/>
                    <w:widowControl w:val="0"/>
                    <w:spacing w:line="240" w:lineRule="auto"/>
                    <w:ind w:firstLine="0" w:firstLineChars="0"/>
                    <w:jc w:val="center"/>
                    <w:rPr>
                      <w:rFonts w:hint="default" w:ascii="Times New Roman" w:hAnsi="Calibri" w:cs="Times New Roman"/>
                      <w:color w:val="auto"/>
                      <w:kern w:val="2"/>
                      <w:szCs w:val="21"/>
                      <w:highlight w:val="none"/>
                      <w:u w:val="single" w:color="auto"/>
                      <w:lang w:val="en-US" w:eastAsia="zh-CN"/>
                    </w:rPr>
                  </w:pPr>
                  <w:r>
                    <w:rPr>
                      <w:rFonts w:hint="default" w:ascii="Times New Roman" w:hAnsi="Calibri" w:cs="Times New Roman"/>
                      <w:color w:val="auto"/>
                      <w:kern w:val="2"/>
                      <w:szCs w:val="21"/>
                      <w:highlight w:val="none"/>
                      <w:u w:val="single" w:color="auto"/>
                      <w:lang w:val="en-US" w:eastAsia="zh-CN"/>
                    </w:rPr>
                    <w:t>0.</w:t>
                  </w:r>
                  <w:r>
                    <w:rPr>
                      <w:rFonts w:hint="eastAsia" w:ascii="Times New Roman" w:hAnsi="Calibri" w:cs="Times New Roman"/>
                      <w:color w:val="auto"/>
                      <w:kern w:val="2"/>
                      <w:szCs w:val="21"/>
                      <w:highlight w:val="none"/>
                      <w:u w:val="single" w:color="auto"/>
                      <w:lang w:val="en-US" w:eastAsia="zh-CN"/>
                    </w:rPr>
                    <w:t>201</w:t>
                  </w:r>
                </w:p>
              </w:tc>
              <w:tc>
                <w:tcPr>
                  <w:tcW w:w="1349" w:type="pct"/>
                  <w:tcBorders>
                    <w:tl2br w:val="nil"/>
                    <w:tr2bl w:val="nil"/>
                  </w:tcBorders>
                  <w:vAlign w:val="center"/>
                </w:tcPr>
                <w:p w14:paraId="16FC1ABA">
                  <w:pPr>
                    <w:pStyle w:val="60"/>
                    <w:widowControl w:val="0"/>
                    <w:spacing w:line="240" w:lineRule="auto"/>
                    <w:ind w:firstLine="0" w:firstLineChars="0"/>
                    <w:jc w:val="center"/>
                    <w:rPr>
                      <w:rFonts w:hint="default" w:ascii="Times New Roman" w:hAnsi="Calibri" w:eastAsia="宋体"/>
                      <w:color w:val="auto"/>
                      <w:kern w:val="2"/>
                      <w:szCs w:val="21"/>
                      <w:highlight w:val="none"/>
                      <w:u w:val="single" w:color="auto"/>
                      <w:lang w:val="en-US" w:eastAsia="zh-CN"/>
                    </w:rPr>
                  </w:pPr>
                  <w:r>
                    <w:rPr>
                      <w:rFonts w:hint="eastAsia" w:ascii="Times New Roman" w:hAnsi="Calibri"/>
                      <w:color w:val="auto"/>
                      <w:kern w:val="2"/>
                      <w:szCs w:val="21"/>
                      <w:highlight w:val="none"/>
                      <w:u w:val="single" w:color="auto"/>
                      <w:lang w:val="en-US" w:eastAsia="zh-CN"/>
                    </w:rPr>
                    <w:t>0.21</w:t>
                  </w:r>
                </w:p>
              </w:tc>
            </w:tr>
          </w:tbl>
          <w:p w14:paraId="7387392D">
            <w:pPr>
              <w:wordWrap w:val="0"/>
              <w:adjustRightInd w:val="0"/>
              <w:snapToGrid w:val="0"/>
              <w:spacing w:line="360" w:lineRule="auto"/>
              <w:ind w:firstLine="480" w:firstLineChars="200"/>
              <w:jc w:val="left"/>
              <w:rPr>
                <w:rFonts w:hint="default" w:ascii="Times New Roman" w:hAnsi="Times New Roman" w:cs="Times New Roman"/>
                <w:color w:val="auto"/>
                <w:kern w:val="0"/>
                <w:szCs w:val="21"/>
                <w:highlight w:val="none"/>
              </w:rPr>
            </w:pPr>
            <w:r>
              <w:rPr>
                <w:rFonts w:hint="default" w:ascii="Times New Roman" w:hAnsi="Times New Roman" w:eastAsia="宋体" w:cs="Times New Roman"/>
                <w:snapToGrid w:val="0"/>
                <w:color w:val="auto"/>
                <w:kern w:val="0"/>
                <w:sz w:val="24"/>
                <w:highlight w:val="none"/>
                <w:u w:val="single" w:color="auto"/>
              </w:rPr>
              <w:t>由上表可知，本项目</w:t>
            </w:r>
            <w:r>
              <w:rPr>
                <w:rFonts w:hint="eastAsia" w:ascii="Times New Roman" w:hAnsi="Times New Roman" w:eastAsia="宋体" w:cs="Times New Roman"/>
                <w:snapToGrid w:val="0"/>
                <w:color w:val="auto"/>
                <w:kern w:val="0"/>
                <w:sz w:val="24"/>
                <w:highlight w:val="none"/>
                <w:u w:val="single" w:color="auto"/>
              </w:rPr>
              <w:t>二氧化硫、氮氧化物</w:t>
            </w:r>
            <w:r>
              <w:rPr>
                <w:rFonts w:hint="default" w:ascii="Times New Roman" w:hAnsi="Times New Roman" w:eastAsia="宋体" w:cs="Times New Roman"/>
                <w:snapToGrid w:val="0"/>
                <w:color w:val="auto"/>
                <w:kern w:val="0"/>
                <w:sz w:val="24"/>
                <w:highlight w:val="none"/>
                <w:u w:val="single" w:color="auto"/>
              </w:rPr>
              <w:t>需要购买总量指标</w:t>
            </w:r>
            <w:r>
              <w:rPr>
                <w:rFonts w:hint="eastAsia" w:ascii="Times New Roman" w:hAnsi="Times New Roman" w:eastAsia="宋体" w:cs="Times New Roman"/>
                <w:snapToGrid w:val="0"/>
                <w:color w:val="auto"/>
                <w:kern w:val="0"/>
                <w:sz w:val="24"/>
                <w:highlight w:val="none"/>
                <w:u w:val="single" w:color="auto"/>
              </w:rPr>
              <w:t>分别</w:t>
            </w:r>
            <w:r>
              <w:rPr>
                <w:rFonts w:hint="default" w:ascii="Times New Roman" w:hAnsi="Times New Roman" w:eastAsia="宋体" w:cs="Times New Roman"/>
                <w:snapToGrid w:val="0"/>
                <w:color w:val="auto"/>
                <w:kern w:val="0"/>
                <w:sz w:val="24"/>
                <w:highlight w:val="none"/>
                <w:u w:val="single" w:color="auto"/>
              </w:rPr>
              <w:t>为</w:t>
            </w:r>
            <w:r>
              <w:rPr>
                <w:rFonts w:hint="eastAsia" w:ascii="Times New Roman" w:hAnsi="Times New Roman" w:eastAsia="宋体" w:cs="Times New Roman"/>
                <w:snapToGrid w:val="0"/>
                <w:color w:val="auto"/>
                <w:kern w:val="0"/>
                <w:sz w:val="24"/>
                <w:highlight w:val="none"/>
                <w:u w:val="single" w:color="auto"/>
                <w:lang w:val="en-US" w:eastAsia="zh-CN"/>
              </w:rPr>
              <w:t>0.</w:t>
            </w:r>
            <w:r>
              <w:rPr>
                <w:rFonts w:hint="eastAsia" w:cs="Times New Roman"/>
                <w:snapToGrid w:val="0"/>
                <w:color w:val="auto"/>
                <w:kern w:val="0"/>
                <w:sz w:val="24"/>
                <w:highlight w:val="none"/>
                <w:u w:val="single" w:color="auto"/>
                <w:lang w:val="en-US" w:eastAsia="zh-CN"/>
              </w:rPr>
              <w:t>04</w:t>
            </w:r>
            <w:r>
              <w:rPr>
                <w:rFonts w:hint="default" w:ascii="Times New Roman" w:hAnsi="Times New Roman" w:eastAsia="宋体" w:cs="Times New Roman"/>
                <w:snapToGrid w:val="0"/>
                <w:color w:val="auto"/>
                <w:kern w:val="0"/>
                <w:sz w:val="24"/>
                <w:highlight w:val="none"/>
                <w:u w:val="single" w:color="auto"/>
              </w:rPr>
              <w:t>t/a</w:t>
            </w:r>
            <w:r>
              <w:rPr>
                <w:rFonts w:hint="eastAsia" w:ascii="Times New Roman" w:hAnsi="Times New Roman" w:eastAsia="宋体" w:cs="Times New Roman"/>
                <w:snapToGrid w:val="0"/>
                <w:color w:val="auto"/>
                <w:kern w:val="0"/>
                <w:sz w:val="24"/>
                <w:highlight w:val="none"/>
                <w:u w:val="single" w:color="auto"/>
              </w:rPr>
              <w:t>和</w:t>
            </w:r>
            <w:r>
              <w:rPr>
                <w:rFonts w:hint="eastAsia" w:ascii="Times New Roman" w:hAnsi="Times New Roman" w:eastAsia="宋体" w:cs="Times New Roman"/>
                <w:snapToGrid w:val="0"/>
                <w:color w:val="auto"/>
                <w:kern w:val="0"/>
                <w:sz w:val="24"/>
                <w:highlight w:val="none"/>
                <w:u w:val="single" w:color="auto"/>
                <w:lang w:val="en-US" w:eastAsia="zh-CN"/>
              </w:rPr>
              <w:t>0.</w:t>
            </w:r>
            <w:r>
              <w:rPr>
                <w:rFonts w:hint="eastAsia" w:cs="Times New Roman"/>
                <w:snapToGrid w:val="0"/>
                <w:color w:val="auto"/>
                <w:kern w:val="0"/>
                <w:sz w:val="24"/>
                <w:highlight w:val="none"/>
                <w:u w:val="single" w:color="auto"/>
                <w:lang w:val="en-US" w:eastAsia="zh-CN"/>
              </w:rPr>
              <w:t>21</w:t>
            </w:r>
            <w:r>
              <w:rPr>
                <w:rFonts w:hint="default" w:ascii="Times New Roman" w:hAnsi="Times New Roman" w:eastAsia="宋体" w:cs="Times New Roman"/>
                <w:snapToGrid w:val="0"/>
                <w:color w:val="auto"/>
                <w:kern w:val="0"/>
                <w:sz w:val="24"/>
                <w:highlight w:val="none"/>
                <w:u w:val="single" w:color="auto"/>
              </w:rPr>
              <w:t>t/a。</w:t>
            </w:r>
          </w:p>
        </w:tc>
      </w:tr>
    </w:tbl>
    <w:p w14:paraId="651E9571">
      <w:pPr>
        <w:pStyle w:val="28"/>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6"/>
          <w:szCs w:val="36"/>
          <w:highlight w:val="none"/>
        </w:rPr>
        <w:br w:type="page"/>
      </w:r>
      <w:bookmarkStart w:id="21" w:name="_Toc10928_WPSOffice_Level1"/>
      <w:bookmarkStart w:id="22" w:name="_Toc16365"/>
      <w:bookmarkStart w:id="23" w:name="_Toc27831"/>
      <w:r>
        <w:rPr>
          <w:rFonts w:ascii="Times New Roman" w:hAnsi="Times New Roman" w:eastAsia="黑体"/>
          <w:snapToGrid w:val="0"/>
          <w:color w:val="auto"/>
          <w:sz w:val="30"/>
          <w:szCs w:val="30"/>
          <w:highlight w:val="none"/>
        </w:rPr>
        <w:t>四、主要环境影响和保护措施</w:t>
      </w:r>
      <w:bookmarkEnd w:id="21"/>
      <w:bookmarkEnd w:id="22"/>
      <w:bookmarkEnd w:id="23"/>
    </w:p>
    <w:tbl>
      <w:tblPr>
        <w:tblStyle w:val="33"/>
        <w:tblW w:w="89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6"/>
        <w:gridCol w:w="8162"/>
      </w:tblGrid>
      <w:tr w14:paraId="34B8E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jc w:val="center"/>
        </w:trPr>
        <w:tc>
          <w:tcPr>
            <w:tcW w:w="746" w:type="dxa"/>
            <w:noWrap w:val="0"/>
            <w:tcMar>
              <w:left w:w="28" w:type="dxa"/>
              <w:right w:w="28" w:type="dxa"/>
            </w:tcMar>
            <w:vAlign w:val="center"/>
          </w:tcPr>
          <w:p w14:paraId="733A2A72">
            <w:pPr>
              <w:pStyle w:val="28"/>
              <w:adjustRightInd w:val="0"/>
              <w:snapToGrid w:val="0"/>
              <w:spacing w:before="0" w:beforeAutospacing="0" w:after="0" w:afterAutospacing="0"/>
              <w:jc w:val="center"/>
              <w:rPr>
                <w:rFonts w:hint="default" w:ascii="Times New Roman" w:hAnsi="Times New Roman" w:cs="Times New Roman"/>
                <w:color w:val="auto"/>
                <w:kern w:val="2"/>
                <w:szCs w:val="24"/>
                <w:highlight w:val="none"/>
              </w:rPr>
            </w:pPr>
            <w:r>
              <w:rPr>
                <w:rFonts w:hint="default" w:ascii="Times New Roman" w:hAnsi="Times New Roman" w:cs="Times New Roman"/>
                <w:color w:val="auto"/>
                <w:kern w:val="2"/>
                <w:szCs w:val="24"/>
                <w:highlight w:val="none"/>
              </w:rPr>
              <w:t>施工</w:t>
            </w:r>
          </w:p>
          <w:p w14:paraId="357F63B8">
            <w:pPr>
              <w:pStyle w:val="28"/>
              <w:adjustRightInd w:val="0"/>
              <w:snapToGrid w:val="0"/>
              <w:spacing w:before="0" w:beforeAutospacing="0" w:after="0" w:afterAutospacing="0"/>
              <w:jc w:val="center"/>
              <w:rPr>
                <w:rFonts w:hint="default" w:ascii="Times New Roman" w:hAnsi="Times New Roman" w:cs="Times New Roman"/>
                <w:color w:val="auto"/>
                <w:kern w:val="2"/>
                <w:szCs w:val="24"/>
                <w:highlight w:val="none"/>
              </w:rPr>
            </w:pPr>
            <w:r>
              <w:rPr>
                <w:rFonts w:hint="default" w:ascii="Times New Roman" w:hAnsi="Times New Roman" w:cs="Times New Roman"/>
                <w:color w:val="auto"/>
                <w:kern w:val="2"/>
                <w:szCs w:val="24"/>
                <w:highlight w:val="none"/>
              </w:rPr>
              <w:t>期环</w:t>
            </w:r>
          </w:p>
          <w:p w14:paraId="05035E68">
            <w:pPr>
              <w:pStyle w:val="28"/>
              <w:adjustRightInd w:val="0"/>
              <w:snapToGrid w:val="0"/>
              <w:spacing w:before="0" w:beforeAutospacing="0" w:after="0" w:afterAutospacing="0"/>
              <w:jc w:val="center"/>
              <w:rPr>
                <w:rFonts w:hint="default" w:ascii="Times New Roman" w:hAnsi="Times New Roman" w:cs="Times New Roman"/>
                <w:color w:val="auto"/>
                <w:kern w:val="2"/>
                <w:szCs w:val="24"/>
                <w:highlight w:val="none"/>
              </w:rPr>
            </w:pPr>
            <w:r>
              <w:rPr>
                <w:rFonts w:hint="default" w:ascii="Times New Roman" w:hAnsi="Times New Roman" w:cs="Times New Roman"/>
                <w:color w:val="auto"/>
                <w:kern w:val="2"/>
                <w:szCs w:val="24"/>
                <w:highlight w:val="none"/>
              </w:rPr>
              <w:t>境保</w:t>
            </w:r>
          </w:p>
          <w:p w14:paraId="23C7CF53">
            <w:pPr>
              <w:pStyle w:val="28"/>
              <w:adjustRightInd w:val="0"/>
              <w:snapToGrid w:val="0"/>
              <w:spacing w:before="0" w:beforeAutospacing="0" w:after="0" w:afterAutospacing="0"/>
              <w:jc w:val="center"/>
              <w:rPr>
                <w:rFonts w:hint="default" w:ascii="Times New Roman" w:hAnsi="Times New Roman" w:cs="Times New Roman"/>
                <w:color w:val="auto"/>
                <w:kern w:val="2"/>
                <w:szCs w:val="24"/>
                <w:highlight w:val="none"/>
              </w:rPr>
            </w:pPr>
            <w:r>
              <w:rPr>
                <w:rFonts w:hint="default" w:ascii="Times New Roman" w:hAnsi="Times New Roman" w:cs="Times New Roman"/>
                <w:color w:val="auto"/>
                <w:kern w:val="2"/>
                <w:szCs w:val="24"/>
                <w:highlight w:val="none"/>
              </w:rPr>
              <w:t>护措</w:t>
            </w:r>
          </w:p>
          <w:p w14:paraId="7F502A6B">
            <w:pPr>
              <w:pStyle w:val="28"/>
              <w:adjustRightInd w:val="0"/>
              <w:snapToGrid w:val="0"/>
              <w:spacing w:before="0" w:beforeAutospacing="0" w:after="0" w:afterAutospacing="0"/>
              <w:jc w:val="center"/>
              <w:rPr>
                <w:rFonts w:hint="default" w:ascii="Times New Roman" w:hAnsi="Times New Roman" w:cs="Times New Roman"/>
                <w:bCs/>
                <w:color w:val="auto"/>
                <w:kern w:val="2"/>
                <w:szCs w:val="24"/>
                <w:highlight w:val="none"/>
              </w:rPr>
            </w:pPr>
            <w:r>
              <w:rPr>
                <w:rFonts w:hint="default" w:ascii="Times New Roman" w:hAnsi="Times New Roman" w:cs="Times New Roman"/>
                <w:color w:val="auto"/>
                <w:kern w:val="2"/>
                <w:szCs w:val="24"/>
                <w:highlight w:val="none"/>
              </w:rPr>
              <w:t>施</w:t>
            </w:r>
          </w:p>
        </w:tc>
        <w:tc>
          <w:tcPr>
            <w:tcW w:w="8162" w:type="dxa"/>
            <w:noWrap w:val="0"/>
            <w:vAlign w:val="center"/>
          </w:tcPr>
          <w:p w14:paraId="1692CBDE">
            <w:pPr>
              <w:spacing w:line="360" w:lineRule="auto"/>
              <w:ind w:firstLine="440" w:firstLineChars="200"/>
              <w:rPr>
                <w:rFonts w:hint="default" w:ascii="Times New Roman" w:hAnsi="Times New Roman" w:cs="Times New Roman"/>
                <w:bCs/>
                <w:color w:val="auto"/>
                <w:spacing w:val="-10"/>
                <w:sz w:val="24"/>
                <w:highlight w:val="none"/>
              </w:rPr>
            </w:pPr>
            <w:r>
              <w:rPr>
                <w:rFonts w:hint="default" w:ascii="Times New Roman" w:hAnsi="Times New Roman" w:cs="Times New Roman"/>
                <w:bCs/>
                <w:color w:val="auto"/>
                <w:spacing w:val="-10"/>
                <w:sz w:val="24"/>
                <w:highlight w:val="none"/>
                <w:lang w:val="en-US" w:eastAsia="zh-CN"/>
              </w:rPr>
              <w:t>本项目租赁已建</w:t>
            </w:r>
            <w:r>
              <w:rPr>
                <w:rFonts w:hint="eastAsia" w:cs="Times New Roman"/>
                <w:bCs/>
                <w:color w:val="auto"/>
                <w:spacing w:val="-10"/>
                <w:sz w:val="24"/>
                <w:highlight w:val="none"/>
                <w:lang w:val="en-US" w:eastAsia="zh-CN"/>
              </w:rPr>
              <w:t>闲置</w:t>
            </w:r>
            <w:r>
              <w:rPr>
                <w:rFonts w:hint="default" w:ascii="Times New Roman" w:hAnsi="Times New Roman" w:cs="Times New Roman"/>
                <w:bCs/>
                <w:color w:val="auto"/>
                <w:spacing w:val="-10"/>
                <w:sz w:val="24"/>
                <w:highlight w:val="none"/>
                <w:lang w:val="en-US" w:eastAsia="zh-CN"/>
              </w:rPr>
              <w:t>钢筋棚厂房，项目施工</w:t>
            </w:r>
            <w:r>
              <w:rPr>
                <w:rFonts w:hint="eastAsia" w:cs="Times New Roman"/>
                <w:bCs/>
                <w:color w:val="auto"/>
                <w:spacing w:val="-10"/>
                <w:sz w:val="24"/>
                <w:highlight w:val="none"/>
                <w:lang w:val="en-US" w:eastAsia="zh-CN"/>
              </w:rPr>
              <w:t>内容</w:t>
            </w:r>
            <w:r>
              <w:rPr>
                <w:rFonts w:hint="default" w:ascii="Times New Roman" w:hAnsi="Times New Roman" w:cs="Times New Roman"/>
                <w:bCs/>
                <w:color w:val="auto"/>
                <w:spacing w:val="-10"/>
                <w:sz w:val="24"/>
                <w:highlight w:val="none"/>
                <w:lang w:val="en-US" w:eastAsia="zh-CN"/>
              </w:rPr>
              <w:t>主要为地面硬化、厂房内部装饰装修、设备就位安装及调试，施工周期短、作业范围局限于厂房内部，且不涉及大规模机械作业，施工期1个月</w:t>
            </w:r>
            <w:r>
              <w:rPr>
                <w:rFonts w:hint="default" w:ascii="Times New Roman" w:hAnsi="Times New Roman" w:cs="Times New Roman"/>
                <w:bCs/>
                <w:color w:val="auto"/>
                <w:spacing w:val="-10"/>
                <w:sz w:val="24"/>
                <w:highlight w:val="none"/>
              </w:rPr>
              <w:t>，对周边环境的影响随着施工期的结束而消失。</w:t>
            </w:r>
          </w:p>
        </w:tc>
      </w:tr>
      <w:tr w14:paraId="4B12DF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06" w:hRule="atLeast"/>
          <w:jc w:val="center"/>
        </w:trPr>
        <w:tc>
          <w:tcPr>
            <w:tcW w:w="746" w:type="dxa"/>
            <w:noWrap w:val="0"/>
            <w:tcMar>
              <w:left w:w="28" w:type="dxa"/>
              <w:right w:w="28" w:type="dxa"/>
            </w:tcMar>
            <w:vAlign w:val="center"/>
          </w:tcPr>
          <w:p w14:paraId="6FF3C4C7">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运营</w:t>
            </w:r>
          </w:p>
          <w:p w14:paraId="19F784AD">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期环</w:t>
            </w:r>
          </w:p>
          <w:p w14:paraId="4C4D4216">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境影</w:t>
            </w:r>
          </w:p>
          <w:p w14:paraId="2856DE5D">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响和</w:t>
            </w:r>
          </w:p>
          <w:p w14:paraId="51E9498E">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保护</w:t>
            </w:r>
          </w:p>
          <w:p w14:paraId="7B5C0784">
            <w:pPr>
              <w:adjustRightInd w:val="0"/>
              <w:snapToGrid w:val="0"/>
              <w:jc w:val="center"/>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措施</w:t>
            </w:r>
          </w:p>
        </w:tc>
        <w:tc>
          <w:tcPr>
            <w:tcW w:w="8162" w:type="dxa"/>
            <w:noWrap w:val="0"/>
            <w:vAlign w:val="center"/>
          </w:tcPr>
          <w:p w14:paraId="69FC9237">
            <w:pPr>
              <w:spacing w:line="360" w:lineRule="auto"/>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1、运营期废气</w:t>
            </w:r>
            <w:r>
              <w:rPr>
                <w:rFonts w:hint="default" w:ascii="Times New Roman" w:hAnsi="Times New Roman" w:cs="Times New Roman"/>
                <w:b/>
                <w:color w:val="auto"/>
                <w:sz w:val="24"/>
                <w:highlight w:val="none"/>
              </w:rPr>
              <w:t>污染</w:t>
            </w:r>
            <w:r>
              <w:rPr>
                <w:rFonts w:hint="default" w:ascii="Times New Roman" w:hAnsi="Times New Roman" w:cs="Times New Roman"/>
                <w:b/>
                <w:bCs/>
                <w:color w:val="auto"/>
                <w:sz w:val="24"/>
                <w:highlight w:val="none"/>
              </w:rPr>
              <w:t>及保护措施</w:t>
            </w:r>
          </w:p>
          <w:p w14:paraId="671E543C">
            <w:pPr>
              <w:widowControl/>
              <w:adjustRightInd w:val="0"/>
              <w:snapToGrid w:val="0"/>
              <w:spacing w:line="360" w:lineRule="auto"/>
              <w:ind w:firstLine="480" w:firstLineChars="200"/>
              <w:rPr>
                <w:rFonts w:hint="eastAsia" w:eastAsia="宋体" w:cs="Times New Roman"/>
                <w:bCs/>
                <w:color w:val="auto"/>
                <w:sz w:val="24"/>
                <w:lang w:val="en-US" w:eastAsia="zh-CN"/>
              </w:rPr>
            </w:pPr>
            <w:bookmarkStart w:id="24" w:name="OLE_LINK30"/>
            <w:bookmarkStart w:id="25" w:name="OLE_LINK29"/>
            <w:r>
              <w:rPr>
                <w:rFonts w:hint="eastAsia" w:cs="Times New Roman"/>
                <w:bCs/>
                <w:color w:val="auto"/>
                <w:sz w:val="24"/>
                <w:lang w:val="en-US" w:eastAsia="zh-CN"/>
              </w:rPr>
              <w:t>搬迁后项目产生的大气污染主要为残留在钢瓶内的残液或残气泄漏产生的非甲烷总烃、恶臭和焚烧炉燃烧废气。</w:t>
            </w:r>
            <w:r>
              <w:rPr>
                <w:rFonts w:hint="eastAsia" w:ascii="宋体" w:hAnsi="宋体" w:eastAsia="宋体" w:cs="宋体"/>
                <w:color w:val="auto"/>
                <w:sz w:val="24"/>
                <w:szCs w:val="24"/>
                <w:u w:val="single"/>
                <w:lang w:eastAsia="zh-CN"/>
              </w:rPr>
              <w:t>报废液化石油气钢瓶外表面为纯环氧树脂粉末涂料，涂料成分为环氧树脂及无机填料，配方不添加含氯助剂、含氯树脂等含氯类物料。二噁英生成的必要条件是存在氯源，本项目钢瓶外涂层物料本身不含氯，因此涂层燃烧过程不会产生二噁英。</w:t>
            </w:r>
          </w:p>
          <w:bookmarkEnd w:id="24"/>
          <w:p w14:paraId="1186CD38">
            <w:pPr>
              <w:numPr>
                <w:ilvl w:val="1"/>
                <w:numId w:val="6"/>
              </w:numPr>
              <w:adjustRightInd w:val="0"/>
              <w:snapToGrid w:val="0"/>
              <w:spacing w:line="360" w:lineRule="auto"/>
              <w:ind w:left="420" w:leftChars="0" w:firstLineChars="0"/>
              <w:jc w:val="left"/>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残留泄漏废气</w:t>
            </w:r>
          </w:p>
          <w:p w14:paraId="4337DA63">
            <w:pPr>
              <w:widowControl/>
              <w:adjustRightInd w:val="0"/>
              <w:snapToGrid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钢瓶残气回收、瓶阀拆卸工序过程中，残留少量液化石油气将逸散至车间，污染因子以非甲烷总烃、臭气浓度表征（液化石油气添加乙硫醇、四氢噻吩类加臭警示剂，钢瓶残气瞬时逸散会产生明显刺激性异味）。项目采用密闭式残气回收系统，通过密封接头与钢瓶阀口精准对接，配合负压抽吸装置，可快速将钢瓶内残气抽出并输送至焚烧炉，减少逸散环节。</w:t>
            </w:r>
          </w:p>
          <w:p w14:paraId="6FCEDC1E">
            <w:pPr>
              <w:widowControl/>
              <w:adjustRightInd w:val="0"/>
              <w:snapToGrid w:val="0"/>
              <w:spacing w:line="360" w:lineRule="auto"/>
              <w:ind w:firstLine="482" w:firstLineChars="200"/>
              <w:rPr>
                <w:rFonts w:hint="default" w:cs="Times New Roman"/>
                <w:bCs/>
                <w:color w:val="auto"/>
                <w:sz w:val="24"/>
                <w:u w:val="single"/>
                <w:lang w:val="en-US" w:eastAsia="zh-CN"/>
              </w:rPr>
            </w:pPr>
            <w:r>
              <w:rPr>
                <w:rFonts w:hint="default" w:cs="Times New Roman"/>
                <w:b/>
                <w:bCs w:val="0"/>
                <w:color w:val="auto"/>
                <w:sz w:val="24"/>
                <w:u w:val="single"/>
                <w:lang w:val="en-US" w:eastAsia="zh-CN"/>
              </w:rPr>
              <w:t>残气回收系统</w:t>
            </w:r>
            <w:r>
              <w:rPr>
                <w:rFonts w:hint="eastAsia" w:cs="Times New Roman"/>
                <w:b/>
                <w:bCs w:val="0"/>
                <w:color w:val="auto"/>
                <w:sz w:val="24"/>
                <w:u w:val="single"/>
                <w:lang w:val="en-US" w:eastAsia="zh-CN"/>
              </w:rPr>
              <w:t>工艺</w:t>
            </w:r>
            <w:r>
              <w:rPr>
                <w:rFonts w:hint="default" w:cs="Times New Roman"/>
                <w:b/>
                <w:bCs w:val="0"/>
                <w:color w:val="auto"/>
                <w:sz w:val="24"/>
                <w:u w:val="single"/>
                <w:lang w:val="en-US" w:eastAsia="zh-CN"/>
              </w:rPr>
              <w:t>流程：</w:t>
            </w:r>
            <w:r>
              <w:rPr>
                <w:rFonts w:hint="default" w:cs="Times New Roman"/>
                <w:bCs/>
                <w:color w:val="auto"/>
                <w:sz w:val="24"/>
                <w:u w:val="single"/>
                <w:lang w:val="en-US" w:eastAsia="zh-CN"/>
              </w:rPr>
              <w:t>待处理液化气钢瓶输送至残气回收工位后，专用弹性密封接头完全包裹密封钢瓶瓶阀，启动负压风机形成管路负压环境，缓慢开启瓶阀，钢瓶内残留液化石油气在负压作用下沿密闭管道抽吸输送至厂区焚烧炉作为燃料燃烧利用；残气抽净后先关闭瓶阀、关停负压系统，再拆除密封接头，整套残气抽取全过程处于密闭负压状态，仅拆装接头短暂时段存在微量烃类废气逸散，配套管路、接头定期检修维护，稳定实现99%以上残气回收效率。</w:t>
            </w:r>
          </w:p>
          <w:p w14:paraId="1DC12D8A">
            <w:pPr>
              <w:widowControl/>
              <w:adjustRightInd w:val="0"/>
              <w:snapToGrid w:val="0"/>
              <w:spacing w:line="360" w:lineRule="auto"/>
              <w:ind w:firstLine="480" w:firstLineChars="200"/>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本次</w:t>
            </w:r>
            <w:r>
              <w:rPr>
                <w:rFonts w:hint="default" w:ascii="Times New Roman" w:hAnsi="Times New Roman" w:eastAsia="宋体" w:cs="Times New Roman"/>
                <w:color w:val="auto"/>
                <w:sz w:val="24"/>
                <w:szCs w:val="24"/>
              </w:rPr>
              <w:t>残气量取值参照区域同类型钢瓶检测</w:t>
            </w:r>
            <w:r>
              <w:rPr>
                <w:rFonts w:hint="eastAsia" w:cs="Times New Roman"/>
                <w:color w:val="auto"/>
                <w:sz w:val="24"/>
                <w:szCs w:val="24"/>
                <w:lang w:eastAsia="zh-CN"/>
              </w:rPr>
              <w:t>企业</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岳阳县长富钢瓶检测厂《日检测钢瓶500瓶生产线建设项目竣工环境保护验收监测报告表》监测数据，该项目单只液化石油气钢瓶残留液化石油气约0.05kg /瓶，配套密闭残气回收装置残气收集效率可达99%以上</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本项目生产工艺、残气回收设备与类比项目基本一致，本次评价保守采用99%残气回收效率开展物料衡算。</w:t>
            </w:r>
          </w:p>
          <w:p w14:paraId="4F8C5E09">
            <w:pPr>
              <w:widowControl/>
              <w:adjustRightInd w:val="0"/>
              <w:snapToGrid w:val="0"/>
              <w:spacing w:line="360" w:lineRule="auto"/>
              <w:ind w:firstLine="480" w:firstLineChars="200"/>
              <w:rPr>
                <w:rFonts w:hint="eastAsia" w:cs="Times New Roman"/>
                <w:color w:val="auto"/>
                <w:sz w:val="24"/>
                <w:szCs w:val="24"/>
                <w:lang w:eastAsia="zh-CN"/>
              </w:rPr>
            </w:pPr>
            <w:r>
              <w:rPr>
                <w:rFonts w:hint="default" w:ascii="Times New Roman" w:hAnsi="Times New Roman" w:eastAsia="宋体" w:cs="Times New Roman"/>
                <w:color w:val="auto"/>
                <w:sz w:val="24"/>
                <w:szCs w:val="24"/>
              </w:rPr>
              <w:t>项目年处置液化石油气钢瓶12万只，则</w:t>
            </w:r>
            <w:r>
              <w:rPr>
                <w:rFonts w:hint="eastAsia" w:ascii="Times New Roman" w:hAnsi="Times New Roman" w:eastAsia="宋体" w:cs="Times New Roman"/>
                <w:color w:val="auto"/>
                <w:sz w:val="24"/>
                <w:szCs w:val="24"/>
                <w:lang w:val="en-US" w:eastAsia="zh-CN"/>
              </w:rPr>
              <w:t>无组织</w:t>
            </w:r>
            <w:r>
              <w:rPr>
                <w:rFonts w:hint="default" w:ascii="Times New Roman" w:hAnsi="Times New Roman" w:eastAsia="宋体" w:cs="Times New Roman"/>
                <w:color w:val="auto"/>
                <w:sz w:val="24"/>
                <w:szCs w:val="24"/>
              </w:rPr>
              <w:t>残气总量：0.05kg/瓶×120000瓶=6000kg/a=6t/a；残气密闭回收效率按99%计，年回收液化石油气量6t/a×99%=5.94t/a，回收残气</w:t>
            </w:r>
            <w:r>
              <w:rPr>
                <w:rFonts w:hint="eastAsia" w:cs="Times New Roman"/>
                <w:color w:val="auto"/>
                <w:sz w:val="24"/>
                <w:szCs w:val="24"/>
                <w:lang w:val="en-US" w:eastAsia="zh-CN"/>
              </w:rPr>
              <w:t>经回收罐暂存后用于</w:t>
            </w:r>
            <w:r>
              <w:rPr>
                <w:rFonts w:hint="default" w:ascii="Times New Roman" w:hAnsi="Times New Roman" w:eastAsia="宋体" w:cs="Times New Roman"/>
                <w:color w:val="auto"/>
                <w:sz w:val="24"/>
                <w:szCs w:val="24"/>
              </w:rPr>
              <w:t>焚烧炉燃料综合利用；未收集逸散残气（无组织非甲烷总烃）排放量0.06t/a</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0.025kg/h</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。未收集逸散残气同步伴随恶臭异味，厂界无组织臭气浓度执行《恶臭污染物排放标准》（GB14554-93）二级厂界限值 20（无量纲）</w:t>
            </w:r>
            <w:r>
              <w:rPr>
                <w:rFonts w:hint="eastAsia" w:cs="Times New Roman"/>
                <w:color w:val="auto"/>
                <w:sz w:val="24"/>
                <w:szCs w:val="24"/>
                <w:lang w:eastAsia="zh-CN"/>
              </w:rPr>
              <w:t>。</w:t>
            </w:r>
          </w:p>
          <w:p w14:paraId="53402567">
            <w:pPr>
              <w:widowControl/>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为最大限度控制无组织废气逸散，项目拟采取综合管控措施：①残气回收采用专用弹性密封接头与钢瓶阀口紧密对接，消除接口泄漏；②车间设置强制机械排风系统；③制定标准化拆装作业规程，规范人员操作；④建立设备定期巡检维护制度，每月更换老化密封件，保障回收系统稳定运行；⑤残气作业区布设可燃气体在线报警装置，实时监控车间烃类废气浓度。</w:t>
            </w:r>
            <w:r>
              <w:rPr>
                <w:rFonts w:ascii="宋体" w:hAnsi="宋体" w:eastAsia="宋体" w:cs="宋体"/>
                <w:color w:val="auto"/>
                <w:sz w:val="24"/>
                <w:szCs w:val="24"/>
              </w:rPr>
              <w:t>通过</w:t>
            </w:r>
            <w:r>
              <w:rPr>
                <w:rFonts w:hint="eastAsia" w:ascii="宋体" w:hAnsi="宋体" w:cs="宋体"/>
                <w:color w:val="auto"/>
                <w:sz w:val="24"/>
                <w:szCs w:val="24"/>
                <w:lang w:val="en-US" w:eastAsia="zh-CN"/>
              </w:rPr>
              <w:t>以上措施</w:t>
            </w:r>
            <w:r>
              <w:rPr>
                <w:rFonts w:ascii="宋体" w:hAnsi="宋体" w:eastAsia="宋体" w:cs="宋体"/>
                <w:color w:val="auto"/>
                <w:sz w:val="24"/>
                <w:szCs w:val="24"/>
              </w:rPr>
              <w:t>可有效控制残气泄漏废气的无组织逸散。</w:t>
            </w:r>
          </w:p>
          <w:p w14:paraId="1E1584DE">
            <w:pPr>
              <w:numPr>
                <w:ilvl w:val="1"/>
                <w:numId w:val="6"/>
              </w:numPr>
              <w:adjustRightInd w:val="0"/>
              <w:snapToGrid w:val="0"/>
              <w:spacing w:line="360" w:lineRule="auto"/>
              <w:ind w:left="420" w:leftChars="0" w:firstLineChars="0"/>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焚烧炉燃烧废气</w:t>
            </w:r>
          </w:p>
          <w:p w14:paraId="586EE3C7">
            <w:pPr>
              <w:numPr>
                <w:ilvl w:val="0"/>
                <w:numId w:val="0"/>
              </w:numPr>
              <w:adjustRightInd w:val="0"/>
              <w:snapToGrid w:val="0"/>
              <w:spacing w:line="360" w:lineRule="auto"/>
              <w:ind w:leftChars="0" w:firstLine="480" w:firstLineChars="200"/>
              <w:rPr>
                <w:rFonts w:hint="default" w:eastAsia="宋体"/>
                <w:color w:val="auto"/>
                <w:sz w:val="24"/>
                <w:lang w:val="en-US" w:eastAsia="zh-CN"/>
              </w:rPr>
            </w:pPr>
            <w:r>
              <w:rPr>
                <w:rFonts w:hint="eastAsia"/>
                <w:color w:val="auto"/>
                <w:sz w:val="24"/>
                <w:lang w:val="en-US" w:eastAsia="zh-CN"/>
              </w:rPr>
              <w:t>钢瓶焚烧过程废气主要有</w:t>
            </w:r>
            <w:r>
              <w:rPr>
                <w:rFonts w:hint="eastAsia"/>
                <w:color w:val="auto"/>
                <w:sz w:val="24"/>
              </w:rPr>
              <w:t>液化气</w:t>
            </w:r>
            <w:r>
              <w:rPr>
                <w:rFonts w:hint="eastAsia"/>
                <w:color w:val="auto"/>
                <w:sz w:val="24"/>
                <w:lang w:eastAsia="zh-CN"/>
              </w:rPr>
              <w:t>、</w:t>
            </w:r>
            <w:r>
              <w:rPr>
                <w:rFonts w:hint="eastAsia"/>
                <w:color w:val="auto"/>
                <w:sz w:val="24"/>
              </w:rPr>
              <w:t>生物质颗粒</w:t>
            </w:r>
            <w:r>
              <w:rPr>
                <w:rFonts w:hint="eastAsia"/>
                <w:color w:val="auto"/>
                <w:sz w:val="24"/>
                <w:lang w:val="en-US" w:eastAsia="zh-CN"/>
              </w:rPr>
              <w:t>燃烧废气（颗粒物、SO</w:t>
            </w:r>
            <w:r>
              <w:rPr>
                <w:rFonts w:hint="eastAsia"/>
                <w:color w:val="auto"/>
                <w:sz w:val="24"/>
                <w:vertAlign w:val="subscript"/>
                <w:lang w:val="en-US" w:eastAsia="zh-CN"/>
              </w:rPr>
              <w:t>2</w:t>
            </w:r>
            <w:r>
              <w:rPr>
                <w:rFonts w:hint="eastAsia"/>
                <w:color w:val="auto"/>
                <w:sz w:val="24"/>
                <w:lang w:val="en-US" w:eastAsia="zh-CN"/>
              </w:rPr>
              <w:t>、NO</w:t>
            </w:r>
            <w:r>
              <w:rPr>
                <w:rFonts w:hint="eastAsia"/>
                <w:color w:val="auto"/>
                <w:sz w:val="24"/>
                <w:vertAlign w:val="subscript"/>
                <w:lang w:val="en-US" w:eastAsia="zh-CN"/>
              </w:rPr>
              <w:t>X</w:t>
            </w:r>
            <w:r>
              <w:rPr>
                <w:rFonts w:hint="eastAsia"/>
                <w:color w:val="auto"/>
                <w:sz w:val="24"/>
                <w:lang w:val="en-US" w:eastAsia="zh-CN"/>
              </w:rPr>
              <w:t>）以及钢瓶表面涂层燃烧产生的颗粒物。钢瓶外壁为无溶剂环氧树脂粉末涂层，本身不含挥发性溶剂，根据类比洁检 (黄冈) 检测技术有限公司钢瓶检测及钢瓶报废处理项目竣工环境保护验收监测报告以及长沙顺泰液化石油气钢瓶检验检测及报废处理项目环境影响报告表等可知，正常工况下钢瓶焚烧过程不产生挥发性有机物。</w:t>
            </w:r>
          </w:p>
          <w:p w14:paraId="6CEF72B6">
            <w:pPr>
              <w:numPr>
                <w:ilvl w:val="0"/>
                <w:numId w:val="0"/>
              </w:numPr>
              <w:adjustRightInd w:val="0"/>
              <w:snapToGrid w:val="0"/>
              <w:spacing w:line="360" w:lineRule="auto"/>
              <w:ind w:leftChars="0" w:firstLine="482" w:firstLineChars="200"/>
              <w:rPr>
                <w:rFonts w:hint="default"/>
                <w:b/>
                <w:bCs/>
                <w:color w:val="auto"/>
                <w:sz w:val="24"/>
                <w:lang w:val="en-US" w:eastAsia="zh-CN"/>
              </w:rPr>
            </w:pPr>
            <w:r>
              <w:rPr>
                <w:rFonts w:hint="eastAsia"/>
                <w:b/>
                <w:bCs/>
                <w:color w:val="auto"/>
                <w:sz w:val="24"/>
                <w:lang w:val="en-US" w:eastAsia="zh-CN"/>
              </w:rPr>
              <w:t>1.2.1、源强计算</w:t>
            </w:r>
          </w:p>
          <w:p w14:paraId="12596E43">
            <w:pPr>
              <w:numPr>
                <w:ilvl w:val="0"/>
                <w:numId w:val="0"/>
              </w:numPr>
              <w:adjustRightInd w:val="0"/>
              <w:snapToGrid w:val="0"/>
              <w:spacing w:line="360" w:lineRule="auto"/>
              <w:ind w:leftChars="0" w:firstLine="480" w:firstLineChars="200"/>
              <w:rPr>
                <w:rFonts w:hint="default"/>
                <w:color w:val="auto"/>
                <w:sz w:val="24"/>
                <w:lang w:val="en-US" w:eastAsia="zh-CN"/>
              </w:rPr>
            </w:pPr>
            <w:r>
              <w:rPr>
                <w:rFonts w:hint="eastAsia"/>
                <w:color w:val="auto"/>
                <w:sz w:val="24"/>
                <w:lang w:val="en-US" w:eastAsia="zh-CN"/>
              </w:rPr>
              <w:t>A：液化气、生物质颗粒燃烧废气源强</w:t>
            </w:r>
          </w:p>
          <w:p w14:paraId="49869AB9">
            <w:pPr>
              <w:numPr>
                <w:ilvl w:val="0"/>
                <w:numId w:val="0"/>
              </w:numPr>
              <w:adjustRightInd w:val="0"/>
              <w:snapToGrid w:val="0"/>
              <w:spacing w:line="360" w:lineRule="auto"/>
              <w:ind w:leftChars="0" w:firstLine="480" w:firstLineChars="200"/>
              <w:rPr>
                <w:rFonts w:hint="eastAsia"/>
                <w:color w:val="auto"/>
                <w:sz w:val="24"/>
                <w:lang w:val="en-US" w:eastAsia="zh-CN"/>
              </w:rPr>
            </w:pPr>
            <w:r>
              <w:rPr>
                <w:rFonts w:hint="eastAsia"/>
                <w:color w:val="auto"/>
                <w:sz w:val="24"/>
                <w:lang w:val="en-US" w:eastAsia="zh-CN"/>
              </w:rPr>
              <w:t>本项目焚烧炉系统共设置两台焚烧设备，运行过程中采用液化气瓶残液与生物质颗粒作为燃料，保障焚烧工况稳定运行。本项目焚烧炉总设计发热量为30万大卡/小时，折合热功率30</w:t>
            </w:r>
            <w:r>
              <w:rPr>
                <w:rFonts w:hint="eastAsia"/>
                <w:color w:val="auto"/>
                <w:sz w:val="24"/>
              </w:rPr>
              <w:t>0000kcal/h÷860kcal/(kW・h)</w:t>
            </w:r>
            <w:r>
              <w:rPr>
                <w:rFonts w:hint="eastAsia"/>
                <w:color w:val="auto"/>
                <w:sz w:val="24"/>
                <w:lang w:val="en-US" w:eastAsia="zh-CN"/>
              </w:rPr>
              <w:t>=348.84kW，其中液化石油气残液年消耗量为5.94t/a。</w:t>
            </w:r>
          </w:p>
          <w:p w14:paraId="78AF837D">
            <w:pPr>
              <w:numPr>
                <w:ilvl w:val="0"/>
                <w:numId w:val="0"/>
              </w:numPr>
              <w:adjustRightInd w:val="0"/>
              <w:snapToGrid w:val="0"/>
              <w:spacing w:line="360" w:lineRule="auto"/>
              <w:ind w:leftChars="0" w:firstLine="480" w:firstLineChars="200"/>
              <w:rPr>
                <w:rFonts w:hint="eastAsia"/>
                <w:color w:val="auto"/>
                <w:sz w:val="24"/>
              </w:rPr>
            </w:pPr>
            <w:r>
              <w:rPr>
                <w:rFonts w:hint="eastAsia"/>
                <w:color w:val="auto"/>
                <w:sz w:val="24"/>
                <w:lang w:val="en-US" w:eastAsia="zh-CN"/>
              </w:rPr>
              <w:t>依据本项目生物质燃料检测报告（附件9），本项目所用生物质颗粒低位发热值为4137kcal/kg，折合17.31MJ/kg。焚烧炉热效率取96%，通过核算焚烧炉年总燃料消耗量为181.29t/a。</w:t>
            </w:r>
          </w:p>
          <w:p w14:paraId="37A37A94">
            <w:pPr>
              <w:numPr>
                <w:ilvl w:val="0"/>
                <w:numId w:val="0"/>
              </w:numPr>
              <w:adjustRightInd w:val="0"/>
              <w:snapToGrid w:val="0"/>
              <w:spacing w:line="360" w:lineRule="auto"/>
              <w:ind w:leftChars="0" w:firstLine="480" w:firstLineChars="200"/>
              <w:rPr>
                <w:rFonts w:hint="eastAsia"/>
                <w:color w:val="auto"/>
                <w:sz w:val="24"/>
              </w:rPr>
            </w:pPr>
            <w:r>
              <w:rPr>
                <w:rFonts w:hint="eastAsia"/>
                <w:color w:val="auto"/>
                <w:sz w:val="24"/>
                <w:lang w:val="en-US" w:eastAsia="zh-CN"/>
              </w:rPr>
              <w:t>本次计算</w:t>
            </w:r>
            <w:r>
              <w:rPr>
                <w:rFonts w:hint="eastAsia"/>
                <w:color w:val="auto"/>
                <w:sz w:val="24"/>
              </w:rPr>
              <w:t>液化石油气产污系数取自《全国第二次污染源普查系数手册》“4430 工业锅炉（热力生产和供应行业）燃气工业锅炉”；生物质成型燃料无专用焚烧炉系数，类比工业锅炉排污系数核算。</w:t>
            </w:r>
          </w:p>
          <w:p w14:paraId="7955B69B">
            <w:pPr>
              <w:pStyle w:val="63"/>
              <w:tabs>
                <w:tab w:val="left" w:pos="1021"/>
              </w:tabs>
              <w:bidi w:val="0"/>
              <w:jc w:val="center"/>
              <w:rPr>
                <w:rFonts w:hint="default" w:ascii="Times New Roman" w:hAnsi="Times New Roman" w:cs="Times New Roman"/>
                <w:color w:val="auto"/>
                <w:u w:val="single" w:color="auto"/>
                <w:lang w:val="en-US" w:eastAsia="zh-CN"/>
              </w:rPr>
            </w:pPr>
            <w:r>
              <w:rPr>
                <w:rFonts w:hint="default" w:ascii="Times New Roman" w:hAnsi="Times New Roman" w:cs="Times New Roman"/>
                <w:b/>
                <w:bCs/>
                <w:color w:val="auto"/>
                <w:u w:val="single" w:color="auto"/>
              </w:rPr>
              <w:t>表4-</w:t>
            </w:r>
            <w:r>
              <w:rPr>
                <w:rFonts w:hint="default" w:ascii="Times New Roman" w:hAnsi="Times New Roman" w:cs="Times New Roman"/>
                <w:b/>
                <w:bCs/>
                <w:color w:val="auto"/>
                <w:u w:val="single" w:color="auto"/>
                <w:lang w:val="en-US" w:eastAsia="zh-CN"/>
              </w:rPr>
              <w:t>1</w:t>
            </w:r>
            <w:r>
              <w:rPr>
                <w:rFonts w:hint="default" w:ascii="Times New Roman" w:hAnsi="Times New Roman" w:cs="Times New Roman"/>
                <w:b/>
                <w:bCs/>
                <w:color w:val="auto"/>
                <w:u w:val="single" w:color="auto"/>
              </w:rPr>
              <w:t xml:space="preserve">  </w:t>
            </w:r>
            <w:r>
              <w:rPr>
                <w:rFonts w:hint="default" w:ascii="Times New Roman" w:hAnsi="Times New Roman" w:cs="Times New Roman"/>
                <w:b/>
                <w:bCs/>
                <w:color w:val="auto"/>
                <w:u w:val="single" w:color="auto"/>
                <w:lang w:val="en-US" w:eastAsia="zh-CN"/>
              </w:rPr>
              <w:t xml:space="preserve"> 液化气、生物质颗粒燃烧废气</w:t>
            </w:r>
            <w:r>
              <w:rPr>
                <w:rFonts w:hint="default" w:ascii="Times New Roman" w:hAnsi="Times New Roman" w:cs="Times New Roman"/>
                <w:b/>
                <w:bCs/>
                <w:color w:val="auto"/>
                <w:u w:val="single" w:color="auto"/>
              </w:rPr>
              <w:t>产</w:t>
            </w:r>
            <w:r>
              <w:rPr>
                <w:rFonts w:hint="eastAsia" w:ascii="Times New Roman" w:hAnsi="Times New Roman" w:cs="Times New Roman"/>
                <w:b/>
                <w:bCs/>
                <w:color w:val="auto"/>
                <w:u w:val="single" w:color="auto"/>
                <w:lang w:val="en-US" w:eastAsia="zh-CN"/>
              </w:rPr>
              <w:t>生量计算表</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701"/>
              <w:gridCol w:w="1722"/>
              <w:gridCol w:w="1565"/>
              <w:gridCol w:w="1575"/>
            </w:tblGrid>
            <w:tr w14:paraId="57E34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3" w:type="pct"/>
                  <w:tcBorders>
                    <w:tl2br w:val="nil"/>
                    <w:tr2bl w:val="nil"/>
                  </w:tcBorders>
                  <w:vAlign w:val="center"/>
                </w:tcPr>
                <w:p w14:paraId="2AB483CE">
                  <w:pPr>
                    <w:pStyle w:val="63"/>
                    <w:tabs>
                      <w:tab w:val="left" w:pos="1021"/>
                    </w:tabs>
                    <w:bidi w:val="0"/>
                    <w:jc w:val="center"/>
                    <w:rPr>
                      <w:rFonts w:hint="default" w:ascii="Times New Roman" w:hAnsi="Times New Roman" w:cs="Times New Roman"/>
                      <w:b/>
                      <w:bCs/>
                      <w:color w:val="auto"/>
                      <w:u w:val="single" w:color="auto"/>
                    </w:rPr>
                  </w:pPr>
                  <w:r>
                    <w:rPr>
                      <w:rFonts w:hint="default" w:ascii="Times New Roman" w:hAnsi="Times New Roman" w:cs="Times New Roman"/>
                      <w:b/>
                      <w:bCs/>
                      <w:color w:val="auto"/>
                      <w:u w:val="single" w:color="auto"/>
                    </w:rPr>
                    <w:t>原料名称</w:t>
                  </w:r>
                </w:p>
              </w:tc>
              <w:tc>
                <w:tcPr>
                  <w:tcW w:w="1075" w:type="pct"/>
                  <w:tcBorders>
                    <w:tl2br w:val="nil"/>
                    <w:tr2bl w:val="nil"/>
                  </w:tcBorders>
                  <w:vAlign w:val="center"/>
                </w:tcPr>
                <w:p w14:paraId="4E1A66E5">
                  <w:pPr>
                    <w:pStyle w:val="63"/>
                    <w:tabs>
                      <w:tab w:val="left" w:pos="1021"/>
                    </w:tabs>
                    <w:bidi w:val="0"/>
                    <w:jc w:val="center"/>
                    <w:rPr>
                      <w:rFonts w:hint="default" w:ascii="Times New Roman" w:hAnsi="Times New Roman" w:cs="Times New Roman"/>
                      <w:b/>
                      <w:bCs/>
                      <w:color w:val="auto"/>
                      <w:u w:val="single" w:color="auto"/>
                    </w:rPr>
                  </w:pPr>
                  <w:r>
                    <w:rPr>
                      <w:rFonts w:hint="default" w:ascii="Times New Roman" w:hAnsi="Times New Roman" w:cs="Times New Roman"/>
                      <w:b/>
                      <w:bCs/>
                      <w:color w:val="auto"/>
                      <w:u w:val="single" w:color="auto"/>
                    </w:rPr>
                    <w:t>污染物指标</w:t>
                  </w:r>
                </w:p>
              </w:tc>
              <w:tc>
                <w:tcPr>
                  <w:tcW w:w="1088" w:type="pct"/>
                  <w:tcBorders>
                    <w:tl2br w:val="nil"/>
                    <w:tr2bl w:val="nil"/>
                  </w:tcBorders>
                  <w:vAlign w:val="center"/>
                </w:tcPr>
                <w:p w14:paraId="3BA73E93">
                  <w:pPr>
                    <w:pStyle w:val="63"/>
                    <w:tabs>
                      <w:tab w:val="left" w:pos="1021"/>
                    </w:tabs>
                    <w:bidi w:val="0"/>
                    <w:jc w:val="center"/>
                    <w:rPr>
                      <w:rFonts w:hint="default" w:ascii="Times New Roman" w:hAnsi="Times New Roman" w:cs="Times New Roman"/>
                      <w:b/>
                      <w:bCs/>
                      <w:color w:val="auto"/>
                      <w:u w:val="single" w:color="auto"/>
                    </w:rPr>
                  </w:pPr>
                  <w:r>
                    <w:rPr>
                      <w:rFonts w:hint="default" w:ascii="Times New Roman" w:hAnsi="Times New Roman" w:cs="Times New Roman"/>
                      <w:b/>
                      <w:bCs/>
                      <w:color w:val="auto"/>
                      <w:u w:val="single" w:color="auto"/>
                    </w:rPr>
                    <w:t>单位</w:t>
                  </w:r>
                </w:p>
              </w:tc>
              <w:tc>
                <w:tcPr>
                  <w:tcW w:w="989" w:type="pct"/>
                  <w:tcBorders>
                    <w:tl2br w:val="nil"/>
                    <w:tr2bl w:val="nil"/>
                  </w:tcBorders>
                  <w:vAlign w:val="center"/>
                </w:tcPr>
                <w:p w14:paraId="4906144D">
                  <w:pPr>
                    <w:pStyle w:val="63"/>
                    <w:tabs>
                      <w:tab w:val="left" w:pos="1021"/>
                    </w:tabs>
                    <w:bidi w:val="0"/>
                    <w:jc w:val="center"/>
                    <w:rPr>
                      <w:rFonts w:hint="default" w:ascii="Times New Roman" w:hAnsi="Times New Roman" w:cs="Times New Roman"/>
                      <w:b/>
                      <w:bCs/>
                      <w:color w:val="auto"/>
                      <w:u w:val="single" w:color="auto"/>
                    </w:rPr>
                  </w:pPr>
                  <w:r>
                    <w:rPr>
                      <w:rFonts w:hint="default" w:ascii="Times New Roman" w:hAnsi="Times New Roman" w:cs="Times New Roman"/>
                      <w:b/>
                      <w:bCs/>
                      <w:color w:val="auto"/>
                      <w:u w:val="single" w:color="auto"/>
                    </w:rPr>
                    <w:t>产污系数</w:t>
                  </w:r>
                </w:p>
              </w:tc>
              <w:tc>
                <w:tcPr>
                  <w:tcW w:w="993" w:type="pct"/>
                  <w:tcBorders>
                    <w:tl2br w:val="nil"/>
                    <w:tr2bl w:val="nil"/>
                  </w:tcBorders>
                  <w:vAlign w:val="center"/>
                </w:tcPr>
                <w:p w14:paraId="076D280D">
                  <w:pPr>
                    <w:pStyle w:val="63"/>
                    <w:tabs>
                      <w:tab w:val="left" w:pos="1021"/>
                    </w:tabs>
                    <w:bidi w:val="0"/>
                    <w:jc w:val="center"/>
                    <w:rPr>
                      <w:rFonts w:hint="default" w:ascii="Times New Roman" w:hAnsi="Times New Roman" w:eastAsia="宋体" w:cs="Times New Roman"/>
                      <w:b/>
                      <w:bCs/>
                      <w:color w:val="auto"/>
                      <w:u w:val="single" w:color="auto"/>
                      <w:lang w:val="en-US" w:eastAsia="zh-CN"/>
                    </w:rPr>
                  </w:pPr>
                  <w:r>
                    <w:rPr>
                      <w:rFonts w:hint="eastAsia" w:ascii="Times New Roman" w:hAnsi="Times New Roman" w:cs="Times New Roman"/>
                      <w:b/>
                      <w:bCs/>
                      <w:color w:val="auto"/>
                      <w:u w:val="single" w:color="auto"/>
                      <w:lang w:val="en-US" w:eastAsia="zh-CN"/>
                    </w:rPr>
                    <w:t>产生量</w:t>
                  </w:r>
                </w:p>
              </w:tc>
            </w:tr>
            <w:tr w14:paraId="14CECA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3" w:type="pct"/>
                  <w:vMerge w:val="restart"/>
                  <w:tcBorders>
                    <w:tl2br w:val="nil"/>
                    <w:tr2bl w:val="nil"/>
                  </w:tcBorders>
                  <w:vAlign w:val="center"/>
                </w:tcPr>
                <w:p w14:paraId="5AF1583E">
                  <w:pPr>
                    <w:pStyle w:val="63"/>
                    <w:tabs>
                      <w:tab w:val="left" w:pos="1021"/>
                    </w:tabs>
                    <w:bidi w:val="0"/>
                    <w:jc w:val="center"/>
                    <w:rPr>
                      <w:rFonts w:hint="default" w:ascii="Times New Roman" w:hAnsi="Times New Roman" w:cs="Times New Roman"/>
                      <w:color w:val="auto"/>
                      <w:u w:val="single" w:color="auto"/>
                    </w:rPr>
                  </w:pPr>
                  <w:r>
                    <w:rPr>
                      <w:rFonts w:hint="default" w:ascii="Times New Roman" w:hAnsi="Times New Roman" w:cs="Times New Roman"/>
                      <w:color w:val="auto"/>
                      <w:u w:val="single" w:color="auto"/>
                    </w:rPr>
                    <w:t>液化石油气5.94t/a</w:t>
                  </w:r>
                </w:p>
              </w:tc>
              <w:tc>
                <w:tcPr>
                  <w:tcW w:w="1075" w:type="pct"/>
                  <w:tcBorders>
                    <w:tl2br w:val="nil"/>
                    <w:tr2bl w:val="nil"/>
                  </w:tcBorders>
                  <w:vAlign w:val="center"/>
                </w:tcPr>
                <w:p w14:paraId="531B3489">
                  <w:pPr>
                    <w:pStyle w:val="63"/>
                    <w:tabs>
                      <w:tab w:val="left" w:pos="1021"/>
                    </w:tabs>
                    <w:bidi w:val="0"/>
                    <w:jc w:val="center"/>
                    <w:rPr>
                      <w:rFonts w:hint="default" w:ascii="Times New Roman" w:hAnsi="Times New Roman" w:cs="Times New Roman"/>
                      <w:color w:val="auto"/>
                      <w:u w:val="single" w:color="auto"/>
                    </w:rPr>
                  </w:pPr>
                  <w:r>
                    <w:rPr>
                      <w:rFonts w:hint="default" w:ascii="Times New Roman" w:hAnsi="Times New Roman" w:cs="Times New Roman"/>
                      <w:color w:val="auto"/>
                      <w:u w:val="single" w:color="auto"/>
                    </w:rPr>
                    <w:t>工业废气量</w:t>
                  </w:r>
                </w:p>
              </w:tc>
              <w:tc>
                <w:tcPr>
                  <w:tcW w:w="1088" w:type="pct"/>
                  <w:tcBorders>
                    <w:tl2br w:val="nil"/>
                    <w:tr2bl w:val="nil"/>
                  </w:tcBorders>
                  <w:vAlign w:val="center"/>
                </w:tcPr>
                <w:p w14:paraId="0CF24780">
                  <w:pPr>
                    <w:pStyle w:val="63"/>
                    <w:tabs>
                      <w:tab w:val="left" w:pos="1021"/>
                    </w:tabs>
                    <w:bidi w:val="0"/>
                    <w:jc w:val="center"/>
                    <w:rPr>
                      <w:rFonts w:hint="default" w:ascii="Times New Roman" w:hAnsi="Times New Roman" w:cs="Times New Roman"/>
                      <w:color w:val="auto"/>
                      <w:u w:val="single" w:color="auto"/>
                    </w:rPr>
                  </w:pPr>
                  <w:r>
                    <w:rPr>
                      <w:rFonts w:hint="default" w:ascii="Times New Roman" w:hAnsi="Times New Roman" w:cs="Times New Roman"/>
                      <w:color w:val="auto"/>
                      <w:highlight w:val="none"/>
                      <w:u w:val="single" w:color="auto"/>
                    </w:rPr>
                    <w:t>m</w:t>
                  </w:r>
                  <w:r>
                    <w:rPr>
                      <w:rFonts w:hint="default" w:ascii="Times New Roman" w:hAnsi="Times New Roman" w:cs="Times New Roman"/>
                      <w:color w:val="auto"/>
                      <w:highlight w:val="none"/>
                      <w:u w:val="single" w:color="auto"/>
                      <w:vertAlign w:val="superscript"/>
                    </w:rPr>
                    <w:t>3</w:t>
                  </w:r>
                  <w:r>
                    <w:rPr>
                      <w:rFonts w:hint="default" w:ascii="Times New Roman" w:hAnsi="Times New Roman" w:cs="Times New Roman"/>
                      <w:color w:val="auto"/>
                      <w:highlight w:val="none"/>
                      <w:u w:val="single" w:color="auto"/>
                    </w:rPr>
                    <w:t>/t-原料</w:t>
                  </w:r>
                </w:p>
              </w:tc>
              <w:tc>
                <w:tcPr>
                  <w:tcW w:w="989" w:type="pct"/>
                  <w:tcBorders>
                    <w:tl2br w:val="nil"/>
                    <w:tr2bl w:val="nil"/>
                  </w:tcBorders>
                  <w:vAlign w:val="center"/>
                </w:tcPr>
                <w:p w14:paraId="7E1F6E7D">
                  <w:pPr>
                    <w:pStyle w:val="63"/>
                    <w:tabs>
                      <w:tab w:val="left" w:pos="1021"/>
                    </w:tabs>
                    <w:bidi w:val="0"/>
                    <w:jc w:val="center"/>
                    <w:rPr>
                      <w:rFonts w:hint="default" w:ascii="Times New Roman" w:hAnsi="Times New Roman" w:cs="Times New Roman"/>
                      <w:color w:val="auto"/>
                      <w:u w:val="single" w:color="auto"/>
                    </w:rPr>
                  </w:pPr>
                  <w:r>
                    <w:rPr>
                      <w:rFonts w:hint="default" w:ascii="Times New Roman" w:hAnsi="Times New Roman" w:cs="Times New Roman"/>
                      <w:color w:val="auto"/>
                      <w:u w:val="single" w:color="auto"/>
                    </w:rPr>
                    <w:t>13237</w:t>
                  </w:r>
                </w:p>
              </w:tc>
              <w:tc>
                <w:tcPr>
                  <w:tcW w:w="993" w:type="pct"/>
                  <w:tcBorders>
                    <w:tl2br w:val="nil"/>
                    <w:tr2bl w:val="nil"/>
                  </w:tcBorders>
                  <w:vAlign w:val="center"/>
                </w:tcPr>
                <w:p w14:paraId="55582AD0">
                  <w:pPr>
                    <w:pStyle w:val="63"/>
                    <w:tabs>
                      <w:tab w:val="left" w:pos="1021"/>
                    </w:tabs>
                    <w:bidi w:val="0"/>
                    <w:jc w:val="center"/>
                    <w:rPr>
                      <w:rFonts w:hint="default" w:ascii="Times New Roman" w:hAnsi="Times New Roman" w:eastAsia="宋体" w:cs="Times New Roman"/>
                      <w:color w:val="auto"/>
                      <w:u w:val="single" w:color="auto"/>
                      <w:lang w:val="en-US" w:eastAsia="zh-CN"/>
                    </w:rPr>
                  </w:pPr>
                  <w:r>
                    <w:rPr>
                      <w:rFonts w:hint="eastAsia" w:ascii="Times New Roman" w:hAnsi="Times New Roman" w:cs="Times New Roman"/>
                      <w:color w:val="auto"/>
                      <w:u w:val="single" w:color="auto"/>
                      <w:lang w:val="en-US" w:eastAsia="zh-CN"/>
                    </w:rPr>
                    <w:t>78627.78m</w:t>
                  </w:r>
                  <w:r>
                    <w:rPr>
                      <w:rFonts w:hint="eastAsia" w:ascii="Times New Roman" w:hAnsi="Times New Roman" w:cs="Times New Roman"/>
                      <w:color w:val="auto"/>
                      <w:u w:val="single" w:color="auto"/>
                      <w:vertAlign w:val="superscript"/>
                      <w:lang w:val="en-US" w:eastAsia="zh-CN"/>
                    </w:rPr>
                    <w:t>3</w:t>
                  </w:r>
                  <w:r>
                    <w:rPr>
                      <w:rFonts w:hint="eastAsia" w:ascii="Times New Roman" w:hAnsi="Times New Roman" w:cs="Times New Roman"/>
                      <w:color w:val="auto"/>
                      <w:u w:val="single" w:color="auto"/>
                      <w:lang w:val="en-US" w:eastAsia="zh-CN"/>
                    </w:rPr>
                    <w:t>/a</w:t>
                  </w:r>
                </w:p>
              </w:tc>
            </w:tr>
            <w:tr w14:paraId="3BD31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3" w:type="pct"/>
                  <w:vMerge w:val="continue"/>
                  <w:tcBorders>
                    <w:tl2br w:val="nil"/>
                    <w:tr2bl w:val="nil"/>
                  </w:tcBorders>
                  <w:vAlign w:val="center"/>
                </w:tcPr>
                <w:p w14:paraId="7AB9069A">
                  <w:pPr>
                    <w:pStyle w:val="63"/>
                    <w:tabs>
                      <w:tab w:val="left" w:pos="1021"/>
                    </w:tabs>
                    <w:bidi w:val="0"/>
                    <w:jc w:val="center"/>
                    <w:rPr>
                      <w:rFonts w:hint="default" w:ascii="Times New Roman" w:hAnsi="Times New Roman" w:cs="Times New Roman"/>
                      <w:color w:val="auto"/>
                      <w:u w:val="single" w:color="auto"/>
                    </w:rPr>
                  </w:pPr>
                </w:p>
              </w:tc>
              <w:tc>
                <w:tcPr>
                  <w:tcW w:w="1075" w:type="pct"/>
                  <w:tcBorders>
                    <w:tl2br w:val="nil"/>
                    <w:tr2bl w:val="nil"/>
                  </w:tcBorders>
                  <w:vAlign w:val="center"/>
                </w:tcPr>
                <w:p w14:paraId="252DB48E">
                  <w:pPr>
                    <w:pStyle w:val="63"/>
                    <w:tabs>
                      <w:tab w:val="left" w:pos="1021"/>
                    </w:tabs>
                    <w:bidi w:val="0"/>
                    <w:jc w:val="center"/>
                    <w:rPr>
                      <w:rFonts w:hint="default" w:ascii="Times New Roman" w:hAnsi="Times New Roman" w:cs="Times New Roman"/>
                      <w:color w:val="auto"/>
                      <w:u w:val="single" w:color="auto"/>
                    </w:rPr>
                  </w:pPr>
                  <w:r>
                    <w:rPr>
                      <w:rFonts w:hint="default" w:ascii="Times New Roman" w:hAnsi="Times New Roman" w:cs="Times New Roman"/>
                      <w:color w:val="auto"/>
                      <w:u w:val="single" w:color="auto"/>
                    </w:rPr>
                    <w:t>颗粒物</w:t>
                  </w:r>
                </w:p>
              </w:tc>
              <w:tc>
                <w:tcPr>
                  <w:tcW w:w="1088" w:type="pct"/>
                  <w:tcBorders>
                    <w:tl2br w:val="nil"/>
                    <w:tr2bl w:val="nil"/>
                  </w:tcBorders>
                  <w:vAlign w:val="center"/>
                </w:tcPr>
                <w:p w14:paraId="20C27C3D">
                  <w:pPr>
                    <w:pStyle w:val="63"/>
                    <w:tabs>
                      <w:tab w:val="left" w:pos="1021"/>
                    </w:tabs>
                    <w:bidi w:val="0"/>
                    <w:jc w:val="center"/>
                    <w:rPr>
                      <w:rFonts w:hint="default" w:ascii="Times New Roman" w:hAnsi="Times New Roman" w:cs="Times New Roman"/>
                      <w:color w:val="auto"/>
                      <w:u w:val="single" w:color="auto"/>
                    </w:rPr>
                  </w:pPr>
                  <w:r>
                    <w:rPr>
                      <w:rFonts w:hint="eastAsia" w:ascii="Times New Roman" w:hAnsi="Times New Roman" w:cs="Times New Roman"/>
                      <w:color w:val="auto"/>
                      <w:u w:val="single" w:color="auto"/>
                      <w:lang w:val="en-US" w:eastAsia="zh-CN"/>
                    </w:rPr>
                    <w:t>kg</w:t>
                  </w:r>
                  <w:r>
                    <w:rPr>
                      <w:rFonts w:hint="default" w:ascii="Times New Roman" w:hAnsi="Times New Roman" w:cs="Times New Roman"/>
                      <w:color w:val="auto"/>
                      <w:u w:val="single" w:color="auto"/>
                    </w:rPr>
                    <w:t>/万</w:t>
                  </w:r>
                  <w:r>
                    <w:rPr>
                      <w:rFonts w:hint="default" w:ascii="Times New Roman" w:hAnsi="Times New Roman" w:cs="Times New Roman"/>
                      <w:color w:val="auto"/>
                      <w:highlight w:val="none"/>
                      <w:u w:val="single" w:color="auto"/>
                    </w:rPr>
                    <w:t>m</w:t>
                  </w:r>
                  <w:r>
                    <w:rPr>
                      <w:rFonts w:hint="default" w:ascii="Times New Roman" w:hAnsi="Times New Roman" w:cs="Times New Roman"/>
                      <w:color w:val="auto"/>
                      <w:highlight w:val="none"/>
                      <w:u w:val="single" w:color="auto"/>
                      <w:vertAlign w:val="superscript"/>
                    </w:rPr>
                    <w:t>3</w:t>
                  </w:r>
                  <w:r>
                    <w:rPr>
                      <w:rFonts w:hint="default" w:ascii="Times New Roman" w:hAnsi="Times New Roman" w:cs="Times New Roman"/>
                      <w:color w:val="auto"/>
                      <w:u w:val="single" w:color="auto"/>
                    </w:rPr>
                    <w:t>-原料</w:t>
                  </w:r>
                </w:p>
              </w:tc>
              <w:tc>
                <w:tcPr>
                  <w:tcW w:w="989" w:type="pct"/>
                  <w:tcBorders>
                    <w:tl2br w:val="nil"/>
                    <w:tr2bl w:val="nil"/>
                  </w:tcBorders>
                  <w:vAlign w:val="center"/>
                </w:tcPr>
                <w:p w14:paraId="248D456E">
                  <w:pPr>
                    <w:pStyle w:val="63"/>
                    <w:tabs>
                      <w:tab w:val="left" w:pos="1021"/>
                    </w:tabs>
                    <w:bidi w:val="0"/>
                    <w:jc w:val="center"/>
                    <w:rPr>
                      <w:rFonts w:hint="default" w:ascii="Times New Roman" w:hAnsi="Times New Roman" w:cs="Times New Roman"/>
                      <w:color w:val="auto"/>
                      <w:u w:val="single" w:color="auto"/>
                    </w:rPr>
                  </w:pPr>
                  <w:r>
                    <w:rPr>
                      <w:rFonts w:hint="default" w:ascii="Times New Roman" w:hAnsi="Times New Roman" w:cs="Times New Roman"/>
                      <w:color w:val="auto"/>
                      <w:u w:val="single" w:color="auto"/>
                    </w:rPr>
                    <w:t>2.2</w:t>
                  </w:r>
                </w:p>
              </w:tc>
              <w:tc>
                <w:tcPr>
                  <w:tcW w:w="993" w:type="pct"/>
                  <w:tcBorders>
                    <w:tl2br w:val="nil"/>
                    <w:tr2bl w:val="nil"/>
                  </w:tcBorders>
                  <w:vAlign w:val="center"/>
                </w:tcPr>
                <w:p w14:paraId="49460A57">
                  <w:pPr>
                    <w:pStyle w:val="63"/>
                    <w:tabs>
                      <w:tab w:val="left" w:pos="1021"/>
                    </w:tabs>
                    <w:bidi w:val="0"/>
                    <w:jc w:val="center"/>
                    <w:rPr>
                      <w:rFonts w:hint="default" w:ascii="Times New Roman" w:hAnsi="Times New Roman" w:eastAsia="宋体" w:cs="Times New Roman"/>
                      <w:color w:val="auto"/>
                      <w:u w:val="single" w:color="auto"/>
                      <w:lang w:val="en-US" w:eastAsia="zh-CN"/>
                    </w:rPr>
                  </w:pPr>
                  <w:r>
                    <w:rPr>
                      <w:rFonts w:hint="eastAsia" w:ascii="Times New Roman" w:hAnsi="Times New Roman" w:cs="Times New Roman"/>
                      <w:color w:val="auto"/>
                      <w:u w:val="single" w:color="auto"/>
                      <w:lang w:val="en-US" w:eastAsia="zh-CN"/>
                    </w:rPr>
                    <w:t>0.0173</w:t>
                  </w:r>
                  <w:r>
                    <w:rPr>
                      <w:rFonts w:hint="default" w:ascii="Times New Roman" w:hAnsi="Times New Roman" w:cs="Times New Roman"/>
                      <w:color w:val="auto"/>
                      <w:highlight w:val="none"/>
                      <w:u w:val="single" w:color="auto"/>
                    </w:rPr>
                    <w:t>t</w:t>
                  </w:r>
                  <w:r>
                    <w:rPr>
                      <w:rFonts w:hint="eastAsia" w:ascii="Times New Roman" w:hAnsi="Times New Roman" w:cs="Times New Roman"/>
                      <w:color w:val="auto"/>
                      <w:highlight w:val="none"/>
                      <w:u w:val="single" w:color="auto"/>
                      <w:lang w:val="en-US" w:eastAsia="zh-CN"/>
                    </w:rPr>
                    <w:t>/a</w:t>
                  </w:r>
                </w:p>
              </w:tc>
            </w:tr>
            <w:tr w14:paraId="44F090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3" w:type="pct"/>
                  <w:vMerge w:val="continue"/>
                  <w:tcBorders>
                    <w:tl2br w:val="nil"/>
                    <w:tr2bl w:val="nil"/>
                  </w:tcBorders>
                  <w:vAlign w:val="center"/>
                </w:tcPr>
                <w:p w14:paraId="3B9AE31E">
                  <w:pPr>
                    <w:pStyle w:val="63"/>
                    <w:tabs>
                      <w:tab w:val="left" w:pos="1021"/>
                    </w:tabs>
                    <w:bidi w:val="0"/>
                    <w:jc w:val="center"/>
                    <w:rPr>
                      <w:rFonts w:hint="default" w:ascii="Times New Roman" w:hAnsi="Times New Roman" w:cs="Times New Roman"/>
                      <w:color w:val="auto"/>
                      <w:u w:val="single" w:color="auto"/>
                    </w:rPr>
                  </w:pPr>
                </w:p>
              </w:tc>
              <w:tc>
                <w:tcPr>
                  <w:tcW w:w="1075" w:type="pct"/>
                  <w:tcBorders>
                    <w:tl2br w:val="nil"/>
                    <w:tr2bl w:val="nil"/>
                  </w:tcBorders>
                  <w:vAlign w:val="center"/>
                </w:tcPr>
                <w:p w14:paraId="6BBF5E66">
                  <w:pPr>
                    <w:pStyle w:val="63"/>
                    <w:tabs>
                      <w:tab w:val="left" w:pos="1021"/>
                    </w:tabs>
                    <w:ind w:firstLine="0" w:firstLineChars="0"/>
                    <w:jc w:val="center"/>
                    <w:rPr>
                      <w:rFonts w:hint="default" w:ascii="Times New Roman" w:hAnsi="Times New Roman" w:cs="Times New Roman"/>
                      <w:color w:val="auto"/>
                      <w:u w:val="single" w:color="auto"/>
                    </w:rPr>
                  </w:pPr>
                  <w:r>
                    <w:rPr>
                      <w:rFonts w:hint="default" w:ascii="Times New Roman" w:hAnsi="Times New Roman" w:cs="Times New Roman"/>
                      <w:color w:val="auto"/>
                      <w:highlight w:val="none"/>
                      <w:u w:val="single" w:color="auto"/>
                    </w:rPr>
                    <w:t>SO</w:t>
                  </w:r>
                  <w:r>
                    <w:rPr>
                      <w:rFonts w:hint="default" w:ascii="Times New Roman" w:hAnsi="Times New Roman" w:cs="Times New Roman"/>
                      <w:color w:val="auto"/>
                      <w:highlight w:val="none"/>
                      <w:u w:val="single" w:color="auto"/>
                      <w:vertAlign w:val="subscript"/>
                    </w:rPr>
                    <w:t>2</w:t>
                  </w:r>
                </w:p>
              </w:tc>
              <w:tc>
                <w:tcPr>
                  <w:tcW w:w="1088" w:type="pct"/>
                  <w:tcBorders>
                    <w:tl2br w:val="nil"/>
                    <w:tr2bl w:val="nil"/>
                  </w:tcBorders>
                  <w:vAlign w:val="center"/>
                </w:tcPr>
                <w:p w14:paraId="67F5B9C5">
                  <w:pPr>
                    <w:bidi w:val="0"/>
                    <w:jc w:val="center"/>
                    <w:rPr>
                      <w:rFonts w:hint="default" w:ascii="Times New Roman" w:hAnsi="Times New Roman" w:cs="Times New Roman"/>
                      <w:color w:val="auto"/>
                      <w:u w:val="single" w:color="auto"/>
                    </w:rPr>
                  </w:pPr>
                  <w:r>
                    <w:rPr>
                      <w:rFonts w:hint="default" w:ascii="Times New Roman" w:hAnsi="Times New Roman" w:cs="Times New Roman"/>
                      <w:color w:val="auto"/>
                      <w:highlight w:val="none"/>
                      <w:u w:val="single" w:color="auto"/>
                    </w:rPr>
                    <w:t>kg/t-原料</w:t>
                  </w:r>
                </w:p>
              </w:tc>
              <w:tc>
                <w:tcPr>
                  <w:tcW w:w="989" w:type="pct"/>
                  <w:tcBorders>
                    <w:tl2br w:val="nil"/>
                    <w:tr2bl w:val="nil"/>
                  </w:tcBorders>
                  <w:vAlign w:val="center"/>
                </w:tcPr>
                <w:p w14:paraId="1F743DE7">
                  <w:pPr>
                    <w:pStyle w:val="63"/>
                    <w:tabs>
                      <w:tab w:val="left" w:pos="1021"/>
                    </w:tabs>
                    <w:bidi w:val="0"/>
                    <w:jc w:val="center"/>
                    <w:rPr>
                      <w:rFonts w:hint="default" w:ascii="Times New Roman" w:hAnsi="Times New Roman" w:cs="Times New Roman"/>
                      <w:color w:val="auto"/>
                      <w:u w:val="single" w:color="auto"/>
                    </w:rPr>
                  </w:pPr>
                  <w:r>
                    <w:rPr>
                      <w:rFonts w:hint="default" w:ascii="Times New Roman" w:hAnsi="Times New Roman" w:cs="Times New Roman"/>
                      <w:color w:val="auto"/>
                      <w:u w:val="single" w:color="auto"/>
                    </w:rPr>
                    <w:t>0.00092S</w:t>
                  </w:r>
                  <w:r>
                    <w:rPr>
                      <w:rFonts w:hint="default" w:ascii="Times New Roman" w:hAnsi="Times New Roman" w:cs="Times New Roman"/>
                      <w:color w:val="auto"/>
                      <w:szCs w:val="24"/>
                      <w:highlight w:val="none"/>
                      <w:u w:val="single" w:color="auto"/>
                      <w:vertAlign w:val="superscript"/>
                      <w:lang w:bidi="ar"/>
                    </w:rPr>
                    <w:t>①</w:t>
                  </w:r>
                </w:p>
              </w:tc>
              <w:tc>
                <w:tcPr>
                  <w:tcW w:w="993" w:type="pct"/>
                  <w:tcBorders>
                    <w:tl2br w:val="nil"/>
                    <w:tr2bl w:val="nil"/>
                  </w:tcBorders>
                  <w:vAlign w:val="center"/>
                </w:tcPr>
                <w:p w14:paraId="5A4255AD">
                  <w:pPr>
                    <w:pStyle w:val="63"/>
                    <w:tabs>
                      <w:tab w:val="left" w:pos="1021"/>
                    </w:tabs>
                    <w:bidi w:val="0"/>
                    <w:jc w:val="center"/>
                    <w:rPr>
                      <w:rFonts w:hint="default" w:ascii="Times New Roman" w:hAnsi="Times New Roman" w:eastAsia="宋体" w:cs="Times New Roman"/>
                      <w:color w:val="auto"/>
                      <w:u w:val="single" w:color="auto"/>
                      <w:lang w:val="en-US" w:eastAsia="zh-CN"/>
                    </w:rPr>
                  </w:pPr>
                  <w:r>
                    <w:rPr>
                      <w:rFonts w:hint="eastAsia" w:ascii="Times New Roman" w:hAnsi="Times New Roman" w:cs="Times New Roman"/>
                      <w:color w:val="auto"/>
                      <w:u w:val="single" w:color="auto"/>
                      <w:lang w:val="en-US" w:eastAsia="zh-CN"/>
                    </w:rPr>
                    <w:t>0.000317</w:t>
                  </w:r>
                  <w:r>
                    <w:rPr>
                      <w:rFonts w:hint="default" w:ascii="Times New Roman" w:hAnsi="Times New Roman" w:cs="Times New Roman"/>
                      <w:color w:val="auto"/>
                      <w:highlight w:val="none"/>
                      <w:u w:val="single" w:color="auto"/>
                    </w:rPr>
                    <w:t>t</w:t>
                  </w:r>
                  <w:r>
                    <w:rPr>
                      <w:rFonts w:hint="eastAsia" w:ascii="Times New Roman" w:hAnsi="Times New Roman" w:cs="Times New Roman"/>
                      <w:color w:val="auto"/>
                      <w:highlight w:val="none"/>
                      <w:u w:val="single" w:color="auto"/>
                      <w:lang w:val="en-US" w:eastAsia="zh-CN"/>
                    </w:rPr>
                    <w:t>/a</w:t>
                  </w:r>
                </w:p>
              </w:tc>
            </w:tr>
            <w:tr w14:paraId="66894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3" w:type="pct"/>
                  <w:vMerge w:val="continue"/>
                  <w:tcBorders>
                    <w:tl2br w:val="nil"/>
                    <w:tr2bl w:val="nil"/>
                  </w:tcBorders>
                  <w:vAlign w:val="center"/>
                </w:tcPr>
                <w:p w14:paraId="114BCA3E">
                  <w:pPr>
                    <w:pStyle w:val="63"/>
                    <w:tabs>
                      <w:tab w:val="left" w:pos="1021"/>
                    </w:tabs>
                    <w:bidi w:val="0"/>
                    <w:jc w:val="center"/>
                    <w:rPr>
                      <w:rFonts w:hint="default" w:ascii="Times New Roman" w:hAnsi="Times New Roman" w:cs="Times New Roman"/>
                      <w:color w:val="auto"/>
                      <w:u w:val="single" w:color="auto"/>
                    </w:rPr>
                  </w:pPr>
                </w:p>
              </w:tc>
              <w:tc>
                <w:tcPr>
                  <w:tcW w:w="1075" w:type="pct"/>
                  <w:tcBorders>
                    <w:tl2br w:val="nil"/>
                    <w:tr2bl w:val="nil"/>
                  </w:tcBorders>
                  <w:vAlign w:val="center"/>
                </w:tcPr>
                <w:p w14:paraId="02C3551D">
                  <w:pPr>
                    <w:pStyle w:val="63"/>
                    <w:tabs>
                      <w:tab w:val="left" w:pos="1021"/>
                    </w:tabs>
                    <w:ind w:firstLine="0" w:firstLineChars="0"/>
                    <w:jc w:val="center"/>
                    <w:rPr>
                      <w:rFonts w:hint="default" w:ascii="Times New Roman" w:hAnsi="Times New Roman" w:cs="Times New Roman"/>
                      <w:color w:val="auto"/>
                      <w:u w:val="single" w:color="auto"/>
                    </w:rPr>
                  </w:pPr>
                  <w:r>
                    <w:rPr>
                      <w:rFonts w:hint="default" w:ascii="Times New Roman" w:hAnsi="Times New Roman" w:cs="Times New Roman"/>
                      <w:color w:val="auto"/>
                      <w:highlight w:val="none"/>
                      <w:u w:val="single" w:color="auto"/>
                    </w:rPr>
                    <w:t>NO</w:t>
                  </w:r>
                  <w:r>
                    <w:rPr>
                      <w:rFonts w:hint="default" w:ascii="Times New Roman" w:hAnsi="Times New Roman" w:cs="Times New Roman"/>
                      <w:color w:val="auto"/>
                      <w:highlight w:val="none"/>
                      <w:u w:val="single" w:color="auto"/>
                      <w:vertAlign w:val="subscript"/>
                    </w:rPr>
                    <w:t>X</w:t>
                  </w:r>
                </w:p>
              </w:tc>
              <w:tc>
                <w:tcPr>
                  <w:tcW w:w="1088" w:type="pct"/>
                  <w:tcBorders>
                    <w:tl2br w:val="nil"/>
                    <w:tr2bl w:val="nil"/>
                  </w:tcBorders>
                  <w:vAlign w:val="center"/>
                </w:tcPr>
                <w:p w14:paraId="2E285CF1">
                  <w:pPr>
                    <w:bidi w:val="0"/>
                    <w:jc w:val="center"/>
                    <w:rPr>
                      <w:rFonts w:hint="default" w:ascii="Times New Roman" w:hAnsi="Times New Roman" w:cs="Times New Roman"/>
                      <w:color w:val="auto"/>
                      <w:u w:val="single" w:color="auto"/>
                    </w:rPr>
                  </w:pPr>
                  <w:r>
                    <w:rPr>
                      <w:rFonts w:hint="default" w:ascii="Times New Roman" w:hAnsi="Times New Roman" w:cs="Times New Roman"/>
                      <w:color w:val="auto"/>
                      <w:highlight w:val="none"/>
                      <w:u w:val="single" w:color="auto"/>
                    </w:rPr>
                    <w:t>kg/t-原料</w:t>
                  </w:r>
                </w:p>
              </w:tc>
              <w:tc>
                <w:tcPr>
                  <w:tcW w:w="989" w:type="pct"/>
                  <w:tcBorders>
                    <w:tl2br w:val="nil"/>
                    <w:tr2bl w:val="nil"/>
                  </w:tcBorders>
                  <w:vAlign w:val="center"/>
                </w:tcPr>
                <w:p w14:paraId="2B5BA66D">
                  <w:pPr>
                    <w:pStyle w:val="63"/>
                    <w:tabs>
                      <w:tab w:val="left" w:pos="1021"/>
                    </w:tabs>
                    <w:bidi w:val="0"/>
                    <w:jc w:val="center"/>
                    <w:rPr>
                      <w:rFonts w:hint="default" w:ascii="Times New Roman" w:hAnsi="Times New Roman" w:cs="Times New Roman"/>
                      <w:color w:val="auto"/>
                      <w:u w:val="single" w:color="auto"/>
                    </w:rPr>
                  </w:pPr>
                  <w:r>
                    <w:rPr>
                      <w:rFonts w:hint="default" w:ascii="Times New Roman" w:hAnsi="Times New Roman" w:cs="Times New Roman"/>
                      <w:color w:val="auto"/>
                      <w:u w:val="single" w:color="auto"/>
                    </w:rPr>
                    <w:t>2.75</w:t>
                  </w:r>
                </w:p>
              </w:tc>
              <w:tc>
                <w:tcPr>
                  <w:tcW w:w="993" w:type="pct"/>
                  <w:tcBorders>
                    <w:tl2br w:val="nil"/>
                    <w:tr2bl w:val="nil"/>
                  </w:tcBorders>
                  <w:vAlign w:val="center"/>
                </w:tcPr>
                <w:p w14:paraId="404162A5">
                  <w:pPr>
                    <w:pStyle w:val="63"/>
                    <w:tabs>
                      <w:tab w:val="left" w:pos="1021"/>
                    </w:tabs>
                    <w:bidi w:val="0"/>
                    <w:jc w:val="center"/>
                    <w:rPr>
                      <w:rFonts w:hint="default" w:ascii="Times New Roman" w:hAnsi="Times New Roman" w:eastAsia="宋体" w:cs="Times New Roman"/>
                      <w:color w:val="auto"/>
                      <w:u w:val="single" w:color="auto"/>
                      <w:lang w:val="en-US" w:eastAsia="zh-CN"/>
                    </w:rPr>
                  </w:pPr>
                  <w:r>
                    <w:rPr>
                      <w:rFonts w:hint="eastAsia" w:ascii="Times New Roman" w:hAnsi="Times New Roman" w:cs="Times New Roman"/>
                      <w:color w:val="auto"/>
                      <w:u w:val="single" w:color="auto"/>
                      <w:lang w:val="en-US" w:eastAsia="zh-CN"/>
                    </w:rPr>
                    <w:t>0.0163</w:t>
                  </w:r>
                  <w:r>
                    <w:rPr>
                      <w:rFonts w:hint="default" w:ascii="Times New Roman" w:hAnsi="Times New Roman" w:cs="Times New Roman"/>
                      <w:color w:val="auto"/>
                      <w:highlight w:val="none"/>
                      <w:u w:val="single" w:color="auto"/>
                    </w:rPr>
                    <w:t>t</w:t>
                  </w:r>
                  <w:r>
                    <w:rPr>
                      <w:rFonts w:hint="eastAsia" w:ascii="Times New Roman" w:hAnsi="Times New Roman" w:cs="Times New Roman"/>
                      <w:color w:val="auto"/>
                      <w:highlight w:val="none"/>
                      <w:u w:val="single" w:color="auto"/>
                      <w:lang w:val="en-US" w:eastAsia="zh-CN"/>
                    </w:rPr>
                    <w:t>/a</w:t>
                  </w:r>
                </w:p>
              </w:tc>
            </w:tr>
            <w:tr w14:paraId="1EFDA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3" w:type="pct"/>
                  <w:vMerge w:val="restart"/>
                  <w:tcBorders>
                    <w:tl2br w:val="nil"/>
                    <w:tr2bl w:val="nil"/>
                  </w:tcBorders>
                  <w:vAlign w:val="center"/>
                </w:tcPr>
                <w:p w14:paraId="027439BB">
                  <w:pPr>
                    <w:pStyle w:val="63"/>
                    <w:tabs>
                      <w:tab w:val="left" w:pos="1021"/>
                    </w:tabs>
                    <w:bidi w:val="0"/>
                    <w:jc w:val="center"/>
                    <w:rPr>
                      <w:rFonts w:hint="default" w:ascii="Times New Roman" w:hAnsi="Times New Roman" w:cs="Times New Roman"/>
                      <w:color w:val="auto"/>
                      <w:u w:val="single" w:color="auto"/>
                    </w:rPr>
                  </w:pPr>
                  <w:r>
                    <w:rPr>
                      <w:rFonts w:hint="default" w:ascii="Times New Roman" w:hAnsi="Times New Roman" w:cs="Times New Roman"/>
                      <w:color w:val="auto"/>
                      <w:highlight w:val="none"/>
                      <w:u w:val="single" w:color="auto"/>
                    </w:rPr>
                    <w:t>生物质成型燃料</w:t>
                  </w:r>
                  <w:r>
                    <w:rPr>
                      <w:rStyle w:val="158"/>
                      <w:rFonts w:hint="eastAsia" w:ascii="Times New Roman" w:hAnsi="Times New Roman" w:cs="Times New Roman"/>
                      <w:color w:val="auto"/>
                      <w:highlight w:val="none"/>
                      <w:u w:val="single" w:color="auto"/>
                      <w:lang w:eastAsia="zh-CN"/>
                    </w:rPr>
                    <w:t>181.29</w:t>
                  </w:r>
                  <w:r>
                    <w:rPr>
                      <w:rStyle w:val="158"/>
                      <w:rFonts w:hint="default" w:ascii="Times New Roman" w:hAnsi="Times New Roman" w:cs="Times New Roman"/>
                      <w:color w:val="auto"/>
                      <w:highlight w:val="none"/>
                      <w:u w:val="single" w:color="auto"/>
                    </w:rPr>
                    <w:t>t/a</w:t>
                  </w:r>
                </w:p>
              </w:tc>
              <w:tc>
                <w:tcPr>
                  <w:tcW w:w="1075" w:type="pct"/>
                  <w:tcBorders>
                    <w:tl2br w:val="nil"/>
                    <w:tr2bl w:val="nil"/>
                  </w:tcBorders>
                  <w:shd w:val="clear" w:color="auto" w:fill="auto"/>
                  <w:vAlign w:val="center"/>
                </w:tcPr>
                <w:p w14:paraId="1E2917D5">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工业废气量</w:t>
                  </w:r>
                </w:p>
              </w:tc>
              <w:tc>
                <w:tcPr>
                  <w:tcW w:w="1088" w:type="pct"/>
                  <w:tcBorders>
                    <w:tl2br w:val="nil"/>
                    <w:tr2bl w:val="nil"/>
                  </w:tcBorders>
                  <w:shd w:val="clear" w:color="auto" w:fill="auto"/>
                  <w:vAlign w:val="center"/>
                </w:tcPr>
                <w:p w14:paraId="77FEED36">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m</w:t>
                  </w:r>
                  <w:r>
                    <w:rPr>
                      <w:rFonts w:hint="default" w:ascii="Times New Roman" w:hAnsi="Times New Roman" w:cs="Times New Roman"/>
                      <w:color w:val="auto"/>
                      <w:highlight w:val="none"/>
                      <w:u w:val="single" w:color="auto"/>
                      <w:vertAlign w:val="superscript"/>
                    </w:rPr>
                    <w:t>3</w:t>
                  </w:r>
                  <w:r>
                    <w:rPr>
                      <w:rFonts w:hint="default" w:ascii="Times New Roman" w:hAnsi="Times New Roman" w:cs="Times New Roman"/>
                      <w:color w:val="auto"/>
                      <w:highlight w:val="none"/>
                      <w:u w:val="single" w:color="auto"/>
                    </w:rPr>
                    <w:t>/t-原料</w:t>
                  </w:r>
                </w:p>
              </w:tc>
              <w:tc>
                <w:tcPr>
                  <w:tcW w:w="989" w:type="pct"/>
                  <w:tcBorders>
                    <w:tl2br w:val="nil"/>
                    <w:tr2bl w:val="nil"/>
                  </w:tcBorders>
                  <w:vAlign w:val="center"/>
                </w:tcPr>
                <w:p w14:paraId="11A0BF34">
                  <w:pPr>
                    <w:pStyle w:val="63"/>
                    <w:tabs>
                      <w:tab w:val="left" w:pos="1021"/>
                    </w:tabs>
                    <w:ind w:firstLine="0" w:firstLineChars="0"/>
                    <w:jc w:val="center"/>
                    <w:rPr>
                      <w:rFonts w:hint="default" w:ascii="Times New Roman" w:hAnsi="Times New Roman" w:cs="Times New Roman"/>
                      <w:color w:val="auto"/>
                      <w:u w:val="single" w:color="auto"/>
                    </w:rPr>
                  </w:pPr>
                  <w:r>
                    <w:rPr>
                      <w:rFonts w:hint="default" w:ascii="Times New Roman" w:hAnsi="Times New Roman" w:cs="Times New Roman"/>
                      <w:color w:val="auto"/>
                      <w:highlight w:val="none"/>
                      <w:u w:val="single" w:color="auto"/>
                    </w:rPr>
                    <w:t>6240</w:t>
                  </w:r>
                </w:p>
              </w:tc>
              <w:tc>
                <w:tcPr>
                  <w:tcW w:w="993" w:type="pct"/>
                  <w:tcBorders>
                    <w:tl2br w:val="nil"/>
                    <w:tr2bl w:val="nil"/>
                  </w:tcBorders>
                  <w:vAlign w:val="center"/>
                </w:tcPr>
                <w:p w14:paraId="281E48B5">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1131249.6</w:t>
                  </w:r>
                  <w:r>
                    <w:rPr>
                      <w:rFonts w:hint="eastAsia" w:ascii="Times New Roman" w:hAnsi="Times New Roman" w:cs="Times New Roman"/>
                      <w:color w:val="auto"/>
                      <w:u w:val="single" w:color="auto"/>
                      <w:lang w:val="en-US" w:eastAsia="zh-CN"/>
                    </w:rPr>
                    <w:t>m</w:t>
                  </w:r>
                  <w:r>
                    <w:rPr>
                      <w:rFonts w:hint="eastAsia" w:ascii="Times New Roman" w:hAnsi="Times New Roman" w:cs="Times New Roman"/>
                      <w:color w:val="auto"/>
                      <w:u w:val="single" w:color="auto"/>
                      <w:vertAlign w:val="superscript"/>
                      <w:lang w:val="en-US" w:eastAsia="zh-CN"/>
                    </w:rPr>
                    <w:t>3</w:t>
                  </w:r>
                  <w:r>
                    <w:rPr>
                      <w:rFonts w:hint="eastAsia" w:ascii="Times New Roman" w:hAnsi="Times New Roman" w:cs="Times New Roman"/>
                      <w:color w:val="auto"/>
                      <w:u w:val="single" w:color="auto"/>
                      <w:lang w:val="en-US" w:eastAsia="zh-CN"/>
                    </w:rPr>
                    <w:t>/a</w:t>
                  </w:r>
                </w:p>
              </w:tc>
            </w:tr>
            <w:tr w14:paraId="6F42DC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3" w:type="pct"/>
                  <w:vMerge w:val="continue"/>
                  <w:tcBorders>
                    <w:tl2br w:val="nil"/>
                    <w:tr2bl w:val="nil"/>
                  </w:tcBorders>
                  <w:vAlign w:val="center"/>
                </w:tcPr>
                <w:p w14:paraId="03E45DBA">
                  <w:pPr>
                    <w:pStyle w:val="63"/>
                    <w:tabs>
                      <w:tab w:val="left" w:pos="1021"/>
                    </w:tabs>
                    <w:bidi w:val="0"/>
                    <w:jc w:val="center"/>
                    <w:rPr>
                      <w:rFonts w:hint="default" w:ascii="Times New Roman" w:hAnsi="Times New Roman" w:cs="Times New Roman"/>
                      <w:color w:val="auto"/>
                      <w:u w:val="single" w:color="auto"/>
                    </w:rPr>
                  </w:pPr>
                </w:p>
              </w:tc>
              <w:tc>
                <w:tcPr>
                  <w:tcW w:w="1075" w:type="pct"/>
                  <w:tcBorders>
                    <w:tl2br w:val="nil"/>
                    <w:tr2bl w:val="nil"/>
                  </w:tcBorders>
                  <w:shd w:val="clear" w:color="auto" w:fill="auto"/>
                  <w:vAlign w:val="center"/>
                </w:tcPr>
                <w:p w14:paraId="6208E35A">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颗粒物</w:t>
                  </w:r>
                </w:p>
              </w:tc>
              <w:tc>
                <w:tcPr>
                  <w:tcW w:w="1088" w:type="pct"/>
                  <w:tcBorders>
                    <w:tl2br w:val="nil"/>
                    <w:tr2bl w:val="nil"/>
                  </w:tcBorders>
                  <w:shd w:val="clear" w:color="auto" w:fill="auto"/>
                  <w:vAlign w:val="center"/>
                </w:tcPr>
                <w:p w14:paraId="0BDEFF52">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kg/t-原料</w:t>
                  </w:r>
                </w:p>
              </w:tc>
              <w:tc>
                <w:tcPr>
                  <w:tcW w:w="989" w:type="pct"/>
                  <w:tcBorders>
                    <w:tl2br w:val="nil"/>
                    <w:tr2bl w:val="nil"/>
                  </w:tcBorders>
                  <w:vAlign w:val="center"/>
                </w:tcPr>
                <w:p w14:paraId="7FF831B0">
                  <w:pPr>
                    <w:pStyle w:val="63"/>
                    <w:tabs>
                      <w:tab w:val="left" w:pos="1021"/>
                    </w:tabs>
                    <w:ind w:firstLine="0" w:firstLineChars="0"/>
                    <w:jc w:val="center"/>
                    <w:rPr>
                      <w:rFonts w:hint="default" w:ascii="Times New Roman" w:hAnsi="Times New Roman" w:cs="Times New Roman"/>
                      <w:color w:val="auto"/>
                      <w:u w:val="single" w:color="auto"/>
                    </w:rPr>
                  </w:pPr>
                  <w:r>
                    <w:rPr>
                      <w:rFonts w:hint="default" w:ascii="Times New Roman" w:hAnsi="Times New Roman" w:cs="Times New Roman"/>
                      <w:color w:val="auto"/>
                      <w:highlight w:val="none"/>
                      <w:u w:val="single" w:color="auto"/>
                    </w:rPr>
                    <w:t>0.5</w:t>
                  </w:r>
                </w:p>
              </w:tc>
              <w:tc>
                <w:tcPr>
                  <w:tcW w:w="993" w:type="pct"/>
                  <w:tcBorders>
                    <w:tl2br w:val="nil"/>
                    <w:tr2bl w:val="nil"/>
                  </w:tcBorders>
                  <w:vAlign w:val="center"/>
                </w:tcPr>
                <w:p w14:paraId="318375F4">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0.0906</w:t>
                  </w:r>
                  <w:r>
                    <w:rPr>
                      <w:rFonts w:hint="default" w:ascii="Times New Roman" w:hAnsi="Times New Roman" w:cs="Times New Roman"/>
                      <w:color w:val="auto"/>
                      <w:highlight w:val="none"/>
                      <w:u w:val="single" w:color="auto"/>
                    </w:rPr>
                    <w:t>t</w:t>
                  </w:r>
                  <w:r>
                    <w:rPr>
                      <w:rFonts w:hint="eastAsia" w:ascii="Times New Roman" w:hAnsi="Times New Roman" w:cs="Times New Roman"/>
                      <w:color w:val="auto"/>
                      <w:highlight w:val="none"/>
                      <w:u w:val="single" w:color="auto"/>
                      <w:lang w:val="en-US" w:eastAsia="zh-CN"/>
                    </w:rPr>
                    <w:t>/a</w:t>
                  </w:r>
                </w:p>
              </w:tc>
            </w:tr>
            <w:tr w14:paraId="05DF8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3" w:type="pct"/>
                  <w:vMerge w:val="continue"/>
                  <w:tcBorders>
                    <w:tl2br w:val="nil"/>
                    <w:tr2bl w:val="nil"/>
                  </w:tcBorders>
                  <w:vAlign w:val="center"/>
                </w:tcPr>
                <w:p w14:paraId="3056E093">
                  <w:pPr>
                    <w:pStyle w:val="63"/>
                    <w:tabs>
                      <w:tab w:val="left" w:pos="1021"/>
                    </w:tabs>
                    <w:bidi w:val="0"/>
                    <w:jc w:val="center"/>
                    <w:rPr>
                      <w:rFonts w:hint="default" w:ascii="Times New Roman" w:hAnsi="Times New Roman" w:cs="Times New Roman"/>
                      <w:color w:val="auto"/>
                      <w:u w:val="single" w:color="auto"/>
                    </w:rPr>
                  </w:pPr>
                </w:p>
              </w:tc>
              <w:tc>
                <w:tcPr>
                  <w:tcW w:w="1075" w:type="pct"/>
                  <w:tcBorders>
                    <w:tl2br w:val="nil"/>
                    <w:tr2bl w:val="nil"/>
                  </w:tcBorders>
                  <w:shd w:val="clear" w:color="auto" w:fill="auto"/>
                  <w:vAlign w:val="center"/>
                </w:tcPr>
                <w:p w14:paraId="6006C014">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SO</w:t>
                  </w:r>
                  <w:r>
                    <w:rPr>
                      <w:rFonts w:hint="default" w:ascii="Times New Roman" w:hAnsi="Times New Roman" w:cs="Times New Roman"/>
                      <w:color w:val="auto"/>
                      <w:highlight w:val="none"/>
                      <w:u w:val="single" w:color="auto"/>
                      <w:vertAlign w:val="subscript"/>
                    </w:rPr>
                    <w:t>2</w:t>
                  </w:r>
                </w:p>
              </w:tc>
              <w:tc>
                <w:tcPr>
                  <w:tcW w:w="1088" w:type="pct"/>
                  <w:tcBorders>
                    <w:tl2br w:val="nil"/>
                    <w:tr2bl w:val="nil"/>
                  </w:tcBorders>
                  <w:shd w:val="clear" w:color="auto" w:fill="auto"/>
                  <w:vAlign w:val="center"/>
                </w:tcPr>
                <w:p w14:paraId="4B12CDAE">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kg/t-原料</w:t>
                  </w:r>
                </w:p>
              </w:tc>
              <w:tc>
                <w:tcPr>
                  <w:tcW w:w="989" w:type="pct"/>
                  <w:tcBorders>
                    <w:tl2br w:val="nil"/>
                    <w:tr2bl w:val="nil"/>
                  </w:tcBorders>
                  <w:vAlign w:val="center"/>
                </w:tcPr>
                <w:p w14:paraId="0AF306FD">
                  <w:pPr>
                    <w:pStyle w:val="63"/>
                    <w:tabs>
                      <w:tab w:val="left" w:pos="1021"/>
                    </w:tabs>
                    <w:ind w:firstLine="0" w:firstLineChars="0"/>
                    <w:jc w:val="center"/>
                    <w:rPr>
                      <w:rFonts w:hint="default" w:ascii="Times New Roman" w:hAnsi="Times New Roman" w:cs="Times New Roman"/>
                      <w:color w:val="auto"/>
                      <w:u w:val="single" w:color="auto"/>
                    </w:rPr>
                  </w:pPr>
                  <w:r>
                    <w:rPr>
                      <w:rFonts w:hint="default" w:ascii="Times New Roman" w:hAnsi="Times New Roman" w:cs="Times New Roman"/>
                      <w:color w:val="auto"/>
                      <w:highlight w:val="none"/>
                      <w:u w:val="single" w:color="auto"/>
                    </w:rPr>
                    <w:t>17S</w:t>
                  </w:r>
                  <w:r>
                    <w:rPr>
                      <w:rFonts w:hint="default" w:ascii="Times New Roman" w:hAnsi="Times New Roman" w:cs="Times New Roman"/>
                      <w:color w:val="auto"/>
                      <w:szCs w:val="24"/>
                      <w:highlight w:val="none"/>
                      <w:u w:val="single" w:color="auto"/>
                      <w:vertAlign w:val="superscript"/>
                      <w:lang w:bidi="ar"/>
                    </w:rPr>
                    <w:t>①</w:t>
                  </w:r>
                </w:p>
              </w:tc>
              <w:tc>
                <w:tcPr>
                  <w:tcW w:w="993" w:type="pct"/>
                  <w:tcBorders>
                    <w:tl2br w:val="nil"/>
                    <w:tr2bl w:val="nil"/>
                  </w:tcBorders>
                  <w:vAlign w:val="center"/>
                </w:tcPr>
                <w:p w14:paraId="359D8509">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0.0308</w:t>
                  </w:r>
                  <w:r>
                    <w:rPr>
                      <w:rFonts w:hint="default" w:ascii="Times New Roman" w:hAnsi="Times New Roman" w:cs="Times New Roman"/>
                      <w:color w:val="auto"/>
                      <w:highlight w:val="none"/>
                      <w:u w:val="single" w:color="auto"/>
                    </w:rPr>
                    <w:t>t</w:t>
                  </w:r>
                  <w:r>
                    <w:rPr>
                      <w:rFonts w:hint="eastAsia" w:ascii="Times New Roman" w:hAnsi="Times New Roman" w:cs="Times New Roman"/>
                      <w:color w:val="auto"/>
                      <w:highlight w:val="none"/>
                      <w:u w:val="single" w:color="auto"/>
                      <w:lang w:val="en-US" w:eastAsia="zh-CN"/>
                    </w:rPr>
                    <w:t>/a</w:t>
                  </w:r>
                </w:p>
              </w:tc>
            </w:tr>
            <w:tr w14:paraId="22E446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3" w:type="pct"/>
                  <w:vMerge w:val="continue"/>
                  <w:tcBorders>
                    <w:tl2br w:val="nil"/>
                    <w:tr2bl w:val="nil"/>
                  </w:tcBorders>
                  <w:vAlign w:val="center"/>
                </w:tcPr>
                <w:p w14:paraId="5BBBA0D8">
                  <w:pPr>
                    <w:pStyle w:val="63"/>
                    <w:tabs>
                      <w:tab w:val="left" w:pos="1021"/>
                    </w:tabs>
                    <w:bidi w:val="0"/>
                    <w:jc w:val="center"/>
                    <w:rPr>
                      <w:rFonts w:hint="default" w:ascii="Times New Roman" w:hAnsi="Times New Roman" w:cs="Times New Roman"/>
                      <w:color w:val="auto"/>
                      <w:u w:val="single" w:color="auto"/>
                    </w:rPr>
                  </w:pPr>
                </w:p>
              </w:tc>
              <w:tc>
                <w:tcPr>
                  <w:tcW w:w="1075" w:type="pct"/>
                  <w:tcBorders>
                    <w:tl2br w:val="nil"/>
                    <w:tr2bl w:val="nil"/>
                  </w:tcBorders>
                  <w:shd w:val="clear" w:color="auto" w:fill="auto"/>
                  <w:vAlign w:val="center"/>
                </w:tcPr>
                <w:p w14:paraId="2394650F">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NO</w:t>
                  </w:r>
                  <w:r>
                    <w:rPr>
                      <w:rFonts w:hint="default" w:ascii="Times New Roman" w:hAnsi="Times New Roman" w:cs="Times New Roman"/>
                      <w:color w:val="auto"/>
                      <w:highlight w:val="none"/>
                      <w:u w:val="single" w:color="auto"/>
                      <w:vertAlign w:val="subscript"/>
                    </w:rPr>
                    <w:t>X</w:t>
                  </w:r>
                </w:p>
              </w:tc>
              <w:tc>
                <w:tcPr>
                  <w:tcW w:w="1088" w:type="pct"/>
                  <w:tcBorders>
                    <w:tl2br w:val="nil"/>
                    <w:tr2bl w:val="nil"/>
                  </w:tcBorders>
                  <w:shd w:val="clear" w:color="auto" w:fill="auto"/>
                  <w:vAlign w:val="center"/>
                </w:tcPr>
                <w:p w14:paraId="07CCCE7A">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kg/t-原料</w:t>
                  </w:r>
                </w:p>
              </w:tc>
              <w:tc>
                <w:tcPr>
                  <w:tcW w:w="989" w:type="pct"/>
                  <w:tcBorders>
                    <w:tl2br w:val="nil"/>
                    <w:tr2bl w:val="nil"/>
                  </w:tcBorders>
                  <w:vAlign w:val="center"/>
                </w:tcPr>
                <w:p w14:paraId="1C9D69E7">
                  <w:pPr>
                    <w:pStyle w:val="63"/>
                    <w:tabs>
                      <w:tab w:val="left" w:pos="1021"/>
                    </w:tabs>
                    <w:ind w:firstLine="0" w:firstLineChars="0"/>
                    <w:jc w:val="center"/>
                    <w:rPr>
                      <w:rFonts w:hint="default" w:ascii="Times New Roman" w:hAnsi="Times New Roman" w:cs="Times New Roman"/>
                      <w:color w:val="auto"/>
                      <w:u w:val="single" w:color="auto"/>
                    </w:rPr>
                  </w:pPr>
                  <w:r>
                    <w:rPr>
                      <w:rFonts w:hint="default" w:ascii="Times New Roman" w:hAnsi="Times New Roman" w:cs="Times New Roman"/>
                      <w:color w:val="auto"/>
                      <w:highlight w:val="none"/>
                      <w:u w:val="single" w:color="auto"/>
                    </w:rPr>
                    <w:t>1.02</w:t>
                  </w:r>
                </w:p>
              </w:tc>
              <w:tc>
                <w:tcPr>
                  <w:tcW w:w="993" w:type="pct"/>
                  <w:tcBorders>
                    <w:tl2br w:val="nil"/>
                    <w:tr2bl w:val="nil"/>
                  </w:tcBorders>
                  <w:vAlign w:val="center"/>
                </w:tcPr>
                <w:p w14:paraId="1E37AE75">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0.1849</w:t>
                  </w:r>
                  <w:r>
                    <w:rPr>
                      <w:rFonts w:hint="default" w:ascii="Times New Roman" w:hAnsi="Times New Roman" w:cs="Times New Roman"/>
                      <w:color w:val="auto"/>
                      <w:highlight w:val="none"/>
                      <w:u w:val="single" w:color="auto"/>
                    </w:rPr>
                    <w:t>t</w:t>
                  </w:r>
                  <w:r>
                    <w:rPr>
                      <w:rFonts w:hint="eastAsia" w:ascii="Times New Roman" w:hAnsi="Times New Roman" w:cs="Times New Roman"/>
                      <w:color w:val="auto"/>
                      <w:highlight w:val="none"/>
                      <w:u w:val="single" w:color="auto"/>
                      <w:lang w:val="en-US" w:eastAsia="zh-CN"/>
                    </w:rPr>
                    <w:t>/a</w:t>
                  </w:r>
                </w:p>
              </w:tc>
            </w:tr>
            <w:tr w14:paraId="4C3C95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3" w:type="pct"/>
                  <w:vMerge w:val="restart"/>
                  <w:tcBorders>
                    <w:tl2br w:val="nil"/>
                    <w:tr2bl w:val="nil"/>
                  </w:tcBorders>
                  <w:vAlign w:val="center"/>
                </w:tcPr>
                <w:p w14:paraId="055255D3">
                  <w:pPr>
                    <w:pStyle w:val="63"/>
                    <w:tabs>
                      <w:tab w:val="left" w:pos="1021"/>
                    </w:tabs>
                    <w:bidi w:val="0"/>
                    <w:jc w:val="center"/>
                    <w:rPr>
                      <w:rFonts w:hint="eastAsia" w:ascii="Times New Roman" w:hAnsi="Times New Roman" w:eastAsia="宋体" w:cs="Times New Roman"/>
                      <w:color w:val="auto"/>
                      <w:u w:val="single" w:color="auto"/>
                      <w:lang w:val="en-US" w:eastAsia="zh-CN"/>
                    </w:rPr>
                  </w:pPr>
                  <w:r>
                    <w:rPr>
                      <w:rFonts w:hint="eastAsia" w:ascii="Times New Roman" w:hAnsi="Times New Roman" w:cs="Times New Roman"/>
                      <w:color w:val="auto"/>
                      <w:u w:val="single" w:color="auto"/>
                      <w:lang w:val="en-US" w:eastAsia="zh-CN"/>
                    </w:rPr>
                    <w:t>合计</w:t>
                  </w:r>
                </w:p>
              </w:tc>
              <w:tc>
                <w:tcPr>
                  <w:tcW w:w="1075" w:type="pct"/>
                  <w:tcBorders>
                    <w:tl2br w:val="nil"/>
                    <w:tr2bl w:val="nil"/>
                  </w:tcBorders>
                  <w:shd w:val="clear" w:color="auto" w:fill="auto"/>
                  <w:vAlign w:val="center"/>
                </w:tcPr>
                <w:p w14:paraId="4DD6DEE6">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工业废气量</w:t>
                  </w:r>
                </w:p>
              </w:tc>
              <w:tc>
                <w:tcPr>
                  <w:tcW w:w="1088" w:type="pct"/>
                  <w:tcBorders>
                    <w:tl2br w:val="nil"/>
                    <w:tr2bl w:val="nil"/>
                  </w:tcBorders>
                  <w:shd w:val="clear" w:color="auto" w:fill="auto"/>
                  <w:vAlign w:val="center"/>
                </w:tcPr>
                <w:p w14:paraId="6674051B">
                  <w:pPr>
                    <w:ind w:firstLine="0" w:firstLineChars="0"/>
                    <w:jc w:val="center"/>
                    <w:rPr>
                      <w:rFonts w:hint="eastAsia" w:ascii="Times New Roman" w:hAnsi="Times New Roman" w:eastAsia="宋体"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w:t>
                  </w:r>
                </w:p>
              </w:tc>
              <w:tc>
                <w:tcPr>
                  <w:tcW w:w="989" w:type="pct"/>
                  <w:tcBorders>
                    <w:tl2br w:val="nil"/>
                    <w:tr2bl w:val="nil"/>
                  </w:tcBorders>
                  <w:vAlign w:val="center"/>
                </w:tcPr>
                <w:p w14:paraId="61F78082">
                  <w:pPr>
                    <w:ind w:firstLine="0" w:firstLineChars="0"/>
                    <w:jc w:val="center"/>
                    <w:rPr>
                      <w:rFonts w:hint="default" w:ascii="Times New Roman" w:hAnsi="Times New Roman" w:cs="Times New Roman"/>
                      <w:color w:val="auto"/>
                      <w:highlight w:val="none"/>
                      <w:u w:val="single" w:color="auto"/>
                    </w:rPr>
                  </w:pPr>
                  <w:r>
                    <w:rPr>
                      <w:rFonts w:hint="eastAsia" w:ascii="Times New Roman" w:hAnsi="Times New Roman" w:cs="Times New Roman"/>
                      <w:color w:val="auto"/>
                      <w:highlight w:val="none"/>
                      <w:u w:val="single" w:color="auto"/>
                      <w:lang w:val="en-US" w:eastAsia="zh-CN"/>
                    </w:rPr>
                    <w:t>/</w:t>
                  </w:r>
                </w:p>
              </w:tc>
              <w:tc>
                <w:tcPr>
                  <w:tcW w:w="993" w:type="pct"/>
                  <w:tcBorders>
                    <w:tl2br w:val="nil"/>
                    <w:tr2bl w:val="nil"/>
                  </w:tcBorders>
                  <w:vAlign w:val="center"/>
                </w:tcPr>
                <w:p w14:paraId="5D00164D">
                  <w:pPr>
                    <w:pStyle w:val="63"/>
                    <w:tabs>
                      <w:tab w:val="left" w:pos="1021"/>
                    </w:tabs>
                    <w:ind w:firstLine="0" w:firstLineChars="0"/>
                    <w:jc w:val="center"/>
                    <w:rPr>
                      <w:rFonts w:hint="eastAsia" w:ascii="Times New Roman" w:hAnsi="Times New Roman"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1209877.38</w:t>
                  </w:r>
                  <w:r>
                    <w:rPr>
                      <w:rFonts w:hint="eastAsia" w:ascii="Times New Roman" w:hAnsi="Times New Roman" w:cs="Times New Roman"/>
                      <w:color w:val="auto"/>
                      <w:u w:val="single" w:color="auto"/>
                      <w:lang w:val="en-US" w:eastAsia="zh-CN"/>
                    </w:rPr>
                    <w:t>m</w:t>
                  </w:r>
                  <w:r>
                    <w:rPr>
                      <w:rFonts w:hint="eastAsia" w:ascii="Times New Roman" w:hAnsi="Times New Roman" w:cs="Times New Roman"/>
                      <w:color w:val="auto"/>
                      <w:u w:val="single" w:color="auto"/>
                      <w:vertAlign w:val="superscript"/>
                      <w:lang w:val="en-US" w:eastAsia="zh-CN"/>
                    </w:rPr>
                    <w:t>3</w:t>
                  </w:r>
                  <w:r>
                    <w:rPr>
                      <w:rFonts w:hint="eastAsia" w:ascii="Times New Roman" w:hAnsi="Times New Roman" w:cs="Times New Roman"/>
                      <w:color w:val="auto"/>
                      <w:u w:val="single" w:color="auto"/>
                      <w:lang w:val="en-US" w:eastAsia="zh-CN"/>
                    </w:rPr>
                    <w:t>/a（672.15m</w:t>
                  </w:r>
                  <w:r>
                    <w:rPr>
                      <w:rFonts w:hint="eastAsia" w:ascii="Times New Roman" w:hAnsi="Times New Roman" w:cs="Times New Roman"/>
                      <w:color w:val="auto"/>
                      <w:u w:val="single" w:color="auto"/>
                      <w:vertAlign w:val="superscript"/>
                      <w:lang w:val="en-US" w:eastAsia="zh-CN"/>
                    </w:rPr>
                    <w:t>3</w:t>
                  </w:r>
                  <w:r>
                    <w:rPr>
                      <w:rFonts w:hint="eastAsia" w:ascii="Times New Roman" w:hAnsi="Times New Roman" w:cs="Times New Roman"/>
                      <w:color w:val="auto"/>
                      <w:u w:val="single" w:color="auto"/>
                      <w:lang w:val="en-US" w:eastAsia="zh-CN"/>
                    </w:rPr>
                    <w:t>/h）</w:t>
                  </w:r>
                </w:p>
              </w:tc>
            </w:tr>
            <w:tr w14:paraId="6D426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3" w:type="pct"/>
                  <w:vMerge w:val="continue"/>
                  <w:tcBorders>
                    <w:tl2br w:val="nil"/>
                    <w:tr2bl w:val="nil"/>
                  </w:tcBorders>
                  <w:vAlign w:val="center"/>
                </w:tcPr>
                <w:p w14:paraId="4B58B7DE">
                  <w:pPr>
                    <w:pStyle w:val="63"/>
                    <w:tabs>
                      <w:tab w:val="left" w:pos="1021"/>
                    </w:tabs>
                    <w:bidi w:val="0"/>
                    <w:jc w:val="center"/>
                    <w:rPr>
                      <w:rFonts w:hint="default" w:ascii="Times New Roman" w:hAnsi="Times New Roman" w:cs="Times New Roman"/>
                      <w:color w:val="auto"/>
                      <w:u w:val="single" w:color="auto"/>
                    </w:rPr>
                  </w:pPr>
                </w:p>
              </w:tc>
              <w:tc>
                <w:tcPr>
                  <w:tcW w:w="1075" w:type="pct"/>
                  <w:tcBorders>
                    <w:tl2br w:val="nil"/>
                    <w:tr2bl w:val="nil"/>
                  </w:tcBorders>
                  <w:shd w:val="clear" w:color="auto" w:fill="auto"/>
                  <w:vAlign w:val="center"/>
                </w:tcPr>
                <w:p w14:paraId="6B240FFC">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颗粒物</w:t>
                  </w:r>
                </w:p>
              </w:tc>
              <w:tc>
                <w:tcPr>
                  <w:tcW w:w="1088" w:type="pct"/>
                  <w:tcBorders>
                    <w:tl2br w:val="nil"/>
                    <w:tr2bl w:val="nil"/>
                  </w:tcBorders>
                  <w:shd w:val="clear" w:color="auto" w:fill="auto"/>
                  <w:vAlign w:val="center"/>
                </w:tcPr>
                <w:p w14:paraId="6D0E1D8D">
                  <w:pPr>
                    <w:ind w:firstLine="0" w:firstLineChars="0"/>
                    <w:jc w:val="center"/>
                    <w:rPr>
                      <w:rFonts w:hint="default" w:ascii="Times New Roman" w:hAnsi="Times New Roman" w:cs="Times New Roman"/>
                      <w:color w:val="auto"/>
                      <w:highlight w:val="none"/>
                      <w:u w:val="single" w:color="auto"/>
                    </w:rPr>
                  </w:pPr>
                  <w:r>
                    <w:rPr>
                      <w:rFonts w:hint="eastAsia" w:ascii="Times New Roman" w:hAnsi="Times New Roman" w:cs="Times New Roman"/>
                      <w:color w:val="auto"/>
                      <w:highlight w:val="none"/>
                      <w:u w:val="single" w:color="auto"/>
                      <w:lang w:val="en-US" w:eastAsia="zh-CN"/>
                    </w:rPr>
                    <w:t>/</w:t>
                  </w:r>
                </w:p>
              </w:tc>
              <w:tc>
                <w:tcPr>
                  <w:tcW w:w="989" w:type="pct"/>
                  <w:tcBorders>
                    <w:tl2br w:val="nil"/>
                    <w:tr2bl w:val="nil"/>
                  </w:tcBorders>
                  <w:vAlign w:val="center"/>
                </w:tcPr>
                <w:p w14:paraId="27947D7F">
                  <w:pPr>
                    <w:ind w:firstLine="0" w:firstLineChars="0"/>
                    <w:jc w:val="center"/>
                    <w:rPr>
                      <w:rFonts w:hint="default" w:ascii="Times New Roman" w:hAnsi="Times New Roman" w:cs="Times New Roman"/>
                      <w:color w:val="auto"/>
                      <w:highlight w:val="none"/>
                      <w:u w:val="single" w:color="auto"/>
                    </w:rPr>
                  </w:pPr>
                  <w:r>
                    <w:rPr>
                      <w:rFonts w:hint="eastAsia" w:ascii="Times New Roman" w:hAnsi="Times New Roman" w:cs="Times New Roman"/>
                      <w:color w:val="auto"/>
                      <w:highlight w:val="none"/>
                      <w:u w:val="single" w:color="auto"/>
                      <w:lang w:val="en-US" w:eastAsia="zh-CN"/>
                    </w:rPr>
                    <w:t>/</w:t>
                  </w:r>
                </w:p>
              </w:tc>
              <w:tc>
                <w:tcPr>
                  <w:tcW w:w="993" w:type="pct"/>
                  <w:tcBorders>
                    <w:tl2br w:val="nil"/>
                    <w:tr2bl w:val="nil"/>
                  </w:tcBorders>
                  <w:vAlign w:val="center"/>
                </w:tcPr>
                <w:p w14:paraId="4E6200D9">
                  <w:pPr>
                    <w:pStyle w:val="63"/>
                    <w:tabs>
                      <w:tab w:val="left" w:pos="1021"/>
                    </w:tabs>
                    <w:ind w:firstLine="0" w:firstLineChars="0"/>
                    <w:jc w:val="center"/>
                    <w:rPr>
                      <w:rFonts w:hint="default" w:ascii="Times New Roman" w:hAnsi="Times New Roman"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0.108</w:t>
                  </w:r>
                  <w:r>
                    <w:rPr>
                      <w:rFonts w:hint="default" w:ascii="Times New Roman" w:hAnsi="Times New Roman" w:cs="Times New Roman"/>
                      <w:color w:val="auto"/>
                      <w:highlight w:val="none"/>
                      <w:u w:val="single" w:color="auto"/>
                    </w:rPr>
                    <w:t>t</w:t>
                  </w:r>
                  <w:r>
                    <w:rPr>
                      <w:rFonts w:hint="eastAsia" w:ascii="Times New Roman" w:hAnsi="Times New Roman" w:cs="Times New Roman"/>
                      <w:color w:val="auto"/>
                      <w:highlight w:val="none"/>
                      <w:u w:val="single" w:color="auto"/>
                      <w:lang w:val="en-US" w:eastAsia="zh-CN"/>
                    </w:rPr>
                    <w:t>/a</w:t>
                  </w:r>
                </w:p>
              </w:tc>
            </w:tr>
            <w:tr w14:paraId="3B0564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3" w:type="pct"/>
                  <w:vMerge w:val="continue"/>
                  <w:tcBorders>
                    <w:tl2br w:val="nil"/>
                    <w:tr2bl w:val="nil"/>
                  </w:tcBorders>
                  <w:vAlign w:val="center"/>
                </w:tcPr>
                <w:p w14:paraId="70B73DAB">
                  <w:pPr>
                    <w:pStyle w:val="63"/>
                    <w:tabs>
                      <w:tab w:val="left" w:pos="1021"/>
                    </w:tabs>
                    <w:bidi w:val="0"/>
                    <w:jc w:val="center"/>
                    <w:rPr>
                      <w:rFonts w:hint="default" w:ascii="Times New Roman" w:hAnsi="Times New Roman" w:cs="Times New Roman"/>
                      <w:color w:val="auto"/>
                      <w:u w:val="single" w:color="auto"/>
                    </w:rPr>
                  </w:pPr>
                </w:p>
              </w:tc>
              <w:tc>
                <w:tcPr>
                  <w:tcW w:w="1075" w:type="pct"/>
                  <w:tcBorders>
                    <w:tl2br w:val="nil"/>
                    <w:tr2bl w:val="nil"/>
                  </w:tcBorders>
                  <w:shd w:val="clear" w:color="auto" w:fill="auto"/>
                  <w:vAlign w:val="center"/>
                </w:tcPr>
                <w:p w14:paraId="6169BBD6">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SO</w:t>
                  </w:r>
                  <w:r>
                    <w:rPr>
                      <w:rFonts w:hint="default" w:ascii="Times New Roman" w:hAnsi="Times New Roman" w:cs="Times New Roman"/>
                      <w:color w:val="auto"/>
                      <w:highlight w:val="none"/>
                      <w:u w:val="single" w:color="auto"/>
                      <w:vertAlign w:val="subscript"/>
                    </w:rPr>
                    <w:t>2</w:t>
                  </w:r>
                </w:p>
              </w:tc>
              <w:tc>
                <w:tcPr>
                  <w:tcW w:w="1088" w:type="pct"/>
                  <w:tcBorders>
                    <w:tl2br w:val="nil"/>
                    <w:tr2bl w:val="nil"/>
                  </w:tcBorders>
                  <w:shd w:val="clear" w:color="auto" w:fill="auto"/>
                  <w:vAlign w:val="center"/>
                </w:tcPr>
                <w:p w14:paraId="3150D851">
                  <w:pPr>
                    <w:ind w:firstLine="0" w:firstLineChars="0"/>
                    <w:jc w:val="center"/>
                    <w:rPr>
                      <w:rFonts w:hint="default" w:ascii="Times New Roman" w:hAnsi="Times New Roman" w:cs="Times New Roman"/>
                      <w:color w:val="auto"/>
                      <w:highlight w:val="none"/>
                      <w:u w:val="single" w:color="auto"/>
                    </w:rPr>
                  </w:pPr>
                  <w:r>
                    <w:rPr>
                      <w:rFonts w:hint="eastAsia" w:ascii="Times New Roman" w:hAnsi="Times New Roman" w:cs="Times New Roman"/>
                      <w:color w:val="auto"/>
                      <w:highlight w:val="none"/>
                      <w:u w:val="single" w:color="auto"/>
                      <w:lang w:val="en-US" w:eastAsia="zh-CN"/>
                    </w:rPr>
                    <w:t>/</w:t>
                  </w:r>
                </w:p>
              </w:tc>
              <w:tc>
                <w:tcPr>
                  <w:tcW w:w="989" w:type="pct"/>
                  <w:tcBorders>
                    <w:tl2br w:val="nil"/>
                    <w:tr2bl w:val="nil"/>
                  </w:tcBorders>
                  <w:vAlign w:val="center"/>
                </w:tcPr>
                <w:p w14:paraId="5E458D5F">
                  <w:pPr>
                    <w:ind w:firstLine="0" w:firstLineChars="0"/>
                    <w:jc w:val="center"/>
                    <w:rPr>
                      <w:rFonts w:hint="default" w:ascii="Times New Roman" w:hAnsi="Times New Roman" w:cs="Times New Roman"/>
                      <w:color w:val="auto"/>
                      <w:highlight w:val="none"/>
                      <w:u w:val="single" w:color="auto"/>
                    </w:rPr>
                  </w:pPr>
                  <w:r>
                    <w:rPr>
                      <w:rFonts w:hint="eastAsia" w:ascii="Times New Roman" w:hAnsi="Times New Roman" w:cs="Times New Roman"/>
                      <w:color w:val="auto"/>
                      <w:highlight w:val="none"/>
                      <w:u w:val="single" w:color="auto"/>
                      <w:lang w:val="en-US" w:eastAsia="zh-CN"/>
                    </w:rPr>
                    <w:t>/</w:t>
                  </w:r>
                </w:p>
              </w:tc>
              <w:tc>
                <w:tcPr>
                  <w:tcW w:w="993" w:type="pct"/>
                  <w:tcBorders>
                    <w:tl2br w:val="nil"/>
                    <w:tr2bl w:val="nil"/>
                  </w:tcBorders>
                  <w:vAlign w:val="center"/>
                </w:tcPr>
                <w:p w14:paraId="49A82F10">
                  <w:pPr>
                    <w:pStyle w:val="63"/>
                    <w:tabs>
                      <w:tab w:val="left" w:pos="1021"/>
                    </w:tabs>
                    <w:ind w:firstLine="0" w:firstLineChars="0"/>
                    <w:jc w:val="center"/>
                    <w:rPr>
                      <w:rFonts w:hint="default" w:ascii="Times New Roman" w:hAnsi="Times New Roman"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0.348</w:t>
                  </w:r>
                  <w:r>
                    <w:rPr>
                      <w:rFonts w:hint="default" w:ascii="Times New Roman" w:hAnsi="Times New Roman" w:cs="Times New Roman"/>
                      <w:color w:val="auto"/>
                      <w:highlight w:val="none"/>
                      <w:u w:val="single" w:color="auto"/>
                    </w:rPr>
                    <w:t>t</w:t>
                  </w:r>
                  <w:r>
                    <w:rPr>
                      <w:rFonts w:hint="eastAsia" w:ascii="Times New Roman" w:hAnsi="Times New Roman" w:cs="Times New Roman"/>
                      <w:color w:val="auto"/>
                      <w:highlight w:val="none"/>
                      <w:u w:val="single" w:color="auto"/>
                      <w:lang w:val="en-US" w:eastAsia="zh-CN"/>
                    </w:rPr>
                    <w:t>/a</w:t>
                  </w:r>
                </w:p>
              </w:tc>
            </w:tr>
            <w:tr w14:paraId="195BA7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53" w:type="pct"/>
                  <w:vMerge w:val="continue"/>
                  <w:tcBorders>
                    <w:tl2br w:val="nil"/>
                    <w:tr2bl w:val="nil"/>
                  </w:tcBorders>
                  <w:vAlign w:val="center"/>
                </w:tcPr>
                <w:p w14:paraId="5476B0BC">
                  <w:pPr>
                    <w:pStyle w:val="63"/>
                    <w:tabs>
                      <w:tab w:val="left" w:pos="1021"/>
                    </w:tabs>
                    <w:bidi w:val="0"/>
                    <w:jc w:val="center"/>
                    <w:rPr>
                      <w:rFonts w:hint="default" w:ascii="Times New Roman" w:hAnsi="Times New Roman" w:cs="Times New Roman"/>
                      <w:color w:val="auto"/>
                      <w:u w:val="single" w:color="auto"/>
                    </w:rPr>
                  </w:pPr>
                </w:p>
              </w:tc>
              <w:tc>
                <w:tcPr>
                  <w:tcW w:w="1075" w:type="pct"/>
                  <w:tcBorders>
                    <w:tl2br w:val="nil"/>
                    <w:tr2bl w:val="nil"/>
                  </w:tcBorders>
                  <w:shd w:val="clear" w:color="auto" w:fill="auto"/>
                  <w:vAlign w:val="center"/>
                </w:tcPr>
                <w:p w14:paraId="7B6D5145">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NO</w:t>
                  </w:r>
                  <w:r>
                    <w:rPr>
                      <w:rFonts w:hint="default" w:ascii="Times New Roman" w:hAnsi="Times New Roman" w:cs="Times New Roman"/>
                      <w:color w:val="auto"/>
                      <w:highlight w:val="none"/>
                      <w:u w:val="single" w:color="auto"/>
                      <w:vertAlign w:val="subscript"/>
                    </w:rPr>
                    <w:t>X</w:t>
                  </w:r>
                </w:p>
              </w:tc>
              <w:tc>
                <w:tcPr>
                  <w:tcW w:w="1088" w:type="pct"/>
                  <w:tcBorders>
                    <w:tl2br w:val="nil"/>
                    <w:tr2bl w:val="nil"/>
                  </w:tcBorders>
                  <w:shd w:val="clear" w:color="auto" w:fill="auto"/>
                  <w:vAlign w:val="center"/>
                </w:tcPr>
                <w:p w14:paraId="6895254D">
                  <w:pPr>
                    <w:ind w:firstLine="0" w:firstLineChars="0"/>
                    <w:jc w:val="center"/>
                    <w:rPr>
                      <w:rFonts w:hint="default" w:ascii="Times New Roman" w:hAnsi="Times New Roman" w:cs="Times New Roman"/>
                      <w:color w:val="auto"/>
                      <w:highlight w:val="none"/>
                      <w:u w:val="single" w:color="auto"/>
                    </w:rPr>
                  </w:pPr>
                  <w:r>
                    <w:rPr>
                      <w:rFonts w:hint="eastAsia" w:ascii="Times New Roman" w:hAnsi="Times New Roman" w:cs="Times New Roman"/>
                      <w:color w:val="auto"/>
                      <w:highlight w:val="none"/>
                      <w:u w:val="single" w:color="auto"/>
                      <w:lang w:val="en-US" w:eastAsia="zh-CN"/>
                    </w:rPr>
                    <w:t>/</w:t>
                  </w:r>
                </w:p>
              </w:tc>
              <w:tc>
                <w:tcPr>
                  <w:tcW w:w="989" w:type="pct"/>
                  <w:tcBorders>
                    <w:tl2br w:val="nil"/>
                    <w:tr2bl w:val="nil"/>
                  </w:tcBorders>
                  <w:vAlign w:val="center"/>
                </w:tcPr>
                <w:p w14:paraId="579FF0FB">
                  <w:pPr>
                    <w:ind w:firstLine="0" w:firstLineChars="0"/>
                    <w:jc w:val="center"/>
                    <w:rPr>
                      <w:rFonts w:hint="default" w:ascii="Times New Roman" w:hAnsi="Times New Roman" w:cs="Times New Roman"/>
                      <w:color w:val="auto"/>
                      <w:highlight w:val="none"/>
                      <w:u w:val="single" w:color="auto"/>
                    </w:rPr>
                  </w:pPr>
                  <w:r>
                    <w:rPr>
                      <w:rFonts w:hint="eastAsia" w:ascii="Times New Roman" w:hAnsi="Times New Roman" w:cs="Times New Roman"/>
                      <w:color w:val="auto"/>
                      <w:highlight w:val="none"/>
                      <w:u w:val="single" w:color="auto"/>
                      <w:lang w:val="en-US" w:eastAsia="zh-CN"/>
                    </w:rPr>
                    <w:t>/</w:t>
                  </w:r>
                </w:p>
              </w:tc>
              <w:tc>
                <w:tcPr>
                  <w:tcW w:w="993" w:type="pct"/>
                  <w:tcBorders>
                    <w:tl2br w:val="nil"/>
                    <w:tr2bl w:val="nil"/>
                  </w:tcBorders>
                  <w:vAlign w:val="center"/>
                </w:tcPr>
                <w:p w14:paraId="38CDF826">
                  <w:pPr>
                    <w:pStyle w:val="63"/>
                    <w:tabs>
                      <w:tab w:val="left" w:pos="1021"/>
                    </w:tabs>
                    <w:ind w:firstLine="0" w:firstLineChars="0"/>
                    <w:jc w:val="center"/>
                    <w:rPr>
                      <w:rFonts w:hint="default" w:ascii="Times New Roman" w:hAnsi="Times New Roman"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0.201</w:t>
                  </w:r>
                  <w:r>
                    <w:rPr>
                      <w:rFonts w:hint="default" w:ascii="Times New Roman" w:hAnsi="Times New Roman" w:cs="Times New Roman"/>
                      <w:color w:val="auto"/>
                      <w:highlight w:val="none"/>
                      <w:u w:val="single" w:color="auto"/>
                    </w:rPr>
                    <w:t>t</w:t>
                  </w:r>
                  <w:r>
                    <w:rPr>
                      <w:rFonts w:hint="eastAsia" w:ascii="Times New Roman" w:hAnsi="Times New Roman" w:cs="Times New Roman"/>
                      <w:color w:val="auto"/>
                      <w:highlight w:val="none"/>
                      <w:u w:val="single" w:color="auto"/>
                      <w:lang w:val="en-US" w:eastAsia="zh-CN"/>
                    </w:rPr>
                    <w:t>/a</w:t>
                  </w:r>
                </w:p>
              </w:tc>
            </w:tr>
            <w:tr w14:paraId="72599F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tl2br w:val="nil"/>
                    <w:tr2bl w:val="nil"/>
                  </w:tcBorders>
                  <w:vAlign w:val="center"/>
                </w:tcPr>
                <w:p w14:paraId="49A1E731">
                  <w:pPr>
                    <w:pStyle w:val="63"/>
                    <w:tabs>
                      <w:tab w:val="left" w:pos="1021"/>
                    </w:tabs>
                    <w:bidi w:val="0"/>
                    <w:jc w:val="left"/>
                    <w:rPr>
                      <w:rFonts w:hint="default" w:ascii="Times New Roman" w:hAnsi="Times New Roman" w:cs="Times New Roman"/>
                      <w:color w:val="auto"/>
                      <w:u w:val="single" w:color="auto"/>
                    </w:rPr>
                  </w:pPr>
                  <w:r>
                    <w:rPr>
                      <w:rFonts w:hint="default" w:ascii="Times New Roman" w:hAnsi="Times New Roman" w:cs="Times New Roman"/>
                      <w:color w:val="auto"/>
                      <w:u w:val="single" w:color="auto"/>
                    </w:rPr>
                    <w:t>注：产污系数表中气体燃料的二氧化硫的产污系数是以含硫量（S）的形式表示的，其中含硫量（S）是指气体燃料中的硫含量，单位为毫克/立方米。</w:t>
                  </w:r>
                </w:p>
                <w:p w14:paraId="63E8A4C6">
                  <w:pPr>
                    <w:pStyle w:val="63"/>
                    <w:tabs>
                      <w:tab w:val="left" w:pos="1021"/>
                    </w:tabs>
                    <w:bidi w:val="0"/>
                    <w:jc w:val="left"/>
                    <w:rPr>
                      <w:rFonts w:hint="default" w:ascii="Times New Roman" w:hAnsi="Times New Roman" w:eastAsia="宋体" w:cs="Times New Roman"/>
                      <w:color w:val="auto"/>
                      <w:u w:val="single" w:color="auto"/>
                      <w:lang w:val="en-US" w:eastAsia="zh-CN"/>
                    </w:rPr>
                  </w:pPr>
                  <w:r>
                    <w:rPr>
                      <w:rFonts w:hint="default" w:ascii="Times New Roman" w:hAnsi="Times New Roman" w:eastAsia="宋体" w:cs="Times New Roman"/>
                      <w:color w:val="auto"/>
                      <w:u w:val="single" w:color="auto"/>
                      <w:lang w:val="en-US" w:eastAsia="zh-CN"/>
                    </w:rPr>
                    <w:t>根据液化石油气检验报告液化石油气</w:t>
                  </w:r>
                  <w:r>
                    <w:rPr>
                      <w:rFonts w:hint="eastAsia" w:ascii="Times New Roman" w:hAnsi="Times New Roman" w:cs="Times New Roman"/>
                      <w:color w:val="auto"/>
                      <w:u w:val="single" w:color="auto"/>
                      <w:lang w:val="en-US" w:eastAsia="zh-CN"/>
                    </w:rPr>
                    <w:t>硫含量</w:t>
                  </w:r>
                  <w:r>
                    <w:rPr>
                      <w:rFonts w:hint="default" w:ascii="Times New Roman" w:hAnsi="Times New Roman" w:eastAsia="宋体" w:cs="Times New Roman"/>
                      <w:color w:val="auto"/>
                      <w:u w:val="single" w:color="auto"/>
                      <w:lang w:val="en-US" w:eastAsia="zh-CN"/>
                    </w:rPr>
                    <w:t>58毫克/立方米。</w:t>
                  </w:r>
                </w:p>
                <w:p w14:paraId="15ACC47F">
                  <w:pPr>
                    <w:pStyle w:val="63"/>
                    <w:tabs>
                      <w:tab w:val="left" w:pos="1021"/>
                    </w:tabs>
                    <w:bidi w:val="0"/>
                    <w:jc w:val="left"/>
                    <w:rPr>
                      <w:rFonts w:hint="default" w:ascii="Times New Roman" w:hAnsi="Times New Roman" w:eastAsia="宋体" w:cs="Times New Roman"/>
                      <w:color w:val="auto"/>
                      <w:u w:val="single" w:color="auto"/>
                      <w:lang w:val="en-US" w:eastAsia="zh-CN"/>
                    </w:rPr>
                  </w:pPr>
                  <w:r>
                    <w:rPr>
                      <w:rFonts w:hint="default" w:ascii="Times New Roman" w:hAnsi="Times New Roman" w:eastAsia="宋体" w:cs="Times New Roman"/>
                      <w:color w:val="auto"/>
                      <w:u w:val="single" w:color="auto"/>
                      <w:lang w:val="en-US" w:eastAsia="zh-CN"/>
                    </w:rPr>
                    <w:t>根据生物质颗粒检测报告生物质颗粒S</w:t>
                  </w:r>
                  <w:r>
                    <w:rPr>
                      <w:rFonts w:hint="eastAsia" w:ascii="Times New Roman" w:hAnsi="Times New Roman" w:cs="Times New Roman"/>
                      <w:color w:val="auto"/>
                      <w:u w:val="single" w:color="auto"/>
                      <w:lang w:val="en-US" w:eastAsia="zh-CN"/>
                    </w:rPr>
                    <w:t>取值=</w:t>
                  </w:r>
                  <w:r>
                    <w:rPr>
                      <w:rFonts w:hint="default" w:ascii="Times New Roman" w:hAnsi="Times New Roman" w:eastAsia="宋体" w:cs="Times New Roman"/>
                      <w:color w:val="auto"/>
                      <w:u w:val="single" w:color="auto"/>
                      <w:lang w:val="en-US" w:eastAsia="zh-CN"/>
                    </w:rPr>
                    <w:t>0.01。</w:t>
                  </w:r>
                </w:p>
              </w:tc>
            </w:tr>
          </w:tbl>
          <w:p w14:paraId="39C3F1EE">
            <w:pPr>
              <w:pStyle w:val="63"/>
              <w:tabs>
                <w:tab w:val="left" w:pos="1021"/>
              </w:tabs>
              <w:bidi w:val="0"/>
              <w:jc w:val="center"/>
              <w:rPr>
                <w:rFonts w:hint="default" w:ascii="Times New Roman" w:hAnsi="Times New Roman" w:cs="Times New Roman"/>
                <w:b/>
                <w:bCs/>
                <w:color w:val="auto"/>
                <w:u w:val="single" w:color="auto"/>
              </w:rPr>
            </w:pPr>
          </w:p>
          <w:p w14:paraId="3A08F3F7">
            <w:pPr>
              <w:numPr>
                <w:ilvl w:val="0"/>
                <w:numId w:val="0"/>
              </w:numPr>
              <w:adjustRightInd w:val="0"/>
              <w:snapToGrid w:val="0"/>
              <w:spacing w:line="360" w:lineRule="auto"/>
              <w:ind w:leftChars="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B：</w:t>
            </w:r>
            <w:r>
              <w:rPr>
                <w:rFonts w:hint="eastAsia"/>
                <w:color w:val="auto"/>
                <w:sz w:val="24"/>
                <w:lang w:val="en-US" w:eastAsia="zh-CN"/>
              </w:rPr>
              <w:t>钢瓶表面涂层燃烧产生的颗粒物源强</w:t>
            </w:r>
          </w:p>
          <w:p w14:paraId="539C4EFF">
            <w:pPr>
              <w:numPr>
                <w:ilvl w:val="0"/>
                <w:numId w:val="0"/>
              </w:numPr>
              <w:adjustRightInd w:val="0"/>
              <w:snapToGrid w:val="0"/>
              <w:spacing w:line="360" w:lineRule="auto"/>
              <w:ind w:leftChars="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项目废钢瓶表面涂层材质主要为环氧树脂粉末，钢瓶长期使用过程中，其表面及内部会沉积少量杂质，该部分涂层杂质随废钢瓶送入焚烧炉高温焚烧过程中，会产生一定量颗粒物。根据钢瓶厂家提供资料，单只钢瓶表面涂层粉末用量区间为0.1～0.3kg/只，本次核算取上限值0.3kg/只；粉末涂料固含量接近100%。涂层在高温焚烧工况下，少量无机填料（钛白粉、硫酸钡等）及未完全燃烧残炭会转化为烟尘颗粒物。结合行业焚烧经验，本次涂层粉末颗粒物焚烧转化率取值5%。本项目年处理废钢瓶约12万只，核算可得钢瓶表面涂层粉末总产生量为36t/a，经高温焚烧转化后，颗粒物产生量为1.8t/a。</w:t>
            </w:r>
          </w:p>
          <w:p w14:paraId="3F5A6AE3">
            <w:pPr>
              <w:pStyle w:val="63"/>
              <w:tabs>
                <w:tab w:val="left" w:pos="1021"/>
              </w:tabs>
              <w:bidi w:val="0"/>
              <w:jc w:val="center"/>
              <w:rPr>
                <w:rFonts w:hint="default" w:ascii="Times New Roman" w:hAnsi="Times New Roman" w:cs="Times New Roman"/>
                <w:color w:val="auto"/>
                <w:u w:val="none" w:color="auto"/>
                <w:lang w:val="en-US" w:eastAsia="zh-CN"/>
              </w:rPr>
            </w:pPr>
            <w:r>
              <w:rPr>
                <w:rFonts w:hint="default" w:ascii="Times New Roman" w:hAnsi="Times New Roman" w:cs="Times New Roman"/>
                <w:b/>
                <w:bCs/>
                <w:color w:val="auto"/>
                <w:u w:val="none" w:color="auto"/>
              </w:rPr>
              <w:t>表4-</w:t>
            </w:r>
            <w:r>
              <w:rPr>
                <w:rFonts w:hint="eastAsia" w:ascii="Times New Roman" w:hAnsi="Times New Roman" w:cs="Times New Roman"/>
                <w:b/>
                <w:bCs/>
                <w:color w:val="auto"/>
                <w:u w:val="none" w:color="auto"/>
                <w:lang w:val="en-US" w:eastAsia="zh-CN"/>
              </w:rPr>
              <w:t>2</w:t>
            </w:r>
            <w:r>
              <w:rPr>
                <w:rFonts w:hint="default" w:ascii="Times New Roman" w:hAnsi="Times New Roman" w:cs="Times New Roman"/>
                <w:b/>
                <w:bCs/>
                <w:color w:val="auto"/>
                <w:u w:val="none" w:color="auto"/>
              </w:rPr>
              <w:t xml:space="preserve">  </w:t>
            </w:r>
            <w:r>
              <w:rPr>
                <w:rFonts w:hint="default" w:ascii="Times New Roman" w:hAnsi="Times New Roman" w:cs="Times New Roman"/>
                <w:b/>
                <w:bCs/>
                <w:color w:val="auto"/>
                <w:u w:val="none" w:color="auto"/>
                <w:lang w:val="en-US" w:eastAsia="zh-CN"/>
              </w:rPr>
              <w:t xml:space="preserve"> </w:t>
            </w:r>
            <w:r>
              <w:rPr>
                <w:rFonts w:hint="eastAsia" w:ascii="Times New Roman" w:hAnsi="Times New Roman" w:cs="Times New Roman"/>
                <w:b/>
                <w:bCs/>
                <w:color w:val="auto"/>
                <w:u w:val="none" w:color="auto"/>
                <w:lang w:val="en-US" w:eastAsia="zh-CN"/>
              </w:rPr>
              <w:t>焚烧炉</w:t>
            </w:r>
            <w:r>
              <w:rPr>
                <w:rFonts w:hint="default" w:ascii="Times New Roman" w:hAnsi="Times New Roman" w:cs="Times New Roman"/>
                <w:b/>
                <w:bCs/>
                <w:color w:val="auto"/>
                <w:u w:val="none" w:color="auto"/>
                <w:lang w:val="en-US" w:eastAsia="zh-CN"/>
              </w:rPr>
              <w:t>燃烧废气</w:t>
            </w:r>
            <w:r>
              <w:rPr>
                <w:rFonts w:hint="eastAsia" w:ascii="Times New Roman" w:hAnsi="Times New Roman" w:cs="Times New Roman"/>
                <w:b/>
                <w:bCs/>
                <w:color w:val="auto"/>
                <w:u w:val="none" w:color="auto"/>
                <w:lang w:val="en-US" w:eastAsia="zh-CN"/>
              </w:rPr>
              <w:t>合计</w:t>
            </w:r>
          </w:p>
          <w:tbl>
            <w:tblPr>
              <w:tblStyle w:val="34"/>
              <w:tblW w:w="791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05"/>
              <w:gridCol w:w="2293"/>
              <w:gridCol w:w="3321"/>
            </w:tblGrid>
            <w:tr w14:paraId="5C9B9B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455" w:type="pct"/>
                  <w:tcBorders>
                    <w:tl2br w:val="nil"/>
                    <w:tr2bl w:val="nil"/>
                  </w:tcBorders>
                  <w:vAlign w:val="center"/>
                </w:tcPr>
                <w:p w14:paraId="33F0262B">
                  <w:pPr>
                    <w:pStyle w:val="63"/>
                    <w:tabs>
                      <w:tab w:val="left" w:pos="1021"/>
                    </w:tabs>
                    <w:bidi w:val="0"/>
                    <w:jc w:val="center"/>
                    <w:rPr>
                      <w:rFonts w:hint="eastAsia" w:ascii="Times New Roman" w:hAnsi="Times New Roman" w:eastAsia="宋体" w:cs="Times New Roman"/>
                      <w:b/>
                      <w:bCs/>
                      <w:color w:val="auto"/>
                      <w:u w:val="none" w:color="auto"/>
                      <w:lang w:eastAsia="zh-CN"/>
                    </w:rPr>
                  </w:pPr>
                  <w:r>
                    <w:rPr>
                      <w:rFonts w:hint="eastAsia" w:ascii="Times New Roman" w:hAnsi="Times New Roman" w:cs="Times New Roman"/>
                      <w:b/>
                      <w:bCs/>
                      <w:color w:val="auto"/>
                      <w:u w:val="none" w:color="auto"/>
                      <w:lang w:val="en-US" w:eastAsia="zh-CN"/>
                    </w:rPr>
                    <w:t>产生源</w:t>
                  </w:r>
                </w:p>
              </w:tc>
              <w:tc>
                <w:tcPr>
                  <w:tcW w:w="1447" w:type="pct"/>
                  <w:tcBorders>
                    <w:tl2br w:val="nil"/>
                    <w:tr2bl w:val="nil"/>
                  </w:tcBorders>
                  <w:vAlign w:val="center"/>
                </w:tcPr>
                <w:p w14:paraId="78C7978D">
                  <w:pPr>
                    <w:pStyle w:val="63"/>
                    <w:tabs>
                      <w:tab w:val="left" w:pos="1021"/>
                    </w:tabs>
                    <w:bidi w:val="0"/>
                    <w:jc w:val="center"/>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污染物指标</w:t>
                  </w:r>
                </w:p>
              </w:tc>
              <w:tc>
                <w:tcPr>
                  <w:tcW w:w="2096" w:type="pct"/>
                  <w:tcBorders>
                    <w:tl2br w:val="nil"/>
                    <w:tr2bl w:val="nil"/>
                  </w:tcBorders>
                  <w:vAlign w:val="center"/>
                </w:tcPr>
                <w:p w14:paraId="7748CEB4">
                  <w:pPr>
                    <w:pStyle w:val="63"/>
                    <w:tabs>
                      <w:tab w:val="left" w:pos="1021"/>
                    </w:tabs>
                    <w:bidi w:val="0"/>
                    <w:jc w:val="center"/>
                    <w:rPr>
                      <w:rFonts w:hint="default" w:ascii="Times New Roman" w:hAnsi="Times New Roman" w:eastAsia="宋体" w:cs="Times New Roman"/>
                      <w:b/>
                      <w:bCs/>
                      <w:color w:val="auto"/>
                      <w:u w:val="none" w:color="auto"/>
                      <w:lang w:val="en-US" w:eastAsia="zh-CN"/>
                    </w:rPr>
                  </w:pPr>
                  <w:r>
                    <w:rPr>
                      <w:rFonts w:hint="eastAsia" w:ascii="Times New Roman" w:hAnsi="Times New Roman" w:cs="Times New Roman"/>
                      <w:b/>
                      <w:bCs/>
                      <w:color w:val="auto"/>
                      <w:u w:val="none" w:color="auto"/>
                      <w:lang w:val="en-US" w:eastAsia="zh-CN"/>
                    </w:rPr>
                    <w:t>产生量</w:t>
                  </w:r>
                </w:p>
              </w:tc>
            </w:tr>
            <w:tr w14:paraId="6788B6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455" w:type="pct"/>
                  <w:vMerge w:val="restart"/>
                  <w:tcBorders>
                    <w:tl2br w:val="nil"/>
                    <w:tr2bl w:val="nil"/>
                  </w:tcBorders>
                  <w:vAlign w:val="center"/>
                </w:tcPr>
                <w:p w14:paraId="6A412975">
                  <w:pPr>
                    <w:pStyle w:val="63"/>
                    <w:tabs>
                      <w:tab w:val="left" w:pos="1021"/>
                    </w:tabs>
                    <w:bidi w:val="0"/>
                    <w:jc w:val="center"/>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液化气、生物质颗粒燃烧、钢瓶表面涂层燃烧</w:t>
                  </w:r>
                </w:p>
              </w:tc>
              <w:tc>
                <w:tcPr>
                  <w:tcW w:w="1447" w:type="pct"/>
                  <w:tcBorders>
                    <w:tl2br w:val="nil"/>
                    <w:tr2bl w:val="nil"/>
                  </w:tcBorders>
                  <w:shd w:val="clear" w:color="auto" w:fill="auto"/>
                  <w:vAlign w:val="center"/>
                </w:tcPr>
                <w:p w14:paraId="797B6BE6">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工业废气量</w:t>
                  </w:r>
                </w:p>
              </w:tc>
              <w:tc>
                <w:tcPr>
                  <w:tcW w:w="2096" w:type="pct"/>
                  <w:tcBorders>
                    <w:tl2br w:val="nil"/>
                    <w:tr2bl w:val="nil"/>
                  </w:tcBorders>
                  <w:vAlign w:val="center"/>
                </w:tcPr>
                <w:p w14:paraId="7CE910AB">
                  <w:pPr>
                    <w:pStyle w:val="63"/>
                    <w:tabs>
                      <w:tab w:val="left" w:pos="1021"/>
                    </w:tabs>
                    <w:ind w:firstLine="0" w:firstLineChars="0"/>
                    <w:jc w:val="center"/>
                    <w:rPr>
                      <w:rFonts w:hint="eastAsia"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1209877.38</w:t>
                  </w:r>
                  <w:r>
                    <w:rPr>
                      <w:rFonts w:hint="eastAsia" w:ascii="Times New Roman" w:hAnsi="Times New Roman" w:cs="Times New Roman"/>
                      <w:color w:val="auto"/>
                      <w:u w:val="none" w:color="auto"/>
                      <w:lang w:val="en-US" w:eastAsia="zh-CN"/>
                    </w:rPr>
                    <w:t>m</w:t>
                  </w:r>
                  <w:r>
                    <w:rPr>
                      <w:rFonts w:hint="eastAsia" w:ascii="Times New Roman" w:hAnsi="Times New Roman" w:cs="Times New Roman"/>
                      <w:color w:val="auto"/>
                      <w:u w:val="none" w:color="auto"/>
                      <w:vertAlign w:val="superscript"/>
                      <w:lang w:val="en-US" w:eastAsia="zh-CN"/>
                    </w:rPr>
                    <w:t>3</w:t>
                  </w:r>
                  <w:r>
                    <w:rPr>
                      <w:rFonts w:hint="eastAsia" w:ascii="Times New Roman" w:hAnsi="Times New Roman" w:cs="Times New Roman"/>
                      <w:color w:val="auto"/>
                      <w:u w:val="none" w:color="auto"/>
                      <w:lang w:val="en-US" w:eastAsia="zh-CN"/>
                    </w:rPr>
                    <w:t>/a（672.15m</w:t>
                  </w:r>
                  <w:r>
                    <w:rPr>
                      <w:rFonts w:hint="eastAsia" w:ascii="Times New Roman" w:hAnsi="Times New Roman" w:cs="Times New Roman"/>
                      <w:color w:val="auto"/>
                      <w:u w:val="none" w:color="auto"/>
                      <w:vertAlign w:val="superscript"/>
                      <w:lang w:val="en-US" w:eastAsia="zh-CN"/>
                    </w:rPr>
                    <w:t>3</w:t>
                  </w:r>
                  <w:r>
                    <w:rPr>
                      <w:rFonts w:hint="eastAsia" w:ascii="Times New Roman" w:hAnsi="Times New Roman" w:cs="Times New Roman"/>
                      <w:color w:val="auto"/>
                      <w:u w:val="none" w:color="auto"/>
                      <w:lang w:val="en-US" w:eastAsia="zh-CN"/>
                    </w:rPr>
                    <w:t>/h）</w:t>
                  </w:r>
                </w:p>
              </w:tc>
            </w:tr>
            <w:tr w14:paraId="26B121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455" w:type="pct"/>
                  <w:vMerge w:val="continue"/>
                  <w:tcBorders>
                    <w:tl2br w:val="nil"/>
                    <w:tr2bl w:val="nil"/>
                  </w:tcBorders>
                  <w:vAlign w:val="center"/>
                </w:tcPr>
                <w:p w14:paraId="2234E25B">
                  <w:pPr>
                    <w:pStyle w:val="63"/>
                    <w:tabs>
                      <w:tab w:val="left" w:pos="1021"/>
                    </w:tabs>
                    <w:bidi w:val="0"/>
                    <w:jc w:val="center"/>
                    <w:rPr>
                      <w:rFonts w:hint="default" w:ascii="Times New Roman" w:hAnsi="Times New Roman" w:cs="Times New Roman"/>
                      <w:color w:val="auto"/>
                      <w:u w:val="none" w:color="auto"/>
                    </w:rPr>
                  </w:pPr>
                </w:p>
              </w:tc>
              <w:tc>
                <w:tcPr>
                  <w:tcW w:w="1447" w:type="pct"/>
                  <w:tcBorders>
                    <w:tl2br w:val="nil"/>
                    <w:tr2bl w:val="nil"/>
                  </w:tcBorders>
                  <w:shd w:val="clear" w:color="auto" w:fill="auto"/>
                  <w:vAlign w:val="center"/>
                </w:tcPr>
                <w:p w14:paraId="70EE6183">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颗粒物</w:t>
                  </w:r>
                </w:p>
              </w:tc>
              <w:tc>
                <w:tcPr>
                  <w:tcW w:w="3320" w:type="dxa"/>
                  <w:tcBorders>
                    <w:tl2br w:val="nil"/>
                    <w:tr2bl w:val="nil"/>
                  </w:tcBorders>
                  <w:vAlign w:val="center"/>
                </w:tcPr>
                <w:p w14:paraId="7E2EB467">
                  <w:pPr>
                    <w:pStyle w:val="63"/>
                    <w:tabs>
                      <w:tab w:val="left" w:pos="1021"/>
                    </w:tabs>
                    <w:ind w:firstLine="0" w:firstLineChars="0"/>
                    <w:jc w:val="center"/>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1.908</w:t>
                  </w:r>
                  <w:r>
                    <w:rPr>
                      <w:rFonts w:hint="default" w:ascii="Times New Roman" w:hAnsi="Times New Roman" w:cs="Times New Roman"/>
                      <w:color w:val="auto"/>
                      <w:highlight w:val="none"/>
                      <w:u w:val="none" w:color="auto"/>
                    </w:rPr>
                    <w:t>t</w:t>
                  </w:r>
                  <w:r>
                    <w:rPr>
                      <w:rFonts w:hint="eastAsia" w:ascii="Times New Roman" w:hAnsi="Times New Roman" w:cs="Times New Roman"/>
                      <w:color w:val="auto"/>
                      <w:highlight w:val="none"/>
                      <w:u w:val="none" w:color="auto"/>
                      <w:lang w:val="en-US" w:eastAsia="zh-CN"/>
                    </w:rPr>
                    <w:t>/a</w:t>
                  </w:r>
                </w:p>
              </w:tc>
            </w:tr>
            <w:tr w14:paraId="13A418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455" w:type="pct"/>
                  <w:vMerge w:val="continue"/>
                  <w:tcBorders>
                    <w:tl2br w:val="nil"/>
                    <w:tr2bl w:val="nil"/>
                  </w:tcBorders>
                  <w:vAlign w:val="center"/>
                </w:tcPr>
                <w:p w14:paraId="3838FE44">
                  <w:pPr>
                    <w:pStyle w:val="63"/>
                    <w:tabs>
                      <w:tab w:val="left" w:pos="1021"/>
                    </w:tabs>
                    <w:bidi w:val="0"/>
                    <w:jc w:val="center"/>
                    <w:rPr>
                      <w:rFonts w:hint="default" w:ascii="Times New Roman" w:hAnsi="Times New Roman" w:cs="Times New Roman"/>
                      <w:color w:val="auto"/>
                      <w:u w:val="none" w:color="auto"/>
                    </w:rPr>
                  </w:pPr>
                </w:p>
              </w:tc>
              <w:tc>
                <w:tcPr>
                  <w:tcW w:w="1447" w:type="pct"/>
                  <w:tcBorders>
                    <w:tl2br w:val="nil"/>
                    <w:tr2bl w:val="nil"/>
                  </w:tcBorders>
                  <w:shd w:val="clear" w:color="auto" w:fill="auto"/>
                  <w:vAlign w:val="center"/>
                </w:tcPr>
                <w:p w14:paraId="3694ADD8">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SO</w:t>
                  </w:r>
                  <w:r>
                    <w:rPr>
                      <w:rFonts w:hint="default" w:ascii="Times New Roman" w:hAnsi="Times New Roman" w:cs="Times New Roman"/>
                      <w:color w:val="auto"/>
                      <w:highlight w:val="none"/>
                      <w:u w:val="none" w:color="auto"/>
                      <w:vertAlign w:val="subscript"/>
                    </w:rPr>
                    <w:t>2</w:t>
                  </w:r>
                </w:p>
              </w:tc>
              <w:tc>
                <w:tcPr>
                  <w:tcW w:w="3320" w:type="dxa"/>
                  <w:tcBorders>
                    <w:tl2br w:val="nil"/>
                    <w:tr2bl w:val="nil"/>
                  </w:tcBorders>
                  <w:vAlign w:val="center"/>
                </w:tcPr>
                <w:p w14:paraId="7FEE1456">
                  <w:pPr>
                    <w:pStyle w:val="63"/>
                    <w:tabs>
                      <w:tab w:val="left" w:pos="1021"/>
                    </w:tabs>
                    <w:ind w:firstLine="0" w:firstLineChars="0"/>
                    <w:jc w:val="center"/>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0.031</w:t>
                  </w:r>
                  <w:r>
                    <w:rPr>
                      <w:rFonts w:hint="default" w:ascii="Times New Roman" w:hAnsi="Times New Roman" w:cs="Times New Roman"/>
                      <w:color w:val="auto"/>
                      <w:highlight w:val="none"/>
                      <w:u w:val="none" w:color="auto"/>
                    </w:rPr>
                    <w:t>t</w:t>
                  </w:r>
                  <w:r>
                    <w:rPr>
                      <w:rFonts w:hint="eastAsia" w:ascii="Times New Roman" w:hAnsi="Times New Roman" w:cs="Times New Roman"/>
                      <w:color w:val="auto"/>
                      <w:highlight w:val="none"/>
                      <w:u w:val="none" w:color="auto"/>
                      <w:lang w:val="en-US" w:eastAsia="zh-CN"/>
                    </w:rPr>
                    <w:t>/a</w:t>
                  </w:r>
                </w:p>
              </w:tc>
            </w:tr>
            <w:tr w14:paraId="4D5E4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455" w:type="pct"/>
                  <w:vMerge w:val="continue"/>
                  <w:tcBorders>
                    <w:tl2br w:val="nil"/>
                    <w:tr2bl w:val="nil"/>
                  </w:tcBorders>
                  <w:vAlign w:val="center"/>
                </w:tcPr>
                <w:p w14:paraId="34998EC9">
                  <w:pPr>
                    <w:pStyle w:val="63"/>
                    <w:tabs>
                      <w:tab w:val="left" w:pos="1021"/>
                    </w:tabs>
                    <w:bidi w:val="0"/>
                    <w:jc w:val="center"/>
                    <w:rPr>
                      <w:rFonts w:hint="default" w:ascii="Times New Roman" w:hAnsi="Times New Roman" w:cs="Times New Roman"/>
                      <w:color w:val="auto"/>
                      <w:u w:val="none" w:color="auto"/>
                    </w:rPr>
                  </w:pPr>
                </w:p>
              </w:tc>
              <w:tc>
                <w:tcPr>
                  <w:tcW w:w="1447" w:type="pct"/>
                  <w:tcBorders>
                    <w:tl2br w:val="nil"/>
                    <w:tr2bl w:val="nil"/>
                  </w:tcBorders>
                  <w:shd w:val="clear" w:color="auto" w:fill="auto"/>
                  <w:vAlign w:val="center"/>
                </w:tcPr>
                <w:p w14:paraId="25E12FF4">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NO</w:t>
                  </w:r>
                  <w:r>
                    <w:rPr>
                      <w:rFonts w:hint="default" w:ascii="Times New Roman" w:hAnsi="Times New Roman" w:cs="Times New Roman"/>
                      <w:color w:val="auto"/>
                      <w:highlight w:val="none"/>
                      <w:u w:val="none" w:color="auto"/>
                      <w:vertAlign w:val="subscript"/>
                    </w:rPr>
                    <w:t>X</w:t>
                  </w:r>
                </w:p>
              </w:tc>
              <w:tc>
                <w:tcPr>
                  <w:tcW w:w="3320" w:type="dxa"/>
                  <w:tcBorders>
                    <w:tl2br w:val="nil"/>
                    <w:tr2bl w:val="nil"/>
                  </w:tcBorders>
                  <w:vAlign w:val="center"/>
                </w:tcPr>
                <w:p w14:paraId="6198AE16">
                  <w:pPr>
                    <w:pStyle w:val="63"/>
                    <w:tabs>
                      <w:tab w:val="left" w:pos="1021"/>
                    </w:tabs>
                    <w:ind w:firstLine="0" w:firstLineChars="0"/>
                    <w:jc w:val="center"/>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0.201</w:t>
                  </w:r>
                  <w:r>
                    <w:rPr>
                      <w:rFonts w:hint="default" w:ascii="Times New Roman" w:hAnsi="Times New Roman" w:cs="Times New Roman"/>
                      <w:color w:val="auto"/>
                      <w:highlight w:val="none"/>
                      <w:u w:val="none" w:color="auto"/>
                    </w:rPr>
                    <w:t>t</w:t>
                  </w:r>
                  <w:r>
                    <w:rPr>
                      <w:rFonts w:hint="eastAsia" w:ascii="Times New Roman" w:hAnsi="Times New Roman" w:cs="Times New Roman"/>
                      <w:color w:val="auto"/>
                      <w:highlight w:val="none"/>
                      <w:u w:val="none" w:color="auto"/>
                      <w:lang w:val="en-US" w:eastAsia="zh-CN"/>
                    </w:rPr>
                    <w:t>/a</w:t>
                  </w:r>
                </w:p>
              </w:tc>
            </w:tr>
          </w:tbl>
          <w:p w14:paraId="087F0577">
            <w:pPr>
              <w:numPr>
                <w:ilvl w:val="0"/>
                <w:numId w:val="0"/>
              </w:numPr>
              <w:adjustRightInd w:val="0"/>
              <w:snapToGrid w:val="0"/>
              <w:spacing w:line="360" w:lineRule="auto"/>
              <w:ind w:leftChars="0" w:firstLine="482"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b/>
                <w:bCs/>
                <w:color w:val="auto"/>
                <w:sz w:val="24"/>
                <w:lang w:val="en-US" w:eastAsia="zh-CN"/>
              </w:rPr>
              <w:t>1.2.2、治理措施可行性分析</w:t>
            </w:r>
          </w:p>
          <w:p w14:paraId="56EFA328">
            <w:pPr>
              <w:numPr>
                <w:ilvl w:val="0"/>
                <w:numId w:val="0"/>
              </w:numPr>
              <w:adjustRightInd w:val="0"/>
              <w:snapToGrid w:val="0"/>
              <w:spacing w:line="360" w:lineRule="auto"/>
              <w:ind w:leftChars="0" w:firstLine="480" w:firstLineChars="200"/>
              <w:rPr>
                <w:rFonts w:hint="eastAsia" w:cs="Times New Roman"/>
                <w:color w:val="auto"/>
                <w:sz w:val="24"/>
                <w:u w:val="single"/>
                <w:lang w:val="en-US" w:eastAsia="zh-CN"/>
              </w:rPr>
            </w:pPr>
            <w:r>
              <w:rPr>
                <w:rFonts w:hint="eastAsia" w:ascii="Times New Roman" w:hAnsi="Times New Roman" w:eastAsia="宋体" w:cs="Times New Roman"/>
                <w:color w:val="auto"/>
                <w:sz w:val="24"/>
                <w:u w:val="single"/>
                <w:lang w:val="en-US" w:eastAsia="zh-CN"/>
              </w:rPr>
              <w:t>焚烧过</w:t>
            </w:r>
            <w:r>
              <w:rPr>
                <w:rFonts w:hint="eastAsia" w:cs="Times New Roman"/>
                <w:color w:val="auto"/>
                <w:sz w:val="24"/>
                <w:u w:val="single"/>
                <w:lang w:val="en-US" w:eastAsia="zh-CN"/>
              </w:rPr>
              <w:t>程中</w:t>
            </w:r>
            <w:r>
              <w:rPr>
                <w:rFonts w:hint="eastAsia" w:ascii="Times New Roman" w:hAnsi="Times New Roman" w:eastAsia="宋体" w:cs="Times New Roman"/>
                <w:color w:val="auto"/>
                <w:sz w:val="24"/>
                <w:u w:val="single"/>
                <w:lang w:val="en-US" w:eastAsia="zh-CN"/>
              </w:rPr>
              <w:t>液化气、生物质颗粒燃烧、钢瓶表面涂层燃烧产生的废气将统一汇入焚烧炉烟气收集处理系统，根据建设单位提</w:t>
            </w:r>
            <w:r>
              <w:rPr>
                <w:rFonts w:hint="eastAsia" w:cs="Times New Roman"/>
                <w:color w:val="auto"/>
                <w:sz w:val="24"/>
                <w:u w:val="single"/>
                <w:lang w:val="en-US" w:eastAsia="zh-CN"/>
              </w:rPr>
              <w:t>供的</w:t>
            </w:r>
            <w:r>
              <w:rPr>
                <w:rFonts w:hint="eastAsia" w:ascii="Times New Roman" w:hAnsi="Times New Roman" w:eastAsia="宋体" w:cs="Times New Roman"/>
                <w:color w:val="auto"/>
                <w:sz w:val="24"/>
                <w:u w:val="single"/>
                <w:lang w:val="en-US" w:eastAsia="zh-CN"/>
              </w:rPr>
              <w:t>《燃烧炉废气处理设备技术方案》可知，项目焚烧废气拟采用</w:t>
            </w:r>
            <w:r>
              <w:rPr>
                <w:rFonts w:hint="eastAsia" w:cs="Times New Roman"/>
                <w:color w:val="auto"/>
                <w:sz w:val="24"/>
                <w:u w:val="single"/>
                <w:lang w:val="en-US" w:eastAsia="zh-CN"/>
              </w:rPr>
              <w:t>“旋风除尘+高温布袋除尘”组合工艺处理焚烧废气。</w:t>
            </w:r>
          </w:p>
          <w:p w14:paraId="1A7971D3">
            <w:pPr>
              <w:numPr>
                <w:ilvl w:val="0"/>
                <w:numId w:val="0"/>
              </w:numPr>
              <w:adjustRightInd w:val="0"/>
              <w:snapToGrid w:val="0"/>
              <w:spacing w:line="360" w:lineRule="auto"/>
              <w:ind w:leftChars="0" w:firstLine="480" w:firstLineChars="200"/>
              <w:rPr>
                <w:rFonts w:hint="eastAsia" w:cs="Times New Roman"/>
                <w:b w:val="0"/>
                <w:bCs w:val="0"/>
                <w:color w:val="auto"/>
                <w:sz w:val="24"/>
                <w:u w:val="single"/>
                <w:lang w:val="en-US" w:eastAsia="zh-CN"/>
              </w:rPr>
            </w:pPr>
            <w:r>
              <w:rPr>
                <w:rFonts w:hint="eastAsia" w:ascii="Times New Roman" w:hAnsi="Times New Roman" w:eastAsia="宋体" w:cs="Times New Roman"/>
                <w:color w:val="auto"/>
                <w:sz w:val="24"/>
                <w:u w:val="single"/>
                <w:lang w:val="en-US" w:eastAsia="zh-CN"/>
              </w:rPr>
              <w:t>废气处理工艺简介：焚烧废气先进入旋风除尘器，利用离心力快速分离废气中的大颗粒粉尘与灰烬，有效降低废气粉尘基数，为后端设备减负防堵。随后废气进入高温布袋除尘器，凭借优质耐高温滤料，通过多重物理过滤方式精准截留微细粉尘，粗细分级处理。</w:t>
            </w:r>
            <w:r>
              <w:rPr>
                <w:rFonts w:hint="eastAsia" w:cs="Times New Roman"/>
                <w:b w:val="0"/>
                <w:bCs w:val="0"/>
                <w:color w:val="auto"/>
                <w:sz w:val="24"/>
                <w:u w:val="single"/>
                <w:lang w:val="en-US" w:eastAsia="zh-CN"/>
              </w:rPr>
              <w:t>整套工艺采用分级递进、粗细分离的双层除尘净化模式，两级工艺相辅相成、优势互补，整体工况适应性极强、设备运行稳定可靠，可全方位去除焚烧废气中的各类颗粒物污染物，保障废气持续稳定达标排放。经整套系统逐级净化处理后的达标废气，由引风机引至高空排放。旋风除尘设备材质为 耐高温防腐钢板，筒体直径1600mm，筒体高度 2400mm，锥体高度 3200mm，高温布袋除尘器滤芯为高温覆膜布袋，过滤风速 1.24m/min，布袋规格 Φ160×6000mm。颗粒物处理效率可达99.7%。</w:t>
            </w:r>
          </w:p>
          <w:p w14:paraId="78F9C8E4">
            <w:pPr>
              <w:numPr>
                <w:ilvl w:val="0"/>
                <w:numId w:val="0"/>
              </w:numPr>
              <w:adjustRightInd w:val="0"/>
              <w:snapToGrid w:val="0"/>
              <w:spacing w:line="360" w:lineRule="auto"/>
              <w:ind w:leftChars="0" w:firstLine="480" w:firstLineChars="200"/>
              <w:rPr>
                <w:rFonts w:hint="default"/>
                <w:color w:val="auto"/>
                <w:sz w:val="24"/>
                <w:lang w:val="en-US"/>
              </w:rPr>
            </w:pPr>
            <w:r>
              <w:rPr>
                <w:rFonts w:hint="eastAsia"/>
                <w:color w:val="auto"/>
                <w:sz w:val="24"/>
                <w:lang w:val="en-US" w:eastAsia="zh-CN"/>
              </w:rPr>
              <w:t>对照《排污许可证申请与核发技术规范 工业炉窑》（HJ 1121-2020）技术要求，本项目采用旋风除尘+高温布袋除尘组合工艺，属于工业炉窑及普通燃烧烟气治理可行性技术，完全适配本项目废气治理需求。焚烧炉废气产排污情况见下表：</w:t>
            </w:r>
          </w:p>
          <w:p w14:paraId="581D3606">
            <w:pPr>
              <w:pStyle w:val="63"/>
              <w:tabs>
                <w:tab w:val="left" w:pos="1021"/>
              </w:tabs>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表4-</w:t>
            </w:r>
            <w:r>
              <w:rPr>
                <w:rFonts w:hint="eastAsia" w:ascii="Times New Roman" w:hAnsi="Times New Roman" w:cs="Times New Roman"/>
                <w:b/>
                <w:bCs/>
                <w:color w:val="auto"/>
                <w:highlight w:val="none"/>
                <w:u w:val="none" w:color="auto"/>
                <w:lang w:val="en-US" w:eastAsia="zh-CN"/>
              </w:rPr>
              <w:t>3</w:t>
            </w:r>
            <w:r>
              <w:rPr>
                <w:rFonts w:hint="default" w:ascii="Times New Roman" w:hAnsi="Times New Roman" w:cs="Times New Roman"/>
                <w:b/>
                <w:bCs/>
                <w:color w:val="auto"/>
                <w:highlight w:val="none"/>
                <w:u w:val="none" w:color="auto"/>
                <w:lang w:val="en-US" w:eastAsia="zh-CN"/>
              </w:rPr>
              <w:t xml:space="preserve">   </w:t>
            </w:r>
            <w:r>
              <w:rPr>
                <w:rFonts w:hint="default" w:ascii="Times New Roman" w:hAnsi="Times New Roman" w:cs="Times New Roman"/>
                <w:b/>
                <w:bCs/>
                <w:color w:val="auto"/>
                <w:highlight w:val="none"/>
                <w:u w:val="none" w:color="auto"/>
              </w:rPr>
              <w:t>焚烧炉</w:t>
            </w:r>
            <w:r>
              <w:rPr>
                <w:rFonts w:hint="eastAsia" w:ascii="Times New Roman" w:hAnsi="Times New Roman" w:cs="Times New Roman"/>
                <w:b/>
                <w:bCs/>
                <w:color w:val="auto"/>
                <w:highlight w:val="none"/>
                <w:u w:val="none" w:color="auto"/>
                <w:lang w:val="en-US" w:eastAsia="zh-CN"/>
              </w:rPr>
              <w:t>废气</w:t>
            </w:r>
            <w:r>
              <w:rPr>
                <w:rFonts w:hint="default" w:ascii="Times New Roman" w:hAnsi="Times New Roman" w:cs="Times New Roman"/>
                <w:b/>
                <w:bCs/>
                <w:color w:val="auto"/>
                <w:highlight w:val="none"/>
                <w:u w:val="none" w:color="auto"/>
              </w:rPr>
              <w:t>产排情况一览表</w:t>
            </w:r>
          </w:p>
          <w:tbl>
            <w:tblPr>
              <w:tblStyle w:val="34"/>
              <w:tblpPr w:leftFromText="180" w:rightFromText="180" w:vertAnchor="text" w:tblpXSpec="left" w:tblpY="1"/>
              <w:tblOverlap w:val="never"/>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82"/>
              <w:gridCol w:w="693"/>
              <w:gridCol w:w="994"/>
              <w:gridCol w:w="952"/>
              <w:gridCol w:w="646"/>
              <w:gridCol w:w="785"/>
              <w:gridCol w:w="785"/>
              <w:gridCol w:w="897"/>
              <w:gridCol w:w="801"/>
            </w:tblGrid>
            <w:tr w14:paraId="256DB0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exact"/>
              </w:trPr>
              <w:tc>
                <w:tcPr>
                  <w:tcW w:w="426" w:type="pct"/>
                  <w:tcBorders>
                    <w:tl2br w:val="nil"/>
                    <w:tr2bl w:val="nil"/>
                  </w:tcBorders>
                  <w:vAlign w:val="center"/>
                </w:tcPr>
                <w:p w14:paraId="73AE5CE4">
                  <w:pPr>
                    <w:pStyle w:val="63"/>
                    <w:tabs>
                      <w:tab w:val="left" w:pos="1021"/>
                    </w:tabs>
                    <w:adjustRightInd/>
                    <w:jc w:val="center"/>
                    <w:rPr>
                      <w:rFonts w:hint="default" w:ascii="Times New Roman" w:hAnsi="Times New Roman" w:cs="Times New Roman"/>
                      <w:color w:val="auto"/>
                      <w:highlight w:val="none"/>
                      <w:u w:val="single" w:color="auto"/>
                    </w:rPr>
                  </w:pPr>
                  <w:r>
                    <w:rPr>
                      <w:rFonts w:hint="default" w:ascii="Times New Roman" w:hAnsi="Times New Roman" w:cs="Times New Roman"/>
                      <w:b/>
                      <w:bCs/>
                      <w:color w:val="auto"/>
                      <w:highlight w:val="none"/>
                      <w:u w:val="single" w:color="auto"/>
                    </w:rPr>
                    <w:t>污染物指标</w:t>
                  </w:r>
                </w:p>
              </w:tc>
              <w:tc>
                <w:tcPr>
                  <w:tcW w:w="431" w:type="pct"/>
                  <w:tcBorders>
                    <w:tl2br w:val="nil"/>
                    <w:tr2bl w:val="nil"/>
                  </w:tcBorders>
                  <w:vAlign w:val="center"/>
                </w:tcPr>
                <w:p w14:paraId="032E996F">
                  <w:pPr>
                    <w:pStyle w:val="63"/>
                    <w:tabs>
                      <w:tab w:val="left" w:pos="1021"/>
                    </w:tabs>
                    <w:adjustRightInd/>
                    <w:jc w:val="center"/>
                    <w:rPr>
                      <w:rFonts w:hint="default" w:ascii="Times New Roman" w:hAnsi="Times New Roman" w:cs="Times New Roman"/>
                      <w:color w:val="auto"/>
                      <w:highlight w:val="none"/>
                      <w:u w:val="single" w:color="auto"/>
                    </w:rPr>
                  </w:pPr>
                  <w:r>
                    <w:rPr>
                      <w:rFonts w:hint="default" w:ascii="Times New Roman" w:hAnsi="Times New Roman" w:cs="Times New Roman"/>
                      <w:b/>
                      <w:bCs/>
                      <w:color w:val="auto"/>
                      <w:highlight w:val="none"/>
                      <w:u w:val="single" w:color="auto"/>
                    </w:rPr>
                    <w:t>污染物产生量</w:t>
                  </w:r>
                  <w:r>
                    <w:rPr>
                      <w:rFonts w:hint="eastAsia" w:ascii="Times New Roman" w:hAnsi="Times New Roman" w:cs="Times New Roman"/>
                      <w:b/>
                      <w:bCs/>
                      <w:color w:val="auto"/>
                      <w:highlight w:val="none"/>
                      <w:u w:val="single" w:color="auto"/>
                      <w:lang w:val="en-US" w:eastAsia="zh-CN"/>
                    </w:rPr>
                    <w:t>t/a</w:t>
                  </w:r>
                </w:p>
              </w:tc>
              <w:tc>
                <w:tcPr>
                  <w:tcW w:w="438" w:type="pct"/>
                  <w:tcBorders>
                    <w:tl2br w:val="nil"/>
                    <w:tr2bl w:val="nil"/>
                  </w:tcBorders>
                  <w:vAlign w:val="center"/>
                </w:tcPr>
                <w:p w14:paraId="2DC0DB84">
                  <w:pPr>
                    <w:pStyle w:val="63"/>
                    <w:tabs>
                      <w:tab w:val="left" w:pos="1021"/>
                    </w:tabs>
                    <w:adjustRightInd/>
                    <w:jc w:val="center"/>
                    <w:rPr>
                      <w:rFonts w:hint="default" w:ascii="Times New Roman" w:hAnsi="Times New Roman" w:cs="Times New Roman"/>
                      <w:color w:val="auto"/>
                      <w:highlight w:val="none"/>
                      <w:u w:val="single" w:color="auto"/>
                    </w:rPr>
                  </w:pPr>
                  <w:r>
                    <w:rPr>
                      <w:rFonts w:hint="eastAsia" w:ascii="Times New Roman" w:hAnsi="Times New Roman" w:cs="Times New Roman"/>
                      <w:b/>
                      <w:bCs/>
                      <w:color w:val="auto"/>
                      <w:highlight w:val="none"/>
                      <w:u w:val="single" w:color="auto"/>
                      <w:lang w:val="en-US" w:eastAsia="zh-CN"/>
                    </w:rPr>
                    <w:t>产生速率kg/h</w:t>
                  </w:r>
                </w:p>
              </w:tc>
              <w:tc>
                <w:tcPr>
                  <w:tcW w:w="628" w:type="pct"/>
                  <w:tcBorders>
                    <w:tl2br w:val="nil"/>
                    <w:tr2bl w:val="nil"/>
                  </w:tcBorders>
                  <w:vAlign w:val="center"/>
                </w:tcPr>
                <w:p w14:paraId="209E3371">
                  <w:pPr>
                    <w:pStyle w:val="63"/>
                    <w:tabs>
                      <w:tab w:val="left" w:pos="1021"/>
                    </w:tabs>
                    <w:adjustRightInd/>
                    <w:jc w:val="center"/>
                    <w:rPr>
                      <w:rFonts w:hint="default" w:ascii="Times New Roman" w:hAnsi="Times New Roman" w:cs="Times New Roman"/>
                      <w:b/>
                      <w:bCs/>
                      <w:color w:val="auto"/>
                      <w:highlight w:val="none"/>
                      <w:u w:val="single" w:color="auto"/>
                    </w:rPr>
                  </w:pPr>
                  <w:r>
                    <w:rPr>
                      <w:rFonts w:hint="default" w:ascii="Times New Roman" w:hAnsi="Times New Roman" w:cs="Times New Roman"/>
                      <w:b/>
                      <w:bCs/>
                      <w:color w:val="auto"/>
                      <w:highlight w:val="none"/>
                      <w:u w:val="single" w:color="auto"/>
                    </w:rPr>
                    <w:t>产生</w:t>
                  </w:r>
                </w:p>
                <w:p w14:paraId="2B83F3F4">
                  <w:pPr>
                    <w:pStyle w:val="63"/>
                    <w:tabs>
                      <w:tab w:val="left" w:pos="1021"/>
                    </w:tabs>
                    <w:adjustRightInd/>
                    <w:jc w:val="center"/>
                    <w:rPr>
                      <w:rFonts w:hint="default" w:ascii="Times New Roman" w:hAnsi="Times New Roman" w:cs="Times New Roman"/>
                      <w:b/>
                      <w:bCs/>
                      <w:color w:val="auto"/>
                      <w:highlight w:val="none"/>
                      <w:u w:val="single" w:color="auto"/>
                      <w:lang w:val="en-US" w:eastAsia="zh-CN"/>
                    </w:rPr>
                  </w:pPr>
                  <w:r>
                    <w:rPr>
                      <w:rFonts w:hint="eastAsia" w:ascii="Times New Roman" w:hAnsi="Times New Roman" w:cs="Times New Roman"/>
                      <w:b/>
                      <w:bCs/>
                      <w:color w:val="auto"/>
                      <w:highlight w:val="none"/>
                      <w:u w:val="single" w:color="auto"/>
                      <w:lang w:val="en-US" w:eastAsia="zh-CN"/>
                    </w:rPr>
                    <w:t>浓度</w:t>
                  </w:r>
                  <w:r>
                    <w:rPr>
                      <w:rFonts w:hint="default" w:ascii="Times New Roman" w:hAnsi="Times New Roman" w:cs="Times New Roman"/>
                      <w:b/>
                      <w:bCs/>
                      <w:color w:val="auto"/>
                      <w:highlight w:val="none"/>
                      <w:u w:val="single" w:color="auto"/>
                    </w:rPr>
                    <w:t>mg/m</w:t>
                  </w:r>
                  <w:r>
                    <w:rPr>
                      <w:rFonts w:hint="default" w:ascii="Times New Roman" w:hAnsi="Times New Roman" w:cs="Times New Roman"/>
                      <w:b/>
                      <w:bCs/>
                      <w:color w:val="auto"/>
                      <w:highlight w:val="none"/>
                      <w:u w:val="single" w:color="auto"/>
                      <w:vertAlign w:val="superscript"/>
                    </w:rPr>
                    <w:t>3</w:t>
                  </w:r>
                </w:p>
              </w:tc>
              <w:tc>
                <w:tcPr>
                  <w:tcW w:w="601" w:type="pct"/>
                  <w:tcBorders>
                    <w:tl2br w:val="nil"/>
                    <w:tr2bl w:val="nil"/>
                  </w:tcBorders>
                  <w:vAlign w:val="center"/>
                </w:tcPr>
                <w:p w14:paraId="14A1D2C0">
                  <w:pPr>
                    <w:pStyle w:val="63"/>
                    <w:tabs>
                      <w:tab w:val="left" w:pos="1021"/>
                    </w:tabs>
                    <w:adjustRightInd/>
                    <w:jc w:val="center"/>
                    <w:rPr>
                      <w:rFonts w:hint="default" w:ascii="Times New Roman" w:hAnsi="Times New Roman" w:cs="Times New Roman"/>
                      <w:b/>
                      <w:bCs/>
                      <w:color w:val="auto"/>
                      <w:highlight w:val="none"/>
                      <w:u w:val="single" w:color="auto"/>
                    </w:rPr>
                  </w:pPr>
                  <w:r>
                    <w:rPr>
                      <w:rFonts w:hint="default" w:ascii="Times New Roman" w:hAnsi="Times New Roman" w:cs="Times New Roman"/>
                      <w:b/>
                      <w:bCs/>
                      <w:color w:val="auto"/>
                      <w:highlight w:val="none"/>
                      <w:u w:val="single" w:color="auto"/>
                    </w:rPr>
                    <w:t>治理</w:t>
                  </w:r>
                </w:p>
                <w:p w14:paraId="5AB22687">
                  <w:pPr>
                    <w:pStyle w:val="63"/>
                    <w:tabs>
                      <w:tab w:val="left" w:pos="1021"/>
                    </w:tabs>
                    <w:adjustRightInd/>
                    <w:jc w:val="center"/>
                    <w:rPr>
                      <w:rFonts w:hint="default" w:ascii="Times New Roman" w:hAnsi="Times New Roman" w:cs="Times New Roman"/>
                      <w:color w:val="auto"/>
                      <w:highlight w:val="none"/>
                      <w:u w:val="single" w:color="auto"/>
                    </w:rPr>
                  </w:pPr>
                  <w:r>
                    <w:rPr>
                      <w:rFonts w:hint="default" w:ascii="Times New Roman" w:hAnsi="Times New Roman" w:cs="Times New Roman"/>
                      <w:b/>
                      <w:bCs/>
                      <w:color w:val="auto"/>
                      <w:highlight w:val="none"/>
                      <w:u w:val="single" w:color="auto"/>
                    </w:rPr>
                    <w:t>措施</w:t>
                  </w:r>
                </w:p>
              </w:tc>
              <w:tc>
                <w:tcPr>
                  <w:tcW w:w="408" w:type="pct"/>
                  <w:tcBorders>
                    <w:tl2br w:val="nil"/>
                    <w:tr2bl w:val="nil"/>
                  </w:tcBorders>
                  <w:vAlign w:val="center"/>
                </w:tcPr>
                <w:p w14:paraId="3EF7AB8D">
                  <w:pPr>
                    <w:pStyle w:val="63"/>
                    <w:tabs>
                      <w:tab w:val="left" w:pos="1021"/>
                    </w:tabs>
                    <w:adjustRightInd/>
                    <w:jc w:val="center"/>
                    <w:rPr>
                      <w:rFonts w:hint="default" w:ascii="Times New Roman" w:hAnsi="Times New Roman" w:cs="Times New Roman"/>
                      <w:b/>
                      <w:bCs/>
                      <w:color w:val="auto"/>
                      <w:highlight w:val="none"/>
                      <w:u w:val="single" w:color="auto"/>
                    </w:rPr>
                  </w:pPr>
                  <w:r>
                    <w:rPr>
                      <w:rFonts w:hint="default" w:ascii="Times New Roman" w:hAnsi="Times New Roman" w:cs="Times New Roman"/>
                      <w:b/>
                      <w:bCs/>
                      <w:color w:val="auto"/>
                      <w:highlight w:val="none"/>
                      <w:u w:val="single" w:color="auto"/>
                    </w:rPr>
                    <w:t>去除</w:t>
                  </w:r>
                </w:p>
                <w:p w14:paraId="7F7CF623">
                  <w:pPr>
                    <w:pStyle w:val="63"/>
                    <w:tabs>
                      <w:tab w:val="left" w:pos="1021"/>
                    </w:tabs>
                    <w:adjustRightInd/>
                    <w:jc w:val="center"/>
                    <w:rPr>
                      <w:rFonts w:hint="eastAsia" w:ascii="Times New Roman" w:hAnsi="Times New Roman" w:eastAsia="宋体" w:cs="Times New Roman"/>
                      <w:color w:val="auto"/>
                      <w:highlight w:val="none"/>
                      <w:u w:val="single" w:color="auto"/>
                      <w:lang w:val="en-US" w:eastAsia="zh-CN"/>
                    </w:rPr>
                  </w:pPr>
                  <w:r>
                    <w:rPr>
                      <w:rFonts w:hint="default" w:ascii="Times New Roman" w:hAnsi="Times New Roman" w:cs="Times New Roman"/>
                      <w:b/>
                      <w:bCs/>
                      <w:color w:val="auto"/>
                      <w:highlight w:val="none"/>
                      <w:u w:val="single" w:color="auto"/>
                    </w:rPr>
                    <w:t>效率</w:t>
                  </w:r>
                </w:p>
              </w:tc>
              <w:tc>
                <w:tcPr>
                  <w:tcW w:w="496" w:type="pct"/>
                  <w:tcBorders>
                    <w:tl2br w:val="nil"/>
                    <w:tr2bl w:val="nil"/>
                  </w:tcBorders>
                  <w:vAlign w:val="center"/>
                </w:tcPr>
                <w:p w14:paraId="77FB8889">
                  <w:pPr>
                    <w:pStyle w:val="63"/>
                    <w:tabs>
                      <w:tab w:val="left" w:pos="1021"/>
                    </w:tabs>
                    <w:adjustRightInd/>
                    <w:jc w:val="center"/>
                    <w:rPr>
                      <w:rFonts w:hint="default" w:ascii="Times New Roman" w:hAnsi="Times New Roman" w:cs="Times New Roman"/>
                      <w:color w:val="auto"/>
                      <w:highlight w:val="none"/>
                      <w:u w:val="single" w:color="auto"/>
                    </w:rPr>
                  </w:pPr>
                  <w:r>
                    <w:rPr>
                      <w:rFonts w:hint="default" w:ascii="Times New Roman" w:hAnsi="Times New Roman" w:cs="Times New Roman"/>
                      <w:b/>
                      <w:bCs/>
                      <w:color w:val="auto"/>
                      <w:highlight w:val="none"/>
                      <w:u w:val="single" w:color="auto"/>
                    </w:rPr>
                    <w:t>污染物排放量t/a</w:t>
                  </w:r>
                </w:p>
              </w:tc>
              <w:tc>
                <w:tcPr>
                  <w:tcW w:w="496" w:type="pct"/>
                  <w:tcBorders>
                    <w:tl2br w:val="nil"/>
                    <w:tr2bl w:val="nil"/>
                  </w:tcBorders>
                  <w:vAlign w:val="center"/>
                </w:tcPr>
                <w:p w14:paraId="07B1D84C">
                  <w:pPr>
                    <w:pStyle w:val="63"/>
                    <w:tabs>
                      <w:tab w:val="left" w:pos="1021"/>
                    </w:tabs>
                    <w:adjustRightInd/>
                    <w:jc w:val="center"/>
                    <w:rPr>
                      <w:rFonts w:hint="default" w:ascii="Times New Roman" w:hAnsi="Times New Roman" w:cs="Times New Roman"/>
                      <w:color w:val="auto"/>
                      <w:highlight w:val="none"/>
                      <w:u w:val="single" w:color="auto"/>
                    </w:rPr>
                  </w:pPr>
                  <w:r>
                    <w:rPr>
                      <w:rFonts w:hint="default" w:ascii="Times New Roman" w:hAnsi="Times New Roman" w:cs="Times New Roman"/>
                      <w:b/>
                      <w:bCs/>
                      <w:color w:val="auto"/>
                      <w:highlight w:val="none"/>
                      <w:u w:val="single" w:color="auto"/>
                      <w:lang w:val="en-US" w:eastAsia="zh-CN"/>
                    </w:rPr>
                    <w:t>排放速率</w:t>
                  </w:r>
                  <w:r>
                    <w:rPr>
                      <w:rFonts w:hint="eastAsia" w:ascii="Times New Roman" w:hAnsi="Times New Roman" w:cs="Times New Roman"/>
                      <w:b/>
                      <w:bCs/>
                      <w:color w:val="auto"/>
                      <w:highlight w:val="none"/>
                      <w:u w:val="single" w:color="auto"/>
                      <w:lang w:val="en-US" w:eastAsia="zh-CN"/>
                    </w:rPr>
                    <w:t>kg/h</w:t>
                  </w:r>
                </w:p>
              </w:tc>
              <w:tc>
                <w:tcPr>
                  <w:tcW w:w="567" w:type="pct"/>
                  <w:tcBorders>
                    <w:tl2br w:val="nil"/>
                    <w:tr2bl w:val="nil"/>
                  </w:tcBorders>
                  <w:vAlign w:val="center"/>
                </w:tcPr>
                <w:p w14:paraId="082B2E92">
                  <w:pPr>
                    <w:pStyle w:val="63"/>
                    <w:tabs>
                      <w:tab w:val="left" w:pos="1021"/>
                    </w:tabs>
                    <w:adjustRightInd/>
                    <w:jc w:val="center"/>
                    <w:rPr>
                      <w:rFonts w:hint="default" w:ascii="Times New Roman" w:hAnsi="Times New Roman" w:cs="Times New Roman"/>
                      <w:b/>
                      <w:bCs/>
                      <w:color w:val="auto"/>
                      <w:highlight w:val="none"/>
                      <w:u w:val="single" w:color="auto"/>
                    </w:rPr>
                  </w:pPr>
                  <w:r>
                    <w:rPr>
                      <w:rFonts w:hint="default" w:ascii="Times New Roman" w:hAnsi="Times New Roman" w:cs="Times New Roman"/>
                      <w:b/>
                      <w:bCs/>
                      <w:color w:val="auto"/>
                      <w:highlight w:val="none"/>
                      <w:u w:val="single" w:color="auto"/>
                    </w:rPr>
                    <w:t>排放</w:t>
                  </w:r>
                </w:p>
                <w:p w14:paraId="4A4FD826">
                  <w:pPr>
                    <w:pStyle w:val="63"/>
                    <w:tabs>
                      <w:tab w:val="left" w:pos="1021"/>
                    </w:tabs>
                    <w:adjustRightInd/>
                    <w:jc w:val="center"/>
                    <w:rPr>
                      <w:rFonts w:hint="default" w:ascii="Times New Roman" w:hAnsi="Times New Roman" w:eastAsia="宋体" w:cs="Times New Roman"/>
                      <w:b/>
                      <w:bCs/>
                      <w:color w:val="auto"/>
                      <w:highlight w:val="none"/>
                      <w:u w:val="single" w:color="auto"/>
                      <w:lang w:val="en-US" w:eastAsia="zh-CN"/>
                    </w:rPr>
                  </w:pPr>
                  <w:r>
                    <w:rPr>
                      <w:rFonts w:hint="default" w:ascii="Times New Roman" w:hAnsi="Times New Roman" w:cs="Times New Roman"/>
                      <w:b/>
                      <w:bCs/>
                      <w:color w:val="auto"/>
                      <w:highlight w:val="none"/>
                      <w:u w:val="single" w:color="auto"/>
                    </w:rPr>
                    <w:t>浓度mg/m</w:t>
                  </w:r>
                  <w:r>
                    <w:rPr>
                      <w:rFonts w:hint="default" w:ascii="Times New Roman" w:hAnsi="Times New Roman" w:cs="Times New Roman"/>
                      <w:b/>
                      <w:bCs/>
                      <w:color w:val="auto"/>
                      <w:highlight w:val="none"/>
                      <w:u w:val="single" w:color="auto"/>
                      <w:vertAlign w:val="superscript"/>
                    </w:rPr>
                    <w:t>3</w:t>
                  </w:r>
                </w:p>
              </w:tc>
              <w:tc>
                <w:tcPr>
                  <w:tcW w:w="506" w:type="pct"/>
                  <w:tcBorders>
                    <w:tl2br w:val="nil"/>
                    <w:tr2bl w:val="nil"/>
                  </w:tcBorders>
                  <w:vAlign w:val="center"/>
                </w:tcPr>
                <w:p w14:paraId="0840631C">
                  <w:pPr>
                    <w:pStyle w:val="63"/>
                    <w:tabs>
                      <w:tab w:val="left" w:pos="1021"/>
                    </w:tabs>
                    <w:adjustRightInd/>
                    <w:jc w:val="center"/>
                    <w:rPr>
                      <w:rFonts w:hint="default" w:ascii="Times New Roman" w:hAnsi="Times New Roman" w:eastAsia="宋体" w:cs="Times New Roman"/>
                      <w:b/>
                      <w:bCs/>
                      <w:color w:val="auto"/>
                      <w:highlight w:val="none"/>
                      <w:u w:val="single" w:color="auto"/>
                      <w:lang w:val="en-US" w:eastAsia="zh-CN"/>
                    </w:rPr>
                  </w:pPr>
                  <w:r>
                    <w:rPr>
                      <w:rFonts w:hint="eastAsia" w:ascii="Times New Roman" w:hAnsi="Times New Roman" w:cs="Times New Roman"/>
                      <w:b/>
                      <w:bCs/>
                      <w:color w:val="auto"/>
                      <w:highlight w:val="none"/>
                      <w:u w:val="single" w:color="auto"/>
                      <w:lang w:val="en-US" w:eastAsia="zh-CN"/>
                    </w:rPr>
                    <w:t>排放标准</w:t>
                  </w:r>
                  <w:r>
                    <w:rPr>
                      <w:rFonts w:hint="default" w:ascii="Times New Roman" w:hAnsi="Times New Roman" w:cs="Times New Roman"/>
                      <w:b/>
                      <w:bCs/>
                      <w:color w:val="auto"/>
                      <w:highlight w:val="none"/>
                      <w:u w:val="single" w:color="auto"/>
                    </w:rPr>
                    <w:t>mg/m</w:t>
                  </w:r>
                  <w:r>
                    <w:rPr>
                      <w:rFonts w:hint="default" w:ascii="Times New Roman" w:hAnsi="Times New Roman" w:cs="Times New Roman"/>
                      <w:b/>
                      <w:bCs/>
                      <w:color w:val="auto"/>
                      <w:highlight w:val="none"/>
                      <w:u w:val="single" w:color="auto"/>
                      <w:vertAlign w:val="superscript"/>
                    </w:rPr>
                    <w:t>3</w:t>
                  </w:r>
                </w:p>
              </w:tc>
            </w:tr>
            <w:tr w14:paraId="43F174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426" w:type="pct"/>
                  <w:tcBorders>
                    <w:tl2br w:val="nil"/>
                    <w:tr2bl w:val="nil"/>
                  </w:tcBorders>
                  <w:vAlign w:val="center"/>
                </w:tcPr>
                <w:p w14:paraId="0793F6CD">
                  <w:pPr>
                    <w:pStyle w:val="63"/>
                    <w:tabs>
                      <w:tab w:val="left" w:pos="1021"/>
                    </w:tabs>
                    <w:jc w:val="center"/>
                    <w:rPr>
                      <w:rFonts w:hint="default" w:ascii="Times New Roman" w:hAnsi="Times New Roman" w:cs="Times New Roman"/>
                      <w:color w:val="auto"/>
                      <w:highlight w:val="none"/>
                      <w:u w:val="single" w:color="auto"/>
                    </w:rPr>
                  </w:pPr>
                  <w:r>
                    <w:rPr>
                      <w:rFonts w:hint="default" w:ascii="Times New Roman" w:hAnsi="Times New Roman" w:cs="Times New Roman"/>
                      <w:color w:val="auto"/>
                      <w:highlight w:val="none"/>
                      <w:u w:val="single" w:color="auto"/>
                    </w:rPr>
                    <w:t>SO</w:t>
                  </w:r>
                  <w:r>
                    <w:rPr>
                      <w:rFonts w:hint="default" w:ascii="Times New Roman" w:hAnsi="Times New Roman" w:cs="Times New Roman"/>
                      <w:color w:val="auto"/>
                      <w:highlight w:val="none"/>
                      <w:u w:val="single" w:color="auto"/>
                      <w:vertAlign w:val="subscript"/>
                    </w:rPr>
                    <w:t>2</w:t>
                  </w:r>
                </w:p>
              </w:tc>
              <w:tc>
                <w:tcPr>
                  <w:tcW w:w="431" w:type="pct"/>
                  <w:tcBorders>
                    <w:tl2br w:val="nil"/>
                    <w:tr2bl w:val="nil"/>
                  </w:tcBorders>
                  <w:vAlign w:val="center"/>
                </w:tcPr>
                <w:p w14:paraId="526FDD47">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0.031</w:t>
                  </w:r>
                </w:p>
              </w:tc>
              <w:tc>
                <w:tcPr>
                  <w:tcW w:w="438" w:type="pct"/>
                  <w:tcBorders>
                    <w:tl2br w:val="nil"/>
                    <w:tr2bl w:val="nil"/>
                  </w:tcBorders>
                  <w:vAlign w:val="center"/>
                </w:tcPr>
                <w:p w14:paraId="2888DF96">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eastAsia="宋体" w:cs="Times New Roman"/>
                      <w:color w:val="auto"/>
                      <w:highlight w:val="none"/>
                      <w:u w:val="single" w:color="auto"/>
                      <w:lang w:val="en-US" w:eastAsia="zh-CN"/>
                    </w:rPr>
                    <w:t>0.</w:t>
                  </w:r>
                  <w:r>
                    <w:rPr>
                      <w:rFonts w:hint="eastAsia" w:ascii="Times New Roman" w:hAnsi="Times New Roman" w:cs="Times New Roman"/>
                      <w:color w:val="auto"/>
                      <w:highlight w:val="none"/>
                      <w:u w:val="single" w:color="auto"/>
                      <w:lang w:val="en-US" w:eastAsia="zh-CN"/>
                    </w:rPr>
                    <w:t>017</w:t>
                  </w:r>
                  <w:r>
                    <w:rPr>
                      <w:rFonts w:hint="eastAsia" w:ascii="Times New Roman" w:hAnsi="Times New Roman" w:eastAsia="宋体" w:cs="Times New Roman"/>
                      <w:color w:val="auto"/>
                      <w:highlight w:val="none"/>
                      <w:u w:val="single" w:color="auto"/>
                      <w:lang w:val="en-US" w:eastAsia="zh-CN"/>
                    </w:rPr>
                    <w:t xml:space="preserve"> </w:t>
                  </w:r>
                </w:p>
              </w:tc>
              <w:tc>
                <w:tcPr>
                  <w:tcW w:w="628" w:type="pct"/>
                  <w:tcBorders>
                    <w:tl2br w:val="nil"/>
                    <w:tr2bl w:val="nil"/>
                  </w:tcBorders>
                  <w:vAlign w:val="center"/>
                </w:tcPr>
                <w:p w14:paraId="43823920">
                  <w:pPr>
                    <w:pStyle w:val="63"/>
                    <w:tabs>
                      <w:tab w:val="left" w:pos="1021"/>
                    </w:tabs>
                    <w:ind w:firstLine="0" w:firstLineChars="0"/>
                    <w:jc w:val="center"/>
                    <w:rPr>
                      <w:rFonts w:hint="eastAsia" w:ascii="Times New Roman" w:hAnsi="Times New Roman" w:eastAsia="宋体"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25.62</w:t>
                  </w:r>
                </w:p>
              </w:tc>
              <w:tc>
                <w:tcPr>
                  <w:tcW w:w="601" w:type="pct"/>
                  <w:vMerge w:val="restart"/>
                  <w:tcBorders>
                    <w:tl2br w:val="nil"/>
                    <w:tr2bl w:val="nil"/>
                  </w:tcBorders>
                  <w:vAlign w:val="center"/>
                </w:tcPr>
                <w:p w14:paraId="2E3F7273">
                  <w:pPr>
                    <w:pStyle w:val="63"/>
                    <w:tabs>
                      <w:tab w:val="left" w:pos="1021"/>
                    </w:tabs>
                    <w:ind w:firstLine="0" w:firstLineChars="0"/>
                    <w:jc w:val="center"/>
                    <w:rPr>
                      <w:rFonts w:hint="default" w:ascii="Times New Roman" w:hAnsi="Times New Roman" w:eastAsia="宋体" w:cs="Times New Roman"/>
                      <w:color w:val="auto"/>
                      <w:kern w:val="0"/>
                      <w:sz w:val="21"/>
                      <w:szCs w:val="20"/>
                      <w:highlight w:val="none"/>
                      <w:u w:val="single" w:color="auto"/>
                      <w:lang w:val="en-US" w:eastAsia="zh-CN" w:bidi="ar-SA"/>
                    </w:rPr>
                  </w:pPr>
                  <w:r>
                    <w:rPr>
                      <w:rFonts w:hint="default" w:ascii="Times New Roman" w:hAnsi="Times New Roman" w:eastAsia="宋体" w:cs="Times New Roman"/>
                      <w:color w:val="auto"/>
                      <w:kern w:val="0"/>
                      <w:sz w:val="21"/>
                      <w:szCs w:val="20"/>
                      <w:highlight w:val="none"/>
                      <w:u w:val="single" w:color="auto"/>
                      <w:lang w:val="en-US" w:eastAsia="zh-CN" w:bidi="ar-SA"/>
                    </w:rPr>
                    <w:t>密闭管道收集+“</w:t>
                  </w:r>
                  <w:r>
                    <w:rPr>
                      <w:rFonts w:hint="eastAsia" w:ascii="Times New Roman" w:hAnsi="Times New Roman" w:cs="Times New Roman"/>
                      <w:color w:val="auto"/>
                      <w:kern w:val="0"/>
                      <w:sz w:val="21"/>
                      <w:szCs w:val="20"/>
                      <w:highlight w:val="none"/>
                      <w:u w:val="single" w:color="auto"/>
                      <w:lang w:val="en-US" w:eastAsia="zh-CN" w:bidi="ar-SA"/>
                    </w:rPr>
                    <w:t>旋风除尘+高温布袋除尘</w:t>
                  </w:r>
                  <w:r>
                    <w:rPr>
                      <w:rFonts w:hint="default" w:ascii="Times New Roman" w:hAnsi="Times New Roman" w:eastAsia="宋体" w:cs="Times New Roman"/>
                      <w:color w:val="auto"/>
                      <w:kern w:val="0"/>
                      <w:sz w:val="21"/>
                      <w:szCs w:val="20"/>
                      <w:highlight w:val="none"/>
                      <w:u w:val="single" w:color="auto"/>
                      <w:lang w:val="en-US" w:eastAsia="zh-CN" w:bidi="ar-SA"/>
                    </w:rPr>
                    <w:t>”</w:t>
                  </w:r>
                </w:p>
              </w:tc>
              <w:tc>
                <w:tcPr>
                  <w:tcW w:w="408" w:type="pct"/>
                  <w:tcBorders>
                    <w:tl2br w:val="nil"/>
                    <w:tr2bl w:val="nil"/>
                  </w:tcBorders>
                  <w:vAlign w:val="center"/>
                </w:tcPr>
                <w:p w14:paraId="7253D9A8">
                  <w:pPr>
                    <w:pStyle w:val="63"/>
                    <w:tabs>
                      <w:tab w:val="left" w:pos="1021"/>
                    </w:tabs>
                    <w:jc w:val="center"/>
                    <w:rPr>
                      <w:rFonts w:hint="default" w:ascii="Times New Roman" w:hAnsi="Times New Roman" w:eastAsia="宋体" w:cs="Times New Roman"/>
                      <w:color w:val="auto"/>
                      <w:kern w:val="0"/>
                      <w:sz w:val="21"/>
                      <w:szCs w:val="20"/>
                      <w:highlight w:val="none"/>
                      <w:u w:val="single" w:color="auto"/>
                      <w:lang w:val="en-US" w:eastAsia="zh-CN" w:bidi="ar-SA"/>
                    </w:rPr>
                  </w:pPr>
                  <w:r>
                    <w:rPr>
                      <w:rFonts w:hint="eastAsia" w:ascii="Times New Roman" w:hAnsi="Times New Roman" w:cs="Times New Roman"/>
                      <w:color w:val="auto"/>
                      <w:kern w:val="0"/>
                      <w:sz w:val="21"/>
                      <w:szCs w:val="20"/>
                      <w:highlight w:val="none"/>
                      <w:u w:val="single" w:color="auto"/>
                      <w:lang w:val="en-US" w:eastAsia="zh-CN" w:bidi="ar-SA"/>
                    </w:rPr>
                    <w:t>/</w:t>
                  </w:r>
                </w:p>
              </w:tc>
              <w:tc>
                <w:tcPr>
                  <w:tcW w:w="496" w:type="pct"/>
                  <w:tcBorders>
                    <w:tl2br w:val="nil"/>
                    <w:tr2bl w:val="nil"/>
                  </w:tcBorders>
                  <w:vAlign w:val="center"/>
                </w:tcPr>
                <w:p w14:paraId="15D2004A">
                  <w:pPr>
                    <w:pStyle w:val="63"/>
                    <w:tabs>
                      <w:tab w:val="left" w:pos="1021"/>
                    </w:tabs>
                    <w:ind w:firstLine="0" w:firstLineChars="0"/>
                    <w:jc w:val="center"/>
                    <w:rPr>
                      <w:rFonts w:hint="default" w:ascii="Times New Roman" w:hAnsi="Times New Roman" w:eastAsia="宋体" w:cs="Times New Roman"/>
                      <w:color w:val="auto"/>
                      <w:kern w:val="0"/>
                      <w:sz w:val="21"/>
                      <w:szCs w:val="20"/>
                      <w:highlight w:val="none"/>
                      <w:u w:val="single" w:color="auto"/>
                      <w:lang w:val="en-US" w:eastAsia="zh-CN" w:bidi="ar-SA"/>
                    </w:rPr>
                  </w:pPr>
                  <w:r>
                    <w:rPr>
                      <w:rFonts w:hint="eastAsia" w:ascii="Times New Roman" w:hAnsi="Times New Roman" w:cs="Times New Roman"/>
                      <w:color w:val="auto"/>
                      <w:highlight w:val="none"/>
                      <w:u w:val="single" w:color="auto"/>
                      <w:lang w:val="en-US" w:eastAsia="zh-CN"/>
                    </w:rPr>
                    <w:t>0.031</w:t>
                  </w:r>
                </w:p>
              </w:tc>
              <w:tc>
                <w:tcPr>
                  <w:tcW w:w="496" w:type="pct"/>
                  <w:tcBorders>
                    <w:tl2br w:val="nil"/>
                    <w:tr2bl w:val="nil"/>
                  </w:tcBorders>
                  <w:vAlign w:val="center"/>
                </w:tcPr>
                <w:p w14:paraId="3461CCE8">
                  <w:pPr>
                    <w:pStyle w:val="63"/>
                    <w:tabs>
                      <w:tab w:val="left" w:pos="1021"/>
                    </w:tabs>
                    <w:ind w:firstLine="0" w:firstLineChars="0"/>
                    <w:jc w:val="center"/>
                    <w:rPr>
                      <w:rFonts w:hint="default" w:ascii="Times New Roman" w:hAnsi="Times New Roman" w:eastAsia="宋体" w:cs="Times New Roman"/>
                      <w:color w:val="auto"/>
                      <w:kern w:val="0"/>
                      <w:sz w:val="21"/>
                      <w:szCs w:val="20"/>
                      <w:highlight w:val="none"/>
                      <w:u w:val="single" w:color="auto"/>
                      <w:lang w:val="en-US" w:eastAsia="zh-CN" w:bidi="ar-SA"/>
                    </w:rPr>
                  </w:pPr>
                  <w:r>
                    <w:rPr>
                      <w:rFonts w:hint="eastAsia" w:ascii="Times New Roman" w:hAnsi="Times New Roman" w:eastAsia="宋体" w:cs="Times New Roman"/>
                      <w:color w:val="auto"/>
                      <w:highlight w:val="none"/>
                      <w:u w:val="single" w:color="auto"/>
                      <w:lang w:val="en-US" w:eastAsia="zh-CN"/>
                    </w:rPr>
                    <w:t>0.</w:t>
                  </w:r>
                  <w:r>
                    <w:rPr>
                      <w:rFonts w:hint="eastAsia" w:ascii="Times New Roman" w:hAnsi="Times New Roman" w:cs="Times New Roman"/>
                      <w:color w:val="auto"/>
                      <w:highlight w:val="none"/>
                      <w:u w:val="single" w:color="auto"/>
                      <w:lang w:val="en-US" w:eastAsia="zh-CN"/>
                    </w:rPr>
                    <w:t>017</w:t>
                  </w:r>
                  <w:r>
                    <w:rPr>
                      <w:rFonts w:hint="eastAsia" w:ascii="Times New Roman" w:hAnsi="Times New Roman" w:eastAsia="宋体" w:cs="Times New Roman"/>
                      <w:color w:val="auto"/>
                      <w:highlight w:val="none"/>
                      <w:u w:val="single" w:color="auto"/>
                      <w:lang w:val="en-US" w:eastAsia="zh-CN"/>
                    </w:rPr>
                    <w:t xml:space="preserve"> </w:t>
                  </w:r>
                </w:p>
              </w:tc>
              <w:tc>
                <w:tcPr>
                  <w:tcW w:w="567" w:type="pct"/>
                  <w:tcBorders>
                    <w:tl2br w:val="nil"/>
                    <w:tr2bl w:val="nil"/>
                  </w:tcBorders>
                  <w:vAlign w:val="center"/>
                </w:tcPr>
                <w:p w14:paraId="030A575C">
                  <w:pPr>
                    <w:pStyle w:val="63"/>
                    <w:tabs>
                      <w:tab w:val="left" w:pos="1021"/>
                    </w:tabs>
                    <w:ind w:firstLine="0" w:firstLineChars="0"/>
                    <w:jc w:val="center"/>
                    <w:rPr>
                      <w:rFonts w:hint="default" w:ascii="Times New Roman" w:hAnsi="Times New Roman" w:eastAsia="宋体" w:cs="Times New Roman"/>
                      <w:color w:val="auto"/>
                      <w:kern w:val="0"/>
                      <w:sz w:val="21"/>
                      <w:szCs w:val="20"/>
                      <w:highlight w:val="none"/>
                      <w:u w:val="single" w:color="auto"/>
                      <w:lang w:val="en-US" w:eastAsia="zh-CN" w:bidi="ar-SA"/>
                    </w:rPr>
                  </w:pPr>
                  <w:r>
                    <w:rPr>
                      <w:rFonts w:hint="eastAsia" w:ascii="Times New Roman" w:hAnsi="Times New Roman" w:cs="Times New Roman"/>
                      <w:color w:val="auto"/>
                      <w:highlight w:val="none"/>
                      <w:u w:val="single" w:color="auto"/>
                      <w:lang w:val="en-US" w:eastAsia="zh-CN"/>
                    </w:rPr>
                    <w:t>25.62</w:t>
                  </w:r>
                </w:p>
              </w:tc>
              <w:tc>
                <w:tcPr>
                  <w:tcW w:w="506" w:type="pct"/>
                  <w:tcBorders>
                    <w:tl2br w:val="nil"/>
                    <w:tr2bl w:val="nil"/>
                  </w:tcBorders>
                  <w:vAlign w:val="center"/>
                </w:tcPr>
                <w:p w14:paraId="320618B4">
                  <w:pPr>
                    <w:jc w:val="center"/>
                    <w:rPr>
                      <w:rFonts w:hint="default" w:cs="Times New Roman"/>
                      <w:color w:val="auto"/>
                      <w:kern w:val="0"/>
                      <w:sz w:val="21"/>
                      <w:szCs w:val="20"/>
                      <w:highlight w:val="none"/>
                      <w:u w:val="single" w:color="auto"/>
                      <w:lang w:val="en-US" w:eastAsia="zh-CN" w:bidi="ar-SA"/>
                    </w:rPr>
                  </w:pPr>
                  <w:r>
                    <w:rPr>
                      <w:rFonts w:hint="eastAsia" w:cs="Times New Roman"/>
                      <w:color w:val="auto"/>
                      <w:kern w:val="0"/>
                      <w:sz w:val="21"/>
                      <w:szCs w:val="20"/>
                      <w:highlight w:val="none"/>
                      <w:u w:val="single" w:color="auto"/>
                      <w:lang w:val="en-US" w:eastAsia="zh-CN" w:bidi="ar-SA"/>
                    </w:rPr>
                    <w:t>200</w:t>
                  </w:r>
                </w:p>
              </w:tc>
            </w:tr>
            <w:tr w14:paraId="72D868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3" w:hRule="exact"/>
              </w:trPr>
              <w:tc>
                <w:tcPr>
                  <w:tcW w:w="426" w:type="pct"/>
                  <w:tcBorders>
                    <w:tl2br w:val="nil"/>
                    <w:tr2bl w:val="nil"/>
                  </w:tcBorders>
                  <w:shd w:val="clear" w:color="auto" w:fill="auto"/>
                  <w:vAlign w:val="center"/>
                </w:tcPr>
                <w:p w14:paraId="15006B65">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NOx</w:t>
                  </w:r>
                </w:p>
              </w:tc>
              <w:tc>
                <w:tcPr>
                  <w:tcW w:w="431" w:type="pct"/>
                  <w:tcBorders>
                    <w:tl2br w:val="nil"/>
                    <w:tr2bl w:val="nil"/>
                  </w:tcBorders>
                  <w:shd w:val="clear" w:color="auto" w:fill="auto"/>
                  <w:vAlign w:val="center"/>
                </w:tcPr>
                <w:p w14:paraId="4C24B64A">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eastAsia="宋体" w:cs="Times New Roman"/>
                      <w:color w:val="auto"/>
                      <w:highlight w:val="none"/>
                      <w:u w:val="single" w:color="auto"/>
                      <w:lang w:val="en-US" w:eastAsia="zh-CN"/>
                    </w:rPr>
                    <w:t>0.201</w:t>
                  </w:r>
                </w:p>
              </w:tc>
              <w:tc>
                <w:tcPr>
                  <w:tcW w:w="438" w:type="pct"/>
                  <w:tcBorders>
                    <w:tl2br w:val="nil"/>
                    <w:tr2bl w:val="nil"/>
                  </w:tcBorders>
                  <w:shd w:val="clear" w:color="auto" w:fill="auto"/>
                  <w:vAlign w:val="center"/>
                </w:tcPr>
                <w:p w14:paraId="3772225B">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eastAsia="宋体" w:cs="Times New Roman"/>
                      <w:color w:val="auto"/>
                      <w:highlight w:val="none"/>
                      <w:u w:val="single" w:color="auto"/>
                      <w:lang w:val="en-US" w:eastAsia="zh-CN"/>
                    </w:rPr>
                    <w:t>0.</w:t>
                  </w:r>
                  <w:r>
                    <w:rPr>
                      <w:rFonts w:hint="eastAsia" w:ascii="Times New Roman" w:hAnsi="Times New Roman" w:cs="Times New Roman"/>
                      <w:color w:val="auto"/>
                      <w:highlight w:val="none"/>
                      <w:u w:val="single" w:color="auto"/>
                      <w:lang w:val="en-US" w:eastAsia="zh-CN"/>
                    </w:rPr>
                    <w:t>112</w:t>
                  </w:r>
                  <w:r>
                    <w:rPr>
                      <w:rFonts w:hint="eastAsia" w:ascii="Times New Roman" w:hAnsi="Times New Roman" w:eastAsia="宋体" w:cs="Times New Roman"/>
                      <w:color w:val="auto"/>
                      <w:highlight w:val="none"/>
                      <w:u w:val="single" w:color="auto"/>
                      <w:lang w:val="en-US" w:eastAsia="zh-CN"/>
                    </w:rPr>
                    <w:t xml:space="preserve"> </w:t>
                  </w:r>
                </w:p>
              </w:tc>
              <w:tc>
                <w:tcPr>
                  <w:tcW w:w="628" w:type="pct"/>
                  <w:tcBorders>
                    <w:tl2br w:val="nil"/>
                    <w:tr2bl w:val="nil"/>
                  </w:tcBorders>
                  <w:shd w:val="clear" w:color="auto" w:fill="auto"/>
                  <w:vAlign w:val="center"/>
                </w:tcPr>
                <w:p w14:paraId="12C3E34E">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166.13</w:t>
                  </w:r>
                </w:p>
              </w:tc>
              <w:tc>
                <w:tcPr>
                  <w:tcW w:w="601" w:type="pct"/>
                  <w:vMerge w:val="continue"/>
                  <w:tcBorders>
                    <w:tl2br w:val="nil"/>
                    <w:tr2bl w:val="nil"/>
                  </w:tcBorders>
                  <w:shd w:val="clear" w:color="auto" w:fill="auto"/>
                  <w:vAlign w:val="center"/>
                </w:tcPr>
                <w:p w14:paraId="08ECAF0D">
                  <w:pPr>
                    <w:pStyle w:val="63"/>
                    <w:tabs>
                      <w:tab w:val="left" w:pos="1021"/>
                    </w:tabs>
                    <w:ind w:firstLine="0" w:firstLineChars="0"/>
                    <w:jc w:val="center"/>
                    <w:rPr>
                      <w:rFonts w:hint="default" w:ascii="Times New Roman" w:hAnsi="Times New Roman" w:eastAsia="宋体" w:cs="Times New Roman"/>
                      <w:color w:val="auto"/>
                      <w:kern w:val="0"/>
                      <w:sz w:val="21"/>
                      <w:szCs w:val="20"/>
                      <w:highlight w:val="none"/>
                      <w:u w:val="single" w:color="auto"/>
                      <w:lang w:val="en-US" w:eastAsia="zh-CN" w:bidi="ar-SA"/>
                    </w:rPr>
                  </w:pPr>
                </w:p>
              </w:tc>
              <w:tc>
                <w:tcPr>
                  <w:tcW w:w="408" w:type="pct"/>
                  <w:tcBorders>
                    <w:tl2br w:val="nil"/>
                    <w:tr2bl w:val="nil"/>
                  </w:tcBorders>
                  <w:shd w:val="clear" w:color="auto" w:fill="auto"/>
                  <w:vAlign w:val="center"/>
                </w:tcPr>
                <w:p w14:paraId="0858107C">
                  <w:pPr>
                    <w:pStyle w:val="63"/>
                    <w:tabs>
                      <w:tab w:val="left" w:pos="1021"/>
                    </w:tabs>
                    <w:ind w:firstLine="0" w:firstLineChars="0"/>
                    <w:jc w:val="center"/>
                    <w:rPr>
                      <w:rFonts w:hint="default" w:ascii="Times New Roman" w:hAnsi="Times New Roman" w:eastAsia="宋体" w:cs="Times New Roman"/>
                      <w:color w:val="auto"/>
                      <w:kern w:val="0"/>
                      <w:sz w:val="21"/>
                      <w:szCs w:val="20"/>
                      <w:highlight w:val="none"/>
                      <w:u w:val="single" w:color="auto"/>
                      <w:lang w:val="en-US" w:eastAsia="zh-CN" w:bidi="ar-SA"/>
                    </w:rPr>
                  </w:pPr>
                  <w:r>
                    <w:rPr>
                      <w:rFonts w:hint="eastAsia" w:ascii="Times New Roman" w:hAnsi="Times New Roman" w:cs="Times New Roman"/>
                      <w:color w:val="auto"/>
                      <w:kern w:val="0"/>
                      <w:sz w:val="21"/>
                      <w:szCs w:val="20"/>
                      <w:highlight w:val="none"/>
                      <w:u w:val="single" w:color="auto"/>
                      <w:lang w:val="en-US" w:eastAsia="zh-CN" w:bidi="ar-SA"/>
                    </w:rPr>
                    <w:t>/</w:t>
                  </w:r>
                </w:p>
              </w:tc>
              <w:tc>
                <w:tcPr>
                  <w:tcW w:w="496" w:type="pct"/>
                  <w:tcBorders>
                    <w:tl2br w:val="nil"/>
                    <w:tr2bl w:val="nil"/>
                  </w:tcBorders>
                  <w:shd w:val="clear" w:color="auto" w:fill="auto"/>
                  <w:vAlign w:val="center"/>
                </w:tcPr>
                <w:p w14:paraId="357D2257">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eastAsia" w:ascii="Times New Roman" w:hAnsi="Times New Roman" w:eastAsia="宋体" w:cs="Times New Roman"/>
                      <w:color w:val="auto"/>
                      <w:highlight w:val="none"/>
                      <w:u w:val="single" w:color="auto"/>
                      <w:lang w:val="en-US" w:eastAsia="zh-CN"/>
                    </w:rPr>
                    <w:t>0.201</w:t>
                  </w:r>
                </w:p>
              </w:tc>
              <w:tc>
                <w:tcPr>
                  <w:tcW w:w="496" w:type="pct"/>
                  <w:tcBorders>
                    <w:tl2br w:val="nil"/>
                    <w:tr2bl w:val="nil"/>
                  </w:tcBorders>
                  <w:shd w:val="clear" w:color="auto" w:fill="auto"/>
                  <w:vAlign w:val="center"/>
                </w:tcPr>
                <w:p w14:paraId="1C9B2D6A">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eastAsia" w:ascii="Times New Roman" w:hAnsi="Times New Roman" w:eastAsia="宋体" w:cs="Times New Roman"/>
                      <w:color w:val="auto"/>
                      <w:highlight w:val="none"/>
                      <w:u w:val="single" w:color="auto"/>
                      <w:lang w:val="en-US" w:eastAsia="zh-CN"/>
                    </w:rPr>
                    <w:t>0.</w:t>
                  </w:r>
                  <w:r>
                    <w:rPr>
                      <w:rFonts w:hint="eastAsia" w:ascii="Times New Roman" w:hAnsi="Times New Roman" w:cs="Times New Roman"/>
                      <w:color w:val="auto"/>
                      <w:highlight w:val="none"/>
                      <w:u w:val="single" w:color="auto"/>
                      <w:lang w:val="en-US" w:eastAsia="zh-CN"/>
                    </w:rPr>
                    <w:t>112</w:t>
                  </w:r>
                  <w:r>
                    <w:rPr>
                      <w:rFonts w:hint="eastAsia" w:ascii="Times New Roman" w:hAnsi="Times New Roman" w:eastAsia="宋体" w:cs="Times New Roman"/>
                      <w:color w:val="auto"/>
                      <w:highlight w:val="none"/>
                      <w:u w:val="single" w:color="auto"/>
                      <w:lang w:val="en-US" w:eastAsia="zh-CN"/>
                    </w:rPr>
                    <w:t xml:space="preserve"> </w:t>
                  </w:r>
                </w:p>
              </w:tc>
              <w:tc>
                <w:tcPr>
                  <w:tcW w:w="567" w:type="pct"/>
                  <w:tcBorders>
                    <w:tl2br w:val="nil"/>
                    <w:tr2bl w:val="nil"/>
                  </w:tcBorders>
                  <w:shd w:val="clear" w:color="auto" w:fill="auto"/>
                  <w:vAlign w:val="center"/>
                </w:tcPr>
                <w:p w14:paraId="71674FCE">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eastAsia" w:ascii="Times New Roman" w:hAnsi="Times New Roman" w:cs="Times New Roman"/>
                      <w:color w:val="auto"/>
                      <w:highlight w:val="none"/>
                      <w:u w:val="single" w:color="auto"/>
                      <w:lang w:val="en-US" w:eastAsia="zh-CN"/>
                    </w:rPr>
                    <w:t>166.13</w:t>
                  </w:r>
                </w:p>
              </w:tc>
              <w:tc>
                <w:tcPr>
                  <w:tcW w:w="506" w:type="pct"/>
                  <w:tcBorders>
                    <w:tl2br w:val="nil"/>
                    <w:tr2bl w:val="nil"/>
                  </w:tcBorders>
                  <w:shd w:val="clear" w:color="auto" w:fill="auto"/>
                  <w:vAlign w:val="center"/>
                </w:tcPr>
                <w:p w14:paraId="0F82DCCE">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eastAsia="宋体" w:cs="Times New Roman"/>
                      <w:color w:val="auto"/>
                      <w:highlight w:val="none"/>
                      <w:u w:val="single" w:color="auto"/>
                      <w:lang w:val="en-US" w:eastAsia="zh-CN"/>
                    </w:rPr>
                    <w:t>300</w:t>
                  </w:r>
                </w:p>
              </w:tc>
            </w:tr>
            <w:tr w14:paraId="7F3E16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1" w:hRule="exact"/>
              </w:trPr>
              <w:tc>
                <w:tcPr>
                  <w:tcW w:w="426" w:type="pct"/>
                  <w:tcBorders>
                    <w:tl2br w:val="nil"/>
                    <w:tr2bl w:val="nil"/>
                  </w:tcBorders>
                  <w:shd w:val="clear" w:color="auto" w:fill="auto"/>
                  <w:vAlign w:val="center"/>
                </w:tcPr>
                <w:p w14:paraId="4B4670C8">
                  <w:pPr>
                    <w:pStyle w:val="63"/>
                    <w:tabs>
                      <w:tab w:val="left" w:pos="1021"/>
                    </w:tabs>
                    <w:ind w:firstLine="0" w:firstLineChars="0"/>
                    <w:jc w:val="center"/>
                    <w:rPr>
                      <w:rFonts w:hint="default" w:ascii="Times New Roman" w:hAnsi="Times New Roman" w:eastAsia="宋体" w:cs="Times New Roman"/>
                      <w:color w:val="auto"/>
                      <w:kern w:val="2"/>
                      <w:sz w:val="21"/>
                      <w:szCs w:val="24"/>
                      <w:highlight w:val="none"/>
                      <w:u w:val="single" w:color="auto"/>
                      <w:lang w:val="en-US" w:eastAsia="zh-CN" w:bidi="ar-SA"/>
                    </w:rPr>
                  </w:pPr>
                  <w:r>
                    <w:rPr>
                      <w:rFonts w:hint="default" w:ascii="Times New Roman" w:hAnsi="Times New Roman" w:cs="Times New Roman"/>
                      <w:color w:val="auto"/>
                      <w:highlight w:val="none"/>
                      <w:u w:val="single" w:color="auto"/>
                    </w:rPr>
                    <w:t>颗粒物</w:t>
                  </w:r>
                </w:p>
              </w:tc>
              <w:tc>
                <w:tcPr>
                  <w:tcW w:w="431" w:type="pct"/>
                  <w:tcBorders>
                    <w:tl2br w:val="nil"/>
                    <w:tr2bl w:val="nil"/>
                  </w:tcBorders>
                  <w:shd w:val="clear" w:color="auto" w:fill="auto"/>
                  <w:vAlign w:val="center"/>
                </w:tcPr>
                <w:p w14:paraId="6861736F">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eastAsia="宋体" w:cs="Times New Roman"/>
                      <w:color w:val="auto"/>
                      <w:highlight w:val="none"/>
                      <w:u w:val="single" w:color="auto"/>
                      <w:lang w:val="en-US" w:eastAsia="zh-CN"/>
                    </w:rPr>
                    <w:t>1.908</w:t>
                  </w:r>
                </w:p>
              </w:tc>
              <w:tc>
                <w:tcPr>
                  <w:tcW w:w="438" w:type="pct"/>
                  <w:tcBorders>
                    <w:tl2br w:val="nil"/>
                    <w:tr2bl w:val="nil"/>
                  </w:tcBorders>
                  <w:shd w:val="clear" w:color="auto" w:fill="auto"/>
                  <w:vAlign w:val="center"/>
                </w:tcPr>
                <w:p w14:paraId="7D964DCD">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1.06</w:t>
                  </w:r>
                  <w:r>
                    <w:rPr>
                      <w:rFonts w:hint="eastAsia" w:ascii="Times New Roman" w:hAnsi="Times New Roman" w:eastAsia="宋体" w:cs="Times New Roman"/>
                      <w:color w:val="auto"/>
                      <w:highlight w:val="none"/>
                      <w:u w:val="single" w:color="auto"/>
                      <w:lang w:val="en-US" w:eastAsia="zh-CN"/>
                    </w:rPr>
                    <w:t xml:space="preserve"> </w:t>
                  </w:r>
                </w:p>
              </w:tc>
              <w:tc>
                <w:tcPr>
                  <w:tcW w:w="628" w:type="pct"/>
                  <w:tcBorders>
                    <w:tl2br w:val="nil"/>
                    <w:tr2bl w:val="nil"/>
                  </w:tcBorders>
                  <w:shd w:val="clear" w:color="auto" w:fill="auto"/>
                  <w:vAlign w:val="center"/>
                </w:tcPr>
                <w:p w14:paraId="1DC8B717">
                  <w:pPr>
                    <w:pStyle w:val="63"/>
                    <w:tabs>
                      <w:tab w:val="left" w:pos="1021"/>
                    </w:tabs>
                    <w:ind w:firstLine="0" w:firstLineChars="0"/>
                    <w:jc w:val="center"/>
                    <w:rPr>
                      <w:rFonts w:hint="default" w:ascii="Times New Roman" w:hAnsi="Times New Roman" w:eastAsia="宋体" w:cs="Times New Roman"/>
                      <w:color w:val="auto"/>
                      <w:highlight w:val="none"/>
                      <w:u w:val="single" w:color="auto"/>
                      <w:lang w:val="en-US" w:eastAsia="zh-CN"/>
                    </w:rPr>
                  </w:pPr>
                  <w:r>
                    <w:rPr>
                      <w:rFonts w:hint="eastAsia" w:ascii="Times New Roman" w:hAnsi="Times New Roman" w:cs="Times New Roman"/>
                      <w:color w:val="auto"/>
                      <w:highlight w:val="none"/>
                      <w:u w:val="single" w:color="auto"/>
                      <w:lang w:val="en-US" w:eastAsia="zh-CN"/>
                    </w:rPr>
                    <w:t>1577.03</w:t>
                  </w:r>
                </w:p>
              </w:tc>
              <w:tc>
                <w:tcPr>
                  <w:tcW w:w="601" w:type="pct"/>
                  <w:vMerge w:val="continue"/>
                  <w:tcBorders>
                    <w:tl2br w:val="nil"/>
                    <w:tr2bl w:val="nil"/>
                  </w:tcBorders>
                  <w:shd w:val="clear" w:color="auto" w:fill="auto"/>
                  <w:vAlign w:val="center"/>
                </w:tcPr>
                <w:p w14:paraId="5D572142">
                  <w:pPr>
                    <w:pStyle w:val="63"/>
                    <w:tabs>
                      <w:tab w:val="left" w:pos="1021"/>
                    </w:tabs>
                    <w:ind w:firstLine="0" w:firstLineChars="0"/>
                    <w:jc w:val="center"/>
                    <w:rPr>
                      <w:rFonts w:hint="default" w:ascii="Times New Roman" w:hAnsi="Times New Roman" w:eastAsia="宋体" w:cs="Times New Roman"/>
                      <w:color w:val="auto"/>
                      <w:kern w:val="0"/>
                      <w:sz w:val="21"/>
                      <w:szCs w:val="20"/>
                      <w:highlight w:val="none"/>
                      <w:u w:val="single" w:color="auto"/>
                      <w:lang w:val="en-US" w:eastAsia="zh-CN" w:bidi="ar-SA"/>
                    </w:rPr>
                  </w:pPr>
                </w:p>
              </w:tc>
              <w:tc>
                <w:tcPr>
                  <w:tcW w:w="408" w:type="pct"/>
                  <w:tcBorders>
                    <w:tl2br w:val="nil"/>
                    <w:tr2bl w:val="nil"/>
                  </w:tcBorders>
                  <w:shd w:val="clear" w:color="auto" w:fill="auto"/>
                  <w:vAlign w:val="center"/>
                </w:tcPr>
                <w:p w14:paraId="79CA0752">
                  <w:pPr>
                    <w:pStyle w:val="63"/>
                    <w:tabs>
                      <w:tab w:val="left" w:pos="1021"/>
                    </w:tabs>
                    <w:ind w:firstLine="0" w:firstLineChars="0"/>
                    <w:jc w:val="center"/>
                    <w:rPr>
                      <w:rFonts w:hint="default" w:ascii="Times New Roman" w:hAnsi="Times New Roman" w:eastAsia="宋体" w:cs="Times New Roman"/>
                      <w:color w:val="auto"/>
                      <w:kern w:val="0"/>
                      <w:sz w:val="21"/>
                      <w:szCs w:val="20"/>
                      <w:highlight w:val="none"/>
                      <w:u w:val="single" w:color="auto"/>
                      <w:lang w:val="en-US" w:eastAsia="zh-CN" w:bidi="ar-SA"/>
                    </w:rPr>
                  </w:pPr>
                  <w:r>
                    <w:rPr>
                      <w:rFonts w:hint="default" w:ascii="Times New Roman" w:hAnsi="Times New Roman" w:eastAsia="宋体" w:cs="Times New Roman"/>
                      <w:color w:val="auto"/>
                      <w:kern w:val="0"/>
                      <w:sz w:val="21"/>
                      <w:szCs w:val="20"/>
                      <w:highlight w:val="none"/>
                      <w:u w:val="single" w:color="auto"/>
                      <w:lang w:val="en-US" w:eastAsia="zh-CN" w:bidi="ar-SA"/>
                    </w:rPr>
                    <w:t>99.7%</w:t>
                  </w:r>
                </w:p>
              </w:tc>
              <w:tc>
                <w:tcPr>
                  <w:tcW w:w="496" w:type="pct"/>
                  <w:tcBorders>
                    <w:tl2br w:val="nil"/>
                    <w:tr2bl w:val="nil"/>
                  </w:tcBorders>
                  <w:shd w:val="clear" w:color="auto" w:fill="auto"/>
                  <w:vAlign w:val="center"/>
                </w:tcPr>
                <w:p w14:paraId="5687D836">
                  <w:pPr>
                    <w:jc w:val="center"/>
                    <w:rPr>
                      <w:rFonts w:hint="default" w:ascii="Times New Roman" w:hAnsi="Times New Roman" w:eastAsia="宋体" w:cs="Times New Roman"/>
                      <w:color w:val="auto"/>
                      <w:kern w:val="0"/>
                      <w:sz w:val="21"/>
                      <w:szCs w:val="20"/>
                      <w:highlight w:val="none"/>
                      <w:u w:val="single" w:color="auto"/>
                      <w:lang w:val="en-US" w:eastAsia="zh-CN" w:bidi="ar-SA"/>
                    </w:rPr>
                  </w:pPr>
                  <w:r>
                    <w:rPr>
                      <w:rFonts w:hint="default" w:ascii="Times New Roman" w:hAnsi="Times New Roman" w:eastAsia="宋体" w:cs="Times New Roman"/>
                      <w:color w:val="auto"/>
                      <w:kern w:val="0"/>
                      <w:sz w:val="21"/>
                      <w:szCs w:val="20"/>
                      <w:highlight w:val="none"/>
                      <w:u w:val="single" w:color="auto"/>
                      <w:lang w:val="en-US" w:eastAsia="zh-CN" w:bidi="ar-SA"/>
                    </w:rPr>
                    <w:t>0.00</w:t>
                  </w:r>
                  <w:r>
                    <w:rPr>
                      <w:rFonts w:hint="eastAsia" w:ascii="Times New Roman" w:hAnsi="Times New Roman" w:eastAsia="宋体" w:cs="Times New Roman"/>
                      <w:color w:val="auto"/>
                      <w:kern w:val="0"/>
                      <w:sz w:val="21"/>
                      <w:szCs w:val="20"/>
                      <w:highlight w:val="none"/>
                      <w:u w:val="single" w:color="auto"/>
                      <w:lang w:val="en-US" w:eastAsia="zh-CN" w:bidi="ar-SA"/>
                    </w:rPr>
                    <w:t>57</w:t>
                  </w:r>
                </w:p>
              </w:tc>
              <w:tc>
                <w:tcPr>
                  <w:tcW w:w="496" w:type="pct"/>
                  <w:tcBorders>
                    <w:tl2br w:val="nil"/>
                    <w:tr2bl w:val="nil"/>
                  </w:tcBorders>
                  <w:shd w:val="clear" w:color="auto" w:fill="auto"/>
                  <w:vAlign w:val="center"/>
                </w:tcPr>
                <w:p w14:paraId="347E8089">
                  <w:pPr>
                    <w:jc w:val="center"/>
                    <w:rPr>
                      <w:rFonts w:hint="default" w:ascii="Times New Roman" w:hAnsi="Times New Roman" w:eastAsia="宋体" w:cs="Times New Roman"/>
                      <w:color w:val="auto"/>
                      <w:kern w:val="0"/>
                      <w:sz w:val="21"/>
                      <w:szCs w:val="20"/>
                      <w:highlight w:val="none"/>
                      <w:u w:val="single" w:color="auto"/>
                      <w:lang w:val="en-US" w:eastAsia="zh-CN" w:bidi="ar-SA"/>
                    </w:rPr>
                  </w:pPr>
                  <w:r>
                    <w:rPr>
                      <w:rFonts w:hint="eastAsia" w:ascii="Times New Roman" w:hAnsi="Times New Roman" w:cs="Times New Roman"/>
                      <w:color w:val="auto"/>
                      <w:kern w:val="0"/>
                      <w:sz w:val="21"/>
                      <w:szCs w:val="20"/>
                      <w:highlight w:val="none"/>
                      <w:u w:val="single" w:color="auto"/>
                      <w:lang w:val="en-US" w:eastAsia="zh-CN" w:bidi="ar-SA"/>
                    </w:rPr>
                    <w:t>0.</w:t>
                  </w:r>
                  <w:r>
                    <w:rPr>
                      <w:rFonts w:hint="eastAsia" w:cs="Times New Roman"/>
                      <w:color w:val="auto"/>
                      <w:kern w:val="0"/>
                      <w:sz w:val="21"/>
                      <w:szCs w:val="20"/>
                      <w:highlight w:val="none"/>
                      <w:u w:val="single" w:color="auto"/>
                      <w:lang w:val="en-US" w:eastAsia="zh-CN" w:bidi="ar-SA"/>
                    </w:rPr>
                    <w:t>0032</w:t>
                  </w:r>
                </w:p>
              </w:tc>
              <w:tc>
                <w:tcPr>
                  <w:tcW w:w="567" w:type="pct"/>
                  <w:tcBorders>
                    <w:tl2br w:val="nil"/>
                    <w:tr2bl w:val="nil"/>
                  </w:tcBorders>
                  <w:shd w:val="clear" w:color="auto" w:fill="auto"/>
                  <w:vAlign w:val="center"/>
                </w:tcPr>
                <w:p w14:paraId="28C3C197">
                  <w:pPr>
                    <w:jc w:val="center"/>
                    <w:rPr>
                      <w:rFonts w:hint="default" w:ascii="Times New Roman" w:hAnsi="Times New Roman" w:eastAsia="宋体" w:cs="Times New Roman"/>
                      <w:color w:val="auto"/>
                      <w:kern w:val="0"/>
                      <w:sz w:val="21"/>
                      <w:szCs w:val="20"/>
                      <w:highlight w:val="none"/>
                      <w:u w:val="single" w:color="auto"/>
                      <w:lang w:val="en-US" w:eastAsia="zh-CN" w:bidi="ar-SA"/>
                    </w:rPr>
                  </w:pPr>
                  <w:r>
                    <w:rPr>
                      <w:rFonts w:hint="eastAsia" w:cs="Times New Roman"/>
                      <w:color w:val="auto"/>
                      <w:kern w:val="0"/>
                      <w:sz w:val="21"/>
                      <w:szCs w:val="20"/>
                      <w:highlight w:val="none"/>
                      <w:u w:val="single" w:color="auto"/>
                      <w:lang w:val="en-US" w:eastAsia="zh-CN" w:bidi="ar-SA"/>
                    </w:rPr>
                    <w:t>4.71</w:t>
                  </w:r>
                </w:p>
              </w:tc>
              <w:tc>
                <w:tcPr>
                  <w:tcW w:w="506" w:type="pct"/>
                  <w:tcBorders>
                    <w:tl2br w:val="nil"/>
                    <w:tr2bl w:val="nil"/>
                  </w:tcBorders>
                  <w:shd w:val="clear" w:color="auto" w:fill="auto"/>
                  <w:vAlign w:val="center"/>
                </w:tcPr>
                <w:p w14:paraId="00A8630A">
                  <w:pPr>
                    <w:jc w:val="center"/>
                    <w:rPr>
                      <w:rFonts w:hint="default" w:ascii="Times New Roman" w:hAnsi="Times New Roman" w:eastAsia="宋体" w:cs="Times New Roman"/>
                      <w:color w:val="auto"/>
                      <w:kern w:val="0"/>
                      <w:sz w:val="21"/>
                      <w:szCs w:val="20"/>
                      <w:highlight w:val="none"/>
                      <w:u w:val="single" w:color="auto"/>
                      <w:lang w:val="en-US" w:eastAsia="zh-CN" w:bidi="ar-SA"/>
                    </w:rPr>
                  </w:pPr>
                  <w:r>
                    <w:rPr>
                      <w:rFonts w:hint="eastAsia" w:cs="Times New Roman"/>
                      <w:color w:val="auto"/>
                      <w:kern w:val="0"/>
                      <w:sz w:val="21"/>
                      <w:szCs w:val="20"/>
                      <w:highlight w:val="none"/>
                      <w:u w:val="single" w:color="auto"/>
                      <w:lang w:val="en-US" w:eastAsia="zh-CN" w:bidi="ar-SA"/>
                    </w:rPr>
                    <w:t>30</w:t>
                  </w:r>
                </w:p>
              </w:tc>
            </w:tr>
          </w:tbl>
          <w:p w14:paraId="78622DA7">
            <w:pPr>
              <w:numPr>
                <w:ilvl w:val="0"/>
                <w:numId w:val="0"/>
              </w:numPr>
              <w:adjustRightInd w:val="0"/>
              <w:snapToGrid w:val="0"/>
              <w:spacing w:line="360" w:lineRule="auto"/>
              <w:ind w:leftChars="0" w:firstLine="480" w:firstLineChars="200"/>
              <w:rPr>
                <w:rFonts w:hint="eastAsia" w:ascii="Times New Roman" w:hAnsi="Times New Roman" w:eastAsia="宋体" w:cs="Times New Roman"/>
                <w:bCs/>
                <w:color w:val="auto"/>
                <w:sz w:val="24"/>
                <w:lang w:val="en-US" w:eastAsia="zh-CN"/>
              </w:rPr>
            </w:pPr>
            <w:r>
              <w:rPr>
                <w:rFonts w:hint="eastAsia"/>
                <w:color w:val="auto"/>
                <w:sz w:val="24"/>
                <w:lang w:val="en-US" w:eastAsia="zh-CN"/>
              </w:rPr>
              <w:t>根据上表可知，经过</w:t>
            </w:r>
            <w:r>
              <w:rPr>
                <w:rFonts w:hint="eastAsia" w:cs="Times New Roman"/>
                <w:color w:val="auto"/>
                <w:sz w:val="24"/>
                <w:lang w:val="en-US" w:eastAsia="zh-CN"/>
              </w:rPr>
              <w:t>“旋风除尘+高温布袋除尘”组合工艺处理后的</w:t>
            </w:r>
            <w:r>
              <w:rPr>
                <w:rFonts w:hint="eastAsia"/>
                <w:color w:val="auto"/>
                <w:sz w:val="24"/>
                <w:lang w:val="en-US" w:eastAsia="zh-CN"/>
              </w:rPr>
              <w:t>焚烧炉废气可满足《湖南省工业炉窑大气污染综合治理实施方案》附件1中相关排放限值（颗粒物：30mg/m</w:t>
            </w:r>
            <w:r>
              <w:rPr>
                <w:rFonts w:hint="eastAsia"/>
                <w:color w:val="auto"/>
                <w:sz w:val="24"/>
                <w:vertAlign w:val="superscript"/>
                <w:lang w:val="en-US" w:eastAsia="zh-CN"/>
              </w:rPr>
              <w:t>3</w:t>
            </w:r>
            <w:r>
              <w:rPr>
                <w:rFonts w:hint="eastAsia"/>
                <w:color w:val="auto"/>
                <w:sz w:val="24"/>
                <w:lang w:val="en-US" w:eastAsia="zh-CN"/>
              </w:rPr>
              <w:t>，二氧化硫：200mg/m</w:t>
            </w:r>
            <w:r>
              <w:rPr>
                <w:rFonts w:hint="eastAsia"/>
                <w:color w:val="auto"/>
                <w:sz w:val="24"/>
                <w:vertAlign w:val="superscript"/>
                <w:lang w:val="en-US" w:eastAsia="zh-CN"/>
              </w:rPr>
              <w:t>3</w:t>
            </w:r>
            <w:r>
              <w:rPr>
                <w:rFonts w:hint="eastAsia"/>
                <w:color w:val="auto"/>
                <w:sz w:val="24"/>
                <w:lang w:val="en-US" w:eastAsia="zh-CN"/>
              </w:rPr>
              <w:t>，氮氧化物：300mg/m</w:t>
            </w:r>
            <w:r>
              <w:rPr>
                <w:rFonts w:hint="eastAsia"/>
                <w:color w:val="auto"/>
                <w:sz w:val="24"/>
                <w:vertAlign w:val="superscript"/>
                <w:lang w:val="en-US" w:eastAsia="zh-CN"/>
              </w:rPr>
              <w:t>3</w:t>
            </w:r>
            <w:r>
              <w:rPr>
                <w:rFonts w:hint="eastAsia"/>
                <w:color w:val="auto"/>
                <w:sz w:val="24"/>
                <w:lang w:val="en-US" w:eastAsia="zh-CN"/>
              </w:rPr>
              <w:t>）</w:t>
            </w:r>
            <w:r>
              <w:rPr>
                <w:rFonts w:hint="eastAsia" w:ascii="Times New Roman" w:hAnsi="Times New Roman" w:eastAsia="宋体" w:cs="Times New Roman"/>
                <w:bCs/>
                <w:color w:val="auto"/>
                <w:sz w:val="24"/>
                <w:lang w:val="en-US" w:eastAsia="zh-CN"/>
              </w:rPr>
              <w:t>，</w:t>
            </w:r>
            <w:r>
              <w:rPr>
                <w:rFonts w:hint="eastAsia" w:cs="Times New Roman"/>
                <w:bCs/>
                <w:color w:val="auto"/>
                <w:sz w:val="24"/>
                <w:lang w:val="en-US" w:eastAsia="zh-CN"/>
              </w:rPr>
              <w:t>该</w:t>
            </w:r>
            <w:r>
              <w:rPr>
                <w:rFonts w:hint="eastAsia" w:ascii="Times New Roman" w:hAnsi="Times New Roman" w:eastAsia="宋体" w:cs="Times New Roman"/>
                <w:bCs/>
                <w:color w:val="auto"/>
                <w:sz w:val="24"/>
                <w:lang w:val="en-US" w:eastAsia="zh-CN"/>
              </w:rPr>
              <w:t>处理措施可行。</w:t>
            </w:r>
          </w:p>
          <w:p w14:paraId="21A59311">
            <w:pPr>
              <w:keepNext w:val="0"/>
              <w:keepLines w:val="0"/>
              <w:pageBreakBefore w:val="0"/>
              <w:widowControl/>
              <w:tabs>
                <w:tab w:val="left" w:pos="1021"/>
              </w:tabs>
              <w:kinsoku/>
              <w:wordWrap w:val="0"/>
              <w:overflowPunct/>
              <w:topLinePunct/>
              <w:autoSpaceDE/>
              <w:autoSpaceDN/>
              <w:bidi w:val="0"/>
              <w:adjustRightInd/>
              <w:snapToGrid/>
              <w:spacing w:line="360" w:lineRule="auto"/>
              <w:ind w:firstLine="482" w:firstLineChars="200"/>
              <w:jc w:val="both"/>
              <w:rPr>
                <w:rFonts w:hint="eastAsia" w:ascii="Times New Roman" w:hAnsi="Times New Roman" w:eastAsia="宋体" w:cs="Times New Roman"/>
                <w:color w:val="auto"/>
                <w:kern w:val="2"/>
                <w:sz w:val="24"/>
                <w:szCs w:val="24"/>
                <w:highlight w:val="none"/>
                <w:u w:val="none" w:color="auto"/>
                <w:shd w:val="clear" w:color="auto" w:fill="auto"/>
                <w:lang w:val="en-US" w:eastAsia="zh-CN" w:bidi="en-US"/>
              </w:rPr>
            </w:pPr>
            <w:r>
              <w:rPr>
                <w:rFonts w:hint="eastAsia" w:ascii="Times New Roman" w:hAnsi="Times New Roman" w:eastAsia="宋体" w:cs="Times New Roman"/>
                <w:b/>
                <w:bCs/>
                <w:color w:val="auto"/>
                <w:sz w:val="24"/>
                <w:szCs w:val="24"/>
                <w:highlight w:val="none"/>
                <w:lang w:val="en-US" w:eastAsia="zh-CN"/>
              </w:rPr>
              <w:t>排气筒及风机风量合理性分析：</w:t>
            </w:r>
            <w:r>
              <w:rPr>
                <w:rFonts w:hint="eastAsia" w:ascii="Times New Roman" w:hAnsi="Times New Roman" w:eastAsia="宋体" w:cs="Times New Roman"/>
                <w:color w:val="auto"/>
                <w:kern w:val="2"/>
                <w:sz w:val="24"/>
                <w:szCs w:val="24"/>
                <w:highlight w:val="none"/>
                <w:u w:val="none" w:color="auto"/>
                <w:shd w:val="clear" w:color="auto" w:fill="auto"/>
                <w:lang w:val="en-US" w:eastAsia="zh-CN" w:bidi="en-US"/>
              </w:rPr>
              <w:t>本项目DA001高度为15m，根据《大气污染物综合排放标准》（GB16297-1996）中的7.1和7.4规定：“排气筒高度除须遵守表列排放速率标准值外，还应高出周围200m半径范围的建筑5m以上，不能达到该要求的排气筒，应按其高度对应的表列排放速率标准值严格50%执行”和“新污染源的排气筒一般不应低于15m。”经现场核查，本项目厂房周边200m半径范围内无高层建筑物，项目DA001排气筒高度设置为15m，高度设置合理。</w:t>
            </w:r>
          </w:p>
          <w:p w14:paraId="0BE366EF">
            <w:pPr>
              <w:spacing w:before="0" w:beforeAutospacing="0" w:after="0" w:afterAutospacing="0" w:line="360" w:lineRule="auto"/>
              <w:ind w:firstLine="480" w:firstLineChars="200"/>
              <w:jc w:val="left"/>
              <w:rPr>
                <w:rFonts w:hint="default" w:ascii="Times New Roman" w:hAnsi="Times New Roman" w:eastAsia="宋体" w:cs="Times New Roman"/>
                <w:color w:val="auto"/>
                <w:kern w:val="2"/>
                <w:sz w:val="24"/>
                <w:szCs w:val="24"/>
                <w:highlight w:val="none"/>
                <w:u w:val="none" w:color="auto"/>
                <w:shd w:val="clear" w:color="auto" w:fill="auto"/>
                <w:lang w:val="en-US" w:eastAsia="zh-CN" w:bidi="en-US"/>
              </w:rPr>
            </w:pPr>
            <w:r>
              <w:rPr>
                <w:rFonts w:ascii="宋体" w:hAnsi="宋体" w:eastAsia="宋体" w:cs="宋体"/>
                <w:color w:val="auto"/>
                <w:sz w:val="24"/>
                <w:szCs w:val="24"/>
              </w:rPr>
              <w:t>本项目烟气输送管道较长，配套喷淋、布袋除尘设备，系统阻力较大</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计划</w:t>
            </w:r>
            <w:r>
              <w:rPr>
                <w:rFonts w:ascii="宋体" w:hAnsi="宋体" w:eastAsia="宋体" w:cs="宋体"/>
                <w:color w:val="auto"/>
                <w:sz w:val="24"/>
                <w:szCs w:val="24"/>
              </w:rPr>
              <w:t>配套引风机风量</w:t>
            </w:r>
            <w:r>
              <w:rPr>
                <w:rFonts w:hint="eastAsia" w:cs="Times New Roman"/>
                <w:color w:val="auto"/>
                <w:kern w:val="2"/>
                <w:sz w:val="24"/>
                <w:szCs w:val="24"/>
                <w:highlight w:val="none"/>
                <w:u w:val="none" w:color="auto"/>
                <w:shd w:val="clear" w:color="auto" w:fill="auto"/>
                <w:lang w:val="en-US" w:eastAsia="zh-CN" w:bidi="en-US"/>
              </w:rPr>
              <w:t>5000</w:t>
            </w:r>
            <w:r>
              <w:rPr>
                <w:rFonts w:hint="default" w:ascii="Times New Roman" w:hAnsi="Times New Roman" w:eastAsia="宋体" w:cs="Times New Roman"/>
                <w:color w:val="auto"/>
                <w:kern w:val="2"/>
                <w:sz w:val="24"/>
                <w:szCs w:val="24"/>
                <w:highlight w:val="none"/>
                <w:u w:val="none" w:color="auto"/>
                <w:shd w:val="clear" w:color="auto" w:fill="auto"/>
                <w:lang w:val="en-US" w:eastAsia="zh-CN" w:bidi="en-US"/>
              </w:rPr>
              <w:t>m³/h，</w:t>
            </w:r>
            <w:r>
              <w:rPr>
                <w:rFonts w:ascii="宋体" w:hAnsi="宋体" w:eastAsia="宋体" w:cs="宋体"/>
                <w:color w:val="auto"/>
                <w:sz w:val="24"/>
                <w:szCs w:val="24"/>
              </w:rPr>
              <w:t>用于提供充足风压，克服长距离烟道及净化设备阻力。</w:t>
            </w:r>
            <w:r>
              <w:rPr>
                <w:rFonts w:hint="default" w:ascii="Times New Roman" w:hAnsi="Times New Roman" w:eastAsia="宋体" w:cs="Times New Roman"/>
                <w:color w:val="auto"/>
                <w:kern w:val="2"/>
                <w:sz w:val="24"/>
                <w:szCs w:val="24"/>
                <w:highlight w:val="none"/>
                <w:u w:val="none" w:color="auto"/>
                <w:shd w:val="clear" w:color="auto" w:fill="auto"/>
                <w:lang w:val="en-US" w:eastAsia="zh-CN" w:bidi="en-US"/>
              </w:rPr>
              <w:t>DA001排气筒管道内径约0.3m，风速取19.65m/s，符合风速宜取15-20m/s，因此排气筒设置合理。</w:t>
            </w:r>
          </w:p>
          <w:bookmarkEnd w:id="25"/>
          <w:p w14:paraId="64C74858">
            <w:pPr>
              <w:numPr>
                <w:ilvl w:val="1"/>
                <w:numId w:val="6"/>
              </w:numPr>
              <w:adjustRightInd w:val="0"/>
              <w:snapToGrid w:val="0"/>
              <w:spacing w:line="360" w:lineRule="auto"/>
              <w:ind w:left="420" w:leftChars="0" w:firstLineChars="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无组织污染防治方案</w:t>
            </w:r>
          </w:p>
          <w:p w14:paraId="717D325C">
            <w:pPr>
              <w:spacing w:line="360" w:lineRule="auto"/>
              <w:ind w:firstLine="480" w:firstLineChars="200"/>
              <w:rPr>
                <w:rFonts w:hint="eastAsia" w:ascii="宋体" w:hAnsi="宋体" w:eastAsia="宋体" w:cs="宋体"/>
                <w:color w:val="auto"/>
                <w:sz w:val="24"/>
                <w:szCs w:val="24"/>
                <w:lang w:eastAsia="zh-CN"/>
              </w:rPr>
            </w:pPr>
            <w:bookmarkStart w:id="26" w:name="_Toc26968"/>
            <w:r>
              <w:rPr>
                <w:rFonts w:ascii="宋体" w:hAnsi="宋体" w:eastAsia="宋体" w:cs="宋体"/>
                <w:color w:val="auto"/>
                <w:sz w:val="24"/>
                <w:szCs w:val="24"/>
              </w:rPr>
              <w:t>本项目无组织排放主要为残气回收、钢瓶拆解、焚烧配套、燃料储运环节逸散的非甲烷总烃、颗粒物及恶臭，无组织排放于钢瓶转运、残气抽取、涂层清理、炉体作业、燃料存储过程中不可完全避免，为有效控制车间无组织</w:t>
            </w:r>
            <w:r>
              <w:rPr>
                <w:rFonts w:hint="eastAsia" w:ascii="宋体" w:hAnsi="宋体" w:eastAsia="宋体" w:cs="宋体"/>
                <w:color w:val="auto"/>
                <w:sz w:val="24"/>
                <w:szCs w:val="24"/>
                <w:lang w:val="en-US" w:eastAsia="zh-CN"/>
              </w:rPr>
              <w:t>废气</w:t>
            </w:r>
            <w:r>
              <w:rPr>
                <w:rFonts w:ascii="宋体" w:hAnsi="宋体" w:eastAsia="宋体" w:cs="宋体"/>
                <w:color w:val="auto"/>
                <w:sz w:val="24"/>
                <w:szCs w:val="24"/>
              </w:rPr>
              <w:t>外溢，保障厂界无组织浓度满足相关管控要求，结合项目钢瓶残气回收、钢瓶焚烧、燃料储运等全工艺流程特点，制定以下无组织排放控制措施</w:t>
            </w:r>
            <w:r>
              <w:rPr>
                <w:rFonts w:hint="eastAsia" w:ascii="宋体" w:hAnsi="宋体" w:eastAsia="宋体" w:cs="宋体"/>
                <w:color w:val="auto"/>
                <w:sz w:val="24"/>
                <w:szCs w:val="24"/>
                <w:lang w:eastAsia="zh-CN"/>
              </w:rPr>
              <w:t>：</w:t>
            </w:r>
          </w:p>
          <w:p w14:paraId="5CC81B99">
            <w:pPr>
              <w:numPr>
                <w:ilvl w:val="0"/>
                <w:numId w:val="7"/>
              </w:numPr>
              <w:spacing w:line="360" w:lineRule="auto"/>
              <w:ind w:firstLine="480" w:firstLineChars="200"/>
              <w:rPr>
                <w:rFonts w:hint="eastAsia" w:ascii="Times New Roman" w:hAnsi="Times New Roman" w:eastAsia="宋体" w:cs="Times New Roman"/>
                <w:bCs/>
                <w:color w:val="auto"/>
                <w:sz w:val="24"/>
                <w:highlight w:val="none"/>
                <w:u w:val="none"/>
                <w:lang w:val="en-US" w:eastAsia="zh-CN"/>
              </w:rPr>
            </w:pPr>
            <w:r>
              <w:rPr>
                <w:rFonts w:ascii="宋体" w:hAnsi="宋体" w:eastAsia="宋体" w:cs="宋体"/>
                <w:color w:val="auto"/>
                <w:sz w:val="24"/>
                <w:szCs w:val="24"/>
              </w:rPr>
              <w:t>非甲烷总烃无组织控制：①涉残气管路、阀门、法兰建立 LDAR 泄漏检测台账，每季度开展泄漏检测，老化密封件每月统一更换；②</w:t>
            </w:r>
            <w:r>
              <w:rPr>
                <w:rFonts w:hint="default" w:ascii="Times New Roman" w:hAnsi="Times New Roman" w:eastAsia="宋体" w:cs="Times New Roman"/>
                <w:color w:val="auto"/>
                <w:sz w:val="24"/>
                <w:szCs w:val="24"/>
                <w:lang w:val="en-US" w:eastAsia="zh-CN"/>
              </w:rPr>
              <w:t>车间设置机械排风系统；</w:t>
            </w:r>
            <w:r>
              <w:rPr>
                <w:rFonts w:hint="eastAsia" w:ascii="宋体" w:hAnsi="宋体" w:cs="宋体"/>
                <w:color w:val="auto"/>
                <w:sz w:val="24"/>
                <w:szCs w:val="24"/>
                <w:lang w:eastAsia="zh-CN"/>
              </w:rPr>
              <w:t>③</w:t>
            </w:r>
            <w:r>
              <w:rPr>
                <w:rFonts w:ascii="宋体" w:hAnsi="宋体" w:eastAsia="宋体" w:cs="宋体"/>
                <w:color w:val="auto"/>
                <w:sz w:val="24"/>
                <w:szCs w:val="24"/>
              </w:rPr>
              <w:t>建立可燃气体在线预警体系，残气作业区布设多点位可燃气体报警装置，实时监控车间烃类废气浓度，出现浓度异常立即停机检修。</w:t>
            </w:r>
          </w:p>
          <w:p w14:paraId="78AB8B6B">
            <w:pPr>
              <w:numPr>
                <w:ilvl w:val="0"/>
                <w:numId w:val="7"/>
              </w:numPr>
              <w:spacing w:line="360" w:lineRule="auto"/>
              <w:ind w:firstLine="480" w:firstLineChars="200"/>
              <w:rPr>
                <w:rFonts w:hint="eastAsia" w:ascii="Times New Roman" w:hAnsi="Times New Roman" w:eastAsia="宋体" w:cs="Times New Roman"/>
                <w:bCs/>
                <w:color w:val="auto"/>
                <w:sz w:val="24"/>
                <w:highlight w:val="none"/>
                <w:u w:val="none"/>
                <w:lang w:val="en-US" w:eastAsia="zh-CN"/>
              </w:rPr>
            </w:pPr>
            <w:r>
              <w:rPr>
                <w:rFonts w:hint="eastAsia" w:ascii="Times New Roman" w:hAnsi="Times New Roman" w:eastAsia="宋体" w:cs="Times New Roman"/>
                <w:bCs/>
                <w:color w:val="auto"/>
                <w:sz w:val="24"/>
                <w:highlight w:val="none"/>
                <w:u w:val="none"/>
                <w:lang w:val="en-US" w:eastAsia="zh-CN"/>
              </w:rPr>
              <w:t>颗粒物无组织控制：</w:t>
            </w:r>
            <w:r>
              <w:rPr>
                <w:rFonts w:ascii="宋体" w:hAnsi="宋体" w:eastAsia="宋体" w:cs="宋体"/>
                <w:color w:val="auto"/>
                <w:sz w:val="24"/>
                <w:szCs w:val="24"/>
              </w:rPr>
              <w:t>①焚烧炉本体、进料口、出渣口采用双层密封门设计，炉体长期维持微负压运行，炉体接缝、检修门每日巡检更换老化密封垫；炉底废渣采用密闭料斗收集转运；②生物质颗粒燃料密闭堆放，仓库地面每日湿式清扫；厂区道路全面硬化，避免车辆带尘外运。</w:t>
            </w:r>
          </w:p>
          <w:p w14:paraId="5B1A0E26">
            <w:pPr>
              <w:numPr>
                <w:ilvl w:val="0"/>
                <w:numId w:val="7"/>
              </w:numPr>
              <w:spacing w:line="360" w:lineRule="auto"/>
              <w:ind w:firstLine="480" w:firstLineChars="200"/>
              <w:rPr>
                <w:rFonts w:hint="eastAsia" w:ascii="Times New Roman" w:hAnsi="Times New Roman" w:eastAsia="宋体" w:cs="Times New Roman"/>
                <w:bCs/>
                <w:color w:val="auto"/>
                <w:sz w:val="24"/>
                <w:highlight w:val="none"/>
                <w:u w:val="none"/>
                <w:lang w:val="en-US" w:eastAsia="zh-CN"/>
              </w:rPr>
            </w:pPr>
            <w:r>
              <w:rPr>
                <w:rFonts w:ascii="宋体" w:hAnsi="宋体" w:eastAsia="宋体" w:cs="宋体"/>
                <w:color w:val="auto"/>
                <w:sz w:val="24"/>
                <w:szCs w:val="24"/>
              </w:rPr>
              <w:t>恶臭异味无组织控制方面：①异味源头分区隔离，残气回收、焚烧作业区与办公生活区设置缓冲隔离通道，高异味工序独立隔间布置，减少异味交叉扩散；②厂区环境除臭阻隔，厂区大范围种植吸附异味、滞尘能力强的乔木灌木，形成多层绿化隔离带，削弱恶臭向外扩散；</w:t>
            </w:r>
            <w:r>
              <w:rPr>
                <w:rFonts w:hint="eastAsia" w:ascii="宋体" w:hAnsi="宋体" w:cs="宋体"/>
                <w:color w:val="auto"/>
                <w:sz w:val="24"/>
                <w:szCs w:val="24"/>
                <w:lang w:eastAsia="zh-CN"/>
              </w:rPr>
              <w:t>③</w:t>
            </w:r>
            <w:r>
              <w:rPr>
                <w:rFonts w:ascii="宋体" w:hAnsi="宋体" w:eastAsia="宋体" w:cs="宋体"/>
                <w:color w:val="auto"/>
                <w:sz w:val="24"/>
                <w:szCs w:val="24"/>
              </w:rPr>
              <w:t>泄漏应急管控，车间配备防爆风机、吸附棉等应急物资，一旦发生钢瓶残液泄漏，立即启动局部强抽负压，吸附棉吸附液态残液，快速消除异味扩散风险。</w:t>
            </w:r>
          </w:p>
          <w:p w14:paraId="39C85CE7">
            <w:pPr>
              <w:numPr>
                <w:ilvl w:val="0"/>
                <w:numId w:val="7"/>
              </w:numPr>
              <w:spacing w:line="360" w:lineRule="auto"/>
              <w:ind w:firstLine="480" w:firstLineChars="200"/>
              <w:rPr>
                <w:rFonts w:hint="eastAsia" w:ascii="Times New Roman" w:hAnsi="Times New Roman" w:eastAsia="宋体" w:cs="Times New Roman"/>
                <w:bCs/>
                <w:color w:val="auto"/>
                <w:sz w:val="24"/>
                <w:highlight w:val="none"/>
                <w:u w:val="none"/>
                <w:lang w:val="en-US" w:eastAsia="zh-CN"/>
              </w:rPr>
            </w:pPr>
            <w:r>
              <w:rPr>
                <w:rFonts w:hint="eastAsia" w:ascii="Times New Roman" w:hAnsi="Times New Roman" w:eastAsia="宋体" w:cs="Times New Roman"/>
                <w:bCs/>
                <w:color w:val="auto"/>
                <w:sz w:val="24"/>
                <w:highlight w:val="none"/>
                <w:u w:val="none"/>
                <w:lang w:val="en-US" w:eastAsia="zh-CN"/>
              </w:rPr>
              <w:t>通用管控措施方面：</w:t>
            </w:r>
            <w:r>
              <w:rPr>
                <w:rFonts w:ascii="宋体" w:hAnsi="宋体" w:eastAsia="宋体" w:cs="宋体"/>
                <w:color w:val="auto"/>
                <w:sz w:val="24"/>
                <w:szCs w:val="24"/>
              </w:rPr>
              <w:t>①建立完善的无组织排放监测机制，定期开展厂界上下风向无组织非甲烷总烃、臭气、颗粒物浓度监测，确保厂界无组织达标；②制定设备常态化巡检维护制度，定期检修负压回收系统、集气罩、布袋除尘、焚烧炉密封设施，及时更换破损密封件、滤袋、吸附材料；③强化厂区环境管理，规范钢瓶、燃料、废渣分区堆放，及时清理车间散落涂层粉末、废渣，炉渣及时清运处置；④加强人员操作管理，制定标准化拆装、炉体作业操作规程，严禁随意敞开密封接头、炉门，作业结束及时关停负压回收设备，减少人为操作产生的瞬时废气逸散。</w:t>
            </w:r>
          </w:p>
          <w:bookmarkEnd w:id="26"/>
          <w:p w14:paraId="2F99A0B2">
            <w:pPr>
              <w:spacing w:line="360" w:lineRule="auto"/>
              <w:ind w:firstLine="480" w:firstLineChars="200"/>
              <w:rPr>
                <w:rFonts w:hint="default" w:ascii="Times New Roman" w:hAnsi="Times New Roman" w:cs="Times New Roman"/>
                <w:color w:val="auto"/>
                <w:sz w:val="24"/>
                <w:highlight w:val="none"/>
                <w:u w:val="none"/>
              </w:rPr>
            </w:pPr>
            <w:r>
              <w:rPr>
                <w:rFonts w:ascii="宋体" w:hAnsi="宋体" w:eastAsia="宋体" w:cs="宋体"/>
                <w:color w:val="auto"/>
                <w:sz w:val="24"/>
                <w:szCs w:val="24"/>
              </w:rPr>
              <w:t>在运营期间建设单位持续强化现场环境管理，推行清洁生产，多重管控措施协同降低无组织废气产生量；作业职工佩戴防毒、防尘防护用具，定期开展职业健康检查。通过采取以上源头密闭、过程集气、末端吸附燃烧、厂区阻隔、常态化运维管控相结合的综合措施，可大幅削减项目无组织废气、恶臭、颗粒物向外扩散，降低对周边大气环境的影响。</w:t>
            </w:r>
          </w:p>
          <w:p w14:paraId="0471F135">
            <w:pPr>
              <w:numPr>
                <w:ilvl w:val="1"/>
                <w:numId w:val="6"/>
              </w:numPr>
              <w:adjustRightInd w:val="0"/>
              <w:snapToGrid w:val="0"/>
              <w:spacing w:line="360" w:lineRule="auto"/>
              <w:ind w:left="420" w:leftChars="0" w:firstLineChars="0"/>
              <w:jc w:val="lef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废气污染物排放情况总结</w:t>
            </w:r>
          </w:p>
          <w:p w14:paraId="4B6AD488">
            <w:pPr>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表4-</w:t>
            </w:r>
            <w:r>
              <w:rPr>
                <w:rFonts w:hint="eastAsia" w:cs="Times New Roman"/>
                <w:b/>
                <w:bCs/>
                <w:color w:val="auto"/>
                <w:sz w:val="21"/>
                <w:szCs w:val="21"/>
                <w:highlight w:val="none"/>
                <w:u w:val="none" w:color="auto"/>
                <w:lang w:val="en-US" w:eastAsia="zh-CN"/>
              </w:rPr>
              <w:t>4</w:t>
            </w:r>
            <w:r>
              <w:rPr>
                <w:rFonts w:hint="default" w:ascii="Times New Roman" w:hAnsi="Times New Roman" w:cs="Times New Roman"/>
                <w:b/>
                <w:bCs/>
                <w:color w:val="auto"/>
                <w:sz w:val="21"/>
                <w:szCs w:val="21"/>
                <w:highlight w:val="none"/>
                <w:u w:val="none" w:color="auto"/>
              </w:rPr>
              <w:t xml:space="preserve"> </w:t>
            </w:r>
            <w:r>
              <w:rPr>
                <w:rFonts w:hint="eastAsia" w:ascii="Times New Roman" w:hAnsi="Times New Roman" w:cs="Times New Roman"/>
                <w:b/>
                <w:bCs/>
                <w:color w:val="auto"/>
                <w:sz w:val="21"/>
                <w:szCs w:val="21"/>
                <w:highlight w:val="none"/>
                <w:u w:val="none" w:color="auto"/>
                <w:lang w:val="en-US" w:eastAsia="zh-CN"/>
              </w:rPr>
              <w:t xml:space="preserve"> </w:t>
            </w:r>
            <w:r>
              <w:rPr>
                <w:rFonts w:hint="eastAsia" w:cs="Times New Roman"/>
                <w:b/>
                <w:bCs/>
                <w:color w:val="auto"/>
                <w:sz w:val="21"/>
                <w:szCs w:val="21"/>
                <w:highlight w:val="none"/>
                <w:u w:val="none" w:color="auto"/>
                <w:lang w:val="en-US" w:eastAsia="zh-CN"/>
              </w:rPr>
              <w:t>搬迁后</w:t>
            </w:r>
            <w:r>
              <w:rPr>
                <w:rFonts w:hint="default" w:ascii="Times New Roman" w:hAnsi="Times New Roman" w:cs="Times New Roman"/>
                <w:b/>
                <w:bCs/>
                <w:color w:val="auto"/>
                <w:sz w:val="21"/>
                <w:szCs w:val="21"/>
                <w:highlight w:val="none"/>
                <w:u w:val="none" w:color="auto"/>
              </w:rPr>
              <w:t>项目废气产生情况及排放情况统计</w:t>
            </w:r>
          </w:p>
          <w:tbl>
            <w:tblPr>
              <w:tblStyle w:val="33"/>
              <w:tblpPr w:leftFromText="180" w:rightFromText="180" w:vertAnchor="text" w:tblpXSpec="center" w:tblpY="1"/>
              <w:tblOverlap w:val="never"/>
              <w:tblW w:w="4960"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48"/>
              <w:gridCol w:w="867"/>
              <w:gridCol w:w="839"/>
              <w:gridCol w:w="1142"/>
              <w:gridCol w:w="1129"/>
              <w:gridCol w:w="1233"/>
              <w:gridCol w:w="1036"/>
              <w:gridCol w:w="860"/>
            </w:tblGrid>
            <w:tr w14:paraId="3C70FE7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78" w:hRule="atLeast"/>
              </w:trPr>
              <w:tc>
                <w:tcPr>
                  <w:tcW w:w="476" w:type="pct"/>
                  <w:tcBorders>
                    <w:tl2br w:val="nil"/>
                    <w:tr2bl w:val="nil"/>
                  </w:tcBorders>
                  <w:noWrap w:val="0"/>
                  <w:vAlign w:val="center"/>
                </w:tcPr>
                <w:p w14:paraId="44A21025">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排放源</w:t>
                  </w:r>
                </w:p>
              </w:tc>
              <w:tc>
                <w:tcPr>
                  <w:tcW w:w="551" w:type="pct"/>
                  <w:tcBorders>
                    <w:tl2br w:val="nil"/>
                    <w:tr2bl w:val="nil"/>
                  </w:tcBorders>
                  <w:noWrap w:val="0"/>
                  <w:vAlign w:val="center"/>
                </w:tcPr>
                <w:p w14:paraId="6B3054D5">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污染因子</w:t>
                  </w:r>
                </w:p>
              </w:tc>
              <w:tc>
                <w:tcPr>
                  <w:tcW w:w="534" w:type="pct"/>
                  <w:tcBorders>
                    <w:tl2br w:val="nil"/>
                    <w:tr2bl w:val="nil"/>
                  </w:tcBorders>
                  <w:noWrap w:val="0"/>
                  <w:vAlign w:val="center"/>
                </w:tcPr>
                <w:p w14:paraId="362BBBFE">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产生量</w:t>
                  </w:r>
                  <w:r>
                    <w:rPr>
                      <w:rFonts w:hint="default" w:ascii="Times New Roman" w:hAnsi="Times New Roman" w:cs="Times New Roman"/>
                      <w:b/>
                      <w:bCs/>
                      <w:color w:val="auto"/>
                      <w:highlight w:val="none"/>
                      <w:u w:val="none" w:color="auto"/>
                    </w:rPr>
                    <w:t>t</w:t>
                  </w:r>
                  <w:r>
                    <w:rPr>
                      <w:rFonts w:hint="eastAsia" w:ascii="Times New Roman" w:hAnsi="Times New Roman" w:cs="Times New Roman"/>
                      <w:b/>
                      <w:bCs/>
                      <w:color w:val="auto"/>
                      <w:highlight w:val="none"/>
                      <w:u w:val="none" w:color="auto"/>
                      <w:lang w:val="en-US" w:eastAsia="zh-CN"/>
                    </w:rPr>
                    <w:t>/a</w:t>
                  </w:r>
                </w:p>
              </w:tc>
              <w:tc>
                <w:tcPr>
                  <w:tcW w:w="727" w:type="pct"/>
                  <w:tcBorders>
                    <w:tl2br w:val="nil"/>
                    <w:tr2bl w:val="nil"/>
                  </w:tcBorders>
                  <w:noWrap w:val="0"/>
                  <w:vAlign w:val="center"/>
                </w:tcPr>
                <w:p w14:paraId="60B4AD0B">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处理装置</w:t>
                  </w:r>
                  <w:r>
                    <w:rPr>
                      <w:rFonts w:hint="eastAsia" w:cs="Times New Roman"/>
                      <w:b/>
                      <w:bCs/>
                      <w:color w:val="auto"/>
                      <w:szCs w:val="21"/>
                      <w:highlight w:val="none"/>
                      <w:u w:val="none" w:color="auto"/>
                      <w:lang w:val="en-US" w:eastAsia="zh-CN"/>
                    </w:rPr>
                    <w:t>及效率</w:t>
                  </w:r>
                </w:p>
              </w:tc>
              <w:tc>
                <w:tcPr>
                  <w:tcW w:w="718" w:type="pct"/>
                  <w:tcBorders>
                    <w:tl2br w:val="nil"/>
                    <w:tr2bl w:val="nil"/>
                  </w:tcBorders>
                  <w:noWrap w:val="0"/>
                  <w:vAlign w:val="center"/>
                </w:tcPr>
                <w:p w14:paraId="4FBFB8A5">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有组织排放量</w:t>
                  </w:r>
                  <w:r>
                    <w:rPr>
                      <w:rFonts w:hint="default" w:ascii="Times New Roman" w:hAnsi="Times New Roman" w:cs="Times New Roman"/>
                      <w:b/>
                      <w:bCs/>
                      <w:color w:val="auto"/>
                      <w:highlight w:val="none"/>
                      <w:u w:val="none" w:color="auto"/>
                    </w:rPr>
                    <w:t>t</w:t>
                  </w:r>
                  <w:r>
                    <w:rPr>
                      <w:rFonts w:hint="eastAsia" w:ascii="Times New Roman" w:hAnsi="Times New Roman" w:cs="Times New Roman"/>
                      <w:b/>
                      <w:bCs/>
                      <w:color w:val="auto"/>
                      <w:highlight w:val="none"/>
                      <w:u w:val="none" w:color="auto"/>
                      <w:lang w:val="en-US" w:eastAsia="zh-CN"/>
                    </w:rPr>
                    <w:t>/a</w:t>
                  </w:r>
                </w:p>
              </w:tc>
              <w:tc>
                <w:tcPr>
                  <w:tcW w:w="784" w:type="pct"/>
                  <w:tcBorders>
                    <w:tl2br w:val="nil"/>
                    <w:tr2bl w:val="nil"/>
                  </w:tcBorders>
                  <w:noWrap w:val="0"/>
                  <w:vAlign w:val="center"/>
                </w:tcPr>
                <w:p w14:paraId="50343265">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排放浓度</w:t>
                  </w:r>
                  <w:r>
                    <w:rPr>
                      <w:rFonts w:hint="default" w:ascii="Times New Roman" w:hAnsi="Times New Roman" w:cs="Times New Roman"/>
                      <w:b/>
                      <w:bCs/>
                      <w:color w:val="auto"/>
                      <w:sz w:val="21"/>
                      <w:szCs w:val="21"/>
                      <w:highlight w:val="none"/>
                      <w:u w:val="none" w:color="auto"/>
                    </w:rPr>
                    <w:t>mg/</w:t>
                  </w:r>
                  <w:r>
                    <w:rPr>
                      <w:rFonts w:hint="default" w:ascii="Times New Roman" w:hAnsi="Times New Roman" w:cs="Times New Roman"/>
                      <w:b/>
                      <w:bCs/>
                      <w:color w:val="auto"/>
                      <w:sz w:val="21"/>
                      <w:szCs w:val="21"/>
                      <w:highlight w:val="none"/>
                      <w:u w:val="none" w:color="auto"/>
                      <w:lang w:eastAsia="zh-CN"/>
                    </w:rPr>
                    <w:t>m</w:t>
                  </w:r>
                  <w:r>
                    <w:rPr>
                      <w:rFonts w:hint="default" w:ascii="Times New Roman" w:hAnsi="Times New Roman" w:cs="Times New Roman"/>
                      <w:b/>
                      <w:bCs/>
                      <w:color w:val="auto"/>
                      <w:sz w:val="21"/>
                      <w:szCs w:val="21"/>
                      <w:highlight w:val="none"/>
                      <w:u w:val="none" w:color="auto"/>
                      <w:vertAlign w:val="superscript"/>
                      <w:lang w:eastAsia="zh-CN"/>
                    </w:rPr>
                    <w:t>3</w:t>
                  </w:r>
                </w:p>
              </w:tc>
              <w:tc>
                <w:tcPr>
                  <w:tcW w:w="659" w:type="pct"/>
                  <w:tcBorders>
                    <w:tl2br w:val="nil"/>
                    <w:tr2bl w:val="nil"/>
                  </w:tcBorders>
                  <w:noWrap w:val="0"/>
                  <w:vAlign w:val="center"/>
                </w:tcPr>
                <w:p w14:paraId="7CD72B4B">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排放标准</w:t>
                  </w:r>
                  <w:r>
                    <w:rPr>
                      <w:rFonts w:hint="default" w:ascii="Times New Roman" w:hAnsi="Times New Roman" w:cs="Times New Roman"/>
                      <w:b/>
                      <w:bCs/>
                      <w:color w:val="auto"/>
                      <w:sz w:val="21"/>
                      <w:szCs w:val="21"/>
                      <w:highlight w:val="none"/>
                      <w:u w:val="none" w:color="auto"/>
                    </w:rPr>
                    <w:t>mg/</w:t>
                  </w:r>
                  <w:r>
                    <w:rPr>
                      <w:rFonts w:hint="default" w:ascii="Times New Roman" w:hAnsi="Times New Roman" w:cs="Times New Roman"/>
                      <w:b/>
                      <w:bCs/>
                      <w:color w:val="auto"/>
                      <w:sz w:val="21"/>
                      <w:szCs w:val="21"/>
                      <w:highlight w:val="none"/>
                      <w:u w:val="none" w:color="auto"/>
                      <w:lang w:eastAsia="zh-CN"/>
                    </w:rPr>
                    <w:t>m</w:t>
                  </w:r>
                  <w:r>
                    <w:rPr>
                      <w:rFonts w:hint="default" w:ascii="Times New Roman" w:hAnsi="Times New Roman" w:cs="Times New Roman"/>
                      <w:b/>
                      <w:bCs/>
                      <w:color w:val="auto"/>
                      <w:sz w:val="21"/>
                      <w:szCs w:val="21"/>
                      <w:highlight w:val="none"/>
                      <w:u w:val="none" w:color="auto"/>
                      <w:vertAlign w:val="superscript"/>
                      <w:lang w:eastAsia="zh-CN"/>
                    </w:rPr>
                    <w:t>3</w:t>
                  </w:r>
                </w:p>
              </w:tc>
              <w:tc>
                <w:tcPr>
                  <w:tcW w:w="547" w:type="pct"/>
                  <w:tcBorders>
                    <w:tl2br w:val="nil"/>
                    <w:tr2bl w:val="nil"/>
                  </w:tcBorders>
                  <w:noWrap w:val="0"/>
                  <w:vAlign w:val="center"/>
                </w:tcPr>
                <w:p w14:paraId="68317AB5">
                  <w:pPr>
                    <w:jc w:val="center"/>
                    <w:rPr>
                      <w:rFonts w:hint="default" w:ascii="Times New Roman" w:hAnsi="Times New Roman" w:eastAsia="宋体" w:cs="Times New Roman"/>
                      <w:b/>
                      <w:bCs/>
                      <w:color w:val="auto"/>
                      <w:szCs w:val="21"/>
                      <w:highlight w:val="none"/>
                      <w:u w:val="none" w:color="auto"/>
                      <w:lang w:val="en-US" w:eastAsia="zh-CN"/>
                    </w:rPr>
                  </w:pPr>
                  <w:r>
                    <w:rPr>
                      <w:rFonts w:hint="eastAsia" w:cs="Times New Roman"/>
                      <w:b/>
                      <w:bCs/>
                      <w:color w:val="auto"/>
                      <w:szCs w:val="21"/>
                      <w:highlight w:val="none"/>
                      <w:u w:val="none" w:color="auto"/>
                      <w:lang w:val="en-US" w:eastAsia="zh-CN"/>
                    </w:rPr>
                    <w:t>无组织排放量t/a</w:t>
                  </w:r>
                </w:p>
              </w:tc>
            </w:tr>
            <w:tr w14:paraId="602B0A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9" w:hRule="atLeast"/>
              </w:trPr>
              <w:tc>
                <w:tcPr>
                  <w:tcW w:w="476" w:type="pct"/>
                  <w:vMerge w:val="restart"/>
                  <w:tcBorders>
                    <w:tl2br w:val="nil"/>
                    <w:tr2bl w:val="nil"/>
                  </w:tcBorders>
                  <w:shd w:val="clear" w:color="auto" w:fill="auto"/>
                  <w:noWrap w:val="0"/>
                  <w:vAlign w:val="center"/>
                </w:tcPr>
                <w:p w14:paraId="1ECAEA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eastAsia="宋体" w:cs="Times New Roman"/>
                      <w:color w:val="auto"/>
                      <w:kern w:val="0"/>
                      <w:sz w:val="21"/>
                      <w:szCs w:val="21"/>
                      <w:highlight w:val="none"/>
                      <w:u w:val="none" w:color="auto"/>
                      <w:lang w:val="en-US" w:eastAsia="zh-CN" w:bidi="ar-SA"/>
                    </w:rPr>
                    <w:t>焚烧炉</w:t>
                  </w:r>
                </w:p>
                <w:p w14:paraId="691BC0AD">
                  <w:pPr>
                    <w:jc w:val="center"/>
                    <w:rPr>
                      <w:rFonts w:hint="default" w:ascii="Times New Roman" w:hAnsi="Times New Roman" w:cs="Times New Roman"/>
                      <w:b/>
                      <w:bCs/>
                      <w:color w:val="auto"/>
                      <w:szCs w:val="21"/>
                      <w:highlight w:val="none"/>
                      <w:u w:val="none" w:color="auto"/>
                    </w:rPr>
                  </w:pPr>
                </w:p>
              </w:tc>
              <w:tc>
                <w:tcPr>
                  <w:tcW w:w="551" w:type="pct"/>
                  <w:tcBorders>
                    <w:tl2br w:val="nil"/>
                    <w:tr2bl w:val="nil"/>
                  </w:tcBorders>
                  <w:shd w:val="clear" w:color="auto" w:fill="auto"/>
                  <w:noWrap w:val="0"/>
                  <w:vAlign w:val="center"/>
                </w:tcPr>
                <w:p w14:paraId="6034C1D3">
                  <w:pPr>
                    <w:pStyle w:val="63"/>
                    <w:tabs>
                      <w:tab w:val="left" w:pos="1021"/>
                    </w:tabs>
                    <w:ind w:firstLine="0" w:firstLineChars="0"/>
                    <w:jc w:val="center"/>
                    <w:rPr>
                      <w:rFonts w:hint="default" w:ascii="Times New Roman" w:hAnsi="Times New Roman" w:eastAsia="宋体" w:cs="Times New Roman"/>
                      <w:color w:val="auto"/>
                      <w:kern w:val="0"/>
                      <w:sz w:val="21"/>
                      <w:szCs w:val="21"/>
                      <w:highlight w:val="none"/>
                      <w:u w:val="single" w:color="auto"/>
                      <w:lang w:val="en-US" w:eastAsia="zh-CN" w:bidi="ar-SA"/>
                    </w:rPr>
                  </w:pPr>
                  <w:r>
                    <w:rPr>
                      <w:rFonts w:hint="default" w:ascii="Times New Roman" w:hAnsi="Times New Roman" w:cs="Times New Roman"/>
                      <w:color w:val="auto"/>
                      <w:highlight w:val="none"/>
                      <w:u w:val="single" w:color="auto"/>
                    </w:rPr>
                    <w:t>SO</w:t>
                  </w:r>
                  <w:r>
                    <w:rPr>
                      <w:rFonts w:hint="default" w:ascii="Times New Roman" w:hAnsi="Times New Roman" w:cs="Times New Roman"/>
                      <w:color w:val="auto"/>
                      <w:highlight w:val="none"/>
                      <w:u w:val="single" w:color="auto"/>
                      <w:vertAlign w:val="subscript"/>
                    </w:rPr>
                    <w:t>2</w:t>
                  </w:r>
                </w:p>
              </w:tc>
              <w:tc>
                <w:tcPr>
                  <w:tcW w:w="839" w:type="dxa"/>
                  <w:tcBorders>
                    <w:tl2br w:val="nil"/>
                    <w:tr2bl w:val="nil"/>
                  </w:tcBorders>
                  <w:shd w:val="clear" w:color="auto" w:fill="auto"/>
                  <w:noWrap w:val="0"/>
                  <w:vAlign w:val="center"/>
                </w:tcPr>
                <w:p w14:paraId="7CF7850D">
                  <w:pPr>
                    <w:pStyle w:val="63"/>
                    <w:tabs>
                      <w:tab w:val="left" w:pos="1021"/>
                    </w:tabs>
                    <w:ind w:firstLine="0" w:firstLineChars="0"/>
                    <w:jc w:val="center"/>
                    <w:rPr>
                      <w:rFonts w:hint="default" w:ascii="Times New Roman" w:hAnsi="Times New Roman" w:eastAsia="宋体" w:cs="Times New Roman"/>
                      <w:b w:val="0"/>
                      <w:bCs w:val="0"/>
                      <w:color w:val="auto"/>
                      <w:kern w:val="0"/>
                      <w:sz w:val="21"/>
                      <w:szCs w:val="21"/>
                      <w:highlight w:val="none"/>
                      <w:u w:val="single" w:color="auto"/>
                      <w:lang w:val="en-US" w:eastAsia="zh-CN" w:bidi="ar-SA"/>
                    </w:rPr>
                  </w:pPr>
                  <w:r>
                    <w:rPr>
                      <w:rFonts w:hint="eastAsia" w:ascii="Times New Roman" w:hAnsi="Times New Roman" w:cs="Times New Roman"/>
                      <w:color w:val="auto"/>
                      <w:highlight w:val="none"/>
                      <w:u w:val="single" w:color="auto"/>
                      <w:lang w:val="en-US" w:eastAsia="zh-CN"/>
                    </w:rPr>
                    <w:t>0.031</w:t>
                  </w:r>
                </w:p>
              </w:tc>
              <w:tc>
                <w:tcPr>
                  <w:tcW w:w="727" w:type="pct"/>
                  <w:vMerge w:val="restart"/>
                  <w:tcBorders>
                    <w:tl2br w:val="nil"/>
                    <w:tr2bl w:val="nil"/>
                  </w:tcBorders>
                  <w:shd w:val="clear" w:color="auto" w:fill="auto"/>
                  <w:noWrap w:val="0"/>
                  <w:vAlign w:val="center"/>
                </w:tcPr>
                <w:p w14:paraId="3AD50433">
                  <w:pPr>
                    <w:pStyle w:val="120"/>
                    <w:keepNext w:val="0"/>
                    <w:keepLines w:val="0"/>
                    <w:suppressLineNumbers w:val="0"/>
                    <w:spacing w:beforeAutospacing="0" w:afterAutospacing="0" w:line="240" w:lineRule="auto"/>
                    <w:ind w:left="0" w:leftChars="0" w:right="113" w:rightChars="0" w:firstLine="0" w:firstLineChars="0"/>
                    <w:jc w:val="center"/>
                    <w:rPr>
                      <w:rFonts w:hint="default" w:ascii="Times New Roman" w:hAnsi="Times New Roman" w:cs="Times New Roman"/>
                      <w:b/>
                      <w:bCs/>
                      <w:color w:val="auto"/>
                      <w:szCs w:val="21"/>
                      <w:highlight w:val="none"/>
                      <w:u w:val="single" w:color="auto"/>
                    </w:rPr>
                  </w:pPr>
                  <w:r>
                    <w:rPr>
                      <w:rFonts w:hint="eastAsia" w:ascii="Times New Roman" w:hAnsi="Times New Roman" w:cs="Times New Roman"/>
                      <w:color w:val="auto"/>
                      <w:kern w:val="0"/>
                      <w:sz w:val="21"/>
                      <w:szCs w:val="20"/>
                      <w:highlight w:val="none"/>
                      <w:u w:val="single" w:color="auto"/>
                      <w:lang w:val="en-US" w:eastAsia="zh-CN" w:bidi="ar-SA"/>
                    </w:rPr>
                    <w:t>“旋风除尘+高温布袋除尘”</w:t>
                  </w:r>
                </w:p>
              </w:tc>
              <w:tc>
                <w:tcPr>
                  <w:tcW w:w="1129" w:type="dxa"/>
                  <w:tcBorders>
                    <w:tl2br w:val="nil"/>
                    <w:tr2bl w:val="nil"/>
                  </w:tcBorders>
                  <w:shd w:val="clear" w:color="auto" w:fill="auto"/>
                  <w:noWrap w:val="0"/>
                  <w:vAlign w:val="center"/>
                </w:tcPr>
                <w:p w14:paraId="2112AF77">
                  <w:pPr>
                    <w:pStyle w:val="63"/>
                    <w:tabs>
                      <w:tab w:val="left" w:pos="1021"/>
                    </w:tabs>
                    <w:ind w:firstLine="0" w:firstLineChars="0"/>
                    <w:jc w:val="center"/>
                    <w:rPr>
                      <w:rFonts w:hint="default" w:ascii="Times New Roman" w:hAnsi="Times New Roman" w:eastAsia="宋体" w:cs="Times New Roman"/>
                      <w:color w:val="auto"/>
                      <w:kern w:val="2"/>
                      <w:sz w:val="21"/>
                      <w:szCs w:val="21"/>
                      <w:u w:val="single" w:color="auto"/>
                      <w:vertAlign w:val="baseline"/>
                      <w:lang w:val="en-US" w:eastAsia="zh-CN" w:bidi="ar-SA"/>
                    </w:rPr>
                  </w:pPr>
                  <w:r>
                    <w:rPr>
                      <w:rFonts w:hint="eastAsia" w:ascii="Times New Roman" w:hAnsi="Times New Roman" w:cs="Times New Roman"/>
                      <w:color w:val="auto"/>
                      <w:highlight w:val="none"/>
                      <w:u w:val="single" w:color="auto"/>
                      <w:lang w:val="en-US" w:eastAsia="zh-CN"/>
                    </w:rPr>
                    <w:t>0.031</w:t>
                  </w:r>
                </w:p>
              </w:tc>
              <w:tc>
                <w:tcPr>
                  <w:tcW w:w="1233" w:type="dxa"/>
                  <w:tcBorders>
                    <w:tl2br w:val="nil"/>
                    <w:tr2bl w:val="nil"/>
                  </w:tcBorders>
                  <w:shd w:val="clear" w:color="auto" w:fill="auto"/>
                  <w:noWrap w:val="0"/>
                  <w:vAlign w:val="center"/>
                </w:tcPr>
                <w:p w14:paraId="67E1009E">
                  <w:pPr>
                    <w:pStyle w:val="63"/>
                    <w:tabs>
                      <w:tab w:val="left" w:pos="1021"/>
                    </w:tabs>
                    <w:ind w:firstLine="0" w:firstLineChars="0"/>
                    <w:jc w:val="center"/>
                    <w:rPr>
                      <w:rFonts w:hint="default" w:ascii="Times New Roman" w:hAnsi="Times New Roman" w:eastAsia="宋体" w:cs="Times New Roman"/>
                      <w:b w:val="0"/>
                      <w:bCs w:val="0"/>
                      <w:color w:val="auto"/>
                      <w:kern w:val="0"/>
                      <w:sz w:val="21"/>
                      <w:szCs w:val="21"/>
                      <w:highlight w:val="none"/>
                      <w:u w:val="single" w:color="auto"/>
                      <w:lang w:val="en-US" w:eastAsia="zh-CN" w:bidi="ar-SA"/>
                    </w:rPr>
                  </w:pPr>
                  <w:r>
                    <w:rPr>
                      <w:rFonts w:hint="eastAsia" w:ascii="Times New Roman" w:hAnsi="Times New Roman" w:cs="Times New Roman"/>
                      <w:color w:val="auto"/>
                      <w:highlight w:val="none"/>
                      <w:u w:val="single" w:color="auto"/>
                      <w:lang w:val="en-US" w:eastAsia="zh-CN"/>
                    </w:rPr>
                    <w:t>25.62</w:t>
                  </w:r>
                </w:p>
              </w:tc>
              <w:tc>
                <w:tcPr>
                  <w:tcW w:w="1036" w:type="dxa"/>
                  <w:tcBorders>
                    <w:tl2br w:val="nil"/>
                    <w:tr2bl w:val="nil"/>
                  </w:tcBorders>
                  <w:shd w:val="clear" w:color="auto" w:fill="auto"/>
                  <w:noWrap w:val="0"/>
                  <w:vAlign w:val="center"/>
                </w:tcPr>
                <w:p w14:paraId="19AEA75F">
                  <w:pPr>
                    <w:jc w:val="center"/>
                    <w:rPr>
                      <w:rFonts w:hint="default" w:ascii="Times New Roman" w:hAnsi="Times New Roman" w:eastAsia="黑体" w:cs="Times New Roman"/>
                      <w:color w:val="auto"/>
                      <w:kern w:val="2"/>
                      <w:sz w:val="21"/>
                      <w:szCs w:val="21"/>
                      <w:highlight w:val="none"/>
                      <w:u w:val="single" w:color="auto"/>
                      <w:lang w:val="en-US" w:eastAsia="zh-CN" w:bidi="ar-SA"/>
                    </w:rPr>
                  </w:pPr>
                  <w:r>
                    <w:rPr>
                      <w:rFonts w:hint="eastAsia" w:cs="Times New Roman"/>
                      <w:color w:val="auto"/>
                      <w:sz w:val="21"/>
                      <w:szCs w:val="21"/>
                      <w:highlight w:val="none"/>
                      <w:u w:val="single" w:color="auto"/>
                      <w:lang w:val="en-US" w:eastAsia="zh-CN"/>
                    </w:rPr>
                    <w:t>20</w:t>
                  </w:r>
                  <w:r>
                    <w:rPr>
                      <w:rFonts w:hint="eastAsia" w:ascii="Times New Roman" w:hAnsi="Times New Roman" w:cs="Times New Roman"/>
                      <w:color w:val="auto"/>
                      <w:sz w:val="21"/>
                      <w:szCs w:val="21"/>
                      <w:highlight w:val="none"/>
                      <w:u w:val="single" w:color="auto"/>
                      <w:lang w:val="en-US" w:eastAsia="zh-CN"/>
                    </w:rPr>
                    <w:t>0</w:t>
                  </w:r>
                </w:p>
              </w:tc>
              <w:tc>
                <w:tcPr>
                  <w:tcW w:w="547" w:type="pct"/>
                  <w:tcBorders>
                    <w:tl2br w:val="nil"/>
                    <w:tr2bl w:val="nil"/>
                  </w:tcBorders>
                  <w:shd w:val="clear" w:color="auto" w:fill="auto"/>
                  <w:noWrap w:val="0"/>
                  <w:vAlign w:val="center"/>
                </w:tcPr>
                <w:p w14:paraId="036B30F6">
                  <w:pPr>
                    <w:jc w:val="center"/>
                    <w:rPr>
                      <w:rFonts w:hint="eastAsia" w:ascii="Times New Roman" w:hAnsi="Times New Roman" w:eastAsia="黑体" w:cs="Times New Roman"/>
                      <w:b w:val="0"/>
                      <w:bCs w:val="0"/>
                      <w:color w:val="auto"/>
                      <w:kern w:val="2"/>
                      <w:sz w:val="21"/>
                      <w:szCs w:val="21"/>
                      <w:highlight w:val="none"/>
                      <w:u w:val="none" w:color="auto"/>
                      <w:lang w:val="en-US" w:eastAsia="zh-CN" w:bidi="ar-SA"/>
                    </w:rPr>
                  </w:pPr>
                  <w:r>
                    <w:rPr>
                      <w:rFonts w:hint="eastAsia" w:cs="Times New Roman"/>
                      <w:b w:val="0"/>
                      <w:bCs w:val="0"/>
                      <w:color w:val="auto"/>
                      <w:szCs w:val="21"/>
                      <w:highlight w:val="none"/>
                      <w:u w:val="none" w:color="auto"/>
                      <w:lang w:val="en-US" w:eastAsia="zh-CN"/>
                    </w:rPr>
                    <w:t>/</w:t>
                  </w:r>
                </w:p>
              </w:tc>
            </w:tr>
            <w:tr w14:paraId="486250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24" w:hRule="atLeast"/>
              </w:trPr>
              <w:tc>
                <w:tcPr>
                  <w:tcW w:w="476" w:type="pct"/>
                  <w:vMerge w:val="continue"/>
                  <w:tcBorders>
                    <w:tl2br w:val="nil"/>
                    <w:tr2bl w:val="nil"/>
                  </w:tcBorders>
                  <w:noWrap w:val="0"/>
                  <w:vAlign w:val="center"/>
                </w:tcPr>
                <w:p w14:paraId="7CD8E6B9">
                  <w:pPr>
                    <w:jc w:val="center"/>
                    <w:rPr>
                      <w:rFonts w:hint="default" w:ascii="Times New Roman" w:hAnsi="Times New Roman" w:cs="Times New Roman"/>
                      <w:b/>
                      <w:bCs/>
                      <w:color w:val="auto"/>
                      <w:szCs w:val="21"/>
                      <w:highlight w:val="none"/>
                      <w:u w:val="none" w:color="auto"/>
                    </w:rPr>
                  </w:pPr>
                </w:p>
              </w:tc>
              <w:tc>
                <w:tcPr>
                  <w:tcW w:w="551" w:type="pct"/>
                  <w:tcBorders>
                    <w:tl2br w:val="nil"/>
                    <w:tr2bl w:val="nil"/>
                  </w:tcBorders>
                  <w:shd w:val="clear" w:color="auto" w:fill="auto"/>
                  <w:noWrap w:val="0"/>
                  <w:vAlign w:val="center"/>
                </w:tcPr>
                <w:p w14:paraId="33A48401">
                  <w:pPr>
                    <w:pStyle w:val="63"/>
                    <w:tabs>
                      <w:tab w:val="left" w:pos="1021"/>
                    </w:tabs>
                    <w:ind w:firstLine="0" w:firstLineChars="0"/>
                    <w:jc w:val="center"/>
                    <w:rPr>
                      <w:rFonts w:hint="default" w:ascii="Times New Roman" w:hAnsi="Times New Roman" w:eastAsia="宋体" w:cs="Times New Roman"/>
                      <w:color w:val="auto"/>
                      <w:kern w:val="0"/>
                      <w:sz w:val="21"/>
                      <w:szCs w:val="21"/>
                      <w:highlight w:val="none"/>
                      <w:u w:val="single" w:color="auto"/>
                      <w:lang w:val="en-US" w:eastAsia="zh-CN" w:bidi="ar-SA"/>
                    </w:rPr>
                  </w:pPr>
                  <w:r>
                    <w:rPr>
                      <w:rFonts w:hint="default" w:ascii="Times New Roman" w:hAnsi="Times New Roman" w:cs="Times New Roman"/>
                      <w:color w:val="auto"/>
                      <w:highlight w:val="none"/>
                      <w:u w:val="single" w:color="auto"/>
                    </w:rPr>
                    <w:t>NO</w:t>
                  </w:r>
                  <w:r>
                    <w:rPr>
                      <w:rFonts w:hint="default" w:ascii="Times New Roman" w:hAnsi="Times New Roman" w:cs="Times New Roman"/>
                      <w:color w:val="auto"/>
                      <w:highlight w:val="none"/>
                      <w:u w:val="single" w:color="auto"/>
                      <w:vertAlign w:val="subscript"/>
                    </w:rPr>
                    <w:t>X</w:t>
                  </w:r>
                </w:p>
              </w:tc>
              <w:tc>
                <w:tcPr>
                  <w:tcW w:w="839" w:type="dxa"/>
                  <w:tcBorders>
                    <w:tl2br w:val="nil"/>
                    <w:tr2bl w:val="nil"/>
                  </w:tcBorders>
                  <w:shd w:val="clear" w:color="auto" w:fill="auto"/>
                  <w:noWrap w:val="0"/>
                  <w:vAlign w:val="center"/>
                </w:tcPr>
                <w:p w14:paraId="7B71B4A2">
                  <w:pPr>
                    <w:pStyle w:val="63"/>
                    <w:tabs>
                      <w:tab w:val="left" w:pos="1021"/>
                    </w:tabs>
                    <w:ind w:firstLine="0" w:firstLineChars="0"/>
                    <w:jc w:val="center"/>
                    <w:rPr>
                      <w:rFonts w:hint="default" w:ascii="Times New Roman" w:hAnsi="Times New Roman" w:eastAsia="宋体" w:cs="Times New Roman"/>
                      <w:color w:val="auto"/>
                      <w:kern w:val="2"/>
                      <w:sz w:val="21"/>
                      <w:szCs w:val="21"/>
                      <w:highlight w:val="none"/>
                      <w:u w:val="single" w:color="auto"/>
                      <w:lang w:val="en-US" w:eastAsia="zh-CN" w:bidi="ar-SA"/>
                    </w:rPr>
                  </w:pPr>
                  <w:r>
                    <w:rPr>
                      <w:rFonts w:hint="eastAsia" w:ascii="Times New Roman" w:hAnsi="Times New Roman" w:eastAsia="宋体" w:cs="Times New Roman"/>
                      <w:color w:val="auto"/>
                      <w:highlight w:val="none"/>
                      <w:u w:val="single" w:color="auto"/>
                      <w:lang w:val="en-US" w:eastAsia="zh-CN"/>
                    </w:rPr>
                    <w:t>0.201</w:t>
                  </w:r>
                </w:p>
              </w:tc>
              <w:tc>
                <w:tcPr>
                  <w:tcW w:w="727" w:type="pct"/>
                  <w:vMerge w:val="continue"/>
                  <w:tcBorders>
                    <w:tl2br w:val="nil"/>
                    <w:tr2bl w:val="nil"/>
                  </w:tcBorders>
                  <w:noWrap w:val="0"/>
                  <w:vAlign w:val="center"/>
                </w:tcPr>
                <w:p w14:paraId="739C3E16">
                  <w:pPr>
                    <w:jc w:val="center"/>
                    <w:rPr>
                      <w:rFonts w:hint="default" w:ascii="Times New Roman" w:hAnsi="Times New Roman" w:cs="Times New Roman"/>
                      <w:b/>
                      <w:bCs/>
                      <w:color w:val="auto"/>
                      <w:szCs w:val="21"/>
                      <w:highlight w:val="none"/>
                      <w:u w:val="single" w:color="auto"/>
                    </w:rPr>
                  </w:pPr>
                </w:p>
              </w:tc>
              <w:tc>
                <w:tcPr>
                  <w:tcW w:w="1129" w:type="dxa"/>
                  <w:tcBorders>
                    <w:tl2br w:val="nil"/>
                    <w:tr2bl w:val="nil"/>
                  </w:tcBorders>
                  <w:shd w:val="clear" w:color="auto" w:fill="auto"/>
                  <w:noWrap w:val="0"/>
                  <w:vAlign w:val="center"/>
                </w:tcPr>
                <w:p w14:paraId="6B0F4D30">
                  <w:pPr>
                    <w:pStyle w:val="63"/>
                    <w:tabs>
                      <w:tab w:val="left" w:pos="1021"/>
                    </w:tabs>
                    <w:ind w:firstLine="0" w:firstLineChars="0"/>
                    <w:jc w:val="center"/>
                    <w:rPr>
                      <w:rFonts w:hint="default" w:ascii="Times New Roman" w:hAnsi="Times New Roman" w:eastAsia="宋体" w:cs="Times New Roman"/>
                      <w:color w:val="auto"/>
                      <w:kern w:val="2"/>
                      <w:sz w:val="21"/>
                      <w:szCs w:val="21"/>
                      <w:u w:val="single" w:color="auto"/>
                      <w:vertAlign w:val="baseline"/>
                      <w:lang w:val="en-US" w:eastAsia="zh-CN" w:bidi="ar-SA"/>
                    </w:rPr>
                  </w:pPr>
                  <w:r>
                    <w:rPr>
                      <w:rFonts w:hint="eastAsia" w:ascii="Times New Roman" w:hAnsi="Times New Roman" w:eastAsia="宋体" w:cs="Times New Roman"/>
                      <w:color w:val="auto"/>
                      <w:highlight w:val="none"/>
                      <w:u w:val="single" w:color="auto"/>
                      <w:lang w:val="en-US" w:eastAsia="zh-CN"/>
                    </w:rPr>
                    <w:t>0.201</w:t>
                  </w:r>
                </w:p>
              </w:tc>
              <w:tc>
                <w:tcPr>
                  <w:tcW w:w="1233" w:type="dxa"/>
                  <w:tcBorders>
                    <w:tl2br w:val="nil"/>
                    <w:tr2bl w:val="nil"/>
                  </w:tcBorders>
                  <w:shd w:val="clear" w:color="auto" w:fill="auto"/>
                  <w:noWrap w:val="0"/>
                  <w:vAlign w:val="center"/>
                </w:tcPr>
                <w:p w14:paraId="61CC3B7C">
                  <w:pPr>
                    <w:pStyle w:val="63"/>
                    <w:tabs>
                      <w:tab w:val="left" w:pos="1021"/>
                    </w:tabs>
                    <w:ind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cs="Times New Roman"/>
                      <w:color w:val="auto"/>
                      <w:highlight w:val="none"/>
                      <w:u w:val="single" w:color="auto"/>
                      <w:lang w:val="en-US" w:eastAsia="zh-CN"/>
                    </w:rPr>
                    <w:t>166.13</w:t>
                  </w:r>
                </w:p>
              </w:tc>
              <w:tc>
                <w:tcPr>
                  <w:tcW w:w="1036" w:type="dxa"/>
                  <w:tcBorders>
                    <w:tl2br w:val="nil"/>
                    <w:tr2bl w:val="nil"/>
                  </w:tcBorders>
                  <w:shd w:val="clear" w:color="auto" w:fill="auto"/>
                  <w:noWrap w:val="0"/>
                  <w:vAlign w:val="center"/>
                </w:tcPr>
                <w:p w14:paraId="7FABE0AF">
                  <w:pPr>
                    <w:jc w:val="center"/>
                    <w:rPr>
                      <w:rFonts w:hint="default" w:ascii="Times New Roman" w:hAnsi="Times New Roman" w:eastAsia="宋体" w:cs="Times New Roman"/>
                      <w:b w:val="0"/>
                      <w:bCs w:val="0"/>
                      <w:color w:val="auto"/>
                      <w:kern w:val="2"/>
                      <w:sz w:val="21"/>
                      <w:szCs w:val="21"/>
                      <w:highlight w:val="none"/>
                      <w:u w:val="single" w:color="auto"/>
                      <w:lang w:val="en-US" w:eastAsia="zh-CN" w:bidi="ar-SA"/>
                    </w:rPr>
                  </w:pPr>
                  <w:r>
                    <w:rPr>
                      <w:rFonts w:hint="eastAsia" w:ascii="Times New Roman" w:hAnsi="Times New Roman" w:cs="Times New Roman"/>
                      <w:color w:val="auto"/>
                      <w:sz w:val="21"/>
                      <w:szCs w:val="21"/>
                      <w:highlight w:val="none"/>
                      <w:u w:val="single" w:color="auto"/>
                      <w:lang w:val="en-US" w:eastAsia="zh-CN"/>
                    </w:rPr>
                    <w:t>3</w:t>
                  </w:r>
                  <w:r>
                    <w:rPr>
                      <w:rFonts w:hint="eastAsia" w:cs="Times New Roman"/>
                      <w:color w:val="auto"/>
                      <w:sz w:val="21"/>
                      <w:szCs w:val="21"/>
                      <w:highlight w:val="none"/>
                      <w:u w:val="single" w:color="auto"/>
                      <w:lang w:val="en-US" w:eastAsia="zh-CN"/>
                    </w:rPr>
                    <w:t>0</w:t>
                  </w:r>
                  <w:r>
                    <w:rPr>
                      <w:rFonts w:hint="eastAsia" w:ascii="Times New Roman" w:hAnsi="Times New Roman" w:cs="Times New Roman"/>
                      <w:color w:val="auto"/>
                      <w:sz w:val="21"/>
                      <w:szCs w:val="21"/>
                      <w:highlight w:val="none"/>
                      <w:u w:val="single" w:color="auto"/>
                      <w:lang w:val="en-US" w:eastAsia="zh-CN"/>
                    </w:rPr>
                    <w:t>0</w:t>
                  </w:r>
                </w:p>
              </w:tc>
              <w:tc>
                <w:tcPr>
                  <w:tcW w:w="547" w:type="pct"/>
                  <w:tcBorders>
                    <w:tl2br w:val="nil"/>
                    <w:tr2bl w:val="nil"/>
                  </w:tcBorders>
                  <w:shd w:val="clear" w:color="auto" w:fill="auto"/>
                  <w:noWrap w:val="0"/>
                  <w:vAlign w:val="center"/>
                </w:tcPr>
                <w:p w14:paraId="444C5A0F">
                  <w:pPr>
                    <w:jc w:val="center"/>
                    <w:rPr>
                      <w:rFonts w:hint="eastAsia" w:ascii="Times New Roman" w:hAnsi="Times New Roman" w:eastAsia="宋体" w:cs="Times New Roman"/>
                      <w:b w:val="0"/>
                      <w:bCs w:val="0"/>
                      <w:color w:val="auto"/>
                      <w:kern w:val="2"/>
                      <w:sz w:val="21"/>
                      <w:szCs w:val="21"/>
                      <w:highlight w:val="none"/>
                      <w:u w:val="none" w:color="auto"/>
                      <w:lang w:val="en-US" w:eastAsia="zh-CN" w:bidi="ar-SA"/>
                    </w:rPr>
                  </w:pPr>
                  <w:r>
                    <w:rPr>
                      <w:rFonts w:hint="eastAsia" w:cs="Times New Roman"/>
                      <w:b w:val="0"/>
                      <w:bCs w:val="0"/>
                      <w:color w:val="auto"/>
                      <w:szCs w:val="21"/>
                      <w:highlight w:val="none"/>
                      <w:u w:val="none" w:color="auto"/>
                      <w:lang w:val="en-US" w:eastAsia="zh-CN"/>
                    </w:rPr>
                    <w:t>/</w:t>
                  </w:r>
                </w:p>
              </w:tc>
            </w:tr>
            <w:tr w14:paraId="1C95F7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11" w:hRule="atLeast"/>
              </w:trPr>
              <w:tc>
                <w:tcPr>
                  <w:tcW w:w="476" w:type="pct"/>
                  <w:vMerge w:val="continue"/>
                  <w:tcBorders>
                    <w:tl2br w:val="nil"/>
                    <w:tr2bl w:val="nil"/>
                  </w:tcBorders>
                  <w:noWrap w:val="0"/>
                  <w:vAlign w:val="center"/>
                </w:tcPr>
                <w:p w14:paraId="094F58C7">
                  <w:pPr>
                    <w:jc w:val="center"/>
                    <w:rPr>
                      <w:rFonts w:hint="default" w:ascii="Times New Roman" w:hAnsi="Times New Roman" w:cs="Times New Roman"/>
                      <w:b/>
                      <w:bCs/>
                      <w:color w:val="auto"/>
                      <w:szCs w:val="21"/>
                      <w:highlight w:val="none"/>
                      <w:u w:val="none" w:color="auto"/>
                    </w:rPr>
                  </w:pPr>
                </w:p>
              </w:tc>
              <w:tc>
                <w:tcPr>
                  <w:tcW w:w="551" w:type="pct"/>
                  <w:tcBorders>
                    <w:tl2br w:val="nil"/>
                    <w:tr2bl w:val="nil"/>
                  </w:tcBorders>
                  <w:shd w:val="clear" w:color="auto" w:fill="auto"/>
                  <w:noWrap w:val="0"/>
                  <w:vAlign w:val="center"/>
                </w:tcPr>
                <w:p w14:paraId="14AAFACE">
                  <w:pPr>
                    <w:pStyle w:val="63"/>
                    <w:tabs>
                      <w:tab w:val="left" w:pos="1021"/>
                    </w:tabs>
                    <w:ind w:firstLine="0" w:firstLineChars="0"/>
                    <w:jc w:val="center"/>
                    <w:rPr>
                      <w:rFonts w:hint="default" w:ascii="Times New Roman" w:hAnsi="Times New Roman" w:eastAsia="宋体" w:cs="Times New Roman"/>
                      <w:color w:val="auto"/>
                      <w:kern w:val="0"/>
                      <w:sz w:val="21"/>
                      <w:szCs w:val="21"/>
                      <w:highlight w:val="none"/>
                      <w:u w:val="single" w:color="auto"/>
                      <w:lang w:val="en-US" w:eastAsia="zh-CN" w:bidi="ar-SA"/>
                    </w:rPr>
                  </w:pPr>
                  <w:r>
                    <w:rPr>
                      <w:rFonts w:hint="default" w:ascii="Times New Roman" w:hAnsi="Times New Roman" w:cs="Times New Roman"/>
                      <w:color w:val="auto"/>
                      <w:highlight w:val="none"/>
                      <w:u w:val="single" w:color="auto"/>
                    </w:rPr>
                    <w:t>颗粒物</w:t>
                  </w:r>
                </w:p>
              </w:tc>
              <w:tc>
                <w:tcPr>
                  <w:tcW w:w="839" w:type="dxa"/>
                  <w:tcBorders>
                    <w:tl2br w:val="nil"/>
                    <w:tr2bl w:val="nil"/>
                  </w:tcBorders>
                  <w:shd w:val="clear" w:color="auto" w:fill="auto"/>
                  <w:noWrap w:val="0"/>
                  <w:vAlign w:val="center"/>
                </w:tcPr>
                <w:p w14:paraId="41EB44E8">
                  <w:pPr>
                    <w:pStyle w:val="63"/>
                    <w:tabs>
                      <w:tab w:val="left" w:pos="1021"/>
                    </w:tabs>
                    <w:ind w:firstLine="0" w:firstLineChars="0"/>
                    <w:jc w:val="center"/>
                    <w:rPr>
                      <w:rFonts w:hint="default" w:ascii="Times New Roman" w:hAnsi="Times New Roman" w:eastAsia="宋体" w:cs="Times New Roman"/>
                      <w:color w:val="auto"/>
                      <w:kern w:val="2"/>
                      <w:sz w:val="21"/>
                      <w:szCs w:val="21"/>
                      <w:highlight w:val="none"/>
                      <w:u w:val="single" w:color="auto"/>
                      <w:lang w:val="en-US" w:eastAsia="zh-CN" w:bidi="ar-SA"/>
                    </w:rPr>
                  </w:pPr>
                  <w:r>
                    <w:rPr>
                      <w:rFonts w:hint="eastAsia" w:ascii="Times New Roman" w:hAnsi="Times New Roman" w:eastAsia="宋体" w:cs="Times New Roman"/>
                      <w:color w:val="auto"/>
                      <w:highlight w:val="none"/>
                      <w:u w:val="single" w:color="auto"/>
                      <w:lang w:val="en-US" w:eastAsia="zh-CN"/>
                    </w:rPr>
                    <w:t>1.908</w:t>
                  </w:r>
                </w:p>
              </w:tc>
              <w:tc>
                <w:tcPr>
                  <w:tcW w:w="727" w:type="pct"/>
                  <w:vMerge w:val="continue"/>
                  <w:tcBorders>
                    <w:tl2br w:val="nil"/>
                    <w:tr2bl w:val="nil"/>
                  </w:tcBorders>
                  <w:noWrap w:val="0"/>
                  <w:vAlign w:val="center"/>
                </w:tcPr>
                <w:p w14:paraId="1D833D38">
                  <w:pPr>
                    <w:jc w:val="center"/>
                    <w:rPr>
                      <w:rFonts w:hint="default" w:ascii="Times New Roman" w:hAnsi="Times New Roman" w:cs="Times New Roman"/>
                      <w:b/>
                      <w:bCs/>
                      <w:color w:val="auto"/>
                      <w:szCs w:val="21"/>
                      <w:highlight w:val="none"/>
                      <w:u w:val="single" w:color="auto"/>
                    </w:rPr>
                  </w:pPr>
                </w:p>
              </w:tc>
              <w:tc>
                <w:tcPr>
                  <w:tcW w:w="1129" w:type="dxa"/>
                  <w:tcBorders>
                    <w:tl2br w:val="nil"/>
                    <w:tr2bl w:val="nil"/>
                  </w:tcBorders>
                  <w:shd w:val="clear" w:color="auto" w:fill="auto"/>
                  <w:noWrap w:val="0"/>
                  <w:vAlign w:val="center"/>
                </w:tcPr>
                <w:p w14:paraId="379E0BCB">
                  <w:pPr>
                    <w:jc w:val="center"/>
                    <w:rPr>
                      <w:rFonts w:hint="default" w:ascii="Times New Roman" w:hAnsi="Times New Roman" w:eastAsia="宋体" w:cs="Times New Roman"/>
                      <w:color w:val="auto"/>
                      <w:kern w:val="2"/>
                      <w:sz w:val="21"/>
                      <w:szCs w:val="21"/>
                      <w:u w:val="single" w:color="auto"/>
                      <w:vertAlign w:val="baseline"/>
                      <w:lang w:val="en-US" w:eastAsia="zh-CN" w:bidi="ar-SA"/>
                    </w:rPr>
                  </w:pPr>
                  <w:r>
                    <w:rPr>
                      <w:rFonts w:hint="default" w:ascii="Times New Roman" w:hAnsi="Times New Roman" w:eastAsia="宋体" w:cs="Times New Roman"/>
                      <w:color w:val="auto"/>
                      <w:kern w:val="0"/>
                      <w:sz w:val="21"/>
                      <w:szCs w:val="20"/>
                      <w:highlight w:val="none"/>
                      <w:u w:val="single" w:color="auto"/>
                      <w:lang w:val="en-US" w:eastAsia="zh-CN" w:bidi="ar-SA"/>
                    </w:rPr>
                    <w:t>0.00</w:t>
                  </w:r>
                  <w:r>
                    <w:rPr>
                      <w:rFonts w:hint="eastAsia" w:ascii="Times New Roman" w:hAnsi="Times New Roman" w:eastAsia="宋体" w:cs="Times New Roman"/>
                      <w:color w:val="auto"/>
                      <w:kern w:val="0"/>
                      <w:sz w:val="21"/>
                      <w:szCs w:val="20"/>
                      <w:highlight w:val="none"/>
                      <w:u w:val="single" w:color="auto"/>
                      <w:lang w:val="en-US" w:eastAsia="zh-CN" w:bidi="ar-SA"/>
                    </w:rPr>
                    <w:t>57</w:t>
                  </w:r>
                </w:p>
              </w:tc>
              <w:tc>
                <w:tcPr>
                  <w:tcW w:w="1233" w:type="dxa"/>
                  <w:tcBorders>
                    <w:tl2br w:val="nil"/>
                    <w:tr2bl w:val="nil"/>
                  </w:tcBorders>
                  <w:shd w:val="clear" w:color="auto" w:fill="auto"/>
                  <w:noWrap w:val="0"/>
                  <w:vAlign w:val="center"/>
                </w:tcPr>
                <w:p w14:paraId="2B79185F">
                  <w:pPr>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cs="Times New Roman"/>
                      <w:color w:val="auto"/>
                      <w:kern w:val="0"/>
                      <w:sz w:val="21"/>
                      <w:szCs w:val="20"/>
                      <w:highlight w:val="none"/>
                      <w:u w:val="single" w:color="auto"/>
                      <w:lang w:val="en-US" w:eastAsia="zh-CN" w:bidi="ar-SA"/>
                    </w:rPr>
                    <w:t>4.71</w:t>
                  </w:r>
                </w:p>
              </w:tc>
              <w:tc>
                <w:tcPr>
                  <w:tcW w:w="659" w:type="pct"/>
                  <w:tcBorders>
                    <w:tl2br w:val="nil"/>
                    <w:tr2bl w:val="nil"/>
                  </w:tcBorders>
                  <w:shd w:val="clear" w:color="auto" w:fill="auto"/>
                  <w:noWrap w:val="0"/>
                  <w:vAlign w:val="center"/>
                </w:tcPr>
                <w:p w14:paraId="7ADDCA8C">
                  <w:pPr>
                    <w:jc w:val="center"/>
                    <w:rPr>
                      <w:rFonts w:hint="default" w:ascii="Times New Roman" w:hAnsi="Times New Roman" w:eastAsia="宋体" w:cs="Times New Roman"/>
                      <w:b w:val="0"/>
                      <w:bCs w:val="0"/>
                      <w:color w:val="auto"/>
                      <w:kern w:val="2"/>
                      <w:sz w:val="21"/>
                      <w:szCs w:val="21"/>
                      <w:highlight w:val="none"/>
                      <w:u w:val="single" w:color="auto"/>
                      <w:lang w:val="en-US" w:eastAsia="zh-CN" w:bidi="ar-SA"/>
                    </w:rPr>
                  </w:pPr>
                  <w:r>
                    <w:rPr>
                      <w:rFonts w:hint="eastAsia" w:ascii="Times New Roman" w:hAnsi="Times New Roman" w:cs="Times New Roman"/>
                      <w:color w:val="auto"/>
                      <w:sz w:val="21"/>
                      <w:szCs w:val="21"/>
                      <w:highlight w:val="none"/>
                      <w:u w:val="single" w:color="auto"/>
                      <w:lang w:val="en-US" w:eastAsia="zh-CN"/>
                    </w:rPr>
                    <w:t>30</w:t>
                  </w:r>
                </w:p>
              </w:tc>
              <w:tc>
                <w:tcPr>
                  <w:tcW w:w="547" w:type="pct"/>
                  <w:tcBorders>
                    <w:tl2br w:val="nil"/>
                    <w:tr2bl w:val="nil"/>
                  </w:tcBorders>
                  <w:shd w:val="clear" w:color="auto" w:fill="auto"/>
                  <w:noWrap w:val="0"/>
                  <w:vAlign w:val="center"/>
                </w:tcPr>
                <w:p w14:paraId="01BD11D4">
                  <w:pPr>
                    <w:jc w:val="center"/>
                    <w:rPr>
                      <w:rFonts w:hint="eastAsia" w:ascii="Times New Roman" w:hAnsi="Times New Roman" w:eastAsia="宋体" w:cs="Times New Roman"/>
                      <w:b w:val="0"/>
                      <w:bCs w:val="0"/>
                      <w:color w:val="auto"/>
                      <w:kern w:val="2"/>
                      <w:sz w:val="21"/>
                      <w:szCs w:val="21"/>
                      <w:highlight w:val="none"/>
                      <w:u w:val="none" w:color="auto"/>
                      <w:lang w:val="en-US" w:eastAsia="zh-CN" w:bidi="ar-SA"/>
                    </w:rPr>
                  </w:pPr>
                  <w:r>
                    <w:rPr>
                      <w:rFonts w:hint="eastAsia" w:cs="Times New Roman"/>
                      <w:b w:val="0"/>
                      <w:bCs w:val="0"/>
                      <w:color w:val="auto"/>
                      <w:szCs w:val="21"/>
                      <w:highlight w:val="none"/>
                      <w:u w:val="none" w:color="auto"/>
                      <w:lang w:val="en-US" w:eastAsia="zh-CN"/>
                    </w:rPr>
                    <w:t>/</w:t>
                  </w:r>
                </w:p>
              </w:tc>
            </w:tr>
            <w:tr w14:paraId="27E99C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77" w:hRule="atLeast"/>
              </w:trPr>
              <w:tc>
                <w:tcPr>
                  <w:tcW w:w="476" w:type="pct"/>
                  <w:vMerge w:val="restart"/>
                  <w:tcBorders>
                    <w:tl2br w:val="nil"/>
                    <w:tr2bl w:val="nil"/>
                  </w:tcBorders>
                  <w:noWrap w:val="0"/>
                  <w:vAlign w:val="center"/>
                </w:tcPr>
                <w:p w14:paraId="09CF3D53">
                  <w:pPr>
                    <w:jc w:val="center"/>
                    <w:rPr>
                      <w:rFonts w:hint="eastAsia" w:ascii="Times New Roman" w:hAnsi="Times New Roman" w:eastAsia="宋体" w:cs="Times New Roman"/>
                      <w:b w:val="0"/>
                      <w:bCs w:val="0"/>
                      <w:color w:val="auto"/>
                      <w:szCs w:val="21"/>
                      <w:highlight w:val="none"/>
                      <w:u w:val="none" w:color="auto"/>
                      <w:lang w:val="en-US" w:eastAsia="zh-CN"/>
                    </w:rPr>
                  </w:pPr>
                  <w:r>
                    <w:rPr>
                      <w:rFonts w:hint="eastAsia" w:ascii="Times New Roman" w:hAnsi="Times New Roman" w:eastAsia="宋体" w:cs="Times New Roman"/>
                      <w:b w:val="0"/>
                      <w:bCs w:val="0"/>
                      <w:color w:val="auto"/>
                      <w:szCs w:val="21"/>
                      <w:highlight w:val="none"/>
                      <w:u w:val="none" w:color="auto"/>
                      <w:lang w:val="en-US" w:eastAsia="zh-CN"/>
                    </w:rPr>
                    <w:t>钢瓶残气回收、瓶阀拆卸</w:t>
                  </w:r>
                </w:p>
              </w:tc>
              <w:tc>
                <w:tcPr>
                  <w:tcW w:w="551" w:type="pct"/>
                  <w:tcBorders>
                    <w:bottom w:val="single" w:color="auto" w:sz="4" w:space="0"/>
                    <w:tl2br w:val="nil"/>
                    <w:tr2bl w:val="nil"/>
                  </w:tcBorders>
                  <w:noWrap w:val="0"/>
                  <w:vAlign w:val="center"/>
                </w:tcPr>
                <w:p w14:paraId="1396EFB5">
                  <w:pPr>
                    <w:jc w:val="center"/>
                    <w:rPr>
                      <w:rFonts w:hint="default" w:ascii="Times New Roman" w:hAnsi="Times New Roman" w:cs="Times New Roman"/>
                      <w:b w:val="0"/>
                      <w:bCs w:val="0"/>
                      <w:color w:val="auto"/>
                      <w:szCs w:val="21"/>
                      <w:highlight w:val="none"/>
                      <w:u w:val="none" w:color="auto"/>
                    </w:rPr>
                  </w:pPr>
                  <w:r>
                    <w:rPr>
                      <w:rFonts w:hint="default" w:ascii="Times New Roman" w:hAnsi="Times New Roman" w:cs="Times New Roman"/>
                      <w:b w:val="0"/>
                      <w:bCs w:val="0"/>
                      <w:color w:val="auto"/>
                      <w:szCs w:val="21"/>
                      <w:highlight w:val="none"/>
                      <w:u w:val="none" w:color="auto"/>
                    </w:rPr>
                    <w:t>非甲烷总烃</w:t>
                  </w:r>
                </w:p>
              </w:tc>
              <w:tc>
                <w:tcPr>
                  <w:tcW w:w="534" w:type="pct"/>
                  <w:tcBorders>
                    <w:bottom w:val="single" w:color="auto" w:sz="4" w:space="0"/>
                    <w:tl2br w:val="nil"/>
                    <w:tr2bl w:val="nil"/>
                  </w:tcBorders>
                  <w:noWrap w:val="0"/>
                  <w:vAlign w:val="center"/>
                </w:tcPr>
                <w:p w14:paraId="650A607D">
                  <w:pPr>
                    <w:jc w:val="center"/>
                    <w:rPr>
                      <w:rFonts w:hint="default" w:cs="Times New Roman"/>
                      <w:b w:val="0"/>
                      <w:bCs w:val="0"/>
                      <w:color w:val="auto"/>
                      <w:szCs w:val="21"/>
                      <w:highlight w:val="none"/>
                      <w:u w:val="none" w:color="auto"/>
                      <w:lang w:val="en-US" w:eastAsia="zh-CN"/>
                    </w:rPr>
                  </w:pPr>
                  <w:r>
                    <w:rPr>
                      <w:rFonts w:hint="eastAsia" w:cs="Times New Roman"/>
                      <w:b w:val="0"/>
                      <w:bCs w:val="0"/>
                      <w:color w:val="auto"/>
                      <w:szCs w:val="21"/>
                      <w:highlight w:val="none"/>
                      <w:u w:val="none" w:color="auto"/>
                      <w:lang w:val="en-US" w:eastAsia="zh-CN"/>
                    </w:rPr>
                    <w:t>5.94</w:t>
                  </w:r>
                </w:p>
              </w:tc>
              <w:tc>
                <w:tcPr>
                  <w:tcW w:w="2890" w:type="pct"/>
                  <w:gridSpan w:val="4"/>
                  <w:tcBorders>
                    <w:bottom w:val="single" w:color="auto" w:sz="4" w:space="0"/>
                    <w:tl2br w:val="nil"/>
                    <w:tr2bl w:val="nil"/>
                  </w:tcBorders>
                  <w:noWrap w:val="0"/>
                  <w:vAlign w:val="center"/>
                </w:tcPr>
                <w:p w14:paraId="61691178">
                  <w:pPr>
                    <w:jc w:val="center"/>
                    <w:rPr>
                      <w:rFonts w:hint="eastAsia" w:ascii="Times New Roman" w:hAnsi="Times New Roman" w:cs="Times New Roman"/>
                      <w:b w:val="0"/>
                      <w:bCs w:val="0"/>
                      <w:color w:val="auto"/>
                      <w:sz w:val="21"/>
                      <w:szCs w:val="21"/>
                      <w:highlight w:val="none"/>
                      <w:u w:val="none" w:color="auto"/>
                      <w:lang w:val="en-US" w:eastAsia="zh-CN"/>
                    </w:rPr>
                  </w:pPr>
                  <w:r>
                    <w:rPr>
                      <w:rFonts w:hint="default" w:ascii="Times New Roman" w:hAnsi="Times New Roman" w:cs="Times New Roman"/>
                      <w:b w:val="0"/>
                      <w:bCs w:val="0"/>
                      <w:color w:val="auto"/>
                      <w:sz w:val="21"/>
                      <w:szCs w:val="21"/>
                      <w:highlight w:val="none"/>
                      <w:u w:val="none" w:color="auto"/>
                      <w:lang w:val="en-US" w:eastAsia="zh-CN"/>
                    </w:rPr>
                    <w:t>密闭残气回收装置</w:t>
                  </w:r>
                  <w:r>
                    <w:rPr>
                      <w:rFonts w:hint="eastAsia" w:cs="Times New Roman"/>
                      <w:b w:val="0"/>
                      <w:bCs w:val="0"/>
                      <w:color w:val="auto"/>
                      <w:sz w:val="21"/>
                      <w:szCs w:val="21"/>
                      <w:highlight w:val="none"/>
                      <w:u w:val="none" w:color="auto"/>
                      <w:lang w:val="en-US" w:eastAsia="zh-CN"/>
                    </w:rPr>
                    <w:t>，</w:t>
                  </w:r>
                  <w:r>
                    <w:rPr>
                      <w:rFonts w:hint="default" w:ascii="Times New Roman" w:hAnsi="Times New Roman" w:cs="Times New Roman"/>
                      <w:b w:val="0"/>
                      <w:bCs w:val="0"/>
                      <w:color w:val="auto"/>
                      <w:sz w:val="21"/>
                      <w:szCs w:val="21"/>
                      <w:highlight w:val="none"/>
                      <w:u w:val="none" w:color="auto"/>
                      <w:lang w:val="en-US" w:eastAsia="zh-CN"/>
                    </w:rPr>
                    <w:t>回收效率99%</w:t>
                  </w:r>
                </w:p>
              </w:tc>
              <w:tc>
                <w:tcPr>
                  <w:tcW w:w="547" w:type="pct"/>
                  <w:tcBorders>
                    <w:bottom w:val="single" w:color="auto" w:sz="4" w:space="0"/>
                    <w:tl2br w:val="nil"/>
                    <w:tr2bl w:val="nil"/>
                  </w:tcBorders>
                  <w:noWrap w:val="0"/>
                  <w:vAlign w:val="center"/>
                </w:tcPr>
                <w:p w14:paraId="39E91F2B">
                  <w:pPr>
                    <w:jc w:val="center"/>
                    <w:rPr>
                      <w:rFonts w:hint="default" w:ascii="Times New Roman" w:hAnsi="Times New Roman" w:cs="Times New Roman"/>
                      <w:b w:val="0"/>
                      <w:bCs w:val="0"/>
                      <w:color w:val="auto"/>
                      <w:sz w:val="21"/>
                      <w:szCs w:val="21"/>
                      <w:highlight w:val="none"/>
                      <w:u w:val="none" w:color="auto"/>
                      <w:lang w:val="en-US" w:eastAsia="zh-CN"/>
                    </w:rPr>
                  </w:pPr>
                  <w:r>
                    <w:rPr>
                      <w:rFonts w:hint="eastAsia" w:cs="Times New Roman"/>
                      <w:b w:val="0"/>
                      <w:bCs w:val="0"/>
                      <w:color w:val="auto"/>
                      <w:szCs w:val="21"/>
                      <w:highlight w:val="none"/>
                      <w:u w:val="none" w:color="auto"/>
                      <w:lang w:val="en-US" w:eastAsia="zh-CN"/>
                    </w:rPr>
                    <w:t>0.06</w:t>
                  </w:r>
                </w:p>
              </w:tc>
            </w:tr>
            <w:tr w14:paraId="3902C52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25" w:hRule="atLeast"/>
              </w:trPr>
              <w:tc>
                <w:tcPr>
                  <w:tcW w:w="476" w:type="pct"/>
                  <w:vMerge w:val="continue"/>
                  <w:tcBorders>
                    <w:tl2br w:val="nil"/>
                    <w:tr2bl w:val="nil"/>
                  </w:tcBorders>
                  <w:noWrap w:val="0"/>
                  <w:vAlign w:val="center"/>
                </w:tcPr>
                <w:p w14:paraId="428A1542">
                  <w:pPr>
                    <w:jc w:val="center"/>
                    <w:rPr>
                      <w:rFonts w:hint="eastAsia" w:ascii="Times New Roman" w:hAnsi="Times New Roman" w:eastAsia="宋体" w:cs="Times New Roman"/>
                      <w:b w:val="0"/>
                      <w:bCs w:val="0"/>
                      <w:color w:val="auto"/>
                      <w:szCs w:val="21"/>
                      <w:highlight w:val="none"/>
                      <w:u w:val="none" w:color="auto"/>
                      <w:lang w:val="en-US" w:eastAsia="zh-CN"/>
                    </w:rPr>
                  </w:pPr>
                </w:p>
              </w:tc>
              <w:tc>
                <w:tcPr>
                  <w:tcW w:w="551" w:type="pct"/>
                  <w:tcBorders>
                    <w:top w:val="single" w:color="auto" w:sz="4" w:space="0"/>
                    <w:tl2br w:val="nil"/>
                    <w:tr2bl w:val="nil"/>
                  </w:tcBorders>
                  <w:noWrap w:val="0"/>
                  <w:vAlign w:val="center"/>
                </w:tcPr>
                <w:p w14:paraId="310DBBE7">
                  <w:pPr>
                    <w:jc w:val="center"/>
                    <w:rPr>
                      <w:rFonts w:hint="default" w:ascii="Times New Roman" w:hAnsi="Times New Roman" w:cs="Times New Roman"/>
                      <w:b w:val="0"/>
                      <w:bCs w:val="0"/>
                      <w:color w:val="auto"/>
                      <w:szCs w:val="21"/>
                      <w:highlight w:val="none"/>
                      <w:u w:val="none" w:color="auto"/>
                    </w:rPr>
                  </w:pPr>
                  <w:r>
                    <w:rPr>
                      <w:rFonts w:hint="default" w:ascii="Times New Roman" w:hAnsi="Times New Roman" w:cs="Times New Roman"/>
                      <w:b w:val="0"/>
                      <w:bCs w:val="0"/>
                      <w:color w:val="auto"/>
                      <w:szCs w:val="21"/>
                      <w:highlight w:val="none"/>
                      <w:u w:val="none" w:color="auto"/>
                    </w:rPr>
                    <w:t>臭气浓度</w:t>
                  </w:r>
                </w:p>
              </w:tc>
              <w:tc>
                <w:tcPr>
                  <w:tcW w:w="3971" w:type="pct"/>
                  <w:gridSpan w:val="6"/>
                  <w:tcBorders>
                    <w:top w:val="single" w:color="auto" w:sz="4" w:space="0"/>
                    <w:tl2br w:val="nil"/>
                    <w:tr2bl w:val="nil"/>
                  </w:tcBorders>
                  <w:noWrap w:val="0"/>
                  <w:vAlign w:val="center"/>
                </w:tcPr>
                <w:p w14:paraId="74DA975E">
                  <w:pPr>
                    <w:jc w:val="center"/>
                    <w:rPr>
                      <w:rFonts w:hint="eastAsia" w:cs="Times New Roman"/>
                      <w:b w:val="0"/>
                      <w:bCs w:val="0"/>
                      <w:color w:val="auto"/>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未定量分析，无组织排放</w:t>
                  </w:r>
                </w:p>
              </w:tc>
            </w:tr>
          </w:tbl>
          <w:p w14:paraId="77E9BABE">
            <w:pPr>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表4-</w:t>
            </w:r>
            <w:r>
              <w:rPr>
                <w:rFonts w:hint="eastAsia" w:cs="Times New Roman"/>
                <w:b/>
                <w:bCs/>
                <w:color w:val="auto"/>
                <w:sz w:val="21"/>
                <w:szCs w:val="21"/>
                <w:highlight w:val="none"/>
                <w:u w:val="none" w:color="auto"/>
                <w:lang w:val="en-US" w:eastAsia="zh-CN"/>
              </w:rPr>
              <w:t>5</w:t>
            </w:r>
            <w:r>
              <w:rPr>
                <w:rFonts w:hint="eastAsia" w:ascii="Times New Roman" w:hAnsi="Times New Roman" w:cs="Times New Roman"/>
                <w:b/>
                <w:bCs/>
                <w:color w:val="auto"/>
                <w:sz w:val="21"/>
                <w:szCs w:val="21"/>
                <w:highlight w:val="none"/>
                <w:u w:val="none" w:color="auto"/>
                <w:lang w:val="en-US" w:eastAsia="zh-CN"/>
              </w:rPr>
              <w:t xml:space="preserve"> </w:t>
            </w:r>
            <w:r>
              <w:rPr>
                <w:rFonts w:hint="default" w:ascii="Times New Roman" w:hAnsi="Times New Roman" w:cs="Times New Roman"/>
                <w:b/>
                <w:bCs/>
                <w:color w:val="auto"/>
                <w:sz w:val="21"/>
                <w:szCs w:val="21"/>
                <w:highlight w:val="none"/>
                <w:u w:val="none" w:color="auto"/>
              </w:rPr>
              <w:t xml:space="preserve"> 废气排放口基本情况一览表</w:t>
            </w:r>
          </w:p>
          <w:tbl>
            <w:tblPr>
              <w:tblStyle w:val="33"/>
              <w:tblW w:w="4987" w:type="pct"/>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717"/>
              <w:gridCol w:w="926"/>
              <w:gridCol w:w="1216"/>
              <w:gridCol w:w="1123"/>
              <w:gridCol w:w="1196"/>
              <w:gridCol w:w="663"/>
              <w:gridCol w:w="609"/>
              <w:gridCol w:w="636"/>
              <w:gridCol w:w="811"/>
            </w:tblGrid>
            <w:tr w14:paraId="6D4BC5D9">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62" w:hRule="atLeast"/>
                <w:jc w:val="center"/>
              </w:trPr>
              <w:tc>
                <w:tcPr>
                  <w:tcW w:w="453" w:type="pct"/>
                  <w:vMerge w:val="restart"/>
                  <w:tcBorders>
                    <w:tl2br w:val="nil"/>
                    <w:tr2bl w:val="nil"/>
                  </w:tcBorders>
                  <w:noWrap w:val="0"/>
                  <w:vAlign w:val="center"/>
                </w:tcPr>
                <w:p w14:paraId="293F240D">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编号</w:t>
                  </w:r>
                </w:p>
              </w:tc>
              <w:tc>
                <w:tcPr>
                  <w:tcW w:w="586" w:type="pct"/>
                  <w:vMerge w:val="restart"/>
                  <w:tcBorders>
                    <w:tl2br w:val="nil"/>
                    <w:tr2bl w:val="nil"/>
                  </w:tcBorders>
                  <w:noWrap w:val="0"/>
                  <w:vAlign w:val="center"/>
                </w:tcPr>
                <w:p w14:paraId="536758F0">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名称</w:t>
                  </w:r>
                </w:p>
              </w:tc>
              <w:tc>
                <w:tcPr>
                  <w:tcW w:w="1480" w:type="pct"/>
                  <w:gridSpan w:val="2"/>
                  <w:tcBorders>
                    <w:tl2br w:val="nil"/>
                    <w:tr2bl w:val="nil"/>
                  </w:tcBorders>
                  <w:noWrap w:val="0"/>
                  <w:vAlign w:val="center"/>
                </w:tcPr>
                <w:p w14:paraId="7DC4D9F6">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排气筒底部中心坐标</w:t>
                  </w:r>
                </w:p>
              </w:tc>
              <w:tc>
                <w:tcPr>
                  <w:tcW w:w="757" w:type="pct"/>
                  <w:vMerge w:val="restart"/>
                  <w:tcBorders>
                    <w:tl2br w:val="nil"/>
                    <w:tr2bl w:val="nil"/>
                  </w:tcBorders>
                  <w:noWrap w:val="0"/>
                  <w:vAlign w:val="center"/>
                </w:tcPr>
                <w:p w14:paraId="206634FB">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排气筒底部海拔(m)</w:t>
                  </w:r>
                </w:p>
              </w:tc>
              <w:tc>
                <w:tcPr>
                  <w:tcW w:w="1208" w:type="pct"/>
                  <w:gridSpan w:val="3"/>
                  <w:tcBorders>
                    <w:tl2br w:val="nil"/>
                    <w:tr2bl w:val="nil"/>
                  </w:tcBorders>
                  <w:noWrap w:val="0"/>
                  <w:vAlign w:val="center"/>
                </w:tcPr>
                <w:p w14:paraId="7BACCCD4">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排气筒参数</w:t>
                  </w:r>
                </w:p>
              </w:tc>
              <w:tc>
                <w:tcPr>
                  <w:tcW w:w="513" w:type="pct"/>
                  <w:vMerge w:val="restart"/>
                  <w:tcBorders>
                    <w:tl2br w:val="nil"/>
                    <w:tr2bl w:val="nil"/>
                  </w:tcBorders>
                  <w:noWrap w:val="0"/>
                  <w:vAlign w:val="center"/>
                </w:tcPr>
                <w:p w14:paraId="07E40F22">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类型</w:t>
                  </w:r>
                </w:p>
              </w:tc>
            </w:tr>
            <w:tr w14:paraId="794E761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599" w:hRule="atLeast"/>
                <w:jc w:val="center"/>
              </w:trPr>
              <w:tc>
                <w:tcPr>
                  <w:tcW w:w="453" w:type="pct"/>
                  <w:vMerge w:val="continue"/>
                  <w:tcBorders>
                    <w:tl2br w:val="nil"/>
                    <w:tr2bl w:val="nil"/>
                  </w:tcBorders>
                  <w:noWrap w:val="0"/>
                  <w:vAlign w:val="center"/>
                </w:tcPr>
                <w:p w14:paraId="7CA39AA3">
                  <w:pPr>
                    <w:jc w:val="center"/>
                    <w:rPr>
                      <w:rFonts w:hint="default" w:ascii="Times New Roman" w:hAnsi="Times New Roman" w:cs="Times New Roman"/>
                      <w:color w:val="auto"/>
                      <w:szCs w:val="21"/>
                      <w:highlight w:val="none"/>
                      <w:u w:val="none" w:color="auto"/>
                    </w:rPr>
                  </w:pPr>
                </w:p>
              </w:tc>
              <w:tc>
                <w:tcPr>
                  <w:tcW w:w="586" w:type="pct"/>
                  <w:vMerge w:val="continue"/>
                  <w:tcBorders>
                    <w:tl2br w:val="nil"/>
                    <w:tr2bl w:val="nil"/>
                  </w:tcBorders>
                  <w:noWrap w:val="0"/>
                  <w:vAlign w:val="center"/>
                </w:tcPr>
                <w:p w14:paraId="676BE924">
                  <w:pPr>
                    <w:jc w:val="center"/>
                    <w:rPr>
                      <w:rFonts w:hint="default" w:ascii="Times New Roman" w:hAnsi="Times New Roman" w:cs="Times New Roman"/>
                      <w:color w:val="auto"/>
                      <w:szCs w:val="21"/>
                      <w:highlight w:val="none"/>
                      <w:u w:val="none" w:color="auto"/>
                    </w:rPr>
                  </w:pPr>
                </w:p>
              </w:tc>
              <w:tc>
                <w:tcPr>
                  <w:tcW w:w="769" w:type="pct"/>
                  <w:tcBorders>
                    <w:tl2br w:val="nil"/>
                    <w:tr2bl w:val="nil"/>
                  </w:tcBorders>
                  <w:noWrap w:val="0"/>
                  <w:vAlign w:val="center"/>
                </w:tcPr>
                <w:p w14:paraId="36B397D6">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经度</w:t>
                  </w:r>
                </w:p>
              </w:tc>
              <w:tc>
                <w:tcPr>
                  <w:tcW w:w="711" w:type="pct"/>
                  <w:tcBorders>
                    <w:tl2br w:val="nil"/>
                    <w:tr2bl w:val="nil"/>
                  </w:tcBorders>
                  <w:noWrap w:val="0"/>
                  <w:vAlign w:val="center"/>
                </w:tcPr>
                <w:p w14:paraId="56C06EE2">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纬度</w:t>
                  </w:r>
                </w:p>
              </w:tc>
              <w:tc>
                <w:tcPr>
                  <w:tcW w:w="757" w:type="pct"/>
                  <w:vMerge w:val="continue"/>
                  <w:tcBorders>
                    <w:tl2br w:val="nil"/>
                    <w:tr2bl w:val="nil"/>
                  </w:tcBorders>
                  <w:noWrap w:val="0"/>
                  <w:vAlign w:val="center"/>
                </w:tcPr>
                <w:p w14:paraId="1394C7B3">
                  <w:pPr>
                    <w:jc w:val="center"/>
                    <w:rPr>
                      <w:rFonts w:hint="default" w:ascii="Times New Roman" w:hAnsi="Times New Roman" w:cs="Times New Roman"/>
                      <w:b/>
                      <w:bCs/>
                      <w:color w:val="auto"/>
                      <w:szCs w:val="21"/>
                      <w:highlight w:val="none"/>
                      <w:u w:val="none" w:color="auto"/>
                    </w:rPr>
                  </w:pPr>
                </w:p>
              </w:tc>
              <w:tc>
                <w:tcPr>
                  <w:tcW w:w="419" w:type="pct"/>
                  <w:tcBorders>
                    <w:tl2br w:val="nil"/>
                    <w:tr2bl w:val="nil"/>
                  </w:tcBorders>
                  <w:noWrap w:val="0"/>
                  <w:vAlign w:val="center"/>
                </w:tcPr>
                <w:p w14:paraId="2CAB0697">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高度</w:t>
                  </w:r>
                </w:p>
                <w:p w14:paraId="219116F4">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(m)</w:t>
                  </w:r>
                </w:p>
              </w:tc>
              <w:tc>
                <w:tcPr>
                  <w:tcW w:w="385" w:type="pct"/>
                  <w:tcBorders>
                    <w:tl2br w:val="nil"/>
                    <w:tr2bl w:val="nil"/>
                  </w:tcBorders>
                  <w:noWrap w:val="0"/>
                  <w:vAlign w:val="center"/>
                </w:tcPr>
                <w:p w14:paraId="7D2E1CCA">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内径</w:t>
                  </w:r>
                </w:p>
                <w:p w14:paraId="58A32AE9">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(m)</w:t>
                  </w:r>
                </w:p>
              </w:tc>
              <w:tc>
                <w:tcPr>
                  <w:tcW w:w="402" w:type="pct"/>
                  <w:tcBorders>
                    <w:tl2br w:val="nil"/>
                    <w:tr2bl w:val="nil"/>
                  </w:tcBorders>
                  <w:noWrap w:val="0"/>
                  <w:vAlign w:val="center"/>
                </w:tcPr>
                <w:p w14:paraId="748D3379">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温度</w:t>
                  </w:r>
                </w:p>
                <w:p w14:paraId="735B70AD">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w:t>
                  </w:r>
                </w:p>
              </w:tc>
              <w:tc>
                <w:tcPr>
                  <w:tcW w:w="513" w:type="pct"/>
                  <w:vMerge w:val="continue"/>
                  <w:tcBorders>
                    <w:tl2br w:val="nil"/>
                    <w:tr2bl w:val="nil"/>
                  </w:tcBorders>
                  <w:noWrap w:val="0"/>
                  <w:vAlign w:val="center"/>
                </w:tcPr>
                <w:p w14:paraId="6BC8AFFE">
                  <w:pPr>
                    <w:jc w:val="center"/>
                    <w:rPr>
                      <w:rFonts w:hint="default" w:ascii="Times New Roman" w:hAnsi="Times New Roman" w:cs="Times New Roman"/>
                      <w:color w:val="auto"/>
                      <w:szCs w:val="21"/>
                      <w:highlight w:val="none"/>
                      <w:u w:val="none" w:color="auto"/>
                    </w:rPr>
                  </w:pPr>
                </w:p>
              </w:tc>
            </w:tr>
            <w:tr w14:paraId="1C54DE16">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68" w:hRule="atLeast"/>
                <w:jc w:val="center"/>
              </w:trPr>
              <w:tc>
                <w:tcPr>
                  <w:tcW w:w="453" w:type="pct"/>
                  <w:tcBorders>
                    <w:tl2br w:val="nil"/>
                    <w:tr2bl w:val="nil"/>
                  </w:tcBorders>
                  <w:noWrap w:val="0"/>
                  <w:vAlign w:val="center"/>
                </w:tcPr>
                <w:p w14:paraId="0EBE9741">
                  <w:pPr>
                    <w:jc w:val="center"/>
                    <w:rPr>
                      <w:rFonts w:hint="default" w:ascii="Times New Roman" w:hAnsi="Times New Roman" w:eastAsia="宋体"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DA001</w:t>
                  </w:r>
                </w:p>
              </w:tc>
              <w:tc>
                <w:tcPr>
                  <w:tcW w:w="586" w:type="pct"/>
                  <w:tcBorders>
                    <w:tl2br w:val="nil"/>
                    <w:tr2bl w:val="nil"/>
                  </w:tcBorders>
                  <w:noWrap w:val="0"/>
                  <w:vAlign w:val="center"/>
                </w:tcPr>
                <w:p w14:paraId="5E780640">
                  <w:pPr>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kern w:val="0"/>
                      <w:sz w:val="21"/>
                      <w:szCs w:val="21"/>
                      <w:highlight w:val="none"/>
                      <w:u w:val="none" w:color="auto"/>
                      <w:lang w:val="en-US" w:eastAsia="zh-CN" w:bidi="ar-SA"/>
                    </w:rPr>
                    <w:t>焚烧炉</w:t>
                  </w:r>
                  <w:r>
                    <w:rPr>
                      <w:rFonts w:hint="eastAsia" w:cs="Times New Roman"/>
                      <w:color w:val="auto"/>
                      <w:szCs w:val="21"/>
                      <w:highlight w:val="none"/>
                      <w:u w:val="none" w:color="auto"/>
                      <w:lang w:val="en-US" w:eastAsia="zh-CN"/>
                    </w:rPr>
                    <w:t>废气排放</w:t>
                  </w:r>
                  <w:r>
                    <w:rPr>
                      <w:rFonts w:hint="eastAsia" w:ascii="Times New Roman" w:hAnsi="Times New Roman" w:eastAsia="宋体" w:cs="Times New Roman"/>
                      <w:color w:val="auto"/>
                      <w:kern w:val="0"/>
                      <w:sz w:val="21"/>
                      <w:szCs w:val="21"/>
                      <w:highlight w:val="none"/>
                      <w:u w:val="none" w:color="auto"/>
                      <w:lang w:val="en-US" w:eastAsia="zh-CN" w:bidi="ar-SA"/>
                    </w:rPr>
                    <w:t>筒</w:t>
                  </w:r>
                </w:p>
              </w:tc>
              <w:tc>
                <w:tcPr>
                  <w:tcW w:w="769" w:type="pct"/>
                  <w:tcBorders>
                    <w:tl2br w:val="nil"/>
                    <w:tr2bl w:val="nil"/>
                  </w:tcBorders>
                  <w:noWrap w:val="0"/>
                  <w:vAlign w:val="center"/>
                </w:tcPr>
                <w:p w14:paraId="2C4A2DF2">
                  <w:pPr>
                    <w:jc w:val="center"/>
                    <w:rPr>
                      <w:rFonts w:hint="default" w:cs="Times New Roman"/>
                      <w:color w:val="auto"/>
                      <w:szCs w:val="21"/>
                      <w:highlight w:val="none"/>
                      <w:u w:val="none" w:color="auto"/>
                      <w:lang w:val="en-US" w:eastAsia="zh-CN"/>
                    </w:rPr>
                  </w:pPr>
                  <w:r>
                    <w:rPr>
                      <w:rFonts w:hint="default" w:cs="Times New Roman"/>
                      <w:color w:val="auto"/>
                      <w:szCs w:val="21"/>
                      <w:highlight w:val="none"/>
                      <w:u w:val="none" w:color="auto"/>
                      <w:lang w:val="en-US" w:eastAsia="zh-CN"/>
                    </w:rPr>
                    <w:t>113.16953301</w:t>
                  </w:r>
                </w:p>
              </w:tc>
              <w:tc>
                <w:tcPr>
                  <w:tcW w:w="711" w:type="pct"/>
                  <w:tcBorders>
                    <w:tl2br w:val="nil"/>
                    <w:tr2bl w:val="nil"/>
                  </w:tcBorders>
                  <w:noWrap w:val="0"/>
                  <w:vAlign w:val="center"/>
                </w:tcPr>
                <w:p w14:paraId="1CCA92E0">
                  <w:pPr>
                    <w:jc w:val="center"/>
                    <w:rPr>
                      <w:rFonts w:hint="default" w:cs="Times New Roman"/>
                      <w:color w:val="auto"/>
                      <w:szCs w:val="21"/>
                      <w:highlight w:val="none"/>
                      <w:u w:val="none" w:color="auto"/>
                      <w:lang w:val="en-US" w:eastAsia="zh-CN"/>
                    </w:rPr>
                  </w:pPr>
                  <w:r>
                    <w:rPr>
                      <w:rFonts w:hint="default" w:cs="Times New Roman"/>
                      <w:color w:val="auto"/>
                      <w:szCs w:val="21"/>
                      <w:highlight w:val="none"/>
                      <w:u w:val="none" w:color="auto"/>
                      <w:lang w:val="en-US" w:eastAsia="zh-CN"/>
                    </w:rPr>
                    <w:t>29.13918797</w:t>
                  </w:r>
                </w:p>
              </w:tc>
              <w:tc>
                <w:tcPr>
                  <w:tcW w:w="757" w:type="pct"/>
                  <w:tcBorders>
                    <w:tl2br w:val="nil"/>
                    <w:tr2bl w:val="nil"/>
                  </w:tcBorders>
                  <w:shd w:val="clear" w:color="auto" w:fill="auto"/>
                  <w:noWrap w:val="0"/>
                  <w:vAlign w:val="center"/>
                </w:tcPr>
                <w:p w14:paraId="283AA58F">
                  <w:pPr>
                    <w:jc w:val="center"/>
                    <w:rPr>
                      <w:rFonts w:hint="default"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64.03</w:t>
                  </w:r>
                </w:p>
              </w:tc>
              <w:tc>
                <w:tcPr>
                  <w:tcW w:w="419" w:type="pct"/>
                  <w:tcBorders>
                    <w:tl2br w:val="nil"/>
                    <w:tr2bl w:val="nil"/>
                  </w:tcBorders>
                  <w:shd w:val="clear" w:color="auto" w:fill="auto"/>
                  <w:noWrap w:val="0"/>
                  <w:vAlign w:val="center"/>
                </w:tcPr>
                <w:p w14:paraId="73B37959">
                  <w:pPr>
                    <w:jc w:val="center"/>
                    <w:rPr>
                      <w:rFonts w:hint="default"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15</w:t>
                  </w:r>
                </w:p>
              </w:tc>
              <w:tc>
                <w:tcPr>
                  <w:tcW w:w="385" w:type="pct"/>
                  <w:tcBorders>
                    <w:tl2br w:val="nil"/>
                    <w:tr2bl w:val="nil"/>
                  </w:tcBorders>
                  <w:shd w:val="clear" w:color="auto" w:fill="auto"/>
                  <w:noWrap w:val="0"/>
                  <w:vAlign w:val="center"/>
                </w:tcPr>
                <w:p w14:paraId="36C3798C">
                  <w:pPr>
                    <w:jc w:val="center"/>
                    <w:rPr>
                      <w:rFonts w:hint="default"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0.3</w:t>
                  </w:r>
                </w:p>
              </w:tc>
              <w:tc>
                <w:tcPr>
                  <w:tcW w:w="402" w:type="pct"/>
                  <w:tcBorders>
                    <w:tl2br w:val="nil"/>
                    <w:tr2bl w:val="nil"/>
                  </w:tcBorders>
                  <w:shd w:val="clear" w:color="auto" w:fill="auto"/>
                  <w:noWrap w:val="0"/>
                  <w:vAlign w:val="center"/>
                </w:tcPr>
                <w:p w14:paraId="511FFDD4">
                  <w:pPr>
                    <w:jc w:val="center"/>
                    <w:rPr>
                      <w:rFonts w:hint="default"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25</w:t>
                  </w:r>
                </w:p>
              </w:tc>
              <w:tc>
                <w:tcPr>
                  <w:tcW w:w="513" w:type="pct"/>
                  <w:tcBorders>
                    <w:tl2br w:val="nil"/>
                    <w:tr2bl w:val="nil"/>
                  </w:tcBorders>
                  <w:shd w:val="clear" w:color="auto" w:fill="auto"/>
                  <w:noWrap w:val="0"/>
                  <w:vAlign w:val="center"/>
                </w:tcPr>
                <w:p w14:paraId="1F0347D3">
                  <w:pPr>
                    <w:jc w:val="center"/>
                    <w:rPr>
                      <w:rFonts w:hint="default" w:cs="Times New Roman"/>
                      <w:color w:val="auto"/>
                      <w:szCs w:val="21"/>
                      <w:highlight w:val="none"/>
                      <w:u w:val="none" w:color="auto"/>
                      <w:lang w:val="en-US" w:eastAsia="zh-CN"/>
                    </w:rPr>
                  </w:pPr>
                  <w:r>
                    <w:rPr>
                      <w:rFonts w:hint="default" w:cs="Times New Roman"/>
                      <w:color w:val="auto"/>
                      <w:szCs w:val="21"/>
                      <w:highlight w:val="none"/>
                      <w:u w:val="none" w:color="auto"/>
                      <w:lang w:val="en-US" w:eastAsia="zh-CN"/>
                    </w:rPr>
                    <w:t>一般排放口</w:t>
                  </w:r>
                </w:p>
              </w:tc>
            </w:tr>
          </w:tbl>
          <w:p w14:paraId="55FB4074">
            <w:pPr>
              <w:keepNext w:val="0"/>
              <w:keepLines w:val="0"/>
              <w:pageBreakBefore w:val="0"/>
              <w:widowControl/>
              <w:tabs>
                <w:tab w:val="left" w:pos="1021"/>
              </w:tabs>
              <w:kinsoku/>
              <w:wordWrap w:val="0"/>
              <w:overflowPunct/>
              <w:topLinePunct/>
              <w:autoSpaceDE/>
              <w:autoSpaceDN/>
              <w:bidi w:val="0"/>
              <w:adjustRightInd/>
              <w:snapToGrid/>
              <w:spacing w:before="10" w:after="10" w:line="240" w:lineRule="auto"/>
              <w:ind w:firstLine="0" w:firstLineChars="0"/>
              <w:jc w:val="center"/>
              <w:textAlignment w:val="baseline"/>
              <w:rPr>
                <w:rFonts w:hint="default" w:ascii="Times New Roman" w:hAnsi="Times New Roman" w:eastAsia="宋体" w:cs="Times New Roman"/>
                <w:b/>
                <w:bCs/>
                <w:color w:val="auto"/>
                <w:kern w:val="0"/>
                <w:sz w:val="21"/>
                <w:szCs w:val="20"/>
                <w:highlight w:val="none"/>
                <w:u w:val="none" w:color="auto"/>
                <w:lang w:val="en-US" w:eastAsia="zh-CN" w:bidi="ar-SA"/>
              </w:rPr>
            </w:pPr>
            <w:r>
              <w:rPr>
                <w:rFonts w:hint="default" w:ascii="Times New Roman" w:hAnsi="Times New Roman" w:eastAsia="宋体" w:cs="Times New Roman"/>
                <w:b/>
                <w:bCs/>
                <w:color w:val="auto"/>
                <w:kern w:val="0"/>
                <w:sz w:val="21"/>
                <w:szCs w:val="20"/>
                <w:highlight w:val="none"/>
                <w:u w:val="none" w:color="auto"/>
                <w:lang w:val="en-US" w:eastAsia="zh-CN" w:bidi="ar-SA"/>
              </w:rPr>
              <w:t>表4-</w:t>
            </w:r>
            <w:r>
              <w:rPr>
                <w:rFonts w:hint="eastAsia" w:cs="Times New Roman"/>
                <w:b/>
                <w:bCs/>
                <w:color w:val="auto"/>
                <w:kern w:val="0"/>
                <w:sz w:val="21"/>
                <w:szCs w:val="20"/>
                <w:highlight w:val="none"/>
                <w:u w:val="none" w:color="auto"/>
                <w:lang w:val="en-US" w:eastAsia="zh-CN" w:bidi="ar-SA"/>
              </w:rPr>
              <w:t>6</w:t>
            </w:r>
            <w:r>
              <w:rPr>
                <w:rFonts w:hint="default" w:ascii="Times New Roman" w:hAnsi="Times New Roman" w:eastAsia="宋体" w:cs="Times New Roman"/>
                <w:b/>
                <w:bCs/>
                <w:color w:val="auto"/>
                <w:kern w:val="0"/>
                <w:sz w:val="21"/>
                <w:szCs w:val="20"/>
                <w:highlight w:val="none"/>
                <w:u w:val="none" w:color="auto"/>
                <w:lang w:val="en-US" w:eastAsia="zh-CN" w:bidi="ar-SA"/>
              </w:rPr>
              <w:t xml:space="preserve"> </w:t>
            </w:r>
            <w:r>
              <w:rPr>
                <w:rFonts w:hint="eastAsia" w:ascii="Times New Roman" w:hAnsi="Times New Roman" w:eastAsia="宋体" w:cs="Times New Roman"/>
                <w:b/>
                <w:bCs/>
                <w:color w:val="auto"/>
                <w:kern w:val="0"/>
                <w:sz w:val="21"/>
                <w:szCs w:val="20"/>
                <w:highlight w:val="none"/>
                <w:u w:val="none" w:color="auto"/>
                <w:lang w:val="en-US" w:eastAsia="zh-CN" w:bidi="ar-SA"/>
              </w:rPr>
              <w:t xml:space="preserve"> </w:t>
            </w:r>
            <w:r>
              <w:rPr>
                <w:rFonts w:hint="eastAsia" w:cs="Times New Roman"/>
                <w:b/>
                <w:bCs/>
                <w:color w:val="auto"/>
                <w:kern w:val="0"/>
                <w:sz w:val="21"/>
                <w:szCs w:val="20"/>
                <w:highlight w:val="none"/>
                <w:u w:val="none" w:color="auto"/>
                <w:lang w:val="en-US" w:eastAsia="zh-CN" w:bidi="ar-SA"/>
              </w:rPr>
              <w:t>搬迁后项目</w:t>
            </w:r>
            <w:r>
              <w:rPr>
                <w:rFonts w:hint="default" w:ascii="Times New Roman" w:hAnsi="Times New Roman" w:eastAsia="宋体" w:cs="Times New Roman"/>
                <w:b/>
                <w:bCs/>
                <w:color w:val="auto"/>
                <w:kern w:val="0"/>
                <w:sz w:val="21"/>
                <w:szCs w:val="20"/>
                <w:highlight w:val="none"/>
                <w:u w:val="none" w:color="auto"/>
                <w:lang w:val="en-US" w:eastAsia="zh-CN" w:bidi="ar-SA"/>
              </w:rPr>
              <w:t>大气污染物有组织排放量核算表</w:t>
            </w:r>
          </w:p>
          <w:tbl>
            <w:tblPr>
              <w:tblStyle w:val="127"/>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05"/>
              <w:gridCol w:w="1129"/>
              <w:gridCol w:w="1358"/>
              <w:gridCol w:w="2141"/>
              <w:gridCol w:w="1369"/>
              <w:gridCol w:w="1515"/>
            </w:tblGrid>
            <w:tr w14:paraId="0DE52E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58" w:hRule="atLeast"/>
                <w:jc w:val="center"/>
              </w:trPr>
              <w:tc>
                <w:tcPr>
                  <w:tcW w:w="255" w:type="pct"/>
                  <w:tcBorders>
                    <w:tl2br w:val="nil"/>
                    <w:tr2bl w:val="nil"/>
                  </w:tcBorders>
                  <w:vAlign w:val="center"/>
                </w:tcPr>
                <w:p w14:paraId="5102FB65">
                  <w:pPr>
                    <w:keepNext w:val="0"/>
                    <w:keepLines w:val="0"/>
                    <w:pageBreakBefore w:val="0"/>
                    <w:widowControl/>
                    <w:tabs>
                      <w:tab w:val="left" w:pos="1021"/>
                    </w:tabs>
                    <w:kinsoku/>
                    <w:wordWrap w:val="0"/>
                    <w:overflowPunct/>
                    <w:topLinePunct/>
                    <w:autoSpaceDE/>
                    <w:autoSpaceDN/>
                    <w:bidi w:val="0"/>
                    <w:adjustRightInd/>
                    <w:snapToGrid/>
                    <w:spacing w:before="10" w:after="10" w:line="240" w:lineRule="auto"/>
                    <w:ind w:firstLine="0" w:firstLineChars="0"/>
                    <w:jc w:val="center"/>
                    <w:textAlignment w:val="baseline"/>
                    <w:rPr>
                      <w:rFonts w:hint="default" w:ascii="Times New Roman" w:hAnsi="Times New Roman" w:eastAsia="宋体" w:cs="Times New Roman"/>
                      <w:b/>
                      <w:bCs/>
                      <w:color w:val="auto"/>
                      <w:kern w:val="0"/>
                      <w:sz w:val="21"/>
                      <w:szCs w:val="20"/>
                      <w:highlight w:val="none"/>
                      <w:u w:val="none" w:color="auto"/>
                      <w:lang w:val="en-US" w:eastAsia="zh-CN" w:bidi="ar-SA"/>
                    </w:rPr>
                  </w:pPr>
                  <w:r>
                    <w:rPr>
                      <w:rFonts w:hint="eastAsia" w:ascii="Times New Roman" w:hAnsi="Times New Roman" w:eastAsia="宋体" w:cs="Times New Roman"/>
                      <w:b/>
                      <w:bCs/>
                      <w:color w:val="auto"/>
                      <w:kern w:val="0"/>
                      <w:sz w:val="21"/>
                      <w:szCs w:val="20"/>
                      <w:highlight w:val="none"/>
                      <w:u w:val="none" w:color="auto"/>
                      <w:lang w:val="en-US" w:eastAsia="zh-CN" w:bidi="ar-SA"/>
                    </w:rPr>
                    <w:t>序号</w:t>
                  </w:r>
                </w:p>
              </w:tc>
              <w:tc>
                <w:tcPr>
                  <w:tcW w:w="713" w:type="pct"/>
                  <w:tcBorders>
                    <w:tl2br w:val="nil"/>
                    <w:tr2bl w:val="nil"/>
                  </w:tcBorders>
                  <w:vAlign w:val="center"/>
                </w:tcPr>
                <w:p w14:paraId="44ADA2D5">
                  <w:pPr>
                    <w:keepNext w:val="0"/>
                    <w:keepLines w:val="0"/>
                    <w:pageBreakBefore w:val="0"/>
                    <w:widowControl/>
                    <w:tabs>
                      <w:tab w:val="left" w:pos="1021"/>
                    </w:tabs>
                    <w:kinsoku/>
                    <w:wordWrap w:val="0"/>
                    <w:overflowPunct/>
                    <w:topLinePunct/>
                    <w:autoSpaceDE/>
                    <w:autoSpaceDN/>
                    <w:bidi w:val="0"/>
                    <w:adjustRightInd/>
                    <w:snapToGrid/>
                    <w:spacing w:before="10" w:after="10" w:line="240" w:lineRule="auto"/>
                    <w:ind w:firstLine="0" w:firstLineChars="0"/>
                    <w:jc w:val="center"/>
                    <w:textAlignment w:val="baseline"/>
                    <w:rPr>
                      <w:rFonts w:hint="default" w:ascii="Times New Roman" w:hAnsi="Times New Roman" w:eastAsia="宋体" w:cs="Times New Roman"/>
                      <w:b/>
                      <w:bCs/>
                      <w:color w:val="auto"/>
                      <w:kern w:val="0"/>
                      <w:sz w:val="21"/>
                      <w:szCs w:val="20"/>
                      <w:highlight w:val="none"/>
                      <w:u w:val="none" w:color="auto"/>
                      <w:lang w:val="en-US" w:eastAsia="zh-CN" w:bidi="ar-SA"/>
                    </w:rPr>
                  </w:pPr>
                  <w:r>
                    <w:rPr>
                      <w:rFonts w:hint="default" w:ascii="Times New Roman" w:hAnsi="Times New Roman" w:eastAsia="宋体" w:cs="Times New Roman"/>
                      <w:b/>
                      <w:bCs/>
                      <w:color w:val="auto"/>
                      <w:kern w:val="0"/>
                      <w:sz w:val="21"/>
                      <w:szCs w:val="20"/>
                      <w:highlight w:val="none"/>
                      <w:u w:val="none" w:color="auto"/>
                      <w:lang w:val="en-US" w:eastAsia="zh-CN" w:bidi="ar-SA"/>
                    </w:rPr>
                    <w:t>排气筒编号</w:t>
                  </w:r>
                </w:p>
              </w:tc>
              <w:tc>
                <w:tcPr>
                  <w:tcW w:w="857" w:type="pct"/>
                  <w:tcBorders>
                    <w:tl2br w:val="nil"/>
                    <w:tr2bl w:val="nil"/>
                  </w:tcBorders>
                  <w:vAlign w:val="center"/>
                </w:tcPr>
                <w:p w14:paraId="6D760607">
                  <w:pPr>
                    <w:keepNext w:val="0"/>
                    <w:keepLines w:val="0"/>
                    <w:pageBreakBefore w:val="0"/>
                    <w:widowControl/>
                    <w:tabs>
                      <w:tab w:val="left" w:pos="1021"/>
                    </w:tabs>
                    <w:kinsoku/>
                    <w:wordWrap w:val="0"/>
                    <w:overflowPunct/>
                    <w:topLinePunct/>
                    <w:autoSpaceDE/>
                    <w:autoSpaceDN/>
                    <w:bidi w:val="0"/>
                    <w:adjustRightInd/>
                    <w:snapToGrid/>
                    <w:spacing w:before="10" w:after="10" w:line="240" w:lineRule="auto"/>
                    <w:ind w:firstLine="0" w:firstLineChars="0"/>
                    <w:jc w:val="center"/>
                    <w:textAlignment w:val="baseline"/>
                    <w:rPr>
                      <w:rFonts w:hint="default" w:ascii="Times New Roman" w:hAnsi="Times New Roman" w:eastAsia="宋体" w:cs="Times New Roman"/>
                      <w:b/>
                      <w:bCs/>
                      <w:color w:val="auto"/>
                      <w:kern w:val="0"/>
                      <w:sz w:val="21"/>
                      <w:szCs w:val="20"/>
                      <w:highlight w:val="none"/>
                      <w:u w:val="none" w:color="auto"/>
                      <w:lang w:val="en-US" w:eastAsia="zh-CN" w:bidi="ar-SA"/>
                    </w:rPr>
                  </w:pPr>
                  <w:r>
                    <w:rPr>
                      <w:rFonts w:hint="default" w:ascii="Times New Roman" w:hAnsi="Times New Roman" w:eastAsia="宋体" w:cs="Times New Roman"/>
                      <w:b/>
                      <w:bCs/>
                      <w:color w:val="auto"/>
                      <w:kern w:val="0"/>
                      <w:sz w:val="21"/>
                      <w:szCs w:val="20"/>
                      <w:highlight w:val="none"/>
                      <w:u w:val="none" w:color="auto"/>
                      <w:lang w:val="en-US" w:eastAsia="zh-CN" w:bidi="ar-SA"/>
                    </w:rPr>
                    <w:t>污染物</w:t>
                  </w:r>
                </w:p>
              </w:tc>
              <w:tc>
                <w:tcPr>
                  <w:tcW w:w="1352" w:type="pct"/>
                  <w:tcBorders>
                    <w:tl2br w:val="nil"/>
                    <w:tr2bl w:val="nil"/>
                  </w:tcBorders>
                  <w:vAlign w:val="center"/>
                </w:tcPr>
                <w:p w14:paraId="3452D747">
                  <w:pPr>
                    <w:keepNext w:val="0"/>
                    <w:keepLines w:val="0"/>
                    <w:pageBreakBefore w:val="0"/>
                    <w:widowControl/>
                    <w:tabs>
                      <w:tab w:val="left" w:pos="1021"/>
                    </w:tabs>
                    <w:kinsoku/>
                    <w:wordWrap w:val="0"/>
                    <w:overflowPunct/>
                    <w:topLinePunct/>
                    <w:autoSpaceDE/>
                    <w:autoSpaceDN/>
                    <w:bidi w:val="0"/>
                    <w:adjustRightInd/>
                    <w:snapToGrid/>
                    <w:spacing w:before="10" w:after="10" w:line="240" w:lineRule="auto"/>
                    <w:ind w:firstLine="0" w:firstLineChars="0"/>
                    <w:jc w:val="center"/>
                    <w:textAlignment w:val="baseline"/>
                    <w:rPr>
                      <w:rFonts w:hint="default" w:ascii="Times New Roman" w:hAnsi="Times New Roman" w:eastAsia="宋体" w:cs="Times New Roman"/>
                      <w:b/>
                      <w:bCs/>
                      <w:color w:val="auto"/>
                      <w:kern w:val="0"/>
                      <w:sz w:val="21"/>
                      <w:szCs w:val="20"/>
                      <w:highlight w:val="none"/>
                      <w:u w:val="none" w:color="auto"/>
                      <w:lang w:val="en-US" w:eastAsia="zh-CN" w:bidi="ar-SA"/>
                    </w:rPr>
                  </w:pPr>
                  <w:r>
                    <w:rPr>
                      <w:rFonts w:hint="default" w:ascii="Times New Roman" w:hAnsi="Times New Roman" w:eastAsia="宋体" w:cs="Times New Roman"/>
                      <w:b/>
                      <w:bCs/>
                      <w:color w:val="auto"/>
                      <w:kern w:val="0"/>
                      <w:sz w:val="21"/>
                      <w:szCs w:val="20"/>
                      <w:highlight w:val="none"/>
                      <w:u w:val="none" w:color="auto"/>
                      <w:lang w:val="en-US" w:eastAsia="zh-CN" w:bidi="ar-SA"/>
                    </w:rPr>
                    <w:t>核算排放浓度</w:t>
                  </w:r>
                </w:p>
              </w:tc>
              <w:tc>
                <w:tcPr>
                  <w:tcW w:w="864" w:type="pct"/>
                  <w:tcBorders>
                    <w:tl2br w:val="nil"/>
                    <w:tr2bl w:val="nil"/>
                  </w:tcBorders>
                  <w:vAlign w:val="center"/>
                </w:tcPr>
                <w:p w14:paraId="2777B864">
                  <w:pPr>
                    <w:keepNext w:val="0"/>
                    <w:keepLines w:val="0"/>
                    <w:pageBreakBefore w:val="0"/>
                    <w:widowControl/>
                    <w:tabs>
                      <w:tab w:val="left" w:pos="1021"/>
                    </w:tabs>
                    <w:kinsoku/>
                    <w:wordWrap w:val="0"/>
                    <w:overflowPunct/>
                    <w:topLinePunct/>
                    <w:autoSpaceDE/>
                    <w:autoSpaceDN/>
                    <w:bidi w:val="0"/>
                    <w:adjustRightInd/>
                    <w:snapToGrid/>
                    <w:spacing w:before="10" w:after="10" w:line="240" w:lineRule="auto"/>
                    <w:ind w:firstLine="0" w:firstLineChars="0"/>
                    <w:jc w:val="center"/>
                    <w:textAlignment w:val="baseline"/>
                    <w:rPr>
                      <w:rFonts w:hint="default" w:ascii="Times New Roman" w:hAnsi="Times New Roman" w:eastAsia="宋体" w:cs="Times New Roman"/>
                      <w:b/>
                      <w:bCs/>
                      <w:color w:val="auto"/>
                      <w:kern w:val="0"/>
                      <w:sz w:val="21"/>
                      <w:szCs w:val="20"/>
                      <w:highlight w:val="none"/>
                      <w:u w:val="none" w:color="auto"/>
                      <w:lang w:val="en-US" w:eastAsia="zh-CN" w:bidi="ar-SA"/>
                    </w:rPr>
                  </w:pPr>
                  <w:r>
                    <w:rPr>
                      <w:rFonts w:hint="default" w:ascii="Times New Roman" w:hAnsi="Times New Roman" w:eastAsia="宋体" w:cs="Times New Roman"/>
                      <w:b/>
                      <w:bCs/>
                      <w:color w:val="auto"/>
                      <w:kern w:val="0"/>
                      <w:sz w:val="21"/>
                      <w:szCs w:val="20"/>
                      <w:highlight w:val="none"/>
                      <w:u w:val="none" w:color="auto"/>
                      <w:lang w:val="en-US" w:eastAsia="zh-CN" w:bidi="ar-SA"/>
                    </w:rPr>
                    <w:t>核算排放速率</w:t>
                  </w:r>
                </w:p>
              </w:tc>
              <w:tc>
                <w:tcPr>
                  <w:tcW w:w="956" w:type="pct"/>
                  <w:tcBorders>
                    <w:tl2br w:val="nil"/>
                    <w:tr2bl w:val="nil"/>
                  </w:tcBorders>
                  <w:vAlign w:val="center"/>
                </w:tcPr>
                <w:p w14:paraId="2BC3D48F">
                  <w:pPr>
                    <w:keepNext w:val="0"/>
                    <w:keepLines w:val="0"/>
                    <w:pageBreakBefore w:val="0"/>
                    <w:widowControl/>
                    <w:tabs>
                      <w:tab w:val="left" w:pos="1021"/>
                    </w:tabs>
                    <w:kinsoku/>
                    <w:wordWrap w:val="0"/>
                    <w:overflowPunct/>
                    <w:topLinePunct/>
                    <w:autoSpaceDE/>
                    <w:autoSpaceDN/>
                    <w:bidi w:val="0"/>
                    <w:adjustRightInd/>
                    <w:snapToGrid/>
                    <w:spacing w:before="10" w:after="10" w:line="240" w:lineRule="auto"/>
                    <w:ind w:firstLine="0" w:firstLineChars="0"/>
                    <w:jc w:val="center"/>
                    <w:textAlignment w:val="baseline"/>
                    <w:rPr>
                      <w:rFonts w:hint="default" w:ascii="Times New Roman" w:hAnsi="Times New Roman" w:eastAsia="宋体" w:cs="Times New Roman"/>
                      <w:b/>
                      <w:bCs/>
                      <w:color w:val="auto"/>
                      <w:kern w:val="0"/>
                      <w:sz w:val="21"/>
                      <w:szCs w:val="20"/>
                      <w:highlight w:val="none"/>
                      <w:u w:val="none" w:color="auto"/>
                      <w:lang w:val="en-US" w:eastAsia="zh-CN" w:bidi="ar-SA"/>
                    </w:rPr>
                  </w:pPr>
                  <w:r>
                    <w:rPr>
                      <w:rFonts w:hint="default" w:ascii="Times New Roman" w:hAnsi="Times New Roman" w:eastAsia="宋体" w:cs="Times New Roman"/>
                      <w:b/>
                      <w:bCs/>
                      <w:color w:val="auto"/>
                      <w:kern w:val="0"/>
                      <w:sz w:val="21"/>
                      <w:szCs w:val="20"/>
                      <w:highlight w:val="none"/>
                      <w:u w:val="none" w:color="auto"/>
                      <w:lang w:val="en-US" w:eastAsia="zh-CN" w:bidi="ar-SA"/>
                    </w:rPr>
                    <w:t>核算年排放量</w:t>
                  </w:r>
                </w:p>
              </w:tc>
            </w:tr>
            <w:tr w14:paraId="51DBF0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9" w:hRule="atLeast"/>
                <w:jc w:val="center"/>
              </w:trPr>
              <w:tc>
                <w:tcPr>
                  <w:tcW w:w="5000" w:type="pct"/>
                  <w:gridSpan w:val="6"/>
                  <w:tcBorders>
                    <w:tl2br w:val="nil"/>
                    <w:tr2bl w:val="nil"/>
                  </w:tcBorders>
                  <w:vAlign w:val="center"/>
                </w:tcPr>
                <w:p w14:paraId="5FF33991">
                  <w:pPr>
                    <w:keepNext w:val="0"/>
                    <w:keepLines w:val="0"/>
                    <w:pageBreakBefore w:val="0"/>
                    <w:widowControl/>
                    <w:tabs>
                      <w:tab w:val="left" w:pos="1021"/>
                    </w:tabs>
                    <w:kinsoku/>
                    <w:wordWrap w:val="0"/>
                    <w:overflowPunct/>
                    <w:topLinePunct/>
                    <w:autoSpaceDE/>
                    <w:autoSpaceDN/>
                    <w:bidi w:val="0"/>
                    <w:adjustRightInd/>
                    <w:snapToGrid/>
                    <w:spacing w:before="10" w:after="10" w:line="240" w:lineRule="auto"/>
                    <w:ind w:firstLine="0" w:firstLineChars="0"/>
                    <w:jc w:val="center"/>
                    <w:textAlignment w:val="baseline"/>
                    <w:rPr>
                      <w:rFonts w:hint="default" w:ascii="Times New Roman" w:hAnsi="Times New Roman" w:eastAsia="宋体" w:cs="Times New Roman"/>
                      <w:b/>
                      <w:bCs/>
                      <w:color w:val="auto"/>
                      <w:kern w:val="0"/>
                      <w:sz w:val="21"/>
                      <w:szCs w:val="20"/>
                      <w:highlight w:val="none"/>
                      <w:u w:val="none" w:color="auto"/>
                      <w:lang w:val="en-US" w:eastAsia="zh-CN" w:bidi="ar-SA"/>
                    </w:rPr>
                  </w:pPr>
                  <w:r>
                    <w:rPr>
                      <w:rFonts w:hint="eastAsia" w:ascii="Times New Roman" w:hAnsi="Times New Roman" w:eastAsia="宋体" w:cs="Times New Roman"/>
                      <w:b/>
                      <w:bCs/>
                      <w:color w:val="auto"/>
                      <w:kern w:val="0"/>
                      <w:sz w:val="21"/>
                      <w:szCs w:val="20"/>
                      <w:highlight w:val="none"/>
                      <w:u w:val="none" w:color="auto"/>
                      <w:lang w:val="en-US" w:eastAsia="zh-CN" w:bidi="ar-SA"/>
                    </w:rPr>
                    <w:t>一般排放口</w:t>
                  </w:r>
                </w:p>
              </w:tc>
            </w:tr>
            <w:tr w14:paraId="429B6E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255" w:type="pct"/>
                  <w:vMerge w:val="restart"/>
                  <w:tcBorders>
                    <w:tl2br w:val="nil"/>
                    <w:tr2bl w:val="nil"/>
                  </w:tcBorders>
                  <w:vAlign w:val="center"/>
                </w:tcPr>
                <w:p w14:paraId="4B88AFF5">
                  <w:pPr>
                    <w:keepNext w:val="0"/>
                    <w:keepLines w:val="0"/>
                    <w:pageBreakBefore w:val="0"/>
                    <w:widowControl/>
                    <w:tabs>
                      <w:tab w:val="left" w:pos="1021"/>
                    </w:tabs>
                    <w:kinsoku/>
                    <w:wordWrap w:val="0"/>
                    <w:overflowPunct/>
                    <w:topLinePunct/>
                    <w:autoSpaceDE/>
                    <w:autoSpaceDN/>
                    <w:bidi w:val="0"/>
                    <w:adjustRightInd/>
                    <w:snapToGrid/>
                    <w:spacing w:before="10" w:after="10" w:line="240" w:lineRule="auto"/>
                    <w:ind w:firstLine="0" w:firstLineChars="0"/>
                    <w:jc w:val="center"/>
                    <w:textAlignment w:val="baseline"/>
                    <w:rPr>
                      <w:rFonts w:hint="default" w:cs="Times New Roman"/>
                      <w:color w:val="auto"/>
                      <w:kern w:val="0"/>
                      <w:sz w:val="21"/>
                      <w:szCs w:val="20"/>
                      <w:highlight w:val="none"/>
                      <w:u w:val="none" w:color="auto"/>
                      <w:lang w:val="en-US" w:eastAsia="zh-CN" w:bidi="ar-SA"/>
                    </w:rPr>
                  </w:pPr>
                  <w:r>
                    <w:rPr>
                      <w:rFonts w:hint="eastAsia" w:cs="Times New Roman"/>
                      <w:color w:val="auto"/>
                      <w:kern w:val="0"/>
                      <w:sz w:val="21"/>
                      <w:szCs w:val="20"/>
                      <w:highlight w:val="none"/>
                      <w:u w:val="none" w:color="auto"/>
                      <w:lang w:val="en-US" w:eastAsia="zh-CN" w:bidi="ar-SA"/>
                    </w:rPr>
                    <w:t>1</w:t>
                  </w:r>
                </w:p>
              </w:tc>
              <w:tc>
                <w:tcPr>
                  <w:tcW w:w="713" w:type="pct"/>
                  <w:vMerge w:val="restart"/>
                  <w:tcBorders>
                    <w:tl2br w:val="nil"/>
                    <w:tr2bl w:val="nil"/>
                  </w:tcBorders>
                  <w:shd w:val="clear" w:color="auto" w:fill="auto"/>
                  <w:vAlign w:val="center"/>
                </w:tcPr>
                <w:p w14:paraId="1232C45D">
                  <w:pPr>
                    <w:keepNext w:val="0"/>
                    <w:keepLines w:val="0"/>
                    <w:widowControl/>
                    <w:suppressLineNumbers w:val="0"/>
                    <w:adjustRightInd w:val="0"/>
                    <w:snapToGrid w:val="0"/>
                    <w:spacing w:before="60" w:beforeAutospacing="0" w:after="16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u w:val="none" w:color="auto"/>
                      <w:lang w:val="en-US" w:eastAsia="zh-CN" w:bidi="ar-SA"/>
                    </w:rPr>
                    <w:t>DA001</w:t>
                  </w:r>
                </w:p>
              </w:tc>
              <w:tc>
                <w:tcPr>
                  <w:tcW w:w="857" w:type="pct"/>
                  <w:tcBorders>
                    <w:tl2br w:val="nil"/>
                    <w:tr2bl w:val="nil"/>
                  </w:tcBorders>
                  <w:shd w:val="clear" w:color="auto" w:fill="auto"/>
                  <w:vAlign w:val="center"/>
                </w:tcPr>
                <w:p w14:paraId="74B6AC65">
                  <w:pPr>
                    <w:pStyle w:val="63"/>
                    <w:tabs>
                      <w:tab w:val="left" w:pos="1021"/>
                    </w:tabs>
                    <w:ind w:firstLine="0" w:firstLineChars="0"/>
                    <w:jc w:val="center"/>
                    <w:rPr>
                      <w:rFonts w:hint="default"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cs="Times New Roman"/>
                      <w:color w:val="auto"/>
                      <w:highlight w:val="none"/>
                      <w:u w:val="none" w:color="auto"/>
                    </w:rPr>
                    <w:t>SO</w:t>
                  </w:r>
                  <w:r>
                    <w:rPr>
                      <w:rFonts w:hint="default" w:ascii="Times New Roman" w:hAnsi="Times New Roman" w:cs="Times New Roman"/>
                      <w:color w:val="auto"/>
                      <w:highlight w:val="none"/>
                      <w:u w:val="none" w:color="auto"/>
                      <w:vertAlign w:val="subscript"/>
                    </w:rPr>
                    <w:t>2</w:t>
                  </w:r>
                </w:p>
              </w:tc>
              <w:tc>
                <w:tcPr>
                  <w:tcW w:w="1352" w:type="pct"/>
                  <w:tcBorders>
                    <w:tl2br w:val="nil"/>
                    <w:tr2bl w:val="nil"/>
                  </w:tcBorders>
                  <w:shd w:val="clear" w:color="auto" w:fill="auto"/>
                  <w:vAlign w:val="center"/>
                </w:tcPr>
                <w:p w14:paraId="7F5E2315">
                  <w:pPr>
                    <w:pStyle w:val="63"/>
                    <w:tabs>
                      <w:tab w:val="left" w:pos="1021"/>
                    </w:tabs>
                    <w:ind w:firstLine="0" w:firstLineChars="0"/>
                    <w:jc w:val="center"/>
                    <w:rPr>
                      <w:rFonts w:hint="default" w:ascii="Times New Roman" w:hAnsi="Times New Roman" w:eastAsia="宋体" w:cs="Times New Roman"/>
                      <w:color w:val="auto"/>
                      <w:kern w:val="2"/>
                      <w:sz w:val="21"/>
                      <w:szCs w:val="21"/>
                      <w:highlight w:val="none"/>
                      <w:u w:val="single" w:color="auto"/>
                      <w:vertAlign w:val="baseline"/>
                      <w:lang w:val="en-US" w:eastAsia="zh-CN" w:bidi="ar-SA"/>
                    </w:rPr>
                  </w:pPr>
                  <w:r>
                    <w:rPr>
                      <w:rFonts w:hint="eastAsia" w:ascii="Times New Roman" w:hAnsi="Times New Roman" w:cs="Times New Roman"/>
                      <w:color w:val="auto"/>
                      <w:highlight w:val="none"/>
                      <w:u w:val="single" w:color="auto"/>
                      <w:lang w:val="en-US" w:eastAsia="zh-CN"/>
                    </w:rPr>
                    <w:t>25.62</w:t>
                  </w:r>
                  <w:r>
                    <w:rPr>
                      <w:rFonts w:hint="default" w:ascii="Times New Roman" w:hAnsi="Times New Roman" w:cs="Times New Roman"/>
                      <w:b w:val="0"/>
                      <w:bCs w:val="0"/>
                      <w:color w:val="auto"/>
                      <w:highlight w:val="none"/>
                      <w:u w:val="single" w:color="auto"/>
                    </w:rPr>
                    <w:t>mg/m</w:t>
                  </w:r>
                  <w:r>
                    <w:rPr>
                      <w:rFonts w:hint="default" w:ascii="Times New Roman" w:hAnsi="Times New Roman" w:cs="Times New Roman"/>
                      <w:b w:val="0"/>
                      <w:bCs w:val="0"/>
                      <w:color w:val="auto"/>
                      <w:highlight w:val="none"/>
                      <w:u w:val="single" w:color="auto"/>
                      <w:vertAlign w:val="superscript"/>
                    </w:rPr>
                    <w:t>3</w:t>
                  </w:r>
                </w:p>
              </w:tc>
              <w:tc>
                <w:tcPr>
                  <w:tcW w:w="864" w:type="pct"/>
                  <w:tcBorders>
                    <w:tl2br w:val="nil"/>
                    <w:tr2bl w:val="nil"/>
                  </w:tcBorders>
                  <w:shd w:val="clear" w:color="auto" w:fill="auto"/>
                  <w:vAlign w:val="center"/>
                </w:tcPr>
                <w:p w14:paraId="7EF48400">
                  <w:pPr>
                    <w:jc w:val="center"/>
                    <w:rPr>
                      <w:rFonts w:hint="default" w:ascii="Times New Roman" w:hAnsi="Times New Roman" w:eastAsia="宋体" w:cs="Times New Roman"/>
                      <w:color w:val="auto"/>
                      <w:kern w:val="2"/>
                      <w:sz w:val="21"/>
                      <w:szCs w:val="21"/>
                      <w:highlight w:val="none"/>
                      <w:u w:val="single" w:color="auto"/>
                      <w:vertAlign w:val="baseline"/>
                      <w:lang w:val="en-US" w:eastAsia="zh-CN" w:bidi="ar-SA"/>
                    </w:rPr>
                  </w:pPr>
                  <w:r>
                    <w:rPr>
                      <w:rFonts w:hint="eastAsia" w:cs="Times New Roman"/>
                      <w:color w:val="auto"/>
                      <w:sz w:val="21"/>
                      <w:szCs w:val="21"/>
                      <w:highlight w:val="none"/>
                      <w:u w:val="single" w:color="auto"/>
                      <w:vertAlign w:val="baseline"/>
                      <w:lang w:val="en-US" w:eastAsia="zh-CN"/>
                    </w:rPr>
                    <w:t>0.017</w:t>
                  </w:r>
                  <w:r>
                    <w:rPr>
                      <w:rFonts w:hint="eastAsia" w:ascii="Times New Roman" w:hAnsi="Times New Roman" w:eastAsia="宋体" w:cs="Times New Roman"/>
                      <w:color w:val="auto"/>
                      <w:kern w:val="2"/>
                      <w:sz w:val="21"/>
                      <w:szCs w:val="21"/>
                      <w:highlight w:val="none"/>
                      <w:u w:val="single" w:color="auto"/>
                      <w:vertAlign w:val="baseline"/>
                      <w:lang w:val="en-US" w:eastAsia="zh-CN" w:bidi="ar-SA"/>
                    </w:rPr>
                    <w:t>kg/h</w:t>
                  </w:r>
                </w:p>
              </w:tc>
              <w:tc>
                <w:tcPr>
                  <w:tcW w:w="956" w:type="pct"/>
                  <w:tcBorders>
                    <w:tl2br w:val="nil"/>
                    <w:tr2bl w:val="nil"/>
                  </w:tcBorders>
                  <w:shd w:val="clear" w:color="auto" w:fill="auto"/>
                  <w:vAlign w:val="center"/>
                </w:tcPr>
                <w:p w14:paraId="6F309D60">
                  <w:pPr>
                    <w:jc w:val="center"/>
                    <w:rPr>
                      <w:rFonts w:hint="default" w:ascii="Times New Roman" w:hAnsi="Times New Roman" w:eastAsia="宋体" w:cs="Times New Roman"/>
                      <w:color w:val="auto"/>
                      <w:kern w:val="2"/>
                      <w:sz w:val="21"/>
                      <w:szCs w:val="21"/>
                      <w:highlight w:val="none"/>
                      <w:u w:val="single" w:color="auto"/>
                      <w:vertAlign w:val="baseline"/>
                      <w:lang w:val="en-US" w:eastAsia="zh-CN" w:bidi="ar-SA"/>
                    </w:rPr>
                  </w:pPr>
                  <w:r>
                    <w:rPr>
                      <w:rFonts w:hint="eastAsia" w:cs="Times New Roman"/>
                      <w:color w:val="auto"/>
                      <w:kern w:val="0"/>
                      <w:sz w:val="21"/>
                      <w:szCs w:val="20"/>
                      <w:highlight w:val="none"/>
                      <w:u w:val="single" w:color="auto"/>
                      <w:lang w:val="en-US" w:eastAsia="zh-CN" w:bidi="ar-SA"/>
                    </w:rPr>
                    <w:t>0.031</w:t>
                  </w:r>
                  <w:r>
                    <w:rPr>
                      <w:rFonts w:hint="default" w:ascii="Times New Roman" w:hAnsi="Times New Roman" w:cs="Times New Roman"/>
                      <w:color w:val="auto"/>
                      <w:highlight w:val="none"/>
                      <w:u w:val="single" w:color="auto"/>
                    </w:rPr>
                    <w:t>t</w:t>
                  </w:r>
                  <w:r>
                    <w:rPr>
                      <w:rFonts w:hint="eastAsia" w:ascii="Times New Roman" w:hAnsi="Times New Roman" w:cs="Times New Roman"/>
                      <w:color w:val="auto"/>
                      <w:highlight w:val="none"/>
                      <w:u w:val="single" w:color="auto"/>
                      <w:lang w:val="en-US" w:eastAsia="zh-CN"/>
                    </w:rPr>
                    <w:t>/a</w:t>
                  </w:r>
                </w:p>
              </w:tc>
            </w:tr>
            <w:tr w14:paraId="0A7B81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255" w:type="pct"/>
                  <w:vMerge w:val="continue"/>
                  <w:tcBorders>
                    <w:tl2br w:val="nil"/>
                    <w:tr2bl w:val="nil"/>
                  </w:tcBorders>
                  <w:vAlign w:val="center"/>
                </w:tcPr>
                <w:p w14:paraId="3DE08020">
                  <w:pPr>
                    <w:keepNext w:val="0"/>
                    <w:keepLines w:val="0"/>
                    <w:pageBreakBefore w:val="0"/>
                    <w:widowControl/>
                    <w:tabs>
                      <w:tab w:val="left" w:pos="1021"/>
                    </w:tabs>
                    <w:kinsoku/>
                    <w:wordWrap w:val="0"/>
                    <w:overflowPunct/>
                    <w:topLinePunct/>
                    <w:autoSpaceDE/>
                    <w:autoSpaceDN/>
                    <w:bidi w:val="0"/>
                    <w:adjustRightInd/>
                    <w:snapToGrid/>
                    <w:spacing w:before="10" w:after="10" w:line="240" w:lineRule="auto"/>
                    <w:ind w:firstLine="0" w:firstLineChars="0"/>
                    <w:jc w:val="center"/>
                    <w:textAlignment w:val="baseline"/>
                    <w:rPr>
                      <w:rFonts w:hint="eastAsia" w:cs="Times New Roman"/>
                      <w:color w:val="auto"/>
                      <w:kern w:val="0"/>
                      <w:sz w:val="21"/>
                      <w:szCs w:val="20"/>
                      <w:highlight w:val="none"/>
                      <w:u w:val="none" w:color="auto"/>
                      <w:lang w:val="en-US" w:eastAsia="zh-CN" w:bidi="ar-SA"/>
                    </w:rPr>
                  </w:pPr>
                </w:p>
              </w:tc>
              <w:tc>
                <w:tcPr>
                  <w:tcW w:w="713" w:type="pct"/>
                  <w:vMerge w:val="continue"/>
                  <w:tcBorders>
                    <w:tl2br w:val="nil"/>
                    <w:tr2bl w:val="nil"/>
                  </w:tcBorders>
                  <w:shd w:val="clear" w:color="auto" w:fill="auto"/>
                  <w:vAlign w:val="center"/>
                </w:tcPr>
                <w:p w14:paraId="0E3D43AC">
                  <w:pPr>
                    <w:keepNext w:val="0"/>
                    <w:keepLines w:val="0"/>
                    <w:widowControl/>
                    <w:suppressLineNumbers w:val="0"/>
                    <w:adjustRightInd w:val="0"/>
                    <w:snapToGrid w:val="0"/>
                    <w:spacing w:before="60" w:beforeAutospacing="0" w:after="160" w:afterAutospacing="0" w:line="240" w:lineRule="auto"/>
                    <w:ind w:left="0" w:leftChars="0" w:right="0" w:rightChars="0" w:firstLine="0" w:firstLineChars="0"/>
                    <w:jc w:val="center"/>
                    <w:textAlignment w:val="center"/>
                    <w:rPr>
                      <w:rFonts w:hint="eastAsia" w:cs="Times New Roman"/>
                      <w:color w:val="auto"/>
                      <w:kern w:val="0"/>
                      <w:sz w:val="21"/>
                      <w:szCs w:val="21"/>
                      <w:highlight w:val="none"/>
                      <w:u w:val="none" w:color="auto"/>
                      <w:lang w:val="en-US" w:eastAsia="zh-CN" w:bidi="ar-SA"/>
                    </w:rPr>
                  </w:pPr>
                </w:p>
              </w:tc>
              <w:tc>
                <w:tcPr>
                  <w:tcW w:w="857" w:type="pct"/>
                  <w:tcBorders>
                    <w:tl2br w:val="nil"/>
                    <w:tr2bl w:val="nil"/>
                  </w:tcBorders>
                  <w:shd w:val="clear" w:color="auto" w:fill="auto"/>
                  <w:vAlign w:val="center"/>
                </w:tcPr>
                <w:p w14:paraId="49CC64AC">
                  <w:pPr>
                    <w:pStyle w:val="63"/>
                    <w:tabs>
                      <w:tab w:val="left" w:pos="1021"/>
                    </w:tabs>
                    <w:ind w:firstLine="0" w:firstLineChars="0"/>
                    <w:jc w:val="center"/>
                    <w:rPr>
                      <w:rFonts w:hint="eastAsia"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cs="Times New Roman"/>
                      <w:color w:val="auto"/>
                      <w:highlight w:val="none"/>
                      <w:u w:val="none" w:color="auto"/>
                    </w:rPr>
                    <w:t>NO</w:t>
                  </w:r>
                  <w:r>
                    <w:rPr>
                      <w:rFonts w:hint="default" w:ascii="Times New Roman" w:hAnsi="Times New Roman" w:cs="Times New Roman"/>
                      <w:color w:val="auto"/>
                      <w:highlight w:val="none"/>
                      <w:u w:val="none" w:color="auto"/>
                      <w:vertAlign w:val="subscript"/>
                    </w:rPr>
                    <w:t>X</w:t>
                  </w:r>
                </w:p>
              </w:tc>
              <w:tc>
                <w:tcPr>
                  <w:tcW w:w="1352" w:type="pct"/>
                  <w:tcBorders>
                    <w:tl2br w:val="nil"/>
                    <w:tr2bl w:val="nil"/>
                  </w:tcBorders>
                  <w:shd w:val="clear" w:color="auto" w:fill="auto"/>
                  <w:vAlign w:val="center"/>
                </w:tcPr>
                <w:p w14:paraId="35549F52">
                  <w:pPr>
                    <w:pStyle w:val="63"/>
                    <w:tabs>
                      <w:tab w:val="left" w:pos="1021"/>
                    </w:tabs>
                    <w:ind w:firstLine="0" w:firstLineChars="0"/>
                    <w:jc w:val="center"/>
                    <w:rPr>
                      <w:rFonts w:hint="eastAsia" w:ascii="Times New Roman" w:hAnsi="Times New Roman" w:eastAsia="宋体" w:cs="Times New Roman"/>
                      <w:color w:val="auto"/>
                      <w:kern w:val="2"/>
                      <w:sz w:val="21"/>
                      <w:szCs w:val="21"/>
                      <w:highlight w:val="none"/>
                      <w:u w:val="single" w:color="auto"/>
                      <w:vertAlign w:val="baseline"/>
                      <w:lang w:val="en-US" w:eastAsia="zh-CN" w:bidi="ar-SA"/>
                    </w:rPr>
                  </w:pPr>
                  <w:r>
                    <w:rPr>
                      <w:rFonts w:hint="eastAsia" w:ascii="Times New Roman" w:hAnsi="Times New Roman" w:cs="Times New Roman"/>
                      <w:color w:val="auto"/>
                      <w:highlight w:val="none"/>
                      <w:u w:val="single" w:color="auto"/>
                      <w:lang w:val="en-US" w:eastAsia="zh-CN"/>
                    </w:rPr>
                    <w:t>166.13</w:t>
                  </w:r>
                  <w:r>
                    <w:rPr>
                      <w:rFonts w:hint="default" w:ascii="Times New Roman" w:hAnsi="Times New Roman" w:cs="Times New Roman"/>
                      <w:b w:val="0"/>
                      <w:bCs w:val="0"/>
                      <w:color w:val="auto"/>
                      <w:highlight w:val="none"/>
                      <w:u w:val="single" w:color="auto"/>
                    </w:rPr>
                    <w:t>mg/m</w:t>
                  </w:r>
                  <w:r>
                    <w:rPr>
                      <w:rFonts w:hint="default" w:ascii="Times New Roman" w:hAnsi="Times New Roman" w:cs="Times New Roman"/>
                      <w:b w:val="0"/>
                      <w:bCs w:val="0"/>
                      <w:color w:val="auto"/>
                      <w:highlight w:val="none"/>
                      <w:u w:val="single" w:color="auto"/>
                      <w:vertAlign w:val="superscript"/>
                    </w:rPr>
                    <w:t>3</w:t>
                  </w:r>
                </w:p>
              </w:tc>
              <w:tc>
                <w:tcPr>
                  <w:tcW w:w="864" w:type="pct"/>
                  <w:tcBorders>
                    <w:tl2br w:val="nil"/>
                    <w:tr2bl w:val="nil"/>
                  </w:tcBorders>
                  <w:shd w:val="clear" w:color="auto" w:fill="auto"/>
                  <w:vAlign w:val="center"/>
                </w:tcPr>
                <w:p w14:paraId="280807DD">
                  <w:pPr>
                    <w:jc w:val="center"/>
                    <w:rPr>
                      <w:rFonts w:hint="default" w:ascii="Times New Roman" w:hAnsi="Times New Roman" w:eastAsia="宋体" w:cs="Times New Roman"/>
                      <w:color w:val="auto"/>
                      <w:kern w:val="2"/>
                      <w:sz w:val="21"/>
                      <w:szCs w:val="21"/>
                      <w:highlight w:val="none"/>
                      <w:u w:val="single" w:color="auto"/>
                      <w:vertAlign w:val="baseline"/>
                      <w:lang w:val="en-US" w:eastAsia="zh-CN" w:bidi="ar-SA"/>
                    </w:rPr>
                  </w:pPr>
                  <w:r>
                    <w:rPr>
                      <w:rFonts w:hint="eastAsia" w:ascii="Times New Roman" w:hAnsi="Times New Roman" w:eastAsia="宋体" w:cs="Times New Roman"/>
                      <w:color w:val="auto"/>
                      <w:kern w:val="2"/>
                      <w:sz w:val="21"/>
                      <w:szCs w:val="21"/>
                      <w:highlight w:val="none"/>
                      <w:u w:val="single" w:color="auto"/>
                      <w:vertAlign w:val="baseline"/>
                      <w:lang w:val="en-US" w:eastAsia="zh-CN" w:bidi="ar-SA"/>
                    </w:rPr>
                    <w:t>0.112 kg/h</w:t>
                  </w:r>
                </w:p>
              </w:tc>
              <w:tc>
                <w:tcPr>
                  <w:tcW w:w="956" w:type="pct"/>
                  <w:tcBorders>
                    <w:tl2br w:val="nil"/>
                    <w:tr2bl w:val="nil"/>
                  </w:tcBorders>
                  <w:shd w:val="clear" w:color="auto" w:fill="auto"/>
                  <w:vAlign w:val="center"/>
                </w:tcPr>
                <w:p w14:paraId="2D99B4EB">
                  <w:pPr>
                    <w:jc w:val="center"/>
                    <w:rPr>
                      <w:rFonts w:hint="eastAsia" w:ascii="Times New Roman" w:hAnsi="Times New Roman" w:eastAsia="宋体" w:cs="Times New Roman"/>
                      <w:color w:val="auto"/>
                      <w:kern w:val="2"/>
                      <w:sz w:val="21"/>
                      <w:szCs w:val="21"/>
                      <w:highlight w:val="none"/>
                      <w:u w:val="single" w:color="auto"/>
                      <w:vertAlign w:val="baseline"/>
                      <w:lang w:val="en-US" w:eastAsia="zh-CN" w:bidi="ar-SA"/>
                    </w:rPr>
                  </w:pPr>
                  <w:r>
                    <w:rPr>
                      <w:rFonts w:hint="default" w:ascii="Times New Roman" w:hAnsi="Times New Roman" w:eastAsia="宋体" w:cs="Times New Roman"/>
                      <w:color w:val="auto"/>
                      <w:kern w:val="0"/>
                      <w:sz w:val="21"/>
                      <w:szCs w:val="20"/>
                      <w:highlight w:val="none"/>
                      <w:u w:val="single" w:color="auto"/>
                      <w:lang w:val="en-US" w:eastAsia="zh-CN" w:bidi="ar-SA"/>
                    </w:rPr>
                    <w:t>0.</w:t>
                  </w:r>
                  <w:r>
                    <w:rPr>
                      <w:rFonts w:hint="eastAsia" w:cs="Times New Roman"/>
                      <w:color w:val="auto"/>
                      <w:kern w:val="0"/>
                      <w:sz w:val="21"/>
                      <w:szCs w:val="20"/>
                      <w:highlight w:val="none"/>
                      <w:u w:val="single" w:color="auto"/>
                      <w:lang w:val="en-US" w:eastAsia="zh-CN" w:bidi="ar-SA"/>
                    </w:rPr>
                    <w:t>201</w:t>
                  </w:r>
                  <w:r>
                    <w:rPr>
                      <w:rFonts w:hint="default" w:ascii="Times New Roman" w:hAnsi="Times New Roman" w:cs="Times New Roman"/>
                      <w:color w:val="auto"/>
                      <w:highlight w:val="none"/>
                      <w:u w:val="single" w:color="auto"/>
                    </w:rPr>
                    <w:t>t</w:t>
                  </w:r>
                  <w:r>
                    <w:rPr>
                      <w:rFonts w:hint="eastAsia" w:ascii="Times New Roman" w:hAnsi="Times New Roman" w:cs="Times New Roman"/>
                      <w:color w:val="auto"/>
                      <w:highlight w:val="none"/>
                      <w:u w:val="single" w:color="auto"/>
                      <w:lang w:val="en-US" w:eastAsia="zh-CN"/>
                    </w:rPr>
                    <w:t>/a</w:t>
                  </w:r>
                </w:p>
              </w:tc>
            </w:tr>
            <w:tr w14:paraId="0C04FE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6" w:hRule="atLeast"/>
                <w:jc w:val="center"/>
              </w:trPr>
              <w:tc>
                <w:tcPr>
                  <w:tcW w:w="255" w:type="pct"/>
                  <w:vMerge w:val="continue"/>
                  <w:tcBorders>
                    <w:tl2br w:val="nil"/>
                    <w:tr2bl w:val="nil"/>
                  </w:tcBorders>
                  <w:vAlign w:val="center"/>
                </w:tcPr>
                <w:p w14:paraId="1F5F2FEF">
                  <w:pPr>
                    <w:keepNext w:val="0"/>
                    <w:keepLines w:val="0"/>
                    <w:pageBreakBefore w:val="0"/>
                    <w:widowControl/>
                    <w:tabs>
                      <w:tab w:val="left" w:pos="1021"/>
                    </w:tabs>
                    <w:kinsoku/>
                    <w:wordWrap w:val="0"/>
                    <w:overflowPunct/>
                    <w:topLinePunct/>
                    <w:autoSpaceDE/>
                    <w:autoSpaceDN/>
                    <w:bidi w:val="0"/>
                    <w:adjustRightInd/>
                    <w:snapToGrid/>
                    <w:spacing w:before="10" w:after="10" w:line="240" w:lineRule="auto"/>
                    <w:ind w:firstLine="0" w:firstLineChars="0"/>
                    <w:jc w:val="center"/>
                    <w:textAlignment w:val="baseline"/>
                    <w:rPr>
                      <w:rFonts w:hint="eastAsia" w:cs="Times New Roman"/>
                      <w:color w:val="auto"/>
                      <w:kern w:val="0"/>
                      <w:sz w:val="21"/>
                      <w:szCs w:val="20"/>
                      <w:highlight w:val="none"/>
                      <w:u w:val="none" w:color="auto"/>
                      <w:lang w:val="en-US" w:eastAsia="zh-CN" w:bidi="ar-SA"/>
                    </w:rPr>
                  </w:pPr>
                </w:p>
              </w:tc>
              <w:tc>
                <w:tcPr>
                  <w:tcW w:w="713" w:type="pct"/>
                  <w:vMerge w:val="continue"/>
                  <w:tcBorders>
                    <w:tl2br w:val="nil"/>
                    <w:tr2bl w:val="nil"/>
                  </w:tcBorders>
                  <w:shd w:val="clear" w:color="auto" w:fill="auto"/>
                  <w:vAlign w:val="center"/>
                </w:tcPr>
                <w:p w14:paraId="13347D5F">
                  <w:pPr>
                    <w:keepNext w:val="0"/>
                    <w:keepLines w:val="0"/>
                    <w:widowControl/>
                    <w:suppressLineNumbers w:val="0"/>
                    <w:adjustRightInd w:val="0"/>
                    <w:snapToGrid w:val="0"/>
                    <w:spacing w:before="60" w:beforeAutospacing="0" w:after="160" w:afterAutospacing="0" w:line="240" w:lineRule="auto"/>
                    <w:ind w:left="0" w:leftChars="0" w:right="0" w:rightChars="0" w:firstLine="0" w:firstLineChars="0"/>
                    <w:jc w:val="center"/>
                    <w:textAlignment w:val="center"/>
                    <w:rPr>
                      <w:rFonts w:hint="eastAsia" w:cs="Times New Roman"/>
                      <w:color w:val="auto"/>
                      <w:kern w:val="0"/>
                      <w:sz w:val="21"/>
                      <w:szCs w:val="21"/>
                      <w:highlight w:val="none"/>
                      <w:u w:val="none" w:color="auto"/>
                      <w:lang w:val="en-US" w:eastAsia="zh-CN" w:bidi="ar-SA"/>
                    </w:rPr>
                  </w:pPr>
                </w:p>
              </w:tc>
              <w:tc>
                <w:tcPr>
                  <w:tcW w:w="857" w:type="pct"/>
                  <w:tcBorders>
                    <w:tl2br w:val="nil"/>
                    <w:tr2bl w:val="nil"/>
                  </w:tcBorders>
                  <w:shd w:val="clear" w:color="auto" w:fill="auto"/>
                  <w:vAlign w:val="center"/>
                </w:tcPr>
                <w:p w14:paraId="552B8DE8">
                  <w:pPr>
                    <w:pStyle w:val="63"/>
                    <w:tabs>
                      <w:tab w:val="left" w:pos="1021"/>
                    </w:tabs>
                    <w:ind w:firstLine="0" w:firstLineChars="0"/>
                    <w:jc w:val="center"/>
                    <w:rPr>
                      <w:rFonts w:hint="eastAsia"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cs="Times New Roman"/>
                      <w:color w:val="auto"/>
                      <w:highlight w:val="none"/>
                      <w:u w:val="none" w:color="auto"/>
                    </w:rPr>
                    <w:t>颗粒物</w:t>
                  </w:r>
                </w:p>
              </w:tc>
              <w:tc>
                <w:tcPr>
                  <w:tcW w:w="1352" w:type="pct"/>
                  <w:tcBorders>
                    <w:tl2br w:val="nil"/>
                    <w:tr2bl w:val="nil"/>
                  </w:tcBorders>
                  <w:shd w:val="clear" w:color="auto" w:fill="auto"/>
                  <w:vAlign w:val="center"/>
                </w:tcPr>
                <w:p w14:paraId="209941EB">
                  <w:pPr>
                    <w:jc w:val="center"/>
                    <w:rPr>
                      <w:rFonts w:hint="eastAsia" w:ascii="Times New Roman" w:hAnsi="Times New Roman" w:eastAsia="宋体" w:cs="Times New Roman"/>
                      <w:color w:val="auto"/>
                      <w:kern w:val="2"/>
                      <w:sz w:val="21"/>
                      <w:szCs w:val="21"/>
                      <w:highlight w:val="none"/>
                      <w:u w:val="single" w:color="auto"/>
                      <w:vertAlign w:val="baseline"/>
                      <w:lang w:val="en-US" w:eastAsia="zh-CN" w:bidi="ar-SA"/>
                    </w:rPr>
                  </w:pPr>
                  <w:r>
                    <w:rPr>
                      <w:rFonts w:hint="eastAsia" w:cs="Times New Roman"/>
                      <w:color w:val="auto"/>
                      <w:kern w:val="0"/>
                      <w:sz w:val="21"/>
                      <w:szCs w:val="20"/>
                      <w:highlight w:val="none"/>
                      <w:u w:val="single" w:color="auto"/>
                      <w:lang w:val="en-US" w:eastAsia="zh-CN" w:bidi="ar-SA"/>
                    </w:rPr>
                    <w:t>4.71</w:t>
                  </w:r>
                  <w:r>
                    <w:rPr>
                      <w:rFonts w:hint="default" w:ascii="Times New Roman" w:hAnsi="Times New Roman" w:cs="Times New Roman"/>
                      <w:b w:val="0"/>
                      <w:bCs w:val="0"/>
                      <w:color w:val="auto"/>
                      <w:highlight w:val="none"/>
                      <w:u w:val="single" w:color="auto"/>
                    </w:rPr>
                    <w:t>mg/m</w:t>
                  </w:r>
                  <w:r>
                    <w:rPr>
                      <w:rFonts w:hint="default" w:ascii="Times New Roman" w:hAnsi="Times New Roman" w:cs="Times New Roman"/>
                      <w:b w:val="0"/>
                      <w:bCs w:val="0"/>
                      <w:color w:val="auto"/>
                      <w:highlight w:val="none"/>
                      <w:u w:val="single" w:color="auto"/>
                      <w:vertAlign w:val="superscript"/>
                    </w:rPr>
                    <w:t>3</w:t>
                  </w:r>
                </w:p>
              </w:tc>
              <w:tc>
                <w:tcPr>
                  <w:tcW w:w="864" w:type="pct"/>
                  <w:tcBorders>
                    <w:tl2br w:val="nil"/>
                    <w:tr2bl w:val="nil"/>
                  </w:tcBorders>
                  <w:shd w:val="clear" w:color="auto" w:fill="auto"/>
                  <w:vAlign w:val="center"/>
                </w:tcPr>
                <w:p w14:paraId="67E78D29">
                  <w:pPr>
                    <w:pStyle w:val="49"/>
                    <w:jc w:val="center"/>
                    <w:rPr>
                      <w:rFonts w:hint="default" w:ascii="Times New Roman" w:hAnsi="Times New Roman" w:eastAsia="宋体" w:cs="Times New Roman"/>
                      <w:color w:val="auto"/>
                      <w:kern w:val="2"/>
                      <w:sz w:val="21"/>
                      <w:szCs w:val="21"/>
                      <w:highlight w:val="none"/>
                      <w:u w:val="single" w:color="auto"/>
                      <w:vertAlign w:val="baseline"/>
                      <w:lang w:val="en-US" w:eastAsia="zh-CN" w:bidi="ar-SA"/>
                    </w:rPr>
                  </w:pPr>
                  <w:r>
                    <w:rPr>
                      <w:rFonts w:hint="eastAsia" w:ascii="Times New Roman" w:hAnsi="Times New Roman" w:eastAsia="宋体" w:cs="Times New Roman"/>
                      <w:color w:val="auto"/>
                      <w:sz w:val="21"/>
                      <w:szCs w:val="21"/>
                      <w:highlight w:val="none"/>
                      <w:u w:val="single" w:color="auto"/>
                      <w:vertAlign w:val="baseline"/>
                      <w:lang w:val="en-US" w:eastAsia="zh-CN"/>
                    </w:rPr>
                    <w:t>0.0032</w:t>
                  </w:r>
                  <w:r>
                    <w:rPr>
                      <w:rFonts w:hint="eastAsia" w:ascii="Times New Roman" w:hAnsi="Times New Roman" w:eastAsia="宋体" w:cs="Times New Roman"/>
                      <w:color w:val="auto"/>
                      <w:kern w:val="2"/>
                      <w:sz w:val="21"/>
                      <w:szCs w:val="21"/>
                      <w:highlight w:val="none"/>
                      <w:u w:val="single" w:color="auto"/>
                      <w:vertAlign w:val="baseline"/>
                      <w:lang w:val="en-US" w:eastAsia="zh-CN" w:bidi="ar-SA"/>
                    </w:rPr>
                    <w:t>kg/h</w:t>
                  </w:r>
                </w:p>
              </w:tc>
              <w:tc>
                <w:tcPr>
                  <w:tcW w:w="956" w:type="pct"/>
                  <w:tcBorders>
                    <w:tl2br w:val="nil"/>
                    <w:tr2bl w:val="nil"/>
                  </w:tcBorders>
                  <w:shd w:val="clear" w:color="auto" w:fill="auto"/>
                  <w:vAlign w:val="center"/>
                </w:tcPr>
                <w:p w14:paraId="4448B638">
                  <w:pPr>
                    <w:jc w:val="center"/>
                    <w:rPr>
                      <w:rFonts w:hint="eastAsia" w:ascii="Times New Roman" w:hAnsi="Times New Roman" w:eastAsia="宋体" w:cs="Times New Roman"/>
                      <w:color w:val="auto"/>
                      <w:kern w:val="2"/>
                      <w:sz w:val="21"/>
                      <w:szCs w:val="21"/>
                      <w:highlight w:val="none"/>
                      <w:u w:val="single" w:color="auto"/>
                      <w:vertAlign w:val="baseline"/>
                      <w:lang w:val="en-US" w:eastAsia="zh-CN" w:bidi="ar-SA"/>
                    </w:rPr>
                  </w:pPr>
                  <w:r>
                    <w:rPr>
                      <w:rFonts w:hint="default" w:ascii="Times New Roman" w:hAnsi="Times New Roman" w:eastAsia="宋体" w:cs="Times New Roman"/>
                      <w:color w:val="auto"/>
                      <w:kern w:val="0"/>
                      <w:sz w:val="21"/>
                      <w:szCs w:val="20"/>
                      <w:highlight w:val="none"/>
                      <w:u w:val="single" w:color="auto"/>
                      <w:lang w:val="en-US" w:eastAsia="zh-CN" w:bidi="ar-SA"/>
                    </w:rPr>
                    <w:t>0.</w:t>
                  </w:r>
                  <w:r>
                    <w:rPr>
                      <w:rFonts w:hint="eastAsia" w:cs="Times New Roman"/>
                      <w:color w:val="auto"/>
                      <w:kern w:val="0"/>
                      <w:sz w:val="21"/>
                      <w:szCs w:val="20"/>
                      <w:highlight w:val="none"/>
                      <w:u w:val="single" w:color="auto"/>
                      <w:lang w:val="en-US" w:eastAsia="zh-CN" w:bidi="ar-SA"/>
                    </w:rPr>
                    <w:t>0057</w:t>
                  </w:r>
                  <w:r>
                    <w:rPr>
                      <w:rFonts w:hint="default" w:ascii="Times New Roman" w:hAnsi="Times New Roman" w:cs="Times New Roman"/>
                      <w:color w:val="auto"/>
                      <w:highlight w:val="none"/>
                      <w:u w:val="single" w:color="auto"/>
                    </w:rPr>
                    <w:t>t</w:t>
                  </w:r>
                  <w:r>
                    <w:rPr>
                      <w:rFonts w:hint="eastAsia" w:ascii="Times New Roman" w:hAnsi="Times New Roman" w:cs="Times New Roman"/>
                      <w:color w:val="auto"/>
                      <w:highlight w:val="none"/>
                      <w:u w:val="single" w:color="auto"/>
                      <w:lang w:val="en-US" w:eastAsia="zh-CN"/>
                    </w:rPr>
                    <w:t>/a</w:t>
                  </w:r>
                </w:p>
              </w:tc>
            </w:tr>
          </w:tbl>
          <w:p w14:paraId="7B80B305">
            <w:pPr>
              <w:jc w:val="center"/>
              <w:rPr>
                <w:rFonts w:hint="eastAsia" w:ascii="Times New Roman" w:hAnsi="Times New Roman" w:cs="Times New Roman"/>
                <w:b/>
                <w:bCs/>
                <w:color w:val="auto"/>
                <w:sz w:val="21"/>
                <w:szCs w:val="21"/>
                <w:highlight w:val="none"/>
                <w:u w:val="none" w:color="auto"/>
                <w:lang w:val="en-US" w:eastAsia="zh-CN"/>
              </w:rPr>
            </w:pPr>
            <w:r>
              <w:rPr>
                <w:rFonts w:hint="default" w:ascii="Times New Roman" w:hAnsi="Times New Roman" w:cs="Times New Roman"/>
                <w:b/>
                <w:bCs/>
                <w:color w:val="auto"/>
                <w:sz w:val="21"/>
                <w:szCs w:val="21"/>
                <w:highlight w:val="none"/>
                <w:u w:val="none" w:color="auto"/>
              </w:rPr>
              <w:t>表4-</w:t>
            </w:r>
            <w:r>
              <w:rPr>
                <w:rFonts w:hint="eastAsia" w:cs="Times New Roman"/>
                <w:b/>
                <w:bCs/>
                <w:color w:val="auto"/>
                <w:sz w:val="21"/>
                <w:szCs w:val="21"/>
                <w:highlight w:val="none"/>
                <w:u w:val="none" w:color="auto"/>
                <w:lang w:val="en-US" w:eastAsia="zh-CN"/>
              </w:rPr>
              <w:t xml:space="preserve">7  </w:t>
            </w:r>
            <w:r>
              <w:rPr>
                <w:rFonts w:hint="eastAsia" w:ascii="Times New Roman" w:hAnsi="Times New Roman" w:cs="Times New Roman"/>
                <w:b/>
                <w:bCs/>
                <w:color w:val="auto"/>
                <w:sz w:val="21"/>
                <w:szCs w:val="21"/>
                <w:highlight w:val="none"/>
                <w:u w:val="none" w:color="auto"/>
                <w:lang w:val="en-US" w:eastAsia="zh-CN"/>
              </w:rPr>
              <w:t>大气污染物无组织排放量核算表</w:t>
            </w:r>
          </w:p>
          <w:tbl>
            <w:tblPr>
              <w:tblStyle w:val="33"/>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5"/>
              <w:gridCol w:w="762"/>
              <w:gridCol w:w="1072"/>
              <w:gridCol w:w="1186"/>
              <w:gridCol w:w="1936"/>
              <w:gridCol w:w="1198"/>
              <w:gridCol w:w="1228"/>
            </w:tblGrid>
            <w:tr w14:paraId="18EA8D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97" w:hRule="atLeast"/>
                <w:jc w:val="center"/>
              </w:trPr>
              <w:tc>
                <w:tcPr>
                  <w:tcW w:w="331" w:type="pct"/>
                  <w:vMerge w:val="restart"/>
                  <w:noWrap w:val="0"/>
                  <w:vAlign w:val="center"/>
                </w:tcPr>
                <w:p w14:paraId="7F27AA13">
                  <w:pPr>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序号</w:t>
                  </w:r>
                </w:p>
              </w:tc>
              <w:tc>
                <w:tcPr>
                  <w:tcW w:w="481" w:type="pct"/>
                  <w:vMerge w:val="restart"/>
                  <w:noWrap w:val="0"/>
                  <w:vAlign w:val="center"/>
                </w:tcPr>
                <w:p w14:paraId="4328560C">
                  <w:pPr>
                    <w:jc w:val="center"/>
                    <w:rPr>
                      <w:rFonts w:hint="default" w:ascii="Times New Roman" w:hAnsi="Times New Roman" w:eastAsia="宋体" w:cs="Times New Roman"/>
                      <w:b/>
                      <w:bCs/>
                      <w:color w:val="auto"/>
                      <w:szCs w:val="21"/>
                      <w:highlight w:val="none"/>
                      <w:u w:val="none" w:color="auto"/>
                      <w:lang w:val="en-US" w:eastAsia="zh-CN"/>
                    </w:rPr>
                  </w:pPr>
                  <w:r>
                    <w:rPr>
                      <w:rFonts w:hint="eastAsia" w:ascii="Times New Roman" w:hAnsi="Times New Roman" w:cs="Times New Roman"/>
                      <w:b/>
                      <w:bCs/>
                      <w:color w:val="auto"/>
                      <w:szCs w:val="21"/>
                      <w:highlight w:val="none"/>
                      <w:u w:val="none" w:color="auto"/>
                      <w:lang w:val="en-US" w:eastAsia="zh-CN"/>
                    </w:rPr>
                    <w:t>产生环节</w:t>
                  </w:r>
                </w:p>
              </w:tc>
              <w:tc>
                <w:tcPr>
                  <w:tcW w:w="677" w:type="pct"/>
                  <w:vMerge w:val="restart"/>
                  <w:noWrap w:val="0"/>
                  <w:vAlign w:val="center"/>
                </w:tcPr>
                <w:p w14:paraId="7E35C21F">
                  <w:pPr>
                    <w:jc w:val="center"/>
                    <w:rPr>
                      <w:rFonts w:hint="eastAsia" w:ascii="Times New Roman" w:hAnsi="Times New Roman" w:eastAsia="宋体" w:cs="Times New Roman"/>
                      <w:b/>
                      <w:bCs/>
                      <w:color w:val="auto"/>
                      <w:szCs w:val="21"/>
                      <w:highlight w:val="none"/>
                      <w:u w:val="none" w:color="auto"/>
                      <w:lang w:eastAsia="zh-CN"/>
                    </w:rPr>
                  </w:pPr>
                  <w:r>
                    <w:rPr>
                      <w:rFonts w:hint="default" w:ascii="Times New Roman" w:hAnsi="Times New Roman" w:cs="Times New Roman"/>
                      <w:b/>
                      <w:bCs/>
                      <w:color w:val="auto"/>
                      <w:szCs w:val="21"/>
                      <w:highlight w:val="none"/>
                      <w:u w:val="none" w:color="auto"/>
                    </w:rPr>
                    <w:t>污染</w:t>
                  </w:r>
                  <w:r>
                    <w:rPr>
                      <w:rFonts w:hint="eastAsia" w:ascii="Times New Roman" w:hAnsi="Times New Roman" w:cs="Times New Roman"/>
                      <w:b/>
                      <w:bCs/>
                      <w:color w:val="auto"/>
                      <w:szCs w:val="21"/>
                      <w:highlight w:val="none"/>
                      <w:u w:val="none" w:color="auto"/>
                      <w:lang w:val="en-US" w:eastAsia="zh-CN"/>
                    </w:rPr>
                    <w:t>物</w:t>
                  </w:r>
                </w:p>
              </w:tc>
              <w:tc>
                <w:tcPr>
                  <w:tcW w:w="749" w:type="pct"/>
                  <w:vMerge w:val="restart"/>
                  <w:noWrap w:val="0"/>
                  <w:vAlign w:val="center"/>
                </w:tcPr>
                <w:p w14:paraId="6D6C5337">
                  <w:pPr>
                    <w:jc w:val="center"/>
                    <w:rPr>
                      <w:rFonts w:hint="default" w:ascii="Times New Roman" w:hAnsi="Times New Roman" w:eastAsia="宋体" w:cs="Times New Roman"/>
                      <w:b/>
                      <w:bCs/>
                      <w:color w:val="auto"/>
                      <w:szCs w:val="21"/>
                      <w:highlight w:val="none"/>
                      <w:u w:val="none" w:color="auto"/>
                      <w:lang w:val="en-US" w:eastAsia="zh-CN"/>
                    </w:rPr>
                  </w:pPr>
                  <w:r>
                    <w:rPr>
                      <w:rFonts w:hint="eastAsia" w:ascii="Times New Roman" w:hAnsi="Times New Roman" w:cs="Times New Roman"/>
                      <w:b/>
                      <w:bCs/>
                      <w:color w:val="auto"/>
                      <w:szCs w:val="21"/>
                      <w:highlight w:val="none"/>
                      <w:u w:val="none" w:color="auto"/>
                      <w:lang w:val="en-US" w:eastAsia="zh-CN"/>
                    </w:rPr>
                    <w:t>主要污染防治措施</w:t>
                  </w:r>
                </w:p>
              </w:tc>
              <w:tc>
                <w:tcPr>
                  <w:tcW w:w="1981" w:type="pct"/>
                  <w:gridSpan w:val="2"/>
                  <w:tcBorders>
                    <w:bottom w:val="single" w:color="auto" w:sz="4" w:space="0"/>
                  </w:tcBorders>
                  <w:noWrap w:val="0"/>
                  <w:vAlign w:val="center"/>
                </w:tcPr>
                <w:p w14:paraId="656A9DBF">
                  <w:pPr>
                    <w:jc w:val="center"/>
                    <w:rPr>
                      <w:rFonts w:hint="default" w:ascii="Times New Roman" w:hAnsi="Times New Roman" w:cs="Times New Roman"/>
                      <w:b/>
                      <w:bCs/>
                      <w:color w:val="auto"/>
                      <w:szCs w:val="21"/>
                      <w:highlight w:val="none"/>
                      <w:u w:val="none" w:color="auto"/>
                    </w:rPr>
                  </w:pPr>
                  <w:r>
                    <w:rPr>
                      <w:rFonts w:hint="eastAsia" w:ascii="Times New Roman" w:hAnsi="Times New Roman" w:cs="Times New Roman"/>
                      <w:b/>
                      <w:bCs/>
                      <w:color w:val="auto"/>
                      <w:szCs w:val="21"/>
                      <w:highlight w:val="none"/>
                      <w:u w:val="none" w:color="auto"/>
                      <w:lang w:val="en-US" w:eastAsia="zh-CN"/>
                    </w:rPr>
                    <w:t>国家或地方污染物排放标准</w:t>
                  </w:r>
                </w:p>
              </w:tc>
              <w:tc>
                <w:tcPr>
                  <w:tcW w:w="776" w:type="pct"/>
                  <w:vMerge w:val="restart"/>
                  <w:noWrap w:val="0"/>
                  <w:vAlign w:val="center"/>
                </w:tcPr>
                <w:p w14:paraId="103370E9">
                  <w:pPr>
                    <w:jc w:val="center"/>
                    <w:rPr>
                      <w:rFonts w:hint="default" w:ascii="Times New Roman" w:hAnsi="Times New Roman" w:eastAsia="宋体" w:cs="Times New Roman"/>
                      <w:b/>
                      <w:bCs/>
                      <w:color w:val="auto"/>
                      <w:szCs w:val="21"/>
                      <w:highlight w:val="none"/>
                      <w:u w:val="none" w:color="auto"/>
                      <w:lang w:val="en-US" w:eastAsia="zh-CN"/>
                    </w:rPr>
                  </w:pPr>
                  <w:r>
                    <w:rPr>
                      <w:rFonts w:hint="eastAsia" w:ascii="Times New Roman" w:hAnsi="Times New Roman" w:cs="Times New Roman"/>
                      <w:b/>
                      <w:bCs/>
                      <w:color w:val="auto"/>
                      <w:szCs w:val="21"/>
                      <w:highlight w:val="none"/>
                      <w:u w:val="none" w:color="auto"/>
                      <w:lang w:val="en-US" w:eastAsia="zh-CN"/>
                    </w:rPr>
                    <w:t>年排放量</w:t>
                  </w:r>
                </w:p>
              </w:tc>
            </w:tr>
            <w:tr w14:paraId="12924A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31" w:type="pct"/>
                  <w:vMerge w:val="continue"/>
                  <w:noWrap w:val="0"/>
                  <w:vAlign w:val="center"/>
                </w:tcPr>
                <w:p w14:paraId="3FD7E9BF">
                  <w:pPr>
                    <w:jc w:val="center"/>
                    <w:rPr>
                      <w:rFonts w:hint="default" w:ascii="Times New Roman" w:hAnsi="Times New Roman" w:cs="Times New Roman"/>
                      <w:b/>
                      <w:bCs/>
                      <w:color w:val="auto"/>
                      <w:szCs w:val="21"/>
                      <w:highlight w:val="none"/>
                      <w:u w:val="none" w:color="auto"/>
                    </w:rPr>
                  </w:pPr>
                </w:p>
              </w:tc>
              <w:tc>
                <w:tcPr>
                  <w:tcW w:w="481" w:type="pct"/>
                  <w:vMerge w:val="continue"/>
                  <w:noWrap w:val="0"/>
                  <w:vAlign w:val="center"/>
                </w:tcPr>
                <w:p w14:paraId="0A0EAA94">
                  <w:pPr>
                    <w:jc w:val="center"/>
                    <w:rPr>
                      <w:rFonts w:hint="eastAsia" w:ascii="Times New Roman" w:hAnsi="Times New Roman" w:cs="Times New Roman"/>
                      <w:b/>
                      <w:bCs/>
                      <w:color w:val="auto"/>
                      <w:szCs w:val="21"/>
                      <w:highlight w:val="none"/>
                      <w:u w:val="none" w:color="auto"/>
                      <w:lang w:val="en-US" w:eastAsia="zh-CN"/>
                    </w:rPr>
                  </w:pPr>
                </w:p>
              </w:tc>
              <w:tc>
                <w:tcPr>
                  <w:tcW w:w="677" w:type="pct"/>
                  <w:vMerge w:val="continue"/>
                  <w:noWrap w:val="0"/>
                  <w:vAlign w:val="center"/>
                </w:tcPr>
                <w:p w14:paraId="591EAA96">
                  <w:pPr>
                    <w:jc w:val="center"/>
                    <w:rPr>
                      <w:rFonts w:hint="default" w:ascii="Times New Roman" w:hAnsi="Times New Roman" w:cs="Times New Roman"/>
                      <w:b/>
                      <w:bCs/>
                      <w:color w:val="auto"/>
                      <w:szCs w:val="21"/>
                      <w:highlight w:val="none"/>
                      <w:u w:val="none" w:color="auto"/>
                    </w:rPr>
                  </w:pPr>
                </w:p>
              </w:tc>
              <w:tc>
                <w:tcPr>
                  <w:tcW w:w="749" w:type="pct"/>
                  <w:vMerge w:val="continue"/>
                  <w:noWrap w:val="0"/>
                  <w:vAlign w:val="center"/>
                </w:tcPr>
                <w:p w14:paraId="61B887E8">
                  <w:pPr>
                    <w:jc w:val="center"/>
                    <w:rPr>
                      <w:rFonts w:hint="eastAsia" w:ascii="Times New Roman" w:hAnsi="Times New Roman" w:cs="Times New Roman"/>
                      <w:b/>
                      <w:bCs/>
                      <w:color w:val="auto"/>
                      <w:szCs w:val="21"/>
                      <w:highlight w:val="none"/>
                      <w:u w:val="none" w:color="auto"/>
                      <w:lang w:val="en-US" w:eastAsia="zh-CN"/>
                    </w:rPr>
                  </w:pPr>
                </w:p>
              </w:tc>
              <w:tc>
                <w:tcPr>
                  <w:tcW w:w="1224" w:type="pct"/>
                  <w:tcBorders>
                    <w:top w:val="single" w:color="auto" w:sz="4" w:space="0"/>
                    <w:right w:val="single" w:color="auto" w:sz="4" w:space="0"/>
                  </w:tcBorders>
                  <w:noWrap w:val="0"/>
                  <w:vAlign w:val="center"/>
                </w:tcPr>
                <w:p w14:paraId="326DFD70">
                  <w:pPr>
                    <w:jc w:val="center"/>
                    <w:rPr>
                      <w:rFonts w:hint="default" w:ascii="Times New Roman" w:hAnsi="Times New Roman" w:eastAsia="宋体" w:cs="Times New Roman"/>
                      <w:b/>
                      <w:bCs/>
                      <w:color w:val="auto"/>
                      <w:szCs w:val="21"/>
                      <w:highlight w:val="none"/>
                      <w:u w:val="none" w:color="auto"/>
                      <w:lang w:val="en-US" w:eastAsia="zh-CN"/>
                    </w:rPr>
                  </w:pPr>
                  <w:r>
                    <w:rPr>
                      <w:rFonts w:hint="eastAsia" w:ascii="Times New Roman" w:hAnsi="Times New Roman" w:cs="Times New Roman"/>
                      <w:b/>
                      <w:bCs/>
                      <w:color w:val="auto"/>
                      <w:szCs w:val="21"/>
                      <w:highlight w:val="none"/>
                      <w:u w:val="none" w:color="auto"/>
                      <w:lang w:val="en-US" w:eastAsia="zh-CN"/>
                    </w:rPr>
                    <w:t>标准名称</w:t>
                  </w:r>
                </w:p>
              </w:tc>
              <w:tc>
                <w:tcPr>
                  <w:tcW w:w="757" w:type="pct"/>
                  <w:tcBorders>
                    <w:top w:val="single" w:color="auto" w:sz="4" w:space="0"/>
                    <w:left w:val="single" w:color="auto" w:sz="4" w:space="0"/>
                  </w:tcBorders>
                  <w:noWrap w:val="0"/>
                  <w:vAlign w:val="center"/>
                </w:tcPr>
                <w:p w14:paraId="24BBFAEF">
                  <w:pPr>
                    <w:jc w:val="center"/>
                    <w:rPr>
                      <w:rFonts w:hint="default" w:ascii="Times New Roman" w:hAnsi="Times New Roman" w:eastAsia="宋体" w:cs="Times New Roman"/>
                      <w:b/>
                      <w:bCs/>
                      <w:color w:val="auto"/>
                      <w:szCs w:val="21"/>
                      <w:highlight w:val="none"/>
                      <w:u w:val="none" w:color="auto"/>
                      <w:lang w:val="en-US" w:eastAsia="zh-CN"/>
                    </w:rPr>
                  </w:pPr>
                  <w:r>
                    <w:rPr>
                      <w:rFonts w:hint="eastAsia" w:ascii="Times New Roman" w:hAnsi="Times New Roman" w:cs="Times New Roman"/>
                      <w:b/>
                      <w:bCs/>
                      <w:color w:val="auto"/>
                      <w:szCs w:val="21"/>
                      <w:highlight w:val="none"/>
                      <w:u w:val="none" w:color="auto"/>
                      <w:lang w:val="en-US" w:eastAsia="zh-CN"/>
                    </w:rPr>
                    <w:t>浓度限值</w:t>
                  </w:r>
                </w:p>
              </w:tc>
              <w:tc>
                <w:tcPr>
                  <w:tcW w:w="776" w:type="pct"/>
                  <w:vMerge w:val="continue"/>
                  <w:noWrap w:val="0"/>
                  <w:vAlign w:val="center"/>
                </w:tcPr>
                <w:p w14:paraId="019D6C85">
                  <w:pPr>
                    <w:jc w:val="center"/>
                    <w:rPr>
                      <w:rFonts w:hint="eastAsia" w:ascii="Times New Roman" w:hAnsi="Times New Roman" w:cs="Times New Roman"/>
                      <w:b/>
                      <w:bCs/>
                      <w:color w:val="auto"/>
                      <w:szCs w:val="21"/>
                      <w:highlight w:val="none"/>
                      <w:u w:val="none" w:color="auto"/>
                      <w:lang w:val="en-US" w:eastAsia="zh-CN"/>
                    </w:rPr>
                  </w:pPr>
                </w:p>
              </w:tc>
            </w:tr>
            <w:tr w14:paraId="625406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331" w:type="pct"/>
                  <w:vMerge w:val="restart"/>
                  <w:noWrap w:val="0"/>
                  <w:vAlign w:val="center"/>
                </w:tcPr>
                <w:p w14:paraId="3788A77D">
                  <w:pPr>
                    <w:jc w:val="center"/>
                    <w:rPr>
                      <w:rFonts w:hint="default" w:ascii="Times New Roman" w:hAnsi="Times New Roman"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1</w:t>
                  </w:r>
                </w:p>
              </w:tc>
              <w:tc>
                <w:tcPr>
                  <w:tcW w:w="481" w:type="pct"/>
                  <w:vMerge w:val="restart"/>
                  <w:shd w:val="clear" w:color="auto" w:fill="auto"/>
                  <w:noWrap w:val="0"/>
                  <w:vAlign w:val="center"/>
                </w:tcPr>
                <w:p w14:paraId="1E8FB24B">
                  <w:pPr>
                    <w:jc w:val="center"/>
                    <w:rPr>
                      <w:rFonts w:hint="default" w:ascii="Times New Roman" w:hAnsi="Times New Roman" w:eastAsia="宋体" w:cs="Times New Roman"/>
                      <w:color w:val="auto"/>
                      <w:kern w:val="0"/>
                      <w:sz w:val="21"/>
                      <w:szCs w:val="21"/>
                      <w:highlight w:val="none"/>
                      <w:u w:val="none" w:color="auto"/>
                      <w:lang w:val="en-US" w:eastAsia="zh-CN" w:bidi="ar-SA"/>
                    </w:rPr>
                  </w:pPr>
                  <w:r>
                    <w:rPr>
                      <w:rFonts w:hint="eastAsia" w:ascii="Times New Roman" w:hAnsi="Times New Roman" w:eastAsia="宋体" w:cs="Times New Roman"/>
                      <w:b w:val="0"/>
                      <w:bCs w:val="0"/>
                      <w:color w:val="auto"/>
                      <w:szCs w:val="21"/>
                      <w:highlight w:val="none"/>
                      <w:u w:val="none" w:color="auto"/>
                      <w:lang w:val="en-US" w:eastAsia="zh-CN"/>
                    </w:rPr>
                    <w:t>钢瓶残气回收、瓶阀拆卸</w:t>
                  </w:r>
                </w:p>
              </w:tc>
              <w:tc>
                <w:tcPr>
                  <w:tcW w:w="677" w:type="pct"/>
                  <w:tcBorders>
                    <w:bottom w:val="single" w:color="000000" w:sz="8" w:space="0"/>
                  </w:tcBorders>
                  <w:shd w:val="clear" w:color="auto" w:fill="auto"/>
                  <w:noWrap w:val="0"/>
                  <w:vAlign w:val="center"/>
                </w:tcPr>
                <w:p w14:paraId="110293A3">
                  <w:pPr>
                    <w:jc w:val="center"/>
                    <w:rPr>
                      <w:rFonts w:hint="eastAsia"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cs="Times New Roman"/>
                      <w:b w:val="0"/>
                      <w:bCs w:val="0"/>
                      <w:color w:val="auto"/>
                      <w:szCs w:val="21"/>
                      <w:highlight w:val="none"/>
                      <w:u w:val="none" w:color="auto"/>
                    </w:rPr>
                    <w:t>非甲烷总烃</w:t>
                  </w:r>
                </w:p>
              </w:tc>
              <w:tc>
                <w:tcPr>
                  <w:tcW w:w="749" w:type="pct"/>
                  <w:vMerge w:val="restart"/>
                  <w:noWrap w:val="0"/>
                  <w:vAlign w:val="center"/>
                </w:tcPr>
                <w:p w14:paraId="5FD5A505">
                  <w:pPr>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rPr>
                    <w:t>巡检预警</w:t>
                  </w:r>
                  <w:r>
                    <w:rPr>
                      <w:rFonts w:hint="eastAsia" w:cs="Times New Roman"/>
                      <w:color w:val="auto"/>
                      <w:szCs w:val="21"/>
                      <w:highlight w:val="none"/>
                      <w:u w:val="none" w:color="auto"/>
                      <w:lang w:val="en-US" w:eastAsia="zh-CN"/>
                    </w:rPr>
                    <w:t>、加强绿化、加强车间通风</w:t>
                  </w:r>
                </w:p>
              </w:tc>
              <w:tc>
                <w:tcPr>
                  <w:tcW w:w="1224" w:type="pct"/>
                  <w:tcBorders>
                    <w:bottom w:val="single" w:color="auto" w:sz="4" w:space="0"/>
                    <w:right w:val="single" w:color="auto" w:sz="4" w:space="0"/>
                  </w:tcBorders>
                  <w:noWrap w:val="0"/>
                  <w:vAlign w:val="center"/>
                </w:tcPr>
                <w:p w14:paraId="1760B779">
                  <w:pPr>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lang w:val="en-US" w:eastAsia="zh-CN"/>
                    </w:rPr>
                    <w:t xml:space="preserve"> 《大气污染物综合排放标准》（GB16297-1996）</w:t>
                  </w:r>
                </w:p>
              </w:tc>
              <w:tc>
                <w:tcPr>
                  <w:tcW w:w="757" w:type="pct"/>
                  <w:tcBorders>
                    <w:left w:val="single" w:color="auto" w:sz="4" w:space="0"/>
                    <w:bottom w:val="single" w:color="000000" w:sz="8" w:space="0"/>
                  </w:tcBorders>
                  <w:noWrap w:val="0"/>
                  <w:vAlign w:val="center"/>
                </w:tcPr>
                <w:p w14:paraId="0CA7E1B7">
                  <w:pPr>
                    <w:jc w:val="center"/>
                    <w:rPr>
                      <w:rFonts w:hint="default" w:cs="Times New Roman"/>
                      <w:b w:val="0"/>
                      <w:bCs w:val="0"/>
                      <w:color w:val="auto"/>
                      <w:szCs w:val="21"/>
                      <w:highlight w:val="none"/>
                      <w:u w:val="none" w:color="auto"/>
                      <w:lang w:val="en-US" w:eastAsia="zh-CN"/>
                    </w:rPr>
                  </w:pPr>
                  <w:r>
                    <w:rPr>
                      <w:rFonts w:hint="eastAsia" w:cs="Times New Roman"/>
                      <w:b w:val="0"/>
                      <w:bCs w:val="0"/>
                      <w:color w:val="auto"/>
                      <w:szCs w:val="21"/>
                      <w:highlight w:val="none"/>
                      <w:u w:val="none" w:color="auto"/>
                      <w:lang w:val="en-US" w:eastAsia="zh-CN"/>
                    </w:rPr>
                    <w:t>4.0</w:t>
                  </w:r>
                  <w:r>
                    <w:rPr>
                      <w:rFonts w:hint="default" w:ascii="Times New Roman" w:hAnsi="Times New Roman" w:cs="Times New Roman"/>
                      <w:b w:val="0"/>
                      <w:bCs w:val="0"/>
                      <w:color w:val="auto"/>
                      <w:spacing w:val="-1"/>
                      <w:sz w:val="21"/>
                      <w:szCs w:val="21"/>
                      <w:highlight w:val="none"/>
                      <w:u w:val="none" w:color="auto"/>
                    </w:rPr>
                    <w:t>mg/m</w:t>
                  </w:r>
                  <w:r>
                    <w:rPr>
                      <w:rFonts w:hint="default" w:ascii="Times New Roman" w:hAnsi="Times New Roman" w:cs="Times New Roman"/>
                      <w:b w:val="0"/>
                      <w:bCs w:val="0"/>
                      <w:color w:val="auto"/>
                      <w:spacing w:val="-1"/>
                      <w:sz w:val="21"/>
                      <w:szCs w:val="21"/>
                      <w:highlight w:val="none"/>
                      <w:u w:val="none" w:color="auto"/>
                      <w:vertAlign w:val="superscript"/>
                    </w:rPr>
                    <w:t>3</w:t>
                  </w:r>
                </w:p>
              </w:tc>
              <w:tc>
                <w:tcPr>
                  <w:tcW w:w="776" w:type="pct"/>
                  <w:tcBorders>
                    <w:bottom w:val="single" w:color="000000" w:sz="8" w:space="0"/>
                  </w:tcBorders>
                  <w:shd w:val="clear" w:color="auto" w:fill="auto"/>
                  <w:noWrap w:val="0"/>
                  <w:vAlign w:val="center"/>
                </w:tcPr>
                <w:p w14:paraId="1046658F">
                  <w:pPr>
                    <w:jc w:val="center"/>
                    <w:rPr>
                      <w:rFonts w:hint="default" w:cs="Times New Roman"/>
                      <w:b w:val="0"/>
                      <w:bCs w:val="0"/>
                      <w:color w:val="auto"/>
                      <w:szCs w:val="21"/>
                      <w:highlight w:val="none"/>
                      <w:u w:val="none" w:color="auto"/>
                      <w:lang w:val="en-US" w:eastAsia="zh-CN"/>
                    </w:rPr>
                  </w:pPr>
                  <w:r>
                    <w:rPr>
                      <w:rFonts w:hint="eastAsia" w:cs="Times New Roman"/>
                      <w:b w:val="0"/>
                      <w:bCs w:val="0"/>
                      <w:color w:val="auto"/>
                      <w:szCs w:val="21"/>
                      <w:highlight w:val="none"/>
                      <w:u w:val="none" w:color="auto"/>
                      <w:lang w:val="en-US" w:eastAsia="zh-CN"/>
                    </w:rPr>
                    <w:t>0.06t/a</w:t>
                  </w:r>
                </w:p>
              </w:tc>
            </w:tr>
            <w:tr w14:paraId="4903A4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 w:hRule="atLeast"/>
                <w:jc w:val="center"/>
              </w:trPr>
              <w:tc>
                <w:tcPr>
                  <w:tcW w:w="331" w:type="pct"/>
                  <w:vMerge w:val="continue"/>
                  <w:noWrap w:val="0"/>
                  <w:vAlign w:val="center"/>
                </w:tcPr>
                <w:p w14:paraId="57EB780F">
                  <w:pPr>
                    <w:jc w:val="center"/>
                    <w:rPr>
                      <w:rFonts w:hint="default" w:ascii="Times New Roman" w:hAnsi="Times New Roman" w:cs="Times New Roman"/>
                      <w:color w:val="auto"/>
                      <w:szCs w:val="21"/>
                      <w:highlight w:val="none"/>
                      <w:u w:val="none" w:color="auto"/>
                      <w:lang w:val="en-US" w:eastAsia="zh-CN"/>
                    </w:rPr>
                  </w:pPr>
                </w:p>
              </w:tc>
              <w:tc>
                <w:tcPr>
                  <w:tcW w:w="481" w:type="pct"/>
                  <w:vMerge w:val="continue"/>
                  <w:shd w:val="clear" w:color="auto" w:fill="auto"/>
                  <w:noWrap w:val="0"/>
                  <w:vAlign w:val="center"/>
                </w:tcPr>
                <w:p w14:paraId="09ECE304">
                  <w:pPr>
                    <w:jc w:val="center"/>
                    <w:rPr>
                      <w:rFonts w:hint="default" w:ascii="Times New Roman" w:hAnsi="Times New Roman" w:eastAsia="宋体" w:cs="Times New Roman"/>
                      <w:color w:val="auto"/>
                      <w:kern w:val="0"/>
                      <w:sz w:val="21"/>
                      <w:szCs w:val="21"/>
                      <w:highlight w:val="none"/>
                      <w:u w:val="none" w:color="auto"/>
                      <w:lang w:val="en-US" w:eastAsia="zh-CN" w:bidi="ar-SA"/>
                    </w:rPr>
                  </w:pPr>
                </w:p>
              </w:tc>
              <w:tc>
                <w:tcPr>
                  <w:tcW w:w="677" w:type="pct"/>
                  <w:tcBorders>
                    <w:top w:val="single" w:color="000000" w:sz="8" w:space="0"/>
                  </w:tcBorders>
                  <w:shd w:val="clear" w:color="auto" w:fill="auto"/>
                  <w:noWrap w:val="0"/>
                  <w:vAlign w:val="center"/>
                </w:tcPr>
                <w:p w14:paraId="0AE5F7B9">
                  <w:pPr>
                    <w:jc w:val="center"/>
                    <w:rPr>
                      <w:rFonts w:hint="default"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cs="Times New Roman"/>
                      <w:b w:val="0"/>
                      <w:bCs w:val="0"/>
                      <w:color w:val="auto"/>
                      <w:szCs w:val="21"/>
                      <w:highlight w:val="none"/>
                      <w:u w:val="none" w:color="auto"/>
                    </w:rPr>
                    <w:t>臭气浓度</w:t>
                  </w:r>
                </w:p>
              </w:tc>
              <w:tc>
                <w:tcPr>
                  <w:tcW w:w="749" w:type="pct"/>
                  <w:vMerge w:val="continue"/>
                  <w:noWrap w:val="0"/>
                  <w:vAlign w:val="center"/>
                </w:tcPr>
                <w:p w14:paraId="0662BDE7">
                  <w:pPr>
                    <w:jc w:val="center"/>
                    <w:rPr>
                      <w:rFonts w:hint="eastAsia" w:ascii="Times New Roman" w:hAnsi="Times New Roman" w:cs="Times New Roman"/>
                      <w:color w:val="auto"/>
                      <w:sz w:val="21"/>
                      <w:szCs w:val="21"/>
                      <w:highlight w:val="none"/>
                      <w:u w:val="none" w:color="auto"/>
                      <w:lang w:val="en-US" w:eastAsia="zh-CN"/>
                    </w:rPr>
                  </w:pPr>
                </w:p>
              </w:tc>
              <w:tc>
                <w:tcPr>
                  <w:tcW w:w="1224" w:type="pct"/>
                  <w:tcBorders>
                    <w:top w:val="single" w:color="auto" w:sz="4" w:space="0"/>
                    <w:right w:val="single" w:color="auto" w:sz="4" w:space="0"/>
                  </w:tcBorders>
                  <w:noWrap w:val="0"/>
                  <w:vAlign w:val="center"/>
                </w:tcPr>
                <w:p w14:paraId="748BD549">
                  <w:pPr>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lang w:val="en-US" w:eastAsia="zh-CN"/>
                    </w:rPr>
                    <w:t>《恶臭污染物排放标准》（GB14554-1993）2级标准</w:t>
                  </w:r>
                </w:p>
              </w:tc>
              <w:tc>
                <w:tcPr>
                  <w:tcW w:w="757" w:type="pct"/>
                  <w:tcBorders>
                    <w:top w:val="single" w:color="000000" w:sz="8" w:space="0"/>
                    <w:left w:val="single" w:color="auto" w:sz="4" w:space="0"/>
                    <w:bottom w:val="single" w:color="000000" w:sz="8" w:space="0"/>
                  </w:tcBorders>
                  <w:noWrap w:val="0"/>
                  <w:vAlign w:val="center"/>
                </w:tcPr>
                <w:p w14:paraId="11D7F115">
                  <w:pPr>
                    <w:jc w:val="center"/>
                    <w:rPr>
                      <w:rFonts w:hint="default" w:cs="Times New Roman"/>
                      <w:b w:val="0"/>
                      <w:bCs w:val="0"/>
                      <w:color w:val="auto"/>
                      <w:szCs w:val="21"/>
                      <w:highlight w:val="none"/>
                      <w:u w:val="none" w:color="auto"/>
                      <w:lang w:val="en-US" w:eastAsia="zh-CN"/>
                    </w:rPr>
                  </w:pPr>
                  <w:r>
                    <w:rPr>
                      <w:rFonts w:hint="eastAsia" w:cs="Times New Roman"/>
                      <w:b w:val="0"/>
                      <w:bCs w:val="0"/>
                      <w:color w:val="auto"/>
                      <w:szCs w:val="21"/>
                      <w:highlight w:val="none"/>
                      <w:u w:val="none" w:color="auto"/>
                      <w:lang w:val="en-US" w:eastAsia="zh-CN"/>
                    </w:rPr>
                    <w:t>20（无量纲）</w:t>
                  </w:r>
                </w:p>
              </w:tc>
              <w:tc>
                <w:tcPr>
                  <w:tcW w:w="776" w:type="pct"/>
                  <w:tcBorders>
                    <w:top w:val="single" w:color="000000" w:sz="8" w:space="0"/>
                    <w:bottom w:val="single" w:color="000000" w:sz="8" w:space="0"/>
                  </w:tcBorders>
                  <w:shd w:val="clear" w:color="auto" w:fill="auto"/>
                  <w:noWrap w:val="0"/>
                  <w:vAlign w:val="center"/>
                </w:tcPr>
                <w:p w14:paraId="2420DED2">
                  <w:pPr>
                    <w:jc w:val="center"/>
                    <w:rPr>
                      <w:rFonts w:hint="default" w:cs="Times New Roman"/>
                      <w:b w:val="0"/>
                      <w:bCs w:val="0"/>
                      <w:color w:val="auto"/>
                      <w:szCs w:val="21"/>
                      <w:highlight w:val="none"/>
                      <w:u w:val="none" w:color="auto"/>
                      <w:lang w:val="en-US" w:eastAsia="zh-CN"/>
                    </w:rPr>
                  </w:pPr>
                  <w:r>
                    <w:rPr>
                      <w:rFonts w:hint="eastAsia" w:cs="Times New Roman"/>
                      <w:b w:val="0"/>
                      <w:bCs w:val="0"/>
                      <w:color w:val="auto"/>
                      <w:szCs w:val="21"/>
                      <w:highlight w:val="none"/>
                      <w:u w:val="none" w:color="auto"/>
                      <w:lang w:val="en-US" w:eastAsia="zh-CN"/>
                    </w:rPr>
                    <w:t>/</w:t>
                  </w:r>
                </w:p>
              </w:tc>
            </w:tr>
            <w:tr w14:paraId="63D72F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00" w:type="pct"/>
                  <w:gridSpan w:val="7"/>
                  <w:noWrap w:val="0"/>
                  <w:vAlign w:val="center"/>
                </w:tcPr>
                <w:p w14:paraId="05E648BA">
                  <w:pPr>
                    <w:jc w:val="center"/>
                    <w:rPr>
                      <w:rFonts w:hint="default"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无组织排放总计</w:t>
                  </w:r>
                </w:p>
              </w:tc>
            </w:tr>
            <w:tr w14:paraId="6510D5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491" w:type="pct"/>
                  <w:gridSpan w:val="3"/>
                  <w:vMerge w:val="restart"/>
                  <w:noWrap w:val="0"/>
                  <w:vAlign w:val="center"/>
                </w:tcPr>
                <w:p w14:paraId="0B28D464">
                  <w:pPr>
                    <w:jc w:val="center"/>
                    <w:rPr>
                      <w:rFonts w:hint="eastAsia" w:ascii="Times New Roman" w:hAnsi="Times New Roman"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无组织排放总计</w:t>
                  </w:r>
                </w:p>
              </w:tc>
              <w:tc>
                <w:tcPr>
                  <w:tcW w:w="1974" w:type="pct"/>
                  <w:gridSpan w:val="2"/>
                  <w:noWrap w:val="0"/>
                  <w:vAlign w:val="center"/>
                </w:tcPr>
                <w:p w14:paraId="588E56FC">
                  <w:pPr>
                    <w:jc w:val="center"/>
                    <w:rPr>
                      <w:rFonts w:hint="default"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rPr>
                    <w:t>非甲烷总烃</w:t>
                  </w:r>
                </w:p>
              </w:tc>
              <w:tc>
                <w:tcPr>
                  <w:tcW w:w="1534" w:type="pct"/>
                  <w:gridSpan w:val="2"/>
                  <w:shd w:val="clear" w:color="auto" w:fill="auto"/>
                  <w:noWrap w:val="0"/>
                  <w:vAlign w:val="center"/>
                </w:tcPr>
                <w:p w14:paraId="418EF04B">
                  <w:pPr>
                    <w:jc w:val="center"/>
                    <w:rPr>
                      <w:rFonts w:hint="default"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0.06t/a</w:t>
                  </w:r>
                </w:p>
              </w:tc>
            </w:tr>
            <w:tr w14:paraId="0A5FDB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491" w:type="pct"/>
                  <w:gridSpan w:val="3"/>
                  <w:vMerge w:val="continue"/>
                  <w:noWrap w:val="0"/>
                  <w:vAlign w:val="center"/>
                </w:tcPr>
                <w:p w14:paraId="51103081">
                  <w:pPr>
                    <w:jc w:val="center"/>
                    <w:rPr>
                      <w:rFonts w:hint="eastAsia" w:ascii="Times New Roman" w:hAnsi="Times New Roman" w:cs="Times New Roman"/>
                      <w:color w:val="auto"/>
                      <w:szCs w:val="21"/>
                      <w:highlight w:val="none"/>
                      <w:u w:val="none" w:color="auto"/>
                      <w:lang w:val="en-US" w:eastAsia="zh-CN"/>
                    </w:rPr>
                  </w:pPr>
                </w:p>
              </w:tc>
              <w:tc>
                <w:tcPr>
                  <w:tcW w:w="1974" w:type="pct"/>
                  <w:gridSpan w:val="2"/>
                  <w:shd w:val="clear" w:color="auto" w:fill="auto"/>
                  <w:noWrap w:val="0"/>
                  <w:vAlign w:val="center"/>
                </w:tcPr>
                <w:p w14:paraId="18CB7C76">
                  <w:pPr>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b w:val="0"/>
                      <w:bCs w:val="0"/>
                      <w:color w:val="auto"/>
                      <w:szCs w:val="21"/>
                      <w:highlight w:val="none"/>
                      <w:u w:val="none" w:color="auto"/>
                    </w:rPr>
                    <w:t>臭气浓度</w:t>
                  </w:r>
                </w:p>
              </w:tc>
              <w:tc>
                <w:tcPr>
                  <w:tcW w:w="1534" w:type="pct"/>
                  <w:gridSpan w:val="2"/>
                  <w:shd w:val="clear" w:color="auto" w:fill="auto"/>
                  <w:noWrap w:val="0"/>
                  <w:vAlign w:val="center"/>
                </w:tcPr>
                <w:p w14:paraId="1B2CA032">
                  <w:pPr>
                    <w:pStyle w:val="49"/>
                    <w:jc w:val="center"/>
                    <w:rPr>
                      <w:rFonts w:hint="default" w:ascii="Times New Roman" w:hAnsi="Times New Roman" w:eastAsia="宋体" w:cs="Times New Roman"/>
                      <w:color w:val="auto"/>
                      <w:kern w:val="2"/>
                      <w:sz w:val="21"/>
                      <w:szCs w:val="21"/>
                      <w:u w:val="none" w:color="auto"/>
                      <w:vertAlign w:val="baseline"/>
                      <w:lang w:val="en-US" w:eastAsia="zh-CN" w:bidi="ar-SA"/>
                    </w:rPr>
                  </w:pPr>
                  <w:r>
                    <w:rPr>
                      <w:rFonts w:hint="eastAsia" w:ascii="Times New Roman" w:hAnsi="Times New Roman" w:eastAsia="宋体" w:cs="Times New Roman"/>
                      <w:color w:val="auto"/>
                      <w:sz w:val="21"/>
                      <w:szCs w:val="21"/>
                      <w:u w:val="none" w:color="auto"/>
                      <w:vertAlign w:val="baseline"/>
                      <w:lang w:val="en-US" w:eastAsia="zh-CN"/>
                    </w:rPr>
                    <w:t>/</w:t>
                  </w:r>
                </w:p>
              </w:tc>
            </w:tr>
          </w:tbl>
          <w:p w14:paraId="07AD45DB">
            <w:pPr>
              <w:numPr>
                <w:ilvl w:val="1"/>
                <w:numId w:val="6"/>
              </w:numPr>
              <w:adjustRightInd w:val="0"/>
              <w:snapToGrid w:val="0"/>
              <w:spacing w:line="360" w:lineRule="auto"/>
              <w:ind w:left="420" w:leftChars="0" w:firstLineChars="0"/>
              <w:jc w:val="lef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非正常排放量核算</w:t>
            </w:r>
          </w:p>
          <w:p w14:paraId="23CCA98D">
            <w:pPr>
              <w:widowControl/>
              <w:spacing w:line="360" w:lineRule="auto"/>
              <w:ind w:firstLine="480" w:firstLineChars="200"/>
              <w:jc w:val="left"/>
              <w:textAlignment w:val="baseline"/>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lang w:val="en-US" w:eastAsia="zh-CN"/>
              </w:rPr>
              <w:t>本项目非正常工况主要考虑</w:t>
            </w:r>
            <w:r>
              <w:rPr>
                <w:rFonts w:hint="eastAsia" w:cs="Times New Roman"/>
                <w:color w:val="auto"/>
                <w:sz w:val="24"/>
                <w:szCs w:val="32"/>
                <w:highlight w:val="none"/>
                <w:lang w:val="en-US" w:eastAsia="zh-CN"/>
              </w:rPr>
              <w:t>废气</w:t>
            </w:r>
            <w:r>
              <w:rPr>
                <w:rFonts w:hint="default" w:ascii="Times New Roman" w:hAnsi="Times New Roman" w:eastAsia="宋体" w:cs="Times New Roman"/>
                <w:color w:val="auto"/>
                <w:sz w:val="24"/>
                <w:szCs w:val="32"/>
                <w:highlight w:val="none"/>
                <w:lang w:val="en-US" w:eastAsia="zh-CN"/>
              </w:rPr>
              <w:t>处理设施处理效率未达到设计要求的情形。为最大限度核算环境影响，按最不利工况计，将废气处理设施完全失效的情况界定为废气非正常工况。依据上述条件核算，本项目废气污染源非正常排放量详见下表</w:t>
            </w:r>
            <w:r>
              <w:rPr>
                <w:rFonts w:hint="eastAsia" w:ascii="Times New Roman" w:hAnsi="Times New Roman" w:eastAsia="宋体" w:cs="Times New Roman"/>
                <w:color w:val="auto"/>
                <w:sz w:val="24"/>
                <w:szCs w:val="32"/>
                <w:highlight w:val="none"/>
                <w:lang w:val="en-US" w:eastAsia="zh-CN"/>
              </w:rPr>
              <w:t>：</w:t>
            </w:r>
          </w:p>
          <w:p w14:paraId="4B58130D">
            <w:pPr>
              <w:jc w:val="center"/>
              <w:rPr>
                <w:rFonts w:hint="default" w:ascii="Times New Roman" w:hAnsi="Times New Roman" w:cs="Times New Roman"/>
                <w:b/>
                <w:color w:val="auto"/>
                <w:sz w:val="21"/>
                <w:szCs w:val="21"/>
                <w:highlight w:val="none"/>
                <w:u w:val="none" w:color="auto"/>
              </w:rPr>
            </w:pPr>
            <w:r>
              <w:rPr>
                <w:rFonts w:hint="default" w:ascii="Times New Roman" w:hAnsi="Times New Roman" w:cs="Times New Roman"/>
                <w:b/>
                <w:color w:val="auto"/>
                <w:sz w:val="21"/>
                <w:szCs w:val="21"/>
                <w:highlight w:val="none"/>
                <w:u w:val="none" w:color="auto"/>
              </w:rPr>
              <w:t>表4-</w:t>
            </w:r>
            <w:r>
              <w:rPr>
                <w:rFonts w:hint="eastAsia" w:cs="Times New Roman"/>
                <w:b/>
                <w:color w:val="auto"/>
                <w:sz w:val="21"/>
                <w:szCs w:val="21"/>
                <w:highlight w:val="none"/>
                <w:u w:val="none" w:color="auto"/>
                <w:lang w:val="en-US" w:eastAsia="zh-CN"/>
              </w:rPr>
              <w:t>8</w:t>
            </w:r>
            <w:r>
              <w:rPr>
                <w:rFonts w:hint="eastAsia" w:ascii="Times New Roman" w:hAnsi="Times New Roman" w:cs="Times New Roman"/>
                <w:b/>
                <w:color w:val="auto"/>
                <w:sz w:val="21"/>
                <w:szCs w:val="21"/>
                <w:highlight w:val="none"/>
                <w:u w:val="none" w:color="auto"/>
                <w:lang w:val="en-US" w:eastAsia="zh-CN"/>
              </w:rPr>
              <w:t xml:space="preserve"> </w:t>
            </w:r>
            <w:r>
              <w:rPr>
                <w:rFonts w:hint="default" w:ascii="Times New Roman" w:hAnsi="Times New Roman" w:cs="Times New Roman"/>
                <w:b/>
                <w:color w:val="auto"/>
                <w:sz w:val="21"/>
                <w:szCs w:val="21"/>
                <w:highlight w:val="none"/>
                <w:u w:val="none" w:color="auto"/>
              </w:rPr>
              <w:t xml:space="preserve"> 项目非正常排放量核算</w:t>
            </w:r>
          </w:p>
          <w:tbl>
            <w:tblPr>
              <w:tblStyle w:val="33"/>
              <w:tblW w:w="4995" w:type="pct"/>
              <w:tblInd w:w="0" w:type="dxa"/>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Layout w:type="fixed"/>
              <w:tblCellMar>
                <w:top w:w="0" w:type="dxa"/>
                <w:left w:w="0" w:type="dxa"/>
                <w:bottom w:w="0" w:type="dxa"/>
                <w:right w:w="0" w:type="dxa"/>
              </w:tblCellMar>
            </w:tblPr>
            <w:tblGrid>
              <w:gridCol w:w="603"/>
              <w:gridCol w:w="1053"/>
              <w:gridCol w:w="1230"/>
              <w:gridCol w:w="864"/>
              <w:gridCol w:w="1118"/>
              <w:gridCol w:w="1053"/>
              <w:gridCol w:w="1008"/>
              <w:gridCol w:w="979"/>
            </w:tblGrid>
            <w:tr w14:paraId="5A8DA2E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0" w:type="dxa"/>
                  <w:bottom w:w="0" w:type="dxa"/>
                  <w:right w:w="0" w:type="dxa"/>
                </w:tblCellMar>
              </w:tblPrEx>
              <w:trPr>
                <w:trHeight w:val="763" w:hRule="atLeast"/>
              </w:trPr>
              <w:tc>
                <w:tcPr>
                  <w:tcW w:w="381" w:type="pct"/>
                  <w:tcBorders>
                    <w:tl2br w:val="nil"/>
                    <w:tr2bl w:val="nil"/>
                  </w:tcBorders>
                  <w:noWrap w:val="0"/>
                  <w:vAlign w:val="center"/>
                </w:tcPr>
                <w:p w14:paraId="413BA817">
                  <w:pPr>
                    <w:pStyle w:val="96"/>
                    <w:spacing w:before="1"/>
                    <w:ind w:right="60" w:firstLine="0" w:firstLineChars="0"/>
                    <w:jc w:val="center"/>
                    <w:rPr>
                      <w:rFonts w:hint="default" w:ascii="Times New Roman" w:hAnsi="Times New Roman" w:cs="Times New Roman"/>
                      <w:b/>
                      <w:color w:val="auto"/>
                      <w:sz w:val="21"/>
                      <w:highlight w:val="none"/>
                      <w:u w:val="none" w:color="auto"/>
                      <w:lang w:eastAsia="zh-CN"/>
                    </w:rPr>
                  </w:pPr>
                  <w:r>
                    <w:rPr>
                      <w:rFonts w:hint="default" w:ascii="Times New Roman" w:hAnsi="Times New Roman" w:cs="Times New Roman"/>
                      <w:b/>
                      <w:color w:val="auto"/>
                      <w:sz w:val="21"/>
                      <w:highlight w:val="none"/>
                      <w:u w:val="none" w:color="auto"/>
                      <w:lang w:eastAsia="zh-CN"/>
                    </w:rPr>
                    <w:t>序号</w:t>
                  </w:r>
                </w:p>
              </w:tc>
              <w:tc>
                <w:tcPr>
                  <w:tcW w:w="665" w:type="pct"/>
                  <w:tcBorders>
                    <w:tl2br w:val="nil"/>
                    <w:tr2bl w:val="nil"/>
                  </w:tcBorders>
                  <w:noWrap w:val="0"/>
                  <w:vAlign w:val="center"/>
                </w:tcPr>
                <w:p w14:paraId="1777A24B">
                  <w:pPr>
                    <w:pStyle w:val="96"/>
                    <w:spacing w:before="1"/>
                    <w:ind w:right="60" w:firstLine="0" w:firstLineChars="0"/>
                    <w:jc w:val="center"/>
                    <w:rPr>
                      <w:rFonts w:hint="default" w:ascii="Times New Roman" w:hAnsi="Times New Roman" w:cs="Times New Roman"/>
                      <w:b/>
                      <w:color w:val="auto"/>
                      <w:sz w:val="21"/>
                      <w:highlight w:val="none"/>
                      <w:u w:val="none" w:color="auto"/>
                      <w:lang w:eastAsia="zh-CN"/>
                    </w:rPr>
                  </w:pPr>
                  <w:r>
                    <w:rPr>
                      <w:rFonts w:hint="default" w:ascii="Times New Roman" w:hAnsi="Times New Roman" w:cs="Times New Roman"/>
                      <w:b/>
                      <w:color w:val="auto"/>
                      <w:sz w:val="21"/>
                      <w:highlight w:val="none"/>
                      <w:u w:val="none" w:color="auto"/>
                      <w:lang w:eastAsia="zh-CN"/>
                    </w:rPr>
                    <w:t>污染源</w:t>
                  </w:r>
                </w:p>
              </w:tc>
              <w:tc>
                <w:tcPr>
                  <w:tcW w:w="777" w:type="pct"/>
                  <w:tcBorders>
                    <w:tl2br w:val="nil"/>
                    <w:tr2bl w:val="nil"/>
                  </w:tcBorders>
                  <w:noWrap w:val="0"/>
                  <w:vAlign w:val="center"/>
                </w:tcPr>
                <w:p w14:paraId="390208CC">
                  <w:pPr>
                    <w:pStyle w:val="96"/>
                    <w:spacing w:before="1"/>
                    <w:ind w:right="60" w:firstLine="0" w:firstLineChars="0"/>
                    <w:jc w:val="center"/>
                    <w:rPr>
                      <w:rFonts w:hint="default" w:ascii="Times New Roman" w:hAnsi="Times New Roman" w:cs="Times New Roman"/>
                      <w:b/>
                      <w:color w:val="auto"/>
                      <w:sz w:val="21"/>
                      <w:highlight w:val="none"/>
                      <w:u w:val="none" w:color="auto"/>
                      <w:lang w:eastAsia="zh-CN"/>
                    </w:rPr>
                  </w:pPr>
                  <w:r>
                    <w:rPr>
                      <w:rFonts w:hint="default" w:ascii="Times New Roman" w:hAnsi="Times New Roman" w:cs="Times New Roman"/>
                      <w:b/>
                      <w:color w:val="auto"/>
                      <w:sz w:val="21"/>
                      <w:highlight w:val="none"/>
                      <w:u w:val="none" w:color="auto"/>
                      <w:lang w:eastAsia="zh-CN"/>
                    </w:rPr>
                    <w:t>非正常排放原因</w:t>
                  </w:r>
                </w:p>
              </w:tc>
              <w:tc>
                <w:tcPr>
                  <w:tcW w:w="546" w:type="pct"/>
                  <w:tcBorders>
                    <w:tl2br w:val="nil"/>
                    <w:tr2bl w:val="nil"/>
                  </w:tcBorders>
                  <w:noWrap w:val="0"/>
                  <w:vAlign w:val="center"/>
                </w:tcPr>
                <w:p w14:paraId="3DBEEAE2">
                  <w:pPr>
                    <w:pStyle w:val="96"/>
                    <w:spacing w:before="1"/>
                    <w:ind w:right="60" w:firstLine="0" w:firstLineChars="0"/>
                    <w:jc w:val="center"/>
                    <w:rPr>
                      <w:rFonts w:hint="default" w:ascii="Times New Roman" w:hAnsi="Times New Roman" w:cs="Times New Roman"/>
                      <w:b/>
                      <w:color w:val="auto"/>
                      <w:sz w:val="21"/>
                      <w:highlight w:val="none"/>
                      <w:u w:val="none" w:color="auto"/>
                      <w:lang w:eastAsia="zh-CN"/>
                    </w:rPr>
                  </w:pPr>
                  <w:r>
                    <w:rPr>
                      <w:rFonts w:hint="default" w:ascii="Times New Roman" w:hAnsi="Times New Roman" w:cs="Times New Roman"/>
                      <w:b/>
                      <w:color w:val="auto"/>
                      <w:sz w:val="21"/>
                      <w:highlight w:val="none"/>
                      <w:u w:val="none" w:color="auto"/>
                      <w:lang w:eastAsia="zh-CN"/>
                    </w:rPr>
                    <w:t>污染物</w:t>
                  </w:r>
                </w:p>
              </w:tc>
              <w:tc>
                <w:tcPr>
                  <w:tcW w:w="706" w:type="pct"/>
                  <w:tcBorders>
                    <w:tl2br w:val="nil"/>
                    <w:tr2bl w:val="nil"/>
                  </w:tcBorders>
                  <w:noWrap w:val="0"/>
                  <w:vAlign w:val="center"/>
                </w:tcPr>
                <w:p w14:paraId="0234741E">
                  <w:pPr>
                    <w:pStyle w:val="96"/>
                    <w:spacing w:before="1"/>
                    <w:ind w:right="60" w:firstLine="0" w:firstLineChars="0"/>
                    <w:jc w:val="center"/>
                    <w:rPr>
                      <w:rFonts w:hint="default" w:ascii="Times New Roman" w:hAnsi="Times New Roman" w:cs="Times New Roman"/>
                      <w:b/>
                      <w:color w:val="auto"/>
                      <w:sz w:val="21"/>
                      <w:highlight w:val="none"/>
                      <w:u w:val="none" w:color="auto"/>
                      <w:lang w:eastAsia="zh-CN"/>
                    </w:rPr>
                  </w:pPr>
                  <w:r>
                    <w:rPr>
                      <w:rFonts w:hint="default" w:ascii="Times New Roman" w:hAnsi="Times New Roman" w:cs="Times New Roman"/>
                      <w:b/>
                      <w:color w:val="auto"/>
                      <w:sz w:val="21"/>
                      <w:highlight w:val="none"/>
                      <w:u w:val="none" w:color="auto"/>
                      <w:lang w:eastAsia="zh-CN"/>
                    </w:rPr>
                    <w:t>非正常排放速率（kg/h）</w:t>
                  </w:r>
                </w:p>
              </w:tc>
              <w:tc>
                <w:tcPr>
                  <w:tcW w:w="665" w:type="pct"/>
                  <w:tcBorders>
                    <w:tl2br w:val="nil"/>
                    <w:tr2bl w:val="nil"/>
                  </w:tcBorders>
                  <w:noWrap w:val="0"/>
                  <w:vAlign w:val="center"/>
                </w:tcPr>
                <w:p w14:paraId="1E3726B1">
                  <w:pPr>
                    <w:pStyle w:val="96"/>
                    <w:spacing w:before="1"/>
                    <w:ind w:right="60" w:firstLine="0" w:firstLineChars="0"/>
                    <w:jc w:val="center"/>
                    <w:rPr>
                      <w:rFonts w:hint="default" w:ascii="Times New Roman" w:hAnsi="Times New Roman" w:cs="Times New Roman"/>
                      <w:b/>
                      <w:color w:val="auto"/>
                      <w:sz w:val="21"/>
                      <w:highlight w:val="none"/>
                      <w:u w:val="none" w:color="auto"/>
                      <w:lang w:eastAsia="zh-CN"/>
                    </w:rPr>
                  </w:pPr>
                  <w:r>
                    <w:rPr>
                      <w:rFonts w:hint="default" w:ascii="Times New Roman" w:hAnsi="Times New Roman" w:cs="Times New Roman"/>
                      <w:b/>
                      <w:color w:val="auto"/>
                      <w:sz w:val="21"/>
                      <w:highlight w:val="none"/>
                      <w:u w:val="none" w:color="auto"/>
                      <w:lang w:eastAsia="zh-CN"/>
                    </w:rPr>
                    <w:t>单次持续时间（h）</w:t>
                  </w:r>
                </w:p>
              </w:tc>
              <w:tc>
                <w:tcPr>
                  <w:tcW w:w="637" w:type="pct"/>
                  <w:tcBorders>
                    <w:tl2br w:val="nil"/>
                    <w:tr2bl w:val="nil"/>
                  </w:tcBorders>
                  <w:noWrap w:val="0"/>
                  <w:vAlign w:val="center"/>
                </w:tcPr>
                <w:p w14:paraId="0D281AE1">
                  <w:pPr>
                    <w:pStyle w:val="96"/>
                    <w:spacing w:before="1"/>
                    <w:ind w:right="60" w:firstLine="0" w:firstLineChars="0"/>
                    <w:jc w:val="center"/>
                    <w:rPr>
                      <w:rFonts w:hint="default" w:ascii="Times New Roman" w:hAnsi="Times New Roman" w:cs="Times New Roman"/>
                      <w:b/>
                      <w:color w:val="auto"/>
                      <w:sz w:val="21"/>
                      <w:highlight w:val="none"/>
                      <w:u w:val="none" w:color="auto"/>
                      <w:lang w:eastAsia="zh-CN"/>
                    </w:rPr>
                  </w:pPr>
                  <w:r>
                    <w:rPr>
                      <w:rFonts w:hint="default" w:ascii="Times New Roman" w:hAnsi="Times New Roman" w:cs="Times New Roman"/>
                      <w:b/>
                      <w:color w:val="auto"/>
                      <w:sz w:val="21"/>
                      <w:highlight w:val="none"/>
                      <w:u w:val="none" w:color="auto"/>
                      <w:lang w:eastAsia="zh-CN"/>
                    </w:rPr>
                    <w:t>年发生频次/次</w:t>
                  </w:r>
                </w:p>
              </w:tc>
              <w:tc>
                <w:tcPr>
                  <w:tcW w:w="618" w:type="pct"/>
                  <w:tcBorders>
                    <w:tl2br w:val="nil"/>
                    <w:tr2bl w:val="nil"/>
                  </w:tcBorders>
                  <w:noWrap w:val="0"/>
                  <w:vAlign w:val="center"/>
                </w:tcPr>
                <w:p w14:paraId="6E9CF77D">
                  <w:pPr>
                    <w:pStyle w:val="96"/>
                    <w:spacing w:before="1"/>
                    <w:ind w:right="60" w:firstLine="0" w:firstLineChars="0"/>
                    <w:jc w:val="center"/>
                    <w:rPr>
                      <w:rFonts w:hint="default" w:ascii="Times New Roman" w:hAnsi="Times New Roman" w:cs="Times New Roman"/>
                      <w:b/>
                      <w:color w:val="auto"/>
                      <w:sz w:val="21"/>
                      <w:highlight w:val="none"/>
                      <w:u w:val="none" w:color="auto"/>
                      <w:lang w:eastAsia="zh-CN"/>
                    </w:rPr>
                  </w:pPr>
                  <w:r>
                    <w:rPr>
                      <w:rFonts w:hint="default" w:ascii="Times New Roman" w:hAnsi="Times New Roman" w:cs="Times New Roman"/>
                      <w:b/>
                      <w:color w:val="auto"/>
                      <w:sz w:val="21"/>
                      <w:highlight w:val="none"/>
                      <w:u w:val="none" w:color="auto"/>
                      <w:lang w:eastAsia="zh-CN"/>
                    </w:rPr>
                    <w:t>应对措施</w:t>
                  </w:r>
                </w:p>
              </w:tc>
            </w:tr>
            <w:tr w14:paraId="05729BD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0" w:type="dxa"/>
                  <w:bottom w:w="0" w:type="dxa"/>
                  <w:right w:w="0" w:type="dxa"/>
                </w:tblCellMar>
              </w:tblPrEx>
              <w:trPr>
                <w:trHeight w:val="763" w:hRule="atLeast"/>
              </w:trPr>
              <w:tc>
                <w:tcPr>
                  <w:tcW w:w="381" w:type="pct"/>
                  <w:vMerge w:val="restart"/>
                  <w:tcBorders>
                    <w:tl2br w:val="nil"/>
                    <w:tr2bl w:val="nil"/>
                  </w:tcBorders>
                  <w:shd w:val="clear" w:color="auto" w:fill="auto"/>
                  <w:noWrap w:val="0"/>
                  <w:vAlign w:val="center"/>
                </w:tcPr>
                <w:p w14:paraId="38A20C8D">
                  <w:pPr>
                    <w:jc w:val="center"/>
                    <w:rPr>
                      <w:rFonts w:hint="default" w:cs="Times New Roman"/>
                      <w:color w:val="auto"/>
                      <w:szCs w:val="21"/>
                      <w:highlight w:val="none"/>
                      <w:u w:val="none" w:color="auto"/>
                      <w:lang w:val="zh-CN" w:eastAsia="zh-CN"/>
                    </w:rPr>
                  </w:pPr>
                  <w:r>
                    <w:rPr>
                      <w:rFonts w:hint="default" w:cs="Times New Roman"/>
                      <w:color w:val="auto"/>
                      <w:szCs w:val="21"/>
                      <w:highlight w:val="none"/>
                      <w:u w:val="none" w:color="auto"/>
                      <w:lang w:val="en-US" w:eastAsia="zh-CN"/>
                    </w:rPr>
                    <w:t>1</w:t>
                  </w:r>
                </w:p>
              </w:tc>
              <w:tc>
                <w:tcPr>
                  <w:tcW w:w="665" w:type="pct"/>
                  <w:vMerge w:val="restart"/>
                  <w:tcBorders>
                    <w:tl2br w:val="nil"/>
                    <w:tr2bl w:val="nil"/>
                  </w:tcBorders>
                  <w:noWrap w:val="0"/>
                  <w:vAlign w:val="center"/>
                </w:tcPr>
                <w:p w14:paraId="21BB7593">
                  <w:pPr>
                    <w:jc w:val="center"/>
                    <w:rPr>
                      <w:rFonts w:hint="default"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焚烧炉废气排气筒</w:t>
                  </w:r>
                </w:p>
              </w:tc>
              <w:tc>
                <w:tcPr>
                  <w:tcW w:w="777" w:type="pct"/>
                  <w:vMerge w:val="restart"/>
                  <w:tcBorders>
                    <w:tl2br w:val="nil"/>
                    <w:tr2bl w:val="nil"/>
                  </w:tcBorders>
                  <w:noWrap w:val="0"/>
                  <w:vAlign w:val="center"/>
                </w:tcPr>
                <w:p w14:paraId="49170C1A">
                  <w:pPr>
                    <w:jc w:val="center"/>
                    <w:rPr>
                      <w:rFonts w:hint="default"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“旋风除尘+高温布袋除尘”失效</w:t>
                  </w:r>
                </w:p>
              </w:tc>
              <w:tc>
                <w:tcPr>
                  <w:tcW w:w="922" w:type="dxa"/>
                  <w:tcBorders>
                    <w:tl2br w:val="nil"/>
                    <w:tr2bl w:val="nil"/>
                  </w:tcBorders>
                  <w:noWrap w:val="0"/>
                  <w:vAlign w:val="center"/>
                </w:tcPr>
                <w:p w14:paraId="4F2F64D5">
                  <w:pPr>
                    <w:pStyle w:val="63"/>
                    <w:tabs>
                      <w:tab w:val="left" w:pos="1021"/>
                    </w:tabs>
                    <w:ind w:firstLine="0" w:firstLineChars="0"/>
                    <w:jc w:val="center"/>
                    <w:rPr>
                      <w:rFonts w:hint="default" w:cs="Times New Roman"/>
                      <w:color w:val="auto"/>
                      <w:szCs w:val="21"/>
                      <w:highlight w:val="none"/>
                      <w:u w:val="none" w:color="auto"/>
                      <w:lang w:val="en-US" w:eastAsia="zh-CN"/>
                    </w:rPr>
                  </w:pPr>
                  <w:r>
                    <w:rPr>
                      <w:rFonts w:hint="default" w:ascii="Times New Roman" w:hAnsi="Times New Roman" w:cs="Times New Roman"/>
                      <w:color w:val="auto"/>
                      <w:highlight w:val="none"/>
                      <w:u w:val="none" w:color="auto"/>
                    </w:rPr>
                    <w:t>颗粒物</w:t>
                  </w:r>
                </w:p>
              </w:tc>
              <w:tc>
                <w:tcPr>
                  <w:tcW w:w="1192" w:type="dxa"/>
                  <w:tcBorders>
                    <w:tl2br w:val="nil"/>
                    <w:tr2bl w:val="nil"/>
                  </w:tcBorders>
                  <w:noWrap w:val="0"/>
                  <w:vAlign w:val="center"/>
                </w:tcPr>
                <w:p w14:paraId="44C59359">
                  <w:pPr>
                    <w:pStyle w:val="63"/>
                    <w:tabs>
                      <w:tab w:val="left" w:pos="1021"/>
                    </w:tabs>
                    <w:ind w:firstLine="0" w:firstLineChars="0"/>
                    <w:jc w:val="center"/>
                    <w:rPr>
                      <w:rFonts w:hint="default" w:ascii="Times New Roman" w:hAnsi="Times New Roman" w:cs="Times New Roman"/>
                      <w:b/>
                      <w:color w:val="auto"/>
                      <w:sz w:val="21"/>
                      <w:highlight w:val="none"/>
                      <w:u w:val="none" w:color="auto"/>
                      <w:lang w:val="en-US" w:eastAsia="zh-CN"/>
                    </w:rPr>
                  </w:pPr>
                  <w:r>
                    <w:rPr>
                      <w:rFonts w:hint="eastAsia" w:ascii="Times New Roman" w:hAnsi="Times New Roman" w:cs="Times New Roman"/>
                      <w:color w:val="auto"/>
                      <w:highlight w:val="none"/>
                      <w:u w:val="none" w:color="auto"/>
                      <w:lang w:val="en-US" w:eastAsia="zh-CN"/>
                    </w:rPr>
                    <w:t>1.06</w:t>
                  </w:r>
                </w:p>
              </w:tc>
              <w:tc>
                <w:tcPr>
                  <w:tcW w:w="665" w:type="pct"/>
                  <w:vMerge w:val="restart"/>
                  <w:tcBorders>
                    <w:tl2br w:val="nil"/>
                    <w:tr2bl w:val="nil"/>
                  </w:tcBorders>
                  <w:noWrap w:val="0"/>
                  <w:vAlign w:val="center"/>
                </w:tcPr>
                <w:p w14:paraId="68036471">
                  <w:pPr>
                    <w:pStyle w:val="96"/>
                    <w:spacing w:before="1"/>
                    <w:ind w:right="60" w:firstLine="0" w:firstLineChars="0"/>
                    <w:jc w:val="center"/>
                    <w:rPr>
                      <w:rFonts w:hint="default" w:ascii="Times New Roman" w:hAnsi="Times New Roman" w:cs="Times New Roman"/>
                      <w:bCs/>
                      <w:color w:val="auto"/>
                      <w:sz w:val="21"/>
                      <w:highlight w:val="none"/>
                      <w:u w:val="none" w:color="auto"/>
                      <w:lang w:eastAsia="zh-CN"/>
                    </w:rPr>
                  </w:pPr>
                  <w:r>
                    <w:rPr>
                      <w:rFonts w:hint="default" w:ascii="Times New Roman" w:hAnsi="Times New Roman" w:cs="Times New Roman"/>
                      <w:bCs/>
                      <w:color w:val="auto"/>
                      <w:sz w:val="21"/>
                      <w:highlight w:val="none"/>
                      <w:u w:val="none" w:color="auto"/>
                      <w:lang w:eastAsia="zh-CN"/>
                    </w:rPr>
                    <w:t>0.5</w:t>
                  </w:r>
                </w:p>
              </w:tc>
              <w:tc>
                <w:tcPr>
                  <w:tcW w:w="637" w:type="pct"/>
                  <w:vMerge w:val="restart"/>
                  <w:tcBorders>
                    <w:tl2br w:val="nil"/>
                    <w:tr2bl w:val="nil"/>
                  </w:tcBorders>
                  <w:noWrap w:val="0"/>
                  <w:vAlign w:val="center"/>
                </w:tcPr>
                <w:p w14:paraId="28C00E5E">
                  <w:pPr>
                    <w:pStyle w:val="96"/>
                    <w:spacing w:before="1"/>
                    <w:ind w:right="60" w:firstLine="0" w:firstLineChars="0"/>
                    <w:jc w:val="center"/>
                    <w:rPr>
                      <w:rFonts w:hint="default" w:ascii="Times New Roman" w:hAnsi="Times New Roman" w:cs="Times New Roman"/>
                      <w:bCs/>
                      <w:color w:val="auto"/>
                      <w:sz w:val="21"/>
                      <w:highlight w:val="none"/>
                      <w:u w:val="none" w:color="auto"/>
                      <w:lang w:eastAsia="zh-CN"/>
                    </w:rPr>
                  </w:pPr>
                  <w:r>
                    <w:rPr>
                      <w:rFonts w:hint="default" w:ascii="Times New Roman" w:hAnsi="Times New Roman" w:cs="Times New Roman"/>
                      <w:bCs/>
                      <w:color w:val="auto"/>
                      <w:sz w:val="21"/>
                      <w:highlight w:val="none"/>
                      <w:u w:val="none" w:color="auto"/>
                      <w:lang w:eastAsia="zh-CN"/>
                    </w:rPr>
                    <w:t>1次/1年</w:t>
                  </w:r>
                </w:p>
              </w:tc>
              <w:tc>
                <w:tcPr>
                  <w:tcW w:w="618" w:type="pct"/>
                  <w:vMerge w:val="restart"/>
                  <w:tcBorders>
                    <w:tl2br w:val="nil"/>
                    <w:tr2bl w:val="nil"/>
                  </w:tcBorders>
                  <w:noWrap w:val="0"/>
                  <w:vAlign w:val="center"/>
                </w:tcPr>
                <w:p w14:paraId="441D1976">
                  <w:pPr>
                    <w:pStyle w:val="96"/>
                    <w:spacing w:before="1"/>
                    <w:ind w:right="60" w:firstLine="0" w:firstLineChars="0"/>
                    <w:jc w:val="center"/>
                    <w:rPr>
                      <w:rFonts w:hint="default" w:ascii="Times New Roman" w:hAnsi="Times New Roman" w:cs="Times New Roman"/>
                      <w:bCs/>
                      <w:color w:val="auto"/>
                      <w:sz w:val="21"/>
                      <w:highlight w:val="none"/>
                      <w:u w:val="none" w:color="auto"/>
                      <w:lang w:eastAsia="zh-CN"/>
                    </w:rPr>
                  </w:pPr>
                  <w:r>
                    <w:rPr>
                      <w:rFonts w:hint="default" w:ascii="Times New Roman" w:hAnsi="Times New Roman" w:cs="Times New Roman"/>
                      <w:bCs/>
                      <w:color w:val="auto"/>
                      <w:sz w:val="21"/>
                      <w:highlight w:val="none"/>
                      <w:u w:val="none" w:color="auto"/>
                      <w:lang w:eastAsia="zh-CN"/>
                    </w:rPr>
                    <w:t>立刻停止</w:t>
                  </w:r>
                </w:p>
                <w:p w14:paraId="438E67B3">
                  <w:pPr>
                    <w:pStyle w:val="96"/>
                    <w:spacing w:before="1"/>
                    <w:ind w:right="60" w:firstLine="0" w:firstLineChars="0"/>
                    <w:jc w:val="center"/>
                    <w:rPr>
                      <w:rFonts w:hint="default" w:ascii="Times New Roman" w:hAnsi="Times New Roman" w:cs="Times New Roman"/>
                      <w:bCs/>
                      <w:color w:val="auto"/>
                      <w:sz w:val="21"/>
                      <w:highlight w:val="none"/>
                      <w:u w:val="none" w:color="auto"/>
                      <w:lang w:eastAsia="zh-CN"/>
                    </w:rPr>
                  </w:pPr>
                  <w:r>
                    <w:rPr>
                      <w:rFonts w:hint="default" w:ascii="Times New Roman" w:hAnsi="Times New Roman" w:cs="Times New Roman"/>
                      <w:bCs/>
                      <w:color w:val="auto"/>
                      <w:sz w:val="21"/>
                      <w:highlight w:val="none"/>
                      <w:u w:val="none" w:color="auto"/>
                      <w:lang w:eastAsia="zh-CN"/>
                    </w:rPr>
                    <w:t>作业，进行检修</w:t>
                  </w:r>
                </w:p>
              </w:tc>
            </w:tr>
            <w:tr w14:paraId="03DADE4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0" w:type="dxa"/>
                  <w:bottom w:w="0" w:type="dxa"/>
                  <w:right w:w="0" w:type="dxa"/>
                </w:tblCellMar>
              </w:tblPrEx>
              <w:trPr>
                <w:trHeight w:val="456" w:hRule="atLeast"/>
              </w:trPr>
              <w:tc>
                <w:tcPr>
                  <w:tcW w:w="381" w:type="pct"/>
                  <w:vMerge w:val="continue"/>
                  <w:tcBorders>
                    <w:tl2br w:val="nil"/>
                    <w:tr2bl w:val="nil"/>
                  </w:tcBorders>
                  <w:shd w:val="clear" w:color="auto" w:fill="auto"/>
                  <w:noWrap w:val="0"/>
                  <w:vAlign w:val="center"/>
                </w:tcPr>
                <w:p w14:paraId="221AD5C8">
                  <w:pPr>
                    <w:jc w:val="center"/>
                    <w:rPr>
                      <w:rFonts w:hint="default" w:cs="Times New Roman"/>
                      <w:color w:val="auto"/>
                      <w:szCs w:val="21"/>
                      <w:highlight w:val="none"/>
                      <w:u w:val="none" w:color="auto"/>
                      <w:lang w:val="en-US" w:eastAsia="zh-CN"/>
                    </w:rPr>
                  </w:pPr>
                </w:p>
              </w:tc>
              <w:tc>
                <w:tcPr>
                  <w:tcW w:w="665" w:type="pct"/>
                  <w:vMerge w:val="continue"/>
                  <w:tcBorders>
                    <w:tl2br w:val="nil"/>
                    <w:tr2bl w:val="nil"/>
                  </w:tcBorders>
                  <w:shd w:val="clear" w:color="auto" w:fill="auto"/>
                  <w:noWrap w:val="0"/>
                  <w:vAlign w:val="center"/>
                </w:tcPr>
                <w:p w14:paraId="5362181C">
                  <w:pPr>
                    <w:jc w:val="center"/>
                    <w:rPr>
                      <w:rFonts w:hint="default" w:cs="Times New Roman"/>
                      <w:color w:val="auto"/>
                      <w:szCs w:val="21"/>
                      <w:highlight w:val="none"/>
                      <w:u w:val="none" w:color="auto"/>
                      <w:lang w:val="en-US" w:eastAsia="zh-CN"/>
                    </w:rPr>
                  </w:pPr>
                </w:p>
              </w:tc>
              <w:tc>
                <w:tcPr>
                  <w:tcW w:w="777" w:type="pct"/>
                  <w:vMerge w:val="continue"/>
                  <w:tcBorders>
                    <w:tl2br w:val="nil"/>
                    <w:tr2bl w:val="nil"/>
                  </w:tcBorders>
                  <w:noWrap w:val="0"/>
                  <w:vAlign w:val="center"/>
                </w:tcPr>
                <w:p w14:paraId="7FABF6C8">
                  <w:pPr>
                    <w:jc w:val="center"/>
                    <w:rPr>
                      <w:rFonts w:hint="eastAsia" w:cs="Times New Roman"/>
                      <w:color w:val="auto"/>
                      <w:szCs w:val="21"/>
                      <w:highlight w:val="none"/>
                      <w:u w:val="none" w:color="auto"/>
                      <w:lang w:val="en-US" w:eastAsia="zh-CN"/>
                    </w:rPr>
                  </w:pPr>
                </w:p>
              </w:tc>
              <w:tc>
                <w:tcPr>
                  <w:tcW w:w="922" w:type="dxa"/>
                  <w:tcBorders>
                    <w:tl2br w:val="nil"/>
                    <w:tr2bl w:val="nil"/>
                  </w:tcBorders>
                  <w:noWrap w:val="0"/>
                  <w:vAlign w:val="center"/>
                </w:tcPr>
                <w:p w14:paraId="5468AE01">
                  <w:pPr>
                    <w:pStyle w:val="63"/>
                    <w:tabs>
                      <w:tab w:val="left" w:pos="1021"/>
                    </w:tabs>
                    <w:ind w:firstLine="0" w:firstLineChars="0"/>
                    <w:jc w:val="center"/>
                    <w:rPr>
                      <w:rFonts w:hint="default" w:cs="Times New Roman"/>
                      <w:color w:val="auto"/>
                      <w:szCs w:val="21"/>
                      <w:highlight w:val="none"/>
                      <w:u w:val="none" w:color="auto"/>
                      <w:lang w:val="en-US" w:eastAsia="zh-CN"/>
                    </w:rPr>
                  </w:pPr>
                  <w:r>
                    <w:rPr>
                      <w:rFonts w:hint="default" w:ascii="Times New Roman" w:hAnsi="Times New Roman" w:cs="Times New Roman"/>
                      <w:color w:val="auto"/>
                      <w:highlight w:val="none"/>
                      <w:u w:val="none" w:color="auto"/>
                    </w:rPr>
                    <w:t>SO</w:t>
                  </w:r>
                  <w:r>
                    <w:rPr>
                      <w:rFonts w:hint="default" w:ascii="Times New Roman" w:hAnsi="Times New Roman" w:cs="Times New Roman"/>
                      <w:color w:val="auto"/>
                      <w:highlight w:val="none"/>
                      <w:u w:val="none" w:color="auto"/>
                      <w:vertAlign w:val="subscript"/>
                    </w:rPr>
                    <w:t>2</w:t>
                  </w:r>
                </w:p>
              </w:tc>
              <w:tc>
                <w:tcPr>
                  <w:tcW w:w="1192" w:type="dxa"/>
                  <w:tcBorders>
                    <w:tl2br w:val="nil"/>
                    <w:tr2bl w:val="nil"/>
                  </w:tcBorders>
                  <w:noWrap w:val="0"/>
                  <w:vAlign w:val="center"/>
                </w:tcPr>
                <w:p w14:paraId="6568290E">
                  <w:pPr>
                    <w:pStyle w:val="63"/>
                    <w:tabs>
                      <w:tab w:val="left" w:pos="1021"/>
                    </w:tabs>
                    <w:ind w:firstLine="0" w:firstLineChars="0"/>
                    <w:jc w:val="center"/>
                    <w:rPr>
                      <w:rFonts w:hint="default" w:ascii="Times New Roman" w:hAnsi="Times New Roman" w:eastAsia="宋体" w:cs="Times New Roman"/>
                      <w:bCs/>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0.017</w:t>
                  </w:r>
                </w:p>
              </w:tc>
              <w:tc>
                <w:tcPr>
                  <w:tcW w:w="665" w:type="pct"/>
                  <w:vMerge w:val="continue"/>
                  <w:tcBorders>
                    <w:tl2br w:val="nil"/>
                    <w:tr2bl w:val="nil"/>
                  </w:tcBorders>
                  <w:noWrap w:val="0"/>
                  <w:vAlign w:val="center"/>
                </w:tcPr>
                <w:p w14:paraId="38CEAE97">
                  <w:pPr>
                    <w:pStyle w:val="96"/>
                    <w:spacing w:before="1"/>
                    <w:ind w:right="60" w:firstLine="0" w:firstLineChars="0"/>
                    <w:jc w:val="center"/>
                    <w:rPr>
                      <w:rFonts w:hint="default" w:ascii="Times New Roman" w:hAnsi="Times New Roman" w:cs="Times New Roman"/>
                      <w:bCs/>
                      <w:color w:val="auto"/>
                      <w:sz w:val="21"/>
                      <w:highlight w:val="none"/>
                      <w:u w:val="none" w:color="auto"/>
                      <w:lang w:eastAsia="zh-CN"/>
                    </w:rPr>
                  </w:pPr>
                </w:p>
              </w:tc>
              <w:tc>
                <w:tcPr>
                  <w:tcW w:w="637" w:type="pct"/>
                  <w:vMerge w:val="continue"/>
                  <w:tcBorders>
                    <w:tl2br w:val="nil"/>
                    <w:tr2bl w:val="nil"/>
                  </w:tcBorders>
                  <w:noWrap w:val="0"/>
                  <w:vAlign w:val="center"/>
                </w:tcPr>
                <w:p w14:paraId="2E8614F7">
                  <w:pPr>
                    <w:pStyle w:val="96"/>
                    <w:spacing w:before="1"/>
                    <w:ind w:right="60" w:firstLine="0" w:firstLineChars="0"/>
                    <w:jc w:val="center"/>
                    <w:rPr>
                      <w:rFonts w:hint="default" w:ascii="Times New Roman" w:hAnsi="Times New Roman" w:cs="Times New Roman"/>
                      <w:bCs/>
                      <w:color w:val="auto"/>
                      <w:sz w:val="21"/>
                      <w:highlight w:val="none"/>
                      <w:u w:val="none" w:color="auto"/>
                      <w:lang w:eastAsia="zh-CN"/>
                    </w:rPr>
                  </w:pPr>
                </w:p>
              </w:tc>
              <w:tc>
                <w:tcPr>
                  <w:tcW w:w="618" w:type="pct"/>
                  <w:vMerge w:val="continue"/>
                  <w:tcBorders>
                    <w:tl2br w:val="nil"/>
                    <w:tr2bl w:val="nil"/>
                  </w:tcBorders>
                  <w:noWrap w:val="0"/>
                  <w:vAlign w:val="center"/>
                </w:tcPr>
                <w:p w14:paraId="4149C174">
                  <w:pPr>
                    <w:pStyle w:val="96"/>
                    <w:spacing w:before="1"/>
                    <w:ind w:right="60" w:firstLine="0" w:firstLineChars="0"/>
                    <w:jc w:val="center"/>
                    <w:rPr>
                      <w:rFonts w:hint="default" w:ascii="Times New Roman" w:hAnsi="Times New Roman" w:cs="Times New Roman"/>
                      <w:bCs/>
                      <w:color w:val="auto"/>
                      <w:sz w:val="21"/>
                      <w:highlight w:val="none"/>
                      <w:u w:val="none" w:color="auto"/>
                      <w:lang w:eastAsia="zh-CN"/>
                    </w:rPr>
                  </w:pPr>
                </w:p>
              </w:tc>
            </w:tr>
            <w:tr w14:paraId="38AC63C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0" w:type="dxa"/>
                  <w:left w:w="0" w:type="dxa"/>
                  <w:bottom w:w="0" w:type="dxa"/>
                  <w:right w:w="0" w:type="dxa"/>
                </w:tblCellMar>
              </w:tblPrEx>
              <w:trPr>
                <w:trHeight w:val="403" w:hRule="atLeast"/>
              </w:trPr>
              <w:tc>
                <w:tcPr>
                  <w:tcW w:w="381" w:type="pct"/>
                  <w:vMerge w:val="continue"/>
                  <w:tcBorders>
                    <w:tl2br w:val="nil"/>
                    <w:tr2bl w:val="nil"/>
                  </w:tcBorders>
                  <w:shd w:val="clear" w:color="auto" w:fill="auto"/>
                  <w:noWrap w:val="0"/>
                  <w:vAlign w:val="center"/>
                </w:tcPr>
                <w:p w14:paraId="3BC2ED11">
                  <w:pPr>
                    <w:jc w:val="center"/>
                    <w:rPr>
                      <w:rFonts w:hint="default" w:cs="Times New Roman"/>
                      <w:color w:val="auto"/>
                      <w:szCs w:val="21"/>
                      <w:highlight w:val="none"/>
                      <w:u w:val="none" w:color="auto"/>
                      <w:lang w:val="en-US" w:eastAsia="zh-CN"/>
                    </w:rPr>
                  </w:pPr>
                </w:p>
              </w:tc>
              <w:tc>
                <w:tcPr>
                  <w:tcW w:w="665" w:type="pct"/>
                  <w:vMerge w:val="continue"/>
                  <w:tcBorders>
                    <w:tl2br w:val="nil"/>
                    <w:tr2bl w:val="nil"/>
                  </w:tcBorders>
                  <w:shd w:val="clear" w:color="auto" w:fill="auto"/>
                  <w:noWrap w:val="0"/>
                  <w:vAlign w:val="center"/>
                </w:tcPr>
                <w:p w14:paraId="11515AD4">
                  <w:pPr>
                    <w:jc w:val="center"/>
                    <w:rPr>
                      <w:rFonts w:hint="eastAsia" w:cs="Times New Roman"/>
                      <w:color w:val="auto"/>
                      <w:szCs w:val="21"/>
                      <w:highlight w:val="none"/>
                      <w:u w:val="none" w:color="auto"/>
                      <w:lang w:val="en-US" w:eastAsia="zh-CN"/>
                    </w:rPr>
                  </w:pPr>
                </w:p>
              </w:tc>
              <w:tc>
                <w:tcPr>
                  <w:tcW w:w="777" w:type="pct"/>
                  <w:vMerge w:val="continue"/>
                  <w:tcBorders>
                    <w:tl2br w:val="nil"/>
                    <w:tr2bl w:val="nil"/>
                  </w:tcBorders>
                  <w:noWrap w:val="0"/>
                  <w:vAlign w:val="center"/>
                </w:tcPr>
                <w:p w14:paraId="7AE7D6E0">
                  <w:pPr>
                    <w:jc w:val="center"/>
                    <w:rPr>
                      <w:rFonts w:hint="eastAsia" w:cs="Times New Roman"/>
                      <w:color w:val="auto"/>
                      <w:szCs w:val="21"/>
                      <w:highlight w:val="none"/>
                      <w:u w:val="none" w:color="auto"/>
                      <w:lang w:val="en-US" w:eastAsia="zh-CN"/>
                    </w:rPr>
                  </w:pPr>
                </w:p>
              </w:tc>
              <w:tc>
                <w:tcPr>
                  <w:tcW w:w="922" w:type="dxa"/>
                  <w:tcBorders>
                    <w:tl2br w:val="nil"/>
                    <w:tr2bl w:val="nil"/>
                  </w:tcBorders>
                  <w:noWrap w:val="0"/>
                  <w:vAlign w:val="center"/>
                </w:tcPr>
                <w:p w14:paraId="5BCEE6B2">
                  <w:pPr>
                    <w:pStyle w:val="63"/>
                    <w:tabs>
                      <w:tab w:val="left" w:pos="1021"/>
                    </w:tabs>
                    <w:ind w:firstLine="0" w:firstLineChars="0"/>
                    <w:jc w:val="center"/>
                    <w:rPr>
                      <w:rFonts w:hint="eastAsia" w:cs="Times New Roman"/>
                      <w:color w:val="auto"/>
                      <w:szCs w:val="21"/>
                      <w:highlight w:val="none"/>
                      <w:u w:val="none" w:color="auto"/>
                      <w:lang w:val="en-US" w:eastAsia="zh-CN"/>
                    </w:rPr>
                  </w:pPr>
                  <w:r>
                    <w:rPr>
                      <w:rFonts w:hint="default" w:ascii="Times New Roman" w:hAnsi="Times New Roman" w:cs="Times New Roman"/>
                      <w:color w:val="auto"/>
                      <w:highlight w:val="none"/>
                      <w:u w:val="none" w:color="auto"/>
                    </w:rPr>
                    <w:t>NO</w:t>
                  </w:r>
                  <w:r>
                    <w:rPr>
                      <w:rFonts w:hint="default" w:ascii="Times New Roman" w:hAnsi="Times New Roman" w:cs="Times New Roman"/>
                      <w:color w:val="auto"/>
                      <w:highlight w:val="none"/>
                      <w:u w:val="none" w:color="auto"/>
                      <w:vertAlign w:val="subscript"/>
                    </w:rPr>
                    <w:t>X</w:t>
                  </w:r>
                </w:p>
              </w:tc>
              <w:tc>
                <w:tcPr>
                  <w:tcW w:w="1192" w:type="dxa"/>
                  <w:tcBorders>
                    <w:tl2br w:val="nil"/>
                    <w:tr2bl w:val="nil"/>
                  </w:tcBorders>
                  <w:noWrap w:val="0"/>
                  <w:vAlign w:val="center"/>
                </w:tcPr>
                <w:p w14:paraId="5B68657F">
                  <w:pPr>
                    <w:pStyle w:val="63"/>
                    <w:tabs>
                      <w:tab w:val="left" w:pos="1021"/>
                    </w:tabs>
                    <w:ind w:firstLine="0" w:firstLineChars="0"/>
                    <w:jc w:val="center"/>
                    <w:rPr>
                      <w:rFonts w:hint="default" w:cs="Times New Roman"/>
                      <w:color w:val="auto"/>
                      <w:szCs w:val="21"/>
                      <w:highlight w:val="none"/>
                      <w:u w:val="none" w:color="auto"/>
                      <w:lang w:val="en-US" w:eastAsia="zh-CN"/>
                    </w:rPr>
                  </w:pPr>
                  <w:r>
                    <w:rPr>
                      <w:rFonts w:hint="eastAsia" w:ascii="Times New Roman" w:hAnsi="Times New Roman" w:cs="Times New Roman"/>
                      <w:color w:val="auto"/>
                      <w:highlight w:val="none"/>
                      <w:u w:val="none" w:color="auto"/>
                      <w:lang w:val="en-US" w:eastAsia="zh-CN"/>
                    </w:rPr>
                    <w:t>0.112</w:t>
                  </w:r>
                </w:p>
              </w:tc>
              <w:tc>
                <w:tcPr>
                  <w:tcW w:w="665" w:type="pct"/>
                  <w:vMerge w:val="continue"/>
                  <w:tcBorders>
                    <w:tl2br w:val="nil"/>
                    <w:tr2bl w:val="nil"/>
                  </w:tcBorders>
                  <w:noWrap w:val="0"/>
                  <w:vAlign w:val="center"/>
                </w:tcPr>
                <w:p w14:paraId="5FD875C6">
                  <w:pPr>
                    <w:pStyle w:val="96"/>
                    <w:spacing w:before="1"/>
                    <w:ind w:right="60" w:firstLine="0" w:firstLineChars="0"/>
                    <w:jc w:val="center"/>
                    <w:rPr>
                      <w:rFonts w:hint="default" w:ascii="Times New Roman" w:hAnsi="Times New Roman" w:cs="Times New Roman"/>
                      <w:bCs/>
                      <w:color w:val="auto"/>
                      <w:sz w:val="21"/>
                      <w:highlight w:val="none"/>
                      <w:u w:val="none" w:color="auto"/>
                      <w:lang w:eastAsia="zh-CN"/>
                    </w:rPr>
                  </w:pPr>
                </w:p>
              </w:tc>
              <w:tc>
                <w:tcPr>
                  <w:tcW w:w="637" w:type="pct"/>
                  <w:vMerge w:val="continue"/>
                  <w:tcBorders>
                    <w:tl2br w:val="nil"/>
                    <w:tr2bl w:val="nil"/>
                  </w:tcBorders>
                  <w:noWrap w:val="0"/>
                  <w:vAlign w:val="center"/>
                </w:tcPr>
                <w:p w14:paraId="58F9A979">
                  <w:pPr>
                    <w:pStyle w:val="96"/>
                    <w:spacing w:before="1"/>
                    <w:ind w:right="60" w:firstLine="0" w:firstLineChars="0"/>
                    <w:jc w:val="center"/>
                    <w:rPr>
                      <w:rFonts w:hint="default" w:ascii="Times New Roman" w:hAnsi="Times New Roman" w:cs="Times New Roman"/>
                      <w:bCs/>
                      <w:color w:val="auto"/>
                      <w:sz w:val="21"/>
                      <w:highlight w:val="none"/>
                      <w:u w:val="none" w:color="auto"/>
                      <w:lang w:eastAsia="zh-CN"/>
                    </w:rPr>
                  </w:pPr>
                </w:p>
              </w:tc>
              <w:tc>
                <w:tcPr>
                  <w:tcW w:w="618" w:type="pct"/>
                  <w:vMerge w:val="continue"/>
                  <w:tcBorders>
                    <w:tl2br w:val="nil"/>
                    <w:tr2bl w:val="nil"/>
                  </w:tcBorders>
                  <w:noWrap w:val="0"/>
                  <w:vAlign w:val="center"/>
                </w:tcPr>
                <w:p w14:paraId="5486B735">
                  <w:pPr>
                    <w:pStyle w:val="96"/>
                    <w:spacing w:before="1"/>
                    <w:ind w:right="60" w:firstLine="0" w:firstLineChars="0"/>
                    <w:jc w:val="center"/>
                    <w:rPr>
                      <w:rFonts w:hint="default" w:ascii="Times New Roman" w:hAnsi="Times New Roman" w:cs="Times New Roman"/>
                      <w:bCs/>
                      <w:color w:val="auto"/>
                      <w:sz w:val="21"/>
                      <w:highlight w:val="none"/>
                      <w:u w:val="none" w:color="auto"/>
                      <w:lang w:eastAsia="zh-CN"/>
                    </w:rPr>
                  </w:pPr>
                </w:p>
              </w:tc>
            </w:tr>
          </w:tbl>
          <w:p w14:paraId="1C612582">
            <w:pPr>
              <w:widowControl/>
              <w:spacing w:line="360" w:lineRule="auto"/>
              <w:ind w:firstLine="480" w:firstLineChars="200"/>
              <w:jc w:val="left"/>
              <w:textAlignment w:val="baseline"/>
              <w:rPr>
                <w:rFonts w:hint="default" w:ascii="Times New Roman" w:hAnsi="Times New Roman" w:cs="Times New Roman"/>
                <w:color w:val="auto"/>
                <w:sz w:val="24"/>
                <w:szCs w:val="32"/>
                <w:highlight w:val="none"/>
                <w:lang w:val="en-US" w:eastAsia="zh-CN"/>
              </w:rPr>
            </w:pPr>
            <w:r>
              <w:rPr>
                <w:rFonts w:hint="default" w:ascii="Times New Roman" w:hAnsi="Times New Roman" w:cs="Times New Roman"/>
                <w:color w:val="auto"/>
                <w:sz w:val="24"/>
                <w:szCs w:val="32"/>
                <w:highlight w:val="none"/>
                <w:lang w:val="en-US" w:eastAsia="zh-CN"/>
              </w:rPr>
              <w:t>为防止</w:t>
            </w:r>
            <w:r>
              <w:rPr>
                <w:rFonts w:hint="eastAsia" w:cs="Times New Roman"/>
                <w:color w:val="auto"/>
                <w:sz w:val="24"/>
                <w:szCs w:val="32"/>
                <w:highlight w:val="none"/>
                <w:lang w:val="en-US" w:eastAsia="zh-CN"/>
              </w:rPr>
              <w:t>焚烧废气</w:t>
            </w:r>
            <w:r>
              <w:rPr>
                <w:rFonts w:hint="default" w:ascii="Times New Roman" w:hAnsi="Times New Roman" w:cs="Times New Roman"/>
                <w:color w:val="auto"/>
                <w:sz w:val="24"/>
                <w:szCs w:val="32"/>
                <w:highlight w:val="none"/>
                <w:lang w:val="en-US" w:eastAsia="zh-CN"/>
              </w:rPr>
              <w:t>非正常工况排放，企业须强化</w:t>
            </w:r>
            <w:r>
              <w:rPr>
                <w:rFonts w:hint="eastAsia" w:cs="Times New Roman"/>
                <w:color w:val="auto"/>
                <w:sz w:val="24"/>
                <w:szCs w:val="32"/>
                <w:highlight w:val="none"/>
                <w:lang w:val="en-US" w:eastAsia="zh-CN"/>
              </w:rPr>
              <w:t>废气处理</w:t>
            </w:r>
            <w:r>
              <w:rPr>
                <w:rFonts w:hint="default" w:ascii="Times New Roman" w:hAnsi="Times New Roman" w:cs="Times New Roman"/>
                <w:color w:val="auto"/>
                <w:sz w:val="24"/>
                <w:szCs w:val="32"/>
                <w:highlight w:val="none"/>
                <w:lang w:val="en-US" w:eastAsia="zh-CN"/>
              </w:rPr>
              <w:t>装置全流程管理，定期开展检修维护工作，确保废气处理设施持续稳定正常运行</w:t>
            </w:r>
            <w:r>
              <w:rPr>
                <w:rFonts w:hint="eastAsia" w:cs="Times New Roman"/>
                <w:color w:val="auto"/>
                <w:sz w:val="24"/>
                <w:szCs w:val="32"/>
                <w:highlight w:val="none"/>
                <w:lang w:val="en-US" w:eastAsia="zh-CN"/>
              </w:rPr>
              <w:t>，企业应严格落实以下防控措施：</w:t>
            </w:r>
          </w:p>
          <w:p w14:paraId="7D36AE77">
            <w:pPr>
              <w:widowControl/>
              <w:spacing w:line="360" w:lineRule="auto"/>
              <w:ind w:firstLine="480" w:firstLineChars="200"/>
              <w:jc w:val="left"/>
              <w:textAlignment w:val="baseline"/>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lang w:val="en-US" w:eastAsia="zh-CN"/>
              </w:rPr>
              <w:t>①当废气处理设备发生故障或停止运行时，所有产生废气的相关工序必须同步停止生产，从源头杜绝</w:t>
            </w:r>
            <w:r>
              <w:rPr>
                <w:rFonts w:hint="eastAsia" w:cs="Times New Roman"/>
                <w:color w:val="auto"/>
                <w:sz w:val="24"/>
                <w:szCs w:val="32"/>
                <w:highlight w:val="none"/>
                <w:lang w:val="en-US" w:eastAsia="zh-CN"/>
              </w:rPr>
              <w:t>废气</w:t>
            </w:r>
            <w:r>
              <w:rPr>
                <w:rFonts w:hint="default" w:ascii="Times New Roman" w:hAnsi="Times New Roman" w:cs="Times New Roman"/>
                <w:color w:val="auto"/>
                <w:sz w:val="24"/>
                <w:szCs w:val="32"/>
                <w:highlight w:val="none"/>
                <w:lang w:val="en-US" w:eastAsia="zh-CN"/>
              </w:rPr>
              <w:t>非正常排放。</w:t>
            </w:r>
          </w:p>
          <w:p w14:paraId="6670F4FF">
            <w:pPr>
              <w:widowControl/>
              <w:spacing w:line="360" w:lineRule="auto"/>
              <w:ind w:firstLine="480" w:firstLineChars="200"/>
              <w:jc w:val="left"/>
              <w:textAlignment w:val="baseline"/>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lang w:val="en-US" w:eastAsia="zh-CN"/>
              </w:rPr>
              <w:t>②明确专人负责环保设备的日常维护与管理工作，制定固定检查频次，建立常态化汇报机制，及时排查并处置废气处置系统存在的安全隐患，保障系统始终处于正常运行状态。</w:t>
            </w:r>
          </w:p>
          <w:p w14:paraId="3BE50045">
            <w:pPr>
              <w:widowControl/>
              <w:spacing w:line="360" w:lineRule="auto"/>
              <w:ind w:firstLine="480" w:firstLineChars="200"/>
              <w:jc w:val="left"/>
              <w:textAlignment w:val="baseline"/>
              <w:rPr>
                <w:rFonts w:hint="default" w:ascii="Times New Roman" w:hAnsi="Times New Roman" w:cs="Times New Roman"/>
                <w:color w:val="auto"/>
                <w:sz w:val="24"/>
                <w:szCs w:val="32"/>
                <w:highlight w:val="none"/>
              </w:rPr>
            </w:pPr>
            <w:r>
              <w:rPr>
                <w:rFonts w:hint="default" w:ascii="Times New Roman" w:hAnsi="Times New Roman" w:eastAsia="宋体" w:cs="Times New Roman"/>
                <w:color w:val="auto"/>
                <w:sz w:val="24"/>
                <w:szCs w:val="32"/>
                <w:highlight w:val="none"/>
                <w:lang w:val="en-US" w:eastAsia="zh-CN"/>
              </w:rPr>
              <w:t xml:space="preserve"> ③建立</w:t>
            </w:r>
            <w:r>
              <w:rPr>
                <w:rFonts w:hint="default" w:ascii="Times New Roman" w:hAnsi="Times New Roman" w:cs="Times New Roman"/>
                <w:color w:val="auto"/>
                <w:sz w:val="24"/>
                <w:szCs w:val="32"/>
                <w:highlight w:val="none"/>
                <w:lang w:val="en-US" w:eastAsia="zh-CN"/>
              </w:rPr>
              <w:t>健全环保管理机构，完善岗位职责体系，定期对环保管理人员、技术人员开展岗位技能培训，提升专业履职能力；委托具备相应专业资质的环境检测单位，对项目排放的各类污染物进行定期检测，确保排放数据真实、达标。</w:t>
            </w:r>
          </w:p>
          <w:p w14:paraId="2C01B4E0">
            <w:pPr>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2、运营期废水</w:t>
            </w:r>
            <w:r>
              <w:rPr>
                <w:rFonts w:hint="default" w:ascii="Times New Roman" w:hAnsi="Times New Roman" w:cs="Times New Roman"/>
                <w:b/>
                <w:color w:val="auto"/>
                <w:sz w:val="24"/>
                <w:highlight w:val="none"/>
              </w:rPr>
              <w:t>污染</w:t>
            </w:r>
            <w:r>
              <w:rPr>
                <w:rFonts w:hint="default" w:ascii="Times New Roman" w:hAnsi="Times New Roman" w:cs="Times New Roman"/>
                <w:b/>
                <w:bCs/>
                <w:color w:val="auto"/>
                <w:sz w:val="24"/>
                <w:highlight w:val="none"/>
              </w:rPr>
              <w:t>及保护措施</w:t>
            </w:r>
          </w:p>
          <w:p w14:paraId="344CB6A2">
            <w:pPr>
              <w:numPr>
                <w:ilvl w:val="1"/>
                <w:numId w:val="0"/>
              </w:numPr>
              <w:adjustRightInd w:val="0"/>
              <w:snapToGrid w:val="0"/>
              <w:spacing w:line="360" w:lineRule="auto"/>
              <w:ind w:left="420" w:leftChars="0" w:firstLine="0" w:firstLineChars="0"/>
              <w:jc w:val="left"/>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2.1、废水污染源强</w:t>
            </w:r>
          </w:p>
          <w:p w14:paraId="6B13AB9D">
            <w:pPr>
              <w:pStyle w:val="54"/>
              <w:tabs>
                <w:tab w:val="left" w:pos="1021"/>
              </w:tabs>
              <w:bidi w:val="0"/>
              <w:spacing w:line="360" w:lineRule="auto"/>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rPr>
              <w:t>项目运营期</w:t>
            </w:r>
            <w:r>
              <w:rPr>
                <w:rFonts w:hint="default" w:ascii="Times New Roman" w:hAnsi="Times New Roman" w:cs="Times New Roman"/>
                <w:color w:val="auto"/>
                <w:highlight w:val="none"/>
                <w:u w:val="none" w:color="auto"/>
                <w:lang w:val="en-US" w:eastAsia="zh-CN"/>
              </w:rPr>
              <w:t>产生的废水仅为生活污水</w:t>
            </w:r>
            <w:r>
              <w:rPr>
                <w:rStyle w:val="136"/>
                <w:rFonts w:hint="default" w:ascii="Times New Roman" w:hAnsi="Times New Roman" w:cs="Times New Roman"/>
                <w:color w:val="auto"/>
                <w:highlight w:val="none"/>
                <w:u w:val="none" w:color="auto"/>
              </w:rPr>
              <w:t>0.51</w:t>
            </w:r>
            <w:r>
              <w:rPr>
                <w:rFonts w:hint="default" w:ascii="Times New Roman" w:hAnsi="Times New Roman" w:cs="Times New Roman"/>
                <w:color w:val="auto"/>
                <w:sz w:val="24"/>
                <w:highlight w:val="none"/>
                <w:u w:val="none" w:color="auto"/>
                <w:lang w:eastAsia="zh-CN"/>
              </w:rPr>
              <w:t>m</w:t>
            </w:r>
            <w:r>
              <w:rPr>
                <w:rFonts w:hint="default" w:ascii="Times New Roman" w:hAnsi="Times New Roman" w:cs="Times New Roman"/>
                <w:color w:val="auto"/>
                <w:sz w:val="24"/>
                <w:highlight w:val="none"/>
                <w:u w:val="none" w:color="auto"/>
                <w:vertAlign w:val="superscript"/>
                <w:lang w:eastAsia="zh-CN"/>
              </w:rPr>
              <w:t>3</w:t>
            </w:r>
            <w:r>
              <w:rPr>
                <w:rFonts w:hint="default" w:ascii="Times New Roman" w:hAnsi="Times New Roman" w:cs="Times New Roman"/>
                <w:color w:val="auto"/>
                <w:sz w:val="24"/>
                <w:highlight w:val="none"/>
                <w:u w:val="none" w:color="auto"/>
                <w:lang w:eastAsia="zh-CN"/>
              </w:rPr>
              <w:t>/d（</w:t>
            </w:r>
            <w:r>
              <w:rPr>
                <w:rStyle w:val="136"/>
                <w:rFonts w:hint="default" w:ascii="Times New Roman" w:hAnsi="Times New Roman" w:cs="Times New Roman"/>
                <w:color w:val="auto"/>
                <w:highlight w:val="none"/>
                <w:u w:val="none" w:color="auto"/>
              </w:rPr>
              <w:t>152</w:t>
            </w:r>
            <w:r>
              <w:rPr>
                <w:rFonts w:hint="default" w:ascii="Times New Roman" w:hAnsi="Times New Roman" w:cs="Times New Roman"/>
                <w:color w:val="auto"/>
                <w:sz w:val="24"/>
                <w:highlight w:val="none"/>
                <w:u w:val="none" w:color="auto"/>
                <w:lang w:eastAsia="zh-CN"/>
              </w:rPr>
              <w:t>m</w:t>
            </w:r>
            <w:r>
              <w:rPr>
                <w:rFonts w:hint="default" w:ascii="Times New Roman" w:hAnsi="Times New Roman" w:cs="Times New Roman"/>
                <w:color w:val="auto"/>
                <w:sz w:val="24"/>
                <w:highlight w:val="none"/>
                <w:u w:val="none" w:color="auto"/>
                <w:vertAlign w:val="superscript"/>
                <w:lang w:eastAsia="zh-CN"/>
              </w:rPr>
              <w:t>3</w:t>
            </w:r>
            <w:r>
              <w:rPr>
                <w:rFonts w:hint="default" w:ascii="Times New Roman" w:hAnsi="Times New Roman" w:cs="Times New Roman"/>
                <w:color w:val="auto"/>
                <w:sz w:val="24"/>
                <w:highlight w:val="none"/>
                <w:u w:val="none" w:color="auto"/>
                <w:lang w:eastAsia="zh-CN"/>
              </w:rPr>
              <w:t>/a）</w:t>
            </w:r>
            <w:r>
              <w:rPr>
                <w:rFonts w:hint="default" w:ascii="Times New Roman" w:hAnsi="Times New Roman" w:cs="Times New Roman"/>
                <w:color w:val="auto"/>
                <w:highlight w:val="none"/>
                <w:u w:val="none" w:color="auto"/>
                <w:lang w:val="en-US" w:eastAsia="zh-CN"/>
              </w:rPr>
              <w:t>，</w:t>
            </w:r>
            <w:r>
              <w:rPr>
                <w:rFonts w:hint="default" w:ascii="Times New Roman" w:hAnsi="Times New Roman" w:cs="Times New Roman"/>
                <w:color w:val="auto"/>
                <w:highlight w:val="none"/>
                <w:u w:val="none" w:color="auto"/>
              </w:rPr>
              <w:t>主要污染物为COD、BOD</w:t>
            </w:r>
            <w:r>
              <w:rPr>
                <w:rFonts w:hint="default" w:ascii="Times New Roman" w:hAnsi="Times New Roman" w:cs="Times New Roman"/>
                <w:color w:val="auto"/>
                <w:highlight w:val="none"/>
                <w:u w:val="none" w:color="auto"/>
                <w:vertAlign w:val="subscript"/>
              </w:rPr>
              <w:t>5</w:t>
            </w:r>
            <w:r>
              <w:rPr>
                <w:rFonts w:hint="default" w:ascii="Times New Roman" w:hAnsi="Times New Roman" w:cs="Times New Roman"/>
                <w:color w:val="auto"/>
                <w:highlight w:val="none"/>
                <w:u w:val="none" w:color="auto"/>
              </w:rPr>
              <w:t>、SS、氨氮</w:t>
            </w:r>
            <w:r>
              <w:rPr>
                <w:rFonts w:hint="default"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lang w:val="en-US" w:eastAsia="zh-CN"/>
              </w:rPr>
              <w:t>总氮、总磷</w:t>
            </w:r>
            <w:r>
              <w:rPr>
                <w:rFonts w:hint="default" w:ascii="Times New Roman" w:hAnsi="Times New Roman" w:cs="Times New Roman"/>
                <w:color w:val="auto"/>
                <w:highlight w:val="none"/>
                <w:u w:val="none" w:color="auto"/>
              </w:rPr>
              <w:t>等</w:t>
            </w:r>
            <w:r>
              <w:rPr>
                <w:rFonts w:hint="default"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rPr>
              <w:t>根据查阅相关资料，</w:t>
            </w:r>
            <w:r>
              <w:rPr>
                <w:rFonts w:hint="default" w:ascii="Times New Roman" w:hAnsi="Times New Roman" w:cs="Times New Roman"/>
                <w:color w:val="auto"/>
                <w:highlight w:val="none"/>
                <w:u w:val="none" w:color="auto"/>
                <w:lang w:eastAsia="zh-CN"/>
              </w:rPr>
              <w:t>三级化粪池</w:t>
            </w:r>
            <w:r>
              <w:rPr>
                <w:rFonts w:hint="default" w:ascii="Times New Roman" w:hAnsi="Times New Roman" w:cs="Times New Roman"/>
                <w:color w:val="auto"/>
                <w:highlight w:val="none"/>
                <w:u w:val="none" w:color="auto"/>
              </w:rPr>
              <w:t>对COD、SS、BOD</w:t>
            </w:r>
            <w:r>
              <w:rPr>
                <w:rFonts w:hint="default" w:ascii="Times New Roman" w:hAnsi="Times New Roman" w:cs="Times New Roman"/>
                <w:color w:val="auto"/>
                <w:highlight w:val="none"/>
                <w:u w:val="none" w:color="auto"/>
                <w:vertAlign w:val="subscript"/>
              </w:rPr>
              <w:t>5</w:t>
            </w:r>
            <w:r>
              <w:rPr>
                <w:rFonts w:hint="default" w:ascii="Times New Roman" w:hAnsi="Times New Roman" w:cs="Times New Roman"/>
                <w:color w:val="auto"/>
                <w:highlight w:val="none"/>
                <w:u w:val="none" w:color="auto"/>
              </w:rPr>
              <w:t>、氨氮</w:t>
            </w:r>
            <w:r>
              <w:rPr>
                <w:rFonts w:hint="default"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rPr>
              <w:t>总氮、总磷的去除率分别为</w:t>
            </w:r>
            <w:r>
              <w:rPr>
                <w:rFonts w:hint="default" w:ascii="Times New Roman" w:hAnsi="Times New Roman" w:cs="Times New Roman"/>
                <w:color w:val="auto"/>
                <w:highlight w:val="none"/>
                <w:u w:val="none" w:color="auto"/>
                <w:lang w:val="en-US" w:eastAsia="zh-CN"/>
              </w:rPr>
              <w:t>30</w:t>
            </w:r>
            <w:r>
              <w:rPr>
                <w:rFonts w:hint="default" w:ascii="Times New Roman" w:hAnsi="Times New Roman" w:cs="Times New Roman"/>
                <w:color w:val="auto"/>
                <w:highlight w:val="none"/>
                <w:u w:val="none" w:color="auto"/>
              </w:rPr>
              <w:t>%、</w:t>
            </w:r>
            <w:r>
              <w:rPr>
                <w:rFonts w:hint="default" w:ascii="Times New Roman" w:hAnsi="Times New Roman" w:cs="Times New Roman"/>
                <w:color w:val="auto"/>
                <w:highlight w:val="none"/>
                <w:u w:val="none" w:color="auto"/>
                <w:lang w:val="en-US" w:eastAsia="zh-CN"/>
              </w:rPr>
              <w:t>20</w:t>
            </w:r>
            <w:r>
              <w:rPr>
                <w:rFonts w:hint="default" w:ascii="Times New Roman" w:hAnsi="Times New Roman" w:cs="Times New Roman"/>
                <w:color w:val="auto"/>
                <w:highlight w:val="none"/>
                <w:u w:val="none" w:color="auto"/>
              </w:rPr>
              <w:t>%、9%、3%、3%、5%</w:t>
            </w:r>
            <w:r>
              <w:rPr>
                <w:rFonts w:hint="default"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lang w:val="en-US" w:eastAsia="zh-CN"/>
              </w:rPr>
              <w:t>参考《排放源统计调查产排污核算方法和系数手册》（2021年版）——《生活污染源产排污系数手册》中的表1-1，湖南属于五区，主要污染物浓度CODcr：285mg/L、BOD</w:t>
            </w:r>
            <w:r>
              <w:rPr>
                <w:rFonts w:hint="default" w:ascii="Times New Roman" w:hAnsi="Times New Roman" w:cs="Times New Roman"/>
                <w:color w:val="auto"/>
                <w:highlight w:val="none"/>
                <w:u w:val="none" w:color="auto"/>
                <w:vertAlign w:val="subscript"/>
                <w:lang w:val="en-US" w:eastAsia="zh-CN"/>
              </w:rPr>
              <w:t>5</w:t>
            </w:r>
            <w:r>
              <w:rPr>
                <w:rFonts w:hint="default" w:ascii="Times New Roman" w:hAnsi="Times New Roman" w:cs="Times New Roman"/>
                <w:color w:val="auto"/>
                <w:highlight w:val="none"/>
                <w:u w:val="none" w:color="auto"/>
                <w:lang w:val="en-US" w:eastAsia="zh-CN"/>
              </w:rPr>
              <w:t>：150mg/L、SS：180mg/L、NH</w:t>
            </w:r>
            <w:r>
              <w:rPr>
                <w:rFonts w:hint="default" w:ascii="Times New Roman" w:hAnsi="Times New Roman" w:cs="Times New Roman"/>
                <w:color w:val="auto"/>
                <w:highlight w:val="none"/>
                <w:u w:val="none" w:color="auto"/>
                <w:vertAlign w:val="subscript"/>
                <w:lang w:val="en-US" w:eastAsia="zh-CN"/>
              </w:rPr>
              <w:t>3</w:t>
            </w:r>
            <w:r>
              <w:rPr>
                <w:rFonts w:hint="default" w:ascii="Times New Roman" w:hAnsi="Times New Roman" w:cs="Times New Roman"/>
                <w:color w:val="auto"/>
                <w:highlight w:val="none"/>
                <w:u w:val="none" w:color="auto"/>
                <w:lang w:val="en-US" w:eastAsia="zh-CN"/>
              </w:rPr>
              <w:t>-N：28.3mg/L、总氮：39.4mg/L、总磷：4.10mg/L。生活污水</w:t>
            </w:r>
            <w:r>
              <w:rPr>
                <w:rFonts w:hint="eastAsia" w:ascii="Times New Roman" w:cs="Times New Roman"/>
                <w:color w:val="auto"/>
                <w:highlight w:val="none"/>
                <w:u w:val="none" w:color="auto"/>
                <w:lang w:val="en-US" w:eastAsia="zh-CN"/>
              </w:rPr>
              <w:t>依托厂房外砖厂办公楼已建</w:t>
            </w:r>
            <w:r>
              <w:rPr>
                <w:rFonts w:hint="default" w:ascii="Times New Roman" w:hAnsi="Times New Roman" w:cs="Times New Roman"/>
                <w:color w:val="auto"/>
                <w:highlight w:val="none"/>
                <w:u w:val="none" w:color="auto"/>
                <w:lang w:eastAsia="zh-CN"/>
              </w:rPr>
              <w:t>化粪池</w:t>
            </w:r>
            <w:r>
              <w:rPr>
                <w:rFonts w:hint="default" w:ascii="Times New Roman" w:hAnsi="Times New Roman" w:cs="Times New Roman"/>
                <w:color w:val="auto"/>
                <w:highlight w:val="none"/>
                <w:u w:val="none" w:color="auto"/>
                <w:lang w:val="en-US" w:eastAsia="zh-CN"/>
              </w:rPr>
              <w:t>处理后用作农肥。</w:t>
            </w:r>
          </w:p>
          <w:p w14:paraId="068497FC">
            <w:pPr>
              <w:pStyle w:val="63"/>
              <w:keepNext w:val="0"/>
              <w:keepLines w:val="0"/>
              <w:pageBreakBefore w:val="0"/>
              <w:widowControl/>
              <w:tabs>
                <w:tab w:val="left" w:pos="1021"/>
              </w:tabs>
              <w:kinsoku/>
              <w:wordWrap w:val="0"/>
              <w:overflowPunct/>
              <w:topLinePunct/>
              <w:autoSpaceDE/>
              <w:autoSpaceDN/>
              <w:bidi w:val="0"/>
              <w:adjustRightInd/>
              <w:snapToGrid/>
              <w:jc w:val="center"/>
              <w:rPr>
                <w:rFonts w:hint="default" w:ascii="Times New Roman" w:hAnsi="Times New Roman" w:eastAsia="宋体" w:cs="Times New Roman"/>
                <w:b/>
                <w:color w:val="auto"/>
                <w:szCs w:val="22"/>
                <w:highlight w:val="none"/>
                <w:u w:val="none" w:color="auto"/>
                <w:lang w:val="en-US" w:eastAsia="zh-CN" w:bidi="ar-SA"/>
              </w:rPr>
            </w:pPr>
            <w:r>
              <w:rPr>
                <w:rFonts w:hint="default" w:ascii="Times New Roman" w:hAnsi="Times New Roman" w:cs="Times New Roman"/>
                <w:b/>
                <w:bCs/>
                <w:color w:val="auto"/>
                <w:highlight w:val="none"/>
                <w:u w:val="none" w:color="auto"/>
                <w:lang w:val="en-US" w:eastAsia="zh-CN"/>
              </w:rPr>
              <w:t>表4-</w:t>
            </w:r>
            <w:r>
              <w:rPr>
                <w:rFonts w:hint="eastAsia" w:ascii="Times New Roman" w:hAnsi="Times New Roman" w:cs="Times New Roman"/>
                <w:b/>
                <w:bCs/>
                <w:color w:val="auto"/>
                <w:highlight w:val="none"/>
                <w:u w:val="none" w:color="auto"/>
                <w:lang w:val="en-US" w:eastAsia="zh-CN"/>
              </w:rPr>
              <w:t>9</w:t>
            </w:r>
            <w:r>
              <w:rPr>
                <w:rFonts w:hint="default" w:ascii="Times New Roman" w:hAnsi="Times New Roman" w:cs="Times New Roman"/>
                <w:b/>
                <w:bCs/>
                <w:color w:val="auto"/>
                <w:highlight w:val="none"/>
                <w:u w:val="none" w:color="auto"/>
                <w:lang w:val="en-US" w:eastAsia="zh-CN"/>
              </w:rPr>
              <w:t xml:space="preserve">   </w:t>
            </w:r>
            <w:r>
              <w:rPr>
                <w:rFonts w:hint="default" w:ascii="Times New Roman" w:hAnsi="Times New Roman" w:eastAsia="Segoe UI" w:cs="Times New Roman"/>
                <w:b/>
                <w:bCs/>
                <w:i w:val="0"/>
                <w:iCs w:val="0"/>
                <w:caps w:val="0"/>
                <w:color w:val="auto"/>
                <w:spacing w:val="0"/>
                <w:sz w:val="21"/>
                <w:szCs w:val="21"/>
                <w:u w:val="none" w:color="auto"/>
                <w:shd w:val="clear" w:fill="FFFFFF"/>
              </w:rPr>
              <w:t>废水污染物产生及处置情况一览表</w:t>
            </w:r>
          </w:p>
          <w:tbl>
            <w:tblPr>
              <w:tblStyle w:val="127"/>
              <w:tblW w:w="799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93"/>
              <w:gridCol w:w="477"/>
              <w:gridCol w:w="610"/>
              <w:gridCol w:w="610"/>
              <w:gridCol w:w="935"/>
              <w:gridCol w:w="843"/>
              <w:gridCol w:w="859"/>
              <w:gridCol w:w="699"/>
              <w:gridCol w:w="552"/>
              <w:gridCol w:w="941"/>
              <w:gridCol w:w="978"/>
            </w:tblGrid>
            <w:tr w14:paraId="400FC9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64" w:hRule="atLeast"/>
                <w:jc w:val="center"/>
              </w:trPr>
              <w:tc>
                <w:tcPr>
                  <w:tcW w:w="308" w:type="pct"/>
                  <w:vMerge w:val="restart"/>
                  <w:tcBorders>
                    <w:tl2br w:val="nil"/>
                    <w:tr2bl w:val="nil"/>
                  </w:tcBorders>
                  <w:vAlign w:val="center"/>
                </w:tcPr>
                <w:p w14:paraId="46407739">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zh-CN"/>
                    </w:rPr>
                    <w:t>产排污环节</w:t>
                  </w:r>
                </w:p>
              </w:tc>
              <w:tc>
                <w:tcPr>
                  <w:tcW w:w="298" w:type="pct"/>
                  <w:vMerge w:val="restart"/>
                  <w:tcBorders>
                    <w:tl2br w:val="nil"/>
                    <w:tr2bl w:val="nil"/>
                  </w:tcBorders>
                  <w:vAlign w:val="center"/>
                </w:tcPr>
                <w:p w14:paraId="533CCC23">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类别</w:t>
                  </w:r>
                </w:p>
              </w:tc>
              <w:tc>
                <w:tcPr>
                  <w:tcW w:w="381" w:type="pct"/>
                  <w:vMerge w:val="restart"/>
                  <w:tcBorders>
                    <w:tl2br w:val="nil"/>
                    <w:tr2bl w:val="nil"/>
                  </w:tcBorders>
                  <w:vAlign w:val="center"/>
                </w:tcPr>
                <w:p w14:paraId="3A16561F">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废水量</w:t>
                  </w:r>
                </w:p>
                <w:p w14:paraId="0FAF8EDD">
                  <w:pPr>
                    <w:pStyle w:val="63"/>
                    <w:tabs>
                      <w:tab w:val="left" w:pos="1021"/>
                    </w:tabs>
                    <w:autoSpaceDE w:val="0"/>
                    <w:autoSpaceDN w:val="0"/>
                    <w:bidi w:val="0"/>
                    <w:ind w:firstLine="0" w:firstLineChars="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（m</w:t>
                  </w:r>
                  <w:r>
                    <w:rPr>
                      <w:rFonts w:hint="default" w:ascii="Times New Roman" w:hAnsi="Times New Roman" w:cs="Times New Roman"/>
                      <w:b/>
                      <w:bCs/>
                      <w:color w:val="auto"/>
                      <w:highlight w:val="none"/>
                      <w:u w:val="none" w:color="auto"/>
                      <w:vertAlign w:val="superscript"/>
                      <w:lang w:val="en-US" w:eastAsia="en-US"/>
                    </w:rPr>
                    <w:t>3</w:t>
                  </w:r>
                  <w:r>
                    <w:rPr>
                      <w:rFonts w:hint="default" w:ascii="Times New Roman" w:hAnsi="Times New Roman" w:cs="Times New Roman"/>
                      <w:b/>
                      <w:bCs/>
                      <w:color w:val="auto"/>
                      <w:highlight w:val="none"/>
                      <w:u w:val="none" w:color="auto"/>
                      <w:lang w:val="en-US" w:eastAsia="en-US"/>
                    </w:rPr>
                    <w:t>/a）</w:t>
                  </w:r>
                </w:p>
              </w:tc>
              <w:tc>
                <w:tcPr>
                  <w:tcW w:w="381" w:type="pct"/>
                  <w:vMerge w:val="restart"/>
                  <w:tcBorders>
                    <w:tl2br w:val="nil"/>
                    <w:tr2bl w:val="nil"/>
                  </w:tcBorders>
                  <w:vAlign w:val="center"/>
                </w:tcPr>
                <w:p w14:paraId="7A1EE481">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污染物</w:t>
                  </w:r>
                </w:p>
                <w:p w14:paraId="67041D2E">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种类</w:t>
                  </w:r>
                </w:p>
              </w:tc>
              <w:tc>
                <w:tcPr>
                  <w:tcW w:w="1111" w:type="pct"/>
                  <w:gridSpan w:val="2"/>
                  <w:tcBorders>
                    <w:tl2br w:val="nil"/>
                    <w:tr2bl w:val="nil"/>
                  </w:tcBorders>
                  <w:vAlign w:val="center"/>
                </w:tcPr>
                <w:p w14:paraId="7CACAF0C">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污染物产生情况</w:t>
                  </w:r>
                </w:p>
              </w:tc>
              <w:tc>
                <w:tcPr>
                  <w:tcW w:w="1319" w:type="pct"/>
                  <w:gridSpan w:val="3"/>
                  <w:tcBorders>
                    <w:tl2br w:val="nil"/>
                    <w:tr2bl w:val="nil"/>
                  </w:tcBorders>
                  <w:vAlign w:val="center"/>
                </w:tcPr>
                <w:p w14:paraId="2071BB2A">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治理设施情况</w:t>
                  </w:r>
                </w:p>
              </w:tc>
              <w:tc>
                <w:tcPr>
                  <w:tcW w:w="1199" w:type="pct"/>
                  <w:gridSpan w:val="2"/>
                  <w:tcBorders>
                    <w:tl2br w:val="nil"/>
                    <w:tr2bl w:val="nil"/>
                  </w:tcBorders>
                  <w:vAlign w:val="center"/>
                </w:tcPr>
                <w:p w14:paraId="6783416C">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污染物排放情况</w:t>
                  </w:r>
                </w:p>
                <w:p w14:paraId="75C26327">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（出厂量）</w:t>
                  </w:r>
                </w:p>
              </w:tc>
            </w:tr>
            <w:tr w14:paraId="3345EA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061" w:hRule="atLeast"/>
                <w:jc w:val="center"/>
              </w:trPr>
              <w:tc>
                <w:tcPr>
                  <w:tcW w:w="308" w:type="pct"/>
                  <w:vMerge w:val="continue"/>
                  <w:tcBorders>
                    <w:tl2br w:val="nil"/>
                    <w:tr2bl w:val="nil"/>
                  </w:tcBorders>
                  <w:vAlign w:val="center"/>
                </w:tcPr>
                <w:p w14:paraId="5B9C193F">
                  <w:pPr>
                    <w:pStyle w:val="63"/>
                    <w:tabs>
                      <w:tab w:val="left" w:pos="1021"/>
                    </w:tabs>
                    <w:autoSpaceDE w:val="0"/>
                    <w:autoSpaceDN w:val="0"/>
                    <w:bidi w:val="0"/>
                    <w:jc w:val="center"/>
                    <w:rPr>
                      <w:rFonts w:hint="default" w:ascii="Times New Roman" w:hAnsi="Times New Roman" w:cs="Times New Roman"/>
                      <w:b/>
                      <w:bCs/>
                      <w:color w:val="auto"/>
                      <w:highlight w:val="none"/>
                      <w:u w:val="none" w:color="auto"/>
                    </w:rPr>
                  </w:pPr>
                </w:p>
              </w:tc>
              <w:tc>
                <w:tcPr>
                  <w:tcW w:w="298" w:type="pct"/>
                  <w:vMerge w:val="continue"/>
                  <w:tcBorders>
                    <w:tl2br w:val="nil"/>
                    <w:tr2bl w:val="nil"/>
                  </w:tcBorders>
                  <w:vAlign w:val="center"/>
                </w:tcPr>
                <w:p w14:paraId="2F976E98">
                  <w:pPr>
                    <w:pStyle w:val="63"/>
                    <w:tabs>
                      <w:tab w:val="left" w:pos="1021"/>
                    </w:tabs>
                    <w:autoSpaceDE w:val="0"/>
                    <w:autoSpaceDN w:val="0"/>
                    <w:bidi w:val="0"/>
                    <w:jc w:val="center"/>
                    <w:rPr>
                      <w:rFonts w:hint="default" w:ascii="Times New Roman" w:hAnsi="Times New Roman" w:cs="Times New Roman"/>
                      <w:b/>
                      <w:bCs/>
                      <w:color w:val="auto"/>
                      <w:highlight w:val="none"/>
                      <w:u w:val="none" w:color="auto"/>
                    </w:rPr>
                  </w:pPr>
                </w:p>
              </w:tc>
              <w:tc>
                <w:tcPr>
                  <w:tcW w:w="381" w:type="pct"/>
                  <w:vMerge w:val="continue"/>
                  <w:tcBorders>
                    <w:tl2br w:val="nil"/>
                    <w:tr2bl w:val="nil"/>
                  </w:tcBorders>
                  <w:vAlign w:val="center"/>
                </w:tcPr>
                <w:p w14:paraId="017C1866">
                  <w:pPr>
                    <w:pStyle w:val="63"/>
                    <w:tabs>
                      <w:tab w:val="left" w:pos="1021"/>
                    </w:tabs>
                    <w:autoSpaceDE w:val="0"/>
                    <w:autoSpaceDN w:val="0"/>
                    <w:bidi w:val="0"/>
                    <w:jc w:val="center"/>
                    <w:rPr>
                      <w:rFonts w:hint="default" w:ascii="Times New Roman" w:hAnsi="Times New Roman" w:cs="Times New Roman"/>
                      <w:b/>
                      <w:bCs/>
                      <w:color w:val="auto"/>
                      <w:highlight w:val="none"/>
                      <w:u w:val="none" w:color="auto"/>
                    </w:rPr>
                  </w:pPr>
                </w:p>
              </w:tc>
              <w:tc>
                <w:tcPr>
                  <w:tcW w:w="381" w:type="pct"/>
                  <w:vMerge w:val="continue"/>
                  <w:tcBorders>
                    <w:tl2br w:val="nil"/>
                    <w:tr2bl w:val="nil"/>
                  </w:tcBorders>
                  <w:vAlign w:val="center"/>
                </w:tcPr>
                <w:p w14:paraId="44BC23A2">
                  <w:pPr>
                    <w:pStyle w:val="63"/>
                    <w:tabs>
                      <w:tab w:val="left" w:pos="1021"/>
                    </w:tabs>
                    <w:autoSpaceDE w:val="0"/>
                    <w:autoSpaceDN w:val="0"/>
                    <w:bidi w:val="0"/>
                    <w:jc w:val="center"/>
                    <w:rPr>
                      <w:rFonts w:hint="default" w:ascii="Times New Roman" w:hAnsi="Times New Roman" w:cs="Times New Roman"/>
                      <w:b/>
                      <w:bCs/>
                      <w:color w:val="auto"/>
                      <w:highlight w:val="none"/>
                      <w:u w:val="none" w:color="auto"/>
                    </w:rPr>
                  </w:pPr>
                </w:p>
              </w:tc>
              <w:tc>
                <w:tcPr>
                  <w:tcW w:w="584" w:type="pct"/>
                  <w:tcBorders>
                    <w:tl2br w:val="nil"/>
                    <w:tr2bl w:val="nil"/>
                  </w:tcBorders>
                  <w:vAlign w:val="center"/>
                </w:tcPr>
                <w:p w14:paraId="08D4896E">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产生</w:t>
                  </w:r>
                </w:p>
                <w:p w14:paraId="072A0A08">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浓度</w:t>
                  </w:r>
                </w:p>
                <w:p w14:paraId="469778E8">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（mg/L）</w:t>
                  </w:r>
                </w:p>
              </w:tc>
              <w:tc>
                <w:tcPr>
                  <w:tcW w:w="526" w:type="pct"/>
                  <w:tcBorders>
                    <w:tl2br w:val="nil"/>
                    <w:tr2bl w:val="nil"/>
                  </w:tcBorders>
                  <w:vAlign w:val="center"/>
                </w:tcPr>
                <w:p w14:paraId="17A2F868">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产生量</w:t>
                  </w:r>
                </w:p>
                <w:p w14:paraId="645D8912">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（t/a)</w:t>
                  </w:r>
                </w:p>
              </w:tc>
              <w:tc>
                <w:tcPr>
                  <w:tcW w:w="537" w:type="pct"/>
                  <w:tcBorders>
                    <w:tl2br w:val="nil"/>
                    <w:tr2bl w:val="nil"/>
                  </w:tcBorders>
                  <w:vAlign w:val="center"/>
                </w:tcPr>
                <w:p w14:paraId="530C58B9">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处理工艺</w:t>
                  </w:r>
                </w:p>
              </w:tc>
              <w:tc>
                <w:tcPr>
                  <w:tcW w:w="437" w:type="pct"/>
                  <w:tcBorders>
                    <w:tl2br w:val="nil"/>
                    <w:tr2bl w:val="nil"/>
                  </w:tcBorders>
                  <w:vAlign w:val="center"/>
                </w:tcPr>
                <w:p w14:paraId="3B99DB9B">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lang w:val="en-US" w:eastAsia="en-US"/>
                    </w:rPr>
                    <w:t>治理效率</w:t>
                  </w:r>
                  <w:r>
                    <w:rPr>
                      <w:rFonts w:hint="default" w:ascii="Times New Roman" w:hAnsi="Times New Roman" w:cs="Times New Roman"/>
                      <w:b/>
                      <w:bCs/>
                      <w:color w:val="auto"/>
                      <w:highlight w:val="none"/>
                      <w:u w:val="none" w:color="auto"/>
                      <w:lang w:val="en-US" w:eastAsia="zh-CN"/>
                    </w:rPr>
                    <w:t>（%）</w:t>
                  </w:r>
                </w:p>
              </w:tc>
              <w:tc>
                <w:tcPr>
                  <w:tcW w:w="345" w:type="pct"/>
                  <w:tcBorders>
                    <w:tl2br w:val="nil"/>
                    <w:tr2bl w:val="nil"/>
                  </w:tcBorders>
                  <w:vAlign w:val="center"/>
                </w:tcPr>
                <w:p w14:paraId="23982AC5">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是否为可行技术</w:t>
                  </w:r>
                </w:p>
              </w:tc>
              <w:tc>
                <w:tcPr>
                  <w:tcW w:w="588" w:type="pct"/>
                  <w:tcBorders>
                    <w:tl2br w:val="nil"/>
                    <w:tr2bl w:val="nil"/>
                  </w:tcBorders>
                  <w:vAlign w:val="center"/>
                </w:tcPr>
                <w:p w14:paraId="419F360C">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排放浓度（mg/L）</w:t>
                  </w:r>
                </w:p>
              </w:tc>
              <w:tc>
                <w:tcPr>
                  <w:tcW w:w="610" w:type="pct"/>
                  <w:tcBorders>
                    <w:tl2br w:val="nil"/>
                    <w:tr2bl w:val="nil"/>
                  </w:tcBorders>
                  <w:vAlign w:val="center"/>
                </w:tcPr>
                <w:p w14:paraId="291258E5">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排放</w:t>
                  </w:r>
                </w:p>
                <w:p w14:paraId="5DD387D6">
                  <w:pPr>
                    <w:pStyle w:val="63"/>
                    <w:tabs>
                      <w:tab w:val="left" w:pos="1021"/>
                    </w:tabs>
                    <w:autoSpaceDE w:val="0"/>
                    <w:autoSpaceDN w:val="0"/>
                    <w:bidi w:val="0"/>
                    <w:jc w:val="center"/>
                    <w:rPr>
                      <w:rFonts w:hint="default" w:ascii="Times New Roman" w:hAnsi="Times New Roman" w:cs="Times New Roman"/>
                      <w:b/>
                      <w:bCs/>
                      <w:color w:val="auto"/>
                      <w:highlight w:val="none"/>
                      <w:u w:val="none" w:color="auto"/>
                      <w:lang w:val="en-US" w:eastAsia="en-US"/>
                    </w:rPr>
                  </w:pPr>
                  <w:r>
                    <w:rPr>
                      <w:rFonts w:hint="default" w:ascii="Times New Roman" w:hAnsi="Times New Roman" w:cs="Times New Roman"/>
                      <w:b/>
                      <w:bCs/>
                      <w:color w:val="auto"/>
                      <w:highlight w:val="none"/>
                      <w:u w:val="none" w:color="auto"/>
                      <w:lang w:val="en-US" w:eastAsia="en-US"/>
                    </w:rPr>
                    <w:t>量（t/a)</w:t>
                  </w:r>
                </w:p>
              </w:tc>
            </w:tr>
            <w:tr w14:paraId="23E861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43" w:hRule="atLeast"/>
                <w:jc w:val="center"/>
              </w:trPr>
              <w:tc>
                <w:tcPr>
                  <w:tcW w:w="308" w:type="pct"/>
                  <w:vMerge w:val="restart"/>
                  <w:tcBorders>
                    <w:tl2br w:val="nil"/>
                    <w:tr2bl w:val="nil"/>
                  </w:tcBorders>
                  <w:vAlign w:val="center"/>
                </w:tcPr>
                <w:p w14:paraId="775823C0">
                  <w:pPr>
                    <w:pStyle w:val="63"/>
                    <w:tabs>
                      <w:tab w:val="left" w:pos="1021"/>
                    </w:tabs>
                    <w:autoSpaceDE w:val="0"/>
                    <w:autoSpaceDN w:val="0"/>
                    <w:bidi w:val="0"/>
                    <w:jc w:val="center"/>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办公生活</w:t>
                  </w:r>
                </w:p>
              </w:tc>
              <w:tc>
                <w:tcPr>
                  <w:tcW w:w="298" w:type="pct"/>
                  <w:vMerge w:val="restart"/>
                  <w:tcBorders>
                    <w:tl2br w:val="nil"/>
                    <w:tr2bl w:val="nil"/>
                  </w:tcBorders>
                  <w:vAlign w:val="center"/>
                </w:tcPr>
                <w:p w14:paraId="3997A30E">
                  <w:pPr>
                    <w:pStyle w:val="63"/>
                    <w:tabs>
                      <w:tab w:val="left" w:pos="1021"/>
                    </w:tabs>
                    <w:autoSpaceDE w:val="0"/>
                    <w:autoSpaceDN w:val="0"/>
                    <w:bidi w:val="0"/>
                    <w:jc w:val="center"/>
                    <w:rPr>
                      <w:rFonts w:hint="default" w:ascii="Times New Roman" w:hAnsi="Times New Roman" w:cs="Times New Roman"/>
                      <w:color w:val="auto"/>
                      <w:highlight w:val="none"/>
                      <w:u w:val="none" w:color="auto"/>
                      <w:lang w:val="en-US" w:eastAsia="en-US"/>
                    </w:rPr>
                  </w:pPr>
                  <w:r>
                    <w:rPr>
                      <w:rFonts w:hint="default" w:ascii="Times New Roman" w:hAnsi="Times New Roman" w:cs="Times New Roman"/>
                      <w:color w:val="auto"/>
                      <w:highlight w:val="none"/>
                      <w:u w:val="none" w:color="auto"/>
                      <w:lang w:val="en-US" w:eastAsia="en-US"/>
                    </w:rPr>
                    <w:t>生活污水</w:t>
                  </w:r>
                </w:p>
              </w:tc>
              <w:tc>
                <w:tcPr>
                  <w:tcW w:w="381" w:type="pct"/>
                  <w:vMerge w:val="restart"/>
                  <w:tcBorders>
                    <w:tl2br w:val="nil"/>
                    <w:tr2bl w:val="nil"/>
                  </w:tcBorders>
                  <w:vAlign w:val="center"/>
                </w:tcPr>
                <w:p w14:paraId="4542C403">
                  <w:pPr>
                    <w:pStyle w:val="63"/>
                    <w:tabs>
                      <w:tab w:val="left" w:pos="1021"/>
                    </w:tabs>
                    <w:autoSpaceDE w:val="0"/>
                    <w:autoSpaceDN w:val="0"/>
                    <w:bidi w:val="0"/>
                    <w:ind w:firstLine="0" w:firstLineChars="0"/>
                    <w:jc w:val="center"/>
                    <w:rPr>
                      <w:rFonts w:hint="default" w:ascii="Times New Roman" w:hAnsi="Times New Roman" w:cs="Times New Roman"/>
                      <w:color w:val="auto"/>
                      <w:highlight w:val="none"/>
                      <w:u w:val="none" w:color="auto"/>
                      <w:lang w:val="en-US" w:eastAsia="en-US"/>
                    </w:rPr>
                  </w:pPr>
                  <w:r>
                    <w:rPr>
                      <w:rFonts w:hint="eastAsia" w:ascii="Times New Roman" w:hAnsi="Times New Roman" w:cs="Times New Roman"/>
                      <w:color w:val="auto"/>
                      <w:highlight w:val="none"/>
                      <w:u w:val="none" w:color="auto"/>
                      <w:lang w:val="en-US" w:eastAsia="zh-CN"/>
                    </w:rPr>
                    <w:t>152</w:t>
                  </w:r>
                </w:p>
              </w:tc>
              <w:tc>
                <w:tcPr>
                  <w:tcW w:w="381" w:type="pct"/>
                  <w:tcBorders>
                    <w:tl2br w:val="nil"/>
                    <w:tr2bl w:val="nil"/>
                  </w:tcBorders>
                  <w:vAlign w:val="center"/>
                </w:tcPr>
                <w:p w14:paraId="7CBE5953">
                  <w:pPr>
                    <w:pStyle w:val="63"/>
                    <w:tabs>
                      <w:tab w:val="left" w:pos="1021"/>
                    </w:tabs>
                    <w:autoSpaceDE w:val="0"/>
                    <w:autoSpaceDN w:val="0"/>
                    <w:bidi w:val="0"/>
                    <w:jc w:val="center"/>
                    <w:rPr>
                      <w:rFonts w:hint="default" w:ascii="Times New Roman" w:hAnsi="Times New Roman" w:cs="Times New Roman"/>
                      <w:color w:val="auto"/>
                      <w:highlight w:val="none"/>
                      <w:u w:val="none" w:color="auto"/>
                      <w:lang w:val="en-US" w:eastAsia="en-US"/>
                    </w:rPr>
                  </w:pPr>
                  <w:r>
                    <w:rPr>
                      <w:rFonts w:hint="default" w:ascii="Times New Roman" w:hAnsi="Times New Roman" w:cs="Times New Roman"/>
                      <w:color w:val="auto"/>
                      <w:highlight w:val="none"/>
                      <w:u w:val="none" w:color="auto"/>
                      <w:lang w:val="en-US" w:eastAsia="zh-CN"/>
                    </w:rPr>
                    <w:t>COD</w:t>
                  </w:r>
                </w:p>
              </w:tc>
              <w:tc>
                <w:tcPr>
                  <w:tcW w:w="584" w:type="pct"/>
                  <w:tcBorders>
                    <w:tl2br w:val="nil"/>
                    <w:tr2bl w:val="nil"/>
                  </w:tcBorders>
                  <w:vAlign w:val="center"/>
                </w:tcPr>
                <w:p w14:paraId="5B5BE4B4">
                  <w:pPr>
                    <w:pStyle w:val="63"/>
                    <w:tabs>
                      <w:tab w:val="left" w:pos="1021"/>
                    </w:tabs>
                    <w:autoSpaceDE w:val="0"/>
                    <w:autoSpaceDN w:val="0"/>
                    <w:bidi w:val="0"/>
                    <w:jc w:val="center"/>
                    <w:rPr>
                      <w:rFonts w:hint="default" w:ascii="Times New Roman" w:hAnsi="Times New Roman" w:cs="Times New Roman"/>
                      <w:color w:val="auto"/>
                      <w:highlight w:val="none"/>
                      <w:u w:val="none" w:color="auto"/>
                      <w:lang w:val="en-US" w:eastAsia="en-US"/>
                    </w:rPr>
                  </w:pPr>
                  <w:r>
                    <w:rPr>
                      <w:rFonts w:hint="default" w:ascii="Times New Roman" w:hAnsi="Times New Roman" w:cs="Times New Roman"/>
                      <w:color w:val="auto"/>
                      <w:highlight w:val="none"/>
                      <w:u w:val="none" w:color="auto"/>
                      <w:lang w:val="en-US" w:eastAsia="zh-CN"/>
                    </w:rPr>
                    <w:t>285</w:t>
                  </w:r>
                </w:p>
              </w:tc>
              <w:tc>
                <w:tcPr>
                  <w:tcW w:w="842" w:type="dxa"/>
                  <w:tcBorders>
                    <w:tl2br w:val="nil"/>
                    <w:tr2bl w:val="nil"/>
                  </w:tcBorders>
                  <w:vAlign w:val="center"/>
                </w:tcPr>
                <w:p w14:paraId="662BB2FF">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lang w:val="en-US" w:eastAsia="zh-CN"/>
                    </w:rPr>
                    <w:t>0.04332</w:t>
                  </w:r>
                </w:p>
              </w:tc>
              <w:tc>
                <w:tcPr>
                  <w:tcW w:w="537" w:type="pct"/>
                  <w:vMerge w:val="restart"/>
                  <w:tcBorders>
                    <w:tl2br w:val="nil"/>
                    <w:tr2bl w:val="nil"/>
                  </w:tcBorders>
                  <w:vAlign w:val="center"/>
                </w:tcPr>
                <w:p w14:paraId="724739BD">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en-US" w:bidi="ar-SA"/>
                    </w:rPr>
                  </w:pPr>
                  <w:r>
                    <w:rPr>
                      <w:rFonts w:hint="default" w:ascii="Times New Roman" w:hAnsi="Times New Roman" w:eastAsia="宋体" w:cs="Times New Roman"/>
                      <w:color w:val="auto"/>
                      <w:kern w:val="2"/>
                      <w:sz w:val="21"/>
                      <w:szCs w:val="24"/>
                      <w:highlight w:val="none"/>
                      <w:u w:val="none" w:color="auto"/>
                      <w:lang w:val="en-US" w:eastAsia="zh-CN" w:bidi="ar-SA"/>
                    </w:rPr>
                    <w:t>三级</w:t>
                  </w:r>
                  <w:r>
                    <w:rPr>
                      <w:rFonts w:hint="default" w:ascii="Times New Roman" w:hAnsi="Times New Roman" w:eastAsia="宋体" w:cs="Times New Roman"/>
                      <w:color w:val="auto"/>
                      <w:kern w:val="2"/>
                      <w:sz w:val="21"/>
                      <w:szCs w:val="24"/>
                      <w:highlight w:val="none"/>
                      <w:u w:val="none" w:color="auto"/>
                      <w:lang w:val="en-US" w:eastAsia="en-US" w:bidi="ar-SA"/>
                    </w:rPr>
                    <w:t>化粪池</w:t>
                  </w:r>
                </w:p>
              </w:tc>
              <w:tc>
                <w:tcPr>
                  <w:tcW w:w="437" w:type="pct"/>
                  <w:tcBorders>
                    <w:tl2br w:val="nil"/>
                    <w:tr2bl w:val="nil"/>
                  </w:tcBorders>
                  <w:vAlign w:val="center"/>
                </w:tcPr>
                <w:p w14:paraId="0B3366E1">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30</w:t>
                  </w:r>
                </w:p>
              </w:tc>
              <w:tc>
                <w:tcPr>
                  <w:tcW w:w="345" w:type="pct"/>
                  <w:vMerge w:val="restart"/>
                  <w:tcBorders>
                    <w:tl2br w:val="nil"/>
                    <w:tr2bl w:val="nil"/>
                  </w:tcBorders>
                  <w:vAlign w:val="center"/>
                </w:tcPr>
                <w:p w14:paraId="3594382E">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w:t>
                  </w:r>
                </w:p>
              </w:tc>
              <w:tc>
                <w:tcPr>
                  <w:tcW w:w="588" w:type="pct"/>
                  <w:tcBorders>
                    <w:tl2br w:val="nil"/>
                    <w:tr2bl w:val="nil"/>
                  </w:tcBorders>
                  <w:vAlign w:val="center"/>
                </w:tcPr>
                <w:p w14:paraId="643E4783">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199.5</w:t>
                  </w:r>
                </w:p>
              </w:tc>
              <w:tc>
                <w:tcPr>
                  <w:tcW w:w="976" w:type="dxa"/>
                  <w:tcBorders>
                    <w:tl2br w:val="nil"/>
                    <w:tr2bl w:val="nil"/>
                  </w:tcBorders>
                  <w:vAlign w:val="center"/>
                </w:tcPr>
                <w:p w14:paraId="674E2C5E">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lang w:val="en-US" w:eastAsia="zh-CN"/>
                    </w:rPr>
                    <w:t>0.03032</w:t>
                  </w:r>
                </w:p>
              </w:tc>
            </w:tr>
            <w:tr w14:paraId="7B6BF4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43" w:hRule="atLeast"/>
                <w:jc w:val="center"/>
              </w:trPr>
              <w:tc>
                <w:tcPr>
                  <w:tcW w:w="308" w:type="pct"/>
                  <w:vMerge w:val="continue"/>
                  <w:tcBorders>
                    <w:tl2br w:val="nil"/>
                    <w:tr2bl w:val="nil"/>
                  </w:tcBorders>
                  <w:vAlign w:val="center"/>
                </w:tcPr>
                <w:p w14:paraId="07296B34">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p>
              </w:tc>
              <w:tc>
                <w:tcPr>
                  <w:tcW w:w="298" w:type="pct"/>
                  <w:vMerge w:val="continue"/>
                  <w:tcBorders>
                    <w:tl2br w:val="nil"/>
                    <w:tr2bl w:val="nil"/>
                  </w:tcBorders>
                  <w:vAlign w:val="center"/>
                </w:tcPr>
                <w:p w14:paraId="75C2CC09">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p>
              </w:tc>
              <w:tc>
                <w:tcPr>
                  <w:tcW w:w="381" w:type="pct"/>
                  <w:vMerge w:val="continue"/>
                  <w:tcBorders>
                    <w:tl2br w:val="nil"/>
                    <w:tr2bl w:val="nil"/>
                  </w:tcBorders>
                  <w:vAlign w:val="center"/>
                </w:tcPr>
                <w:p w14:paraId="4CAF7314">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p>
              </w:tc>
              <w:tc>
                <w:tcPr>
                  <w:tcW w:w="381" w:type="pct"/>
                  <w:tcBorders>
                    <w:tl2br w:val="nil"/>
                    <w:tr2bl w:val="nil"/>
                  </w:tcBorders>
                  <w:vAlign w:val="center"/>
                </w:tcPr>
                <w:p w14:paraId="15BB8A0B">
                  <w:pPr>
                    <w:pStyle w:val="63"/>
                    <w:tabs>
                      <w:tab w:val="left" w:pos="1021"/>
                    </w:tabs>
                    <w:autoSpaceDE w:val="0"/>
                    <w:autoSpaceDN w:val="0"/>
                    <w:bidi w:val="0"/>
                    <w:jc w:val="center"/>
                    <w:rPr>
                      <w:rFonts w:hint="default" w:ascii="Times New Roman" w:hAnsi="Times New Roman" w:cs="Times New Roman"/>
                      <w:color w:val="auto"/>
                      <w:highlight w:val="none"/>
                      <w:u w:val="none" w:color="auto"/>
                      <w:lang w:val="en-US" w:eastAsia="en-US"/>
                    </w:rPr>
                  </w:pPr>
                  <w:r>
                    <w:rPr>
                      <w:rFonts w:hint="default" w:ascii="Times New Roman" w:hAnsi="Times New Roman" w:cs="Times New Roman"/>
                      <w:color w:val="auto"/>
                      <w:highlight w:val="none"/>
                      <w:u w:val="none" w:color="auto"/>
                      <w:lang w:val="en-US" w:eastAsia="en-US"/>
                    </w:rPr>
                    <w:t>BOD</w:t>
                  </w:r>
                  <w:r>
                    <w:rPr>
                      <w:rFonts w:hint="default" w:ascii="Times New Roman" w:hAnsi="Times New Roman" w:cs="Times New Roman"/>
                      <w:color w:val="auto"/>
                      <w:highlight w:val="none"/>
                      <w:u w:val="none" w:color="auto"/>
                      <w:vertAlign w:val="subscript"/>
                      <w:lang w:val="en-US" w:eastAsia="en-US"/>
                    </w:rPr>
                    <w:t>5</w:t>
                  </w:r>
                </w:p>
              </w:tc>
              <w:tc>
                <w:tcPr>
                  <w:tcW w:w="584" w:type="pct"/>
                  <w:tcBorders>
                    <w:tl2br w:val="nil"/>
                    <w:tr2bl w:val="nil"/>
                  </w:tcBorders>
                  <w:vAlign w:val="center"/>
                </w:tcPr>
                <w:p w14:paraId="189AC211">
                  <w:pPr>
                    <w:pStyle w:val="63"/>
                    <w:tabs>
                      <w:tab w:val="left" w:pos="1021"/>
                    </w:tabs>
                    <w:autoSpaceDE w:val="0"/>
                    <w:autoSpaceDN w:val="0"/>
                    <w:bidi w:val="0"/>
                    <w:jc w:val="center"/>
                    <w:rPr>
                      <w:rFonts w:hint="default" w:ascii="Times New Roman" w:hAnsi="Times New Roman" w:cs="Times New Roman"/>
                      <w:color w:val="auto"/>
                      <w:highlight w:val="none"/>
                      <w:u w:val="none" w:color="auto"/>
                      <w:lang w:val="en-US" w:eastAsia="en-US"/>
                    </w:rPr>
                  </w:pPr>
                  <w:r>
                    <w:rPr>
                      <w:rFonts w:hint="default" w:ascii="Times New Roman" w:hAnsi="Times New Roman" w:cs="Times New Roman"/>
                      <w:color w:val="auto"/>
                      <w:highlight w:val="none"/>
                      <w:u w:val="none" w:color="auto"/>
                      <w:lang w:val="en-US" w:eastAsia="zh-CN"/>
                    </w:rPr>
                    <w:t>150</w:t>
                  </w:r>
                </w:p>
              </w:tc>
              <w:tc>
                <w:tcPr>
                  <w:tcW w:w="842" w:type="dxa"/>
                  <w:tcBorders>
                    <w:tl2br w:val="nil"/>
                    <w:tr2bl w:val="nil"/>
                  </w:tcBorders>
                  <w:vAlign w:val="center"/>
                </w:tcPr>
                <w:p w14:paraId="273A55A7">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lang w:val="en-US" w:eastAsia="zh-CN"/>
                    </w:rPr>
                    <w:t>0.02280</w:t>
                  </w:r>
                </w:p>
              </w:tc>
              <w:tc>
                <w:tcPr>
                  <w:tcW w:w="537" w:type="pct"/>
                  <w:vMerge w:val="continue"/>
                  <w:tcBorders>
                    <w:tl2br w:val="nil"/>
                    <w:tr2bl w:val="nil"/>
                  </w:tcBorders>
                  <w:vAlign w:val="center"/>
                </w:tcPr>
                <w:p w14:paraId="295C12D8">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437" w:type="pct"/>
                  <w:tcBorders>
                    <w:tl2br w:val="nil"/>
                    <w:tr2bl w:val="nil"/>
                  </w:tcBorders>
                  <w:vAlign w:val="center"/>
                </w:tcPr>
                <w:p w14:paraId="7657BBFD">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9</w:t>
                  </w:r>
                </w:p>
              </w:tc>
              <w:tc>
                <w:tcPr>
                  <w:tcW w:w="345" w:type="pct"/>
                  <w:vMerge w:val="continue"/>
                  <w:tcBorders>
                    <w:tl2br w:val="nil"/>
                    <w:tr2bl w:val="nil"/>
                  </w:tcBorders>
                  <w:vAlign w:val="center"/>
                </w:tcPr>
                <w:p w14:paraId="0918263A">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588" w:type="pct"/>
                  <w:tcBorders>
                    <w:tl2br w:val="nil"/>
                    <w:tr2bl w:val="nil"/>
                  </w:tcBorders>
                  <w:vAlign w:val="center"/>
                </w:tcPr>
                <w:p w14:paraId="5C249254">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136.5</w:t>
                  </w:r>
                </w:p>
              </w:tc>
              <w:tc>
                <w:tcPr>
                  <w:tcW w:w="976" w:type="dxa"/>
                  <w:tcBorders>
                    <w:tl2br w:val="nil"/>
                    <w:tr2bl w:val="nil"/>
                  </w:tcBorders>
                  <w:vAlign w:val="center"/>
                </w:tcPr>
                <w:p w14:paraId="699F62E9">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lang w:val="en-US" w:eastAsia="zh-CN"/>
                    </w:rPr>
                    <w:t>0.02075</w:t>
                  </w:r>
                </w:p>
              </w:tc>
            </w:tr>
            <w:tr w14:paraId="632FE4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43" w:hRule="atLeast"/>
                <w:jc w:val="center"/>
              </w:trPr>
              <w:tc>
                <w:tcPr>
                  <w:tcW w:w="308" w:type="pct"/>
                  <w:vMerge w:val="continue"/>
                  <w:tcBorders>
                    <w:tl2br w:val="nil"/>
                    <w:tr2bl w:val="nil"/>
                  </w:tcBorders>
                  <w:vAlign w:val="center"/>
                </w:tcPr>
                <w:p w14:paraId="05B59ABD">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p>
              </w:tc>
              <w:tc>
                <w:tcPr>
                  <w:tcW w:w="298" w:type="pct"/>
                  <w:vMerge w:val="continue"/>
                  <w:tcBorders>
                    <w:tl2br w:val="nil"/>
                    <w:tr2bl w:val="nil"/>
                  </w:tcBorders>
                  <w:vAlign w:val="center"/>
                </w:tcPr>
                <w:p w14:paraId="7CB52410">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p>
              </w:tc>
              <w:tc>
                <w:tcPr>
                  <w:tcW w:w="381" w:type="pct"/>
                  <w:vMerge w:val="continue"/>
                  <w:tcBorders>
                    <w:tl2br w:val="nil"/>
                    <w:tr2bl w:val="nil"/>
                  </w:tcBorders>
                  <w:vAlign w:val="center"/>
                </w:tcPr>
                <w:p w14:paraId="5CFDC033">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p>
              </w:tc>
              <w:tc>
                <w:tcPr>
                  <w:tcW w:w="381" w:type="pct"/>
                  <w:tcBorders>
                    <w:tl2br w:val="nil"/>
                    <w:tr2bl w:val="nil"/>
                  </w:tcBorders>
                  <w:vAlign w:val="center"/>
                </w:tcPr>
                <w:p w14:paraId="5D6C6ADC">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SS</w:t>
                  </w:r>
                </w:p>
              </w:tc>
              <w:tc>
                <w:tcPr>
                  <w:tcW w:w="584" w:type="pct"/>
                  <w:tcBorders>
                    <w:tl2br w:val="nil"/>
                    <w:tr2bl w:val="nil"/>
                  </w:tcBorders>
                  <w:vAlign w:val="center"/>
                </w:tcPr>
                <w:p w14:paraId="4AFB4AA7">
                  <w:pPr>
                    <w:pStyle w:val="63"/>
                    <w:tabs>
                      <w:tab w:val="left" w:pos="1021"/>
                    </w:tabs>
                    <w:autoSpaceDE w:val="0"/>
                    <w:autoSpaceDN w:val="0"/>
                    <w:bidi w:val="0"/>
                    <w:jc w:val="center"/>
                    <w:rPr>
                      <w:rFonts w:hint="default" w:ascii="Times New Roman" w:hAnsi="Times New Roman" w:cs="Times New Roman"/>
                      <w:color w:val="auto"/>
                      <w:highlight w:val="none"/>
                      <w:u w:val="none" w:color="auto"/>
                      <w:lang w:eastAsia="en-US"/>
                    </w:rPr>
                  </w:pPr>
                  <w:r>
                    <w:rPr>
                      <w:rFonts w:hint="default" w:ascii="Times New Roman" w:hAnsi="Times New Roman" w:cs="Times New Roman"/>
                      <w:color w:val="auto"/>
                      <w:highlight w:val="none"/>
                      <w:u w:val="none" w:color="auto"/>
                      <w:lang w:val="en-US" w:eastAsia="zh-CN"/>
                    </w:rPr>
                    <w:t>180</w:t>
                  </w:r>
                </w:p>
              </w:tc>
              <w:tc>
                <w:tcPr>
                  <w:tcW w:w="842" w:type="dxa"/>
                  <w:tcBorders>
                    <w:tl2br w:val="nil"/>
                    <w:tr2bl w:val="nil"/>
                  </w:tcBorders>
                  <w:vAlign w:val="center"/>
                </w:tcPr>
                <w:p w14:paraId="5DFD7EA0">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lang w:val="en-US" w:eastAsia="zh-CN"/>
                    </w:rPr>
                    <w:t>0.02736</w:t>
                  </w:r>
                </w:p>
              </w:tc>
              <w:tc>
                <w:tcPr>
                  <w:tcW w:w="537" w:type="pct"/>
                  <w:vMerge w:val="continue"/>
                  <w:tcBorders>
                    <w:tl2br w:val="nil"/>
                    <w:tr2bl w:val="nil"/>
                  </w:tcBorders>
                  <w:vAlign w:val="center"/>
                </w:tcPr>
                <w:p w14:paraId="192DF086">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437" w:type="pct"/>
                  <w:tcBorders>
                    <w:tl2br w:val="nil"/>
                    <w:tr2bl w:val="nil"/>
                  </w:tcBorders>
                  <w:vAlign w:val="center"/>
                </w:tcPr>
                <w:p w14:paraId="0B11456A">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20</w:t>
                  </w:r>
                </w:p>
              </w:tc>
              <w:tc>
                <w:tcPr>
                  <w:tcW w:w="345" w:type="pct"/>
                  <w:vMerge w:val="continue"/>
                  <w:tcBorders>
                    <w:tl2br w:val="nil"/>
                    <w:tr2bl w:val="nil"/>
                  </w:tcBorders>
                  <w:vAlign w:val="center"/>
                </w:tcPr>
                <w:p w14:paraId="6D925127">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588" w:type="pct"/>
                  <w:tcBorders>
                    <w:tl2br w:val="nil"/>
                    <w:tr2bl w:val="nil"/>
                  </w:tcBorders>
                  <w:vAlign w:val="center"/>
                </w:tcPr>
                <w:p w14:paraId="3CA57A78">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144</w:t>
                  </w:r>
                </w:p>
              </w:tc>
              <w:tc>
                <w:tcPr>
                  <w:tcW w:w="976" w:type="dxa"/>
                  <w:tcBorders>
                    <w:tl2br w:val="nil"/>
                    <w:tr2bl w:val="nil"/>
                  </w:tcBorders>
                  <w:vAlign w:val="center"/>
                </w:tcPr>
                <w:p w14:paraId="5ACAC7DF">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lang w:val="en-US" w:eastAsia="zh-CN"/>
                    </w:rPr>
                    <w:t>0.02189</w:t>
                  </w:r>
                </w:p>
              </w:tc>
            </w:tr>
            <w:tr w14:paraId="44593B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308" w:type="pct"/>
                  <w:vMerge w:val="continue"/>
                  <w:tcBorders>
                    <w:tl2br w:val="nil"/>
                    <w:tr2bl w:val="nil"/>
                  </w:tcBorders>
                  <w:vAlign w:val="center"/>
                </w:tcPr>
                <w:p w14:paraId="02C42D02">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p>
              </w:tc>
              <w:tc>
                <w:tcPr>
                  <w:tcW w:w="298" w:type="pct"/>
                  <w:vMerge w:val="continue"/>
                  <w:tcBorders>
                    <w:tl2br w:val="nil"/>
                    <w:tr2bl w:val="nil"/>
                  </w:tcBorders>
                  <w:vAlign w:val="center"/>
                </w:tcPr>
                <w:p w14:paraId="37872BA8">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p>
              </w:tc>
              <w:tc>
                <w:tcPr>
                  <w:tcW w:w="381" w:type="pct"/>
                  <w:vMerge w:val="continue"/>
                  <w:tcBorders>
                    <w:tl2br w:val="nil"/>
                    <w:tr2bl w:val="nil"/>
                  </w:tcBorders>
                  <w:vAlign w:val="center"/>
                </w:tcPr>
                <w:p w14:paraId="41D218F9">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p>
              </w:tc>
              <w:tc>
                <w:tcPr>
                  <w:tcW w:w="381" w:type="pct"/>
                  <w:tcBorders>
                    <w:tl2br w:val="nil"/>
                    <w:tr2bl w:val="nil"/>
                  </w:tcBorders>
                  <w:vAlign w:val="center"/>
                </w:tcPr>
                <w:p w14:paraId="462D6F3A">
                  <w:pPr>
                    <w:pStyle w:val="63"/>
                    <w:tabs>
                      <w:tab w:val="left" w:pos="1021"/>
                    </w:tabs>
                    <w:autoSpaceDE w:val="0"/>
                    <w:autoSpaceDN w:val="0"/>
                    <w:bidi w:val="0"/>
                    <w:jc w:val="center"/>
                    <w:rPr>
                      <w:rFonts w:hint="default" w:ascii="Times New Roman" w:hAnsi="Times New Roman" w:cs="Times New Roman"/>
                      <w:color w:val="auto"/>
                      <w:highlight w:val="none"/>
                      <w:u w:val="none" w:color="auto"/>
                      <w:lang w:val="en-US" w:eastAsia="en-US"/>
                    </w:rPr>
                  </w:pPr>
                  <w:r>
                    <w:rPr>
                      <w:rFonts w:hint="default" w:ascii="Times New Roman" w:hAnsi="Times New Roman" w:cs="Times New Roman"/>
                      <w:color w:val="auto"/>
                      <w:highlight w:val="none"/>
                      <w:u w:val="none" w:color="auto"/>
                      <w:lang w:val="en-US" w:eastAsia="en-US"/>
                    </w:rPr>
                    <w:t>氨氮</w:t>
                  </w:r>
                </w:p>
              </w:tc>
              <w:tc>
                <w:tcPr>
                  <w:tcW w:w="584" w:type="pct"/>
                  <w:tcBorders>
                    <w:tl2br w:val="nil"/>
                    <w:tr2bl w:val="nil"/>
                  </w:tcBorders>
                  <w:vAlign w:val="center"/>
                </w:tcPr>
                <w:p w14:paraId="59EE02BB">
                  <w:pPr>
                    <w:pStyle w:val="63"/>
                    <w:tabs>
                      <w:tab w:val="left" w:pos="1021"/>
                    </w:tabs>
                    <w:autoSpaceDE w:val="0"/>
                    <w:autoSpaceDN w:val="0"/>
                    <w:bidi w:val="0"/>
                    <w:jc w:val="center"/>
                    <w:rPr>
                      <w:rFonts w:hint="default" w:ascii="Times New Roman" w:hAnsi="Times New Roman" w:cs="Times New Roman"/>
                      <w:color w:val="auto"/>
                      <w:highlight w:val="none"/>
                      <w:u w:val="none" w:color="auto"/>
                      <w:lang w:eastAsia="en-US"/>
                    </w:rPr>
                  </w:pPr>
                  <w:r>
                    <w:rPr>
                      <w:rFonts w:hint="default" w:ascii="Times New Roman" w:hAnsi="Times New Roman" w:cs="Times New Roman"/>
                      <w:color w:val="auto"/>
                      <w:highlight w:val="none"/>
                      <w:u w:val="none" w:color="auto"/>
                      <w:lang w:val="en-US" w:eastAsia="zh-CN"/>
                    </w:rPr>
                    <w:t>28.3</w:t>
                  </w:r>
                </w:p>
              </w:tc>
              <w:tc>
                <w:tcPr>
                  <w:tcW w:w="842" w:type="dxa"/>
                  <w:tcBorders>
                    <w:tl2br w:val="nil"/>
                    <w:tr2bl w:val="nil"/>
                  </w:tcBorders>
                  <w:vAlign w:val="center"/>
                </w:tcPr>
                <w:p w14:paraId="7831D035">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lang w:val="en-US" w:eastAsia="zh-CN"/>
                    </w:rPr>
                    <w:t>0.00430</w:t>
                  </w:r>
                </w:p>
              </w:tc>
              <w:tc>
                <w:tcPr>
                  <w:tcW w:w="537" w:type="pct"/>
                  <w:vMerge w:val="continue"/>
                  <w:tcBorders>
                    <w:tl2br w:val="nil"/>
                    <w:tr2bl w:val="nil"/>
                  </w:tcBorders>
                  <w:vAlign w:val="center"/>
                </w:tcPr>
                <w:p w14:paraId="3DDBA49E">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437" w:type="pct"/>
                  <w:tcBorders>
                    <w:tl2br w:val="nil"/>
                    <w:tr2bl w:val="nil"/>
                  </w:tcBorders>
                  <w:vAlign w:val="center"/>
                </w:tcPr>
                <w:p w14:paraId="75E91383">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3</w:t>
                  </w:r>
                </w:p>
              </w:tc>
              <w:tc>
                <w:tcPr>
                  <w:tcW w:w="345" w:type="pct"/>
                  <w:vMerge w:val="continue"/>
                  <w:tcBorders>
                    <w:tl2br w:val="nil"/>
                    <w:tr2bl w:val="nil"/>
                  </w:tcBorders>
                  <w:vAlign w:val="center"/>
                </w:tcPr>
                <w:p w14:paraId="28CA21F7">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588" w:type="pct"/>
                  <w:tcBorders>
                    <w:tl2br w:val="nil"/>
                    <w:tr2bl w:val="nil"/>
                  </w:tcBorders>
                  <w:vAlign w:val="center"/>
                </w:tcPr>
                <w:p w14:paraId="5C69A74C">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27.451</w:t>
                  </w:r>
                </w:p>
              </w:tc>
              <w:tc>
                <w:tcPr>
                  <w:tcW w:w="976" w:type="dxa"/>
                  <w:tcBorders>
                    <w:tl2br w:val="nil"/>
                    <w:tr2bl w:val="nil"/>
                  </w:tcBorders>
                  <w:vAlign w:val="center"/>
                </w:tcPr>
                <w:p w14:paraId="4714E883">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lang w:val="en-US" w:eastAsia="zh-CN"/>
                    </w:rPr>
                    <w:t>0.00417</w:t>
                  </w:r>
                </w:p>
              </w:tc>
            </w:tr>
            <w:tr w14:paraId="605BD8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7" w:hRule="atLeast"/>
                <w:jc w:val="center"/>
              </w:trPr>
              <w:tc>
                <w:tcPr>
                  <w:tcW w:w="308" w:type="pct"/>
                  <w:vMerge w:val="continue"/>
                  <w:tcBorders>
                    <w:tl2br w:val="nil"/>
                    <w:tr2bl w:val="nil"/>
                  </w:tcBorders>
                  <w:vAlign w:val="center"/>
                </w:tcPr>
                <w:p w14:paraId="7706449E">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p>
              </w:tc>
              <w:tc>
                <w:tcPr>
                  <w:tcW w:w="298" w:type="pct"/>
                  <w:vMerge w:val="continue"/>
                  <w:tcBorders>
                    <w:tl2br w:val="nil"/>
                    <w:tr2bl w:val="nil"/>
                  </w:tcBorders>
                  <w:vAlign w:val="center"/>
                </w:tcPr>
                <w:p w14:paraId="7C51DC92">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p>
              </w:tc>
              <w:tc>
                <w:tcPr>
                  <w:tcW w:w="381" w:type="pct"/>
                  <w:vMerge w:val="continue"/>
                  <w:tcBorders>
                    <w:tl2br w:val="nil"/>
                    <w:tr2bl w:val="nil"/>
                  </w:tcBorders>
                  <w:vAlign w:val="center"/>
                </w:tcPr>
                <w:p w14:paraId="7A7AE3D4">
                  <w:pPr>
                    <w:pStyle w:val="63"/>
                    <w:tabs>
                      <w:tab w:val="left" w:pos="1021"/>
                    </w:tabs>
                    <w:autoSpaceDE w:val="0"/>
                    <w:autoSpaceDN w:val="0"/>
                    <w:bidi w:val="0"/>
                    <w:jc w:val="center"/>
                    <w:rPr>
                      <w:rFonts w:hint="default" w:ascii="Times New Roman" w:hAnsi="Times New Roman" w:cs="Times New Roman"/>
                      <w:color w:val="auto"/>
                      <w:highlight w:val="none"/>
                      <w:u w:val="none" w:color="auto"/>
                    </w:rPr>
                  </w:pPr>
                </w:p>
              </w:tc>
              <w:tc>
                <w:tcPr>
                  <w:tcW w:w="381" w:type="pct"/>
                  <w:tcBorders>
                    <w:tl2br w:val="nil"/>
                    <w:tr2bl w:val="nil"/>
                  </w:tcBorders>
                  <w:vAlign w:val="center"/>
                </w:tcPr>
                <w:p w14:paraId="795017D2">
                  <w:pPr>
                    <w:pStyle w:val="63"/>
                    <w:tabs>
                      <w:tab w:val="left" w:pos="1021"/>
                    </w:tabs>
                    <w:autoSpaceDE w:val="0"/>
                    <w:autoSpaceDN w:val="0"/>
                    <w:bidi w:val="0"/>
                    <w:jc w:val="center"/>
                    <w:rPr>
                      <w:rFonts w:hint="default" w:ascii="Times New Roman" w:hAnsi="Times New Roman" w:cs="Times New Roman"/>
                      <w:color w:val="auto"/>
                      <w:highlight w:val="none"/>
                      <w:u w:val="none" w:color="auto"/>
                      <w:lang w:val="en-US" w:eastAsia="en-US"/>
                    </w:rPr>
                  </w:pPr>
                  <w:r>
                    <w:rPr>
                      <w:rFonts w:hint="default" w:ascii="Times New Roman" w:hAnsi="Times New Roman" w:cs="Times New Roman"/>
                      <w:color w:val="auto"/>
                      <w:highlight w:val="none"/>
                      <w:u w:val="none" w:color="auto"/>
                      <w:lang w:val="en-US" w:eastAsia="en-US"/>
                    </w:rPr>
                    <w:t>总磷</w:t>
                  </w:r>
                </w:p>
              </w:tc>
              <w:tc>
                <w:tcPr>
                  <w:tcW w:w="584" w:type="pct"/>
                  <w:tcBorders>
                    <w:tl2br w:val="nil"/>
                    <w:tr2bl w:val="nil"/>
                  </w:tcBorders>
                  <w:vAlign w:val="center"/>
                </w:tcPr>
                <w:p w14:paraId="4E05B916">
                  <w:pPr>
                    <w:pStyle w:val="63"/>
                    <w:tabs>
                      <w:tab w:val="left" w:pos="1021"/>
                    </w:tabs>
                    <w:autoSpaceDE w:val="0"/>
                    <w:autoSpaceDN w:val="0"/>
                    <w:bidi w:val="0"/>
                    <w:jc w:val="center"/>
                    <w:rPr>
                      <w:rFonts w:hint="default" w:ascii="Times New Roman" w:hAnsi="Times New Roman" w:cs="Times New Roman"/>
                      <w:color w:val="auto"/>
                      <w:highlight w:val="none"/>
                      <w:u w:val="none" w:color="auto"/>
                      <w:lang w:eastAsia="en-US"/>
                    </w:rPr>
                  </w:pPr>
                  <w:r>
                    <w:rPr>
                      <w:rFonts w:hint="default" w:ascii="Times New Roman" w:hAnsi="Times New Roman" w:cs="Times New Roman"/>
                      <w:color w:val="auto"/>
                      <w:highlight w:val="none"/>
                      <w:u w:val="none" w:color="auto"/>
                      <w:lang w:val="en-US" w:eastAsia="zh-CN"/>
                    </w:rPr>
                    <w:t>4.1</w:t>
                  </w:r>
                </w:p>
              </w:tc>
              <w:tc>
                <w:tcPr>
                  <w:tcW w:w="842" w:type="dxa"/>
                  <w:tcBorders>
                    <w:tl2br w:val="nil"/>
                    <w:tr2bl w:val="nil"/>
                  </w:tcBorders>
                  <w:vAlign w:val="center"/>
                </w:tcPr>
                <w:p w14:paraId="0ACD11E9">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lang w:val="en-US" w:eastAsia="zh-CN"/>
                    </w:rPr>
                    <w:t>0.000623</w:t>
                  </w:r>
                </w:p>
              </w:tc>
              <w:tc>
                <w:tcPr>
                  <w:tcW w:w="537" w:type="pct"/>
                  <w:vMerge w:val="continue"/>
                  <w:tcBorders>
                    <w:tl2br w:val="nil"/>
                    <w:tr2bl w:val="nil"/>
                  </w:tcBorders>
                  <w:vAlign w:val="center"/>
                </w:tcPr>
                <w:p w14:paraId="35A8DDDC">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437" w:type="pct"/>
                  <w:tcBorders>
                    <w:tl2br w:val="nil"/>
                    <w:tr2bl w:val="nil"/>
                  </w:tcBorders>
                  <w:vAlign w:val="center"/>
                </w:tcPr>
                <w:p w14:paraId="5A7CB02D">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5</w:t>
                  </w:r>
                </w:p>
              </w:tc>
              <w:tc>
                <w:tcPr>
                  <w:tcW w:w="345" w:type="pct"/>
                  <w:vMerge w:val="continue"/>
                  <w:tcBorders>
                    <w:tl2br w:val="nil"/>
                    <w:tr2bl w:val="nil"/>
                  </w:tcBorders>
                  <w:vAlign w:val="center"/>
                </w:tcPr>
                <w:p w14:paraId="4AF1DA3F">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588" w:type="pct"/>
                  <w:tcBorders>
                    <w:tl2br w:val="nil"/>
                    <w:tr2bl w:val="nil"/>
                  </w:tcBorders>
                  <w:vAlign w:val="center"/>
                </w:tcPr>
                <w:p w14:paraId="3150B6D4">
                  <w:pPr>
                    <w:pStyle w:val="63"/>
                    <w:tabs>
                      <w:tab w:val="left" w:pos="1021"/>
                    </w:tabs>
                    <w:autoSpaceDE w:val="0"/>
                    <w:autoSpaceDN w:val="0"/>
                    <w:bidi w:val="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3.895</w:t>
                  </w:r>
                </w:p>
              </w:tc>
              <w:tc>
                <w:tcPr>
                  <w:tcW w:w="976" w:type="dxa"/>
                  <w:tcBorders>
                    <w:tl2br w:val="nil"/>
                    <w:tr2bl w:val="nil"/>
                  </w:tcBorders>
                  <w:vAlign w:val="center"/>
                </w:tcPr>
                <w:p w14:paraId="7579A795">
                  <w:pPr>
                    <w:pStyle w:val="63"/>
                    <w:tabs>
                      <w:tab w:val="left" w:pos="1021"/>
                    </w:tabs>
                    <w:autoSpaceDE w:val="0"/>
                    <w:autoSpaceDN w:val="0"/>
                    <w:bidi w:val="0"/>
                    <w:ind w:firstLine="0" w:firstLineChars="0"/>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lang w:val="en-US" w:eastAsia="zh-CN"/>
                    </w:rPr>
                    <w:t>0.000592</w:t>
                  </w:r>
                </w:p>
              </w:tc>
            </w:tr>
          </w:tbl>
          <w:p w14:paraId="69213F76">
            <w:pPr>
              <w:pStyle w:val="63"/>
              <w:keepNext w:val="0"/>
              <w:keepLines w:val="0"/>
              <w:pageBreakBefore w:val="0"/>
              <w:widowControl/>
              <w:tabs>
                <w:tab w:val="left" w:pos="1021"/>
              </w:tabs>
              <w:kinsoku/>
              <w:wordWrap w:val="0"/>
              <w:overflowPunct/>
              <w:topLinePunct/>
              <w:autoSpaceDE/>
              <w:autoSpaceDN/>
              <w:bidi w:val="0"/>
              <w:adjustRightInd/>
              <w:snapToGrid/>
              <w:jc w:val="center"/>
              <w:rPr>
                <w:rFonts w:hint="default" w:ascii="Times New Roman" w:hAnsi="Times New Roman"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rPr>
              <w:t>表4-</w:t>
            </w:r>
            <w:r>
              <w:rPr>
                <w:rFonts w:hint="default" w:ascii="Times New Roman" w:hAnsi="Times New Roman" w:cs="Times New Roman"/>
                <w:b/>
                <w:bCs/>
                <w:color w:val="auto"/>
                <w:highlight w:val="none"/>
                <w:u w:val="none" w:color="auto"/>
                <w:lang w:val="en-US" w:eastAsia="zh-CN"/>
              </w:rPr>
              <w:t>1</w:t>
            </w:r>
            <w:r>
              <w:rPr>
                <w:rFonts w:hint="eastAsia" w:ascii="Times New Roman" w:hAnsi="Times New Roman" w:cs="Times New Roman"/>
                <w:b/>
                <w:bCs/>
                <w:color w:val="auto"/>
                <w:highlight w:val="none"/>
                <w:u w:val="none" w:color="auto"/>
                <w:lang w:val="en-US" w:eastAsia="zh-CN"/>
              </w:rPr>
              <w:t>0</w:t>
            </w:r>
            <w:r>
              <w:rPr>
                <w:rFonts w:hint="default" w:ascii="Times New Roman" w:hAnsi="Times New Roman" w:cs="Times New Roman"/>
                <w:b/>
                <w:bCs/>
                <w:color w:val="auto"/>
                <w:highlight w:val="none"/>
                <w:u w:val="none" w:color="auto"/>
                <w:lang w:val="en-US" w:eastAsia="zh-CN"/>
              </w:rPr>
              <w:t xml:space="preserve">   </w:t>
            </w:r>
            <w:r>
              <w:rPr>
                <w:rFonts w:hint="default" w:ascii="Times New Roman" w:hAnsi="Times New Roman" w:cs="Times New Roman"/>
                <w:b/>
                <w:bCs/>
                <w:color w:val="auto"/>
                <w:highlight w:val="none"/>
                <w:u w:val="none" w:color="auto"/>
              </w:rPr>
              <w:t>废水类别、污染物及污染治理设施信息表</w:t>
            </w:r>
          </w:p>
          <w:tbl>
            <w:tblPr>
              <w:tblStyle w:val="127"/>
              <w:tblW w:w="499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14"/>
              <w:gridCol w:w="497"/>
              <w:gridCol w:w="1167"/>
              <w:gridCol w:w="911"/>
              <w:gridCol w:w="323"/>
              <w:gridCol w:w="789"/>
              <w:gridCol w:w="1002"/>
              <w:gridCol w:w="743"/>
              <w:gridCol w:w="450"/>
              <w:gridCol w:w="1261"/>
              <w:gridCol w:w="453"/>
            </w:tblGrid>
            <w:tr w14:paraId="4D4D27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99" w:type="pct"/>
                  <w:vMerge w:val="restart"/>
                  <w:tcBorders>
                    <w:tl2br w:val="nil"/>
                    <w:tr2bl w:val="nil"/>
                  </w:tcBorders>
                  <w:vAlign w:val="center"/>
                </w:tcPr>
                <w:p w14:paraId="3B839265">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序号</w:t>
                  </w:r>
                </w:p>
              </w:tc>
              <w:tc>
                <w:tcPr>
                  <w:tcW w:w="314" w:type="pct"/>
                  <w:vMerge w:val="restart"/>
                  <w:tcBorders>
                    <w:tl2br w:val="nil"/>
                    <w:tr2bl w:val="nil"/>
                  </w:tcBorders>
                  <w:vAlign w:val="center"/>
                </w:tcPr>
                <w:p w14:paraId="0171676A">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废水类别</w:t>
                  </w:r>
                </w:p>
              </w:tc>
              <w:tc>
                <w:tcPr>
                  <w:tcW w:w="737" w:type="pct"/>
                  <w:vMerge w:val="restart"/>
                  <w:tcBorders>
                    <w:tl2br w:val="nil"/>
                    <w:tr2bl w:val="nil"/>
                  </w:tcBorders>
                  <w:vAlign w:val="center"/>
                </w:tcPr>
                <w:p w14:paraId="37DC5ED3">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both"/>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污染物种类</w:t>
                  </w:r>
                </w:p>
              </w:tc>
              <w:tc>
                <w:tcPr>
                  <w:tcW w:w="575" w:type="pct"/>
                  <w:vMerge w:val="restart"/>
                  <w:tcBorders>
                    <w:tl2br w:val="nil"/>
                    <w:tr2bl w:val="nil"/>
                  </w:tcBorders>
                  <w:vAlign w:val="center"/>
                </w:tcPr>
                <w:p w14:paraId="2641A718">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排放去向</w:t>
                  </w:r>
                </w:p>
              </w:tc>
              <w:tc>
                <w:tcPr>
                  <w:tcW w:w="204" w:type="pct"/>
                  <w:vMerge w:val="restart"/>
                  <w:tcBorders>
                    <w:tl2br w:val="nil"/>
                    <w:tr2bl w:val="nil"/>
                  </w:tcBorders>
                  <w:vAlign w:val="center"/>
                </w:tcPr>
                <w:p w14:paraId="73599BB7">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排放规律</w:t>
                  </w:r>
                </w:p>
              </w:tc>
              <w:tc>
                <w:tcPr>
                  <w:tcW w:w="1600" w:type="pct"/>
                  <w:gridSpan w:val="3"/>
                  <w:tcBorders>
                    <w:tl2br w:val="nil"/>
                    <w:tr2bl w:val="nil"/>
                  </w:tcBorders>
                  <w:vAlign w:val="center"/>
                </w:tcPr>
                <w:p w14:paraId="559330D2">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污染治理设施</w:t>
                  </w:r>
                </w:p>
              </w:tc>
              <w:tc>
                <w:tcPr>
                  <w:tcW w:w="284" w:type="pct"/>
                  <w:vMerge w:val="restart"/>
                  <w:tcBorders>
                    <w:tl2br w:val="nil"/>
                    <w:tr2bl w:val="nil"/>
                  </w:tcBorders>
                  <w:vAlign w:val="center"/>
                </w:tcPr>
                <w:p w14:paraId="00309B68">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排放</w:t>
                  </w:r>
                </w:p>
                <w:p w14:paraId="7F57E180">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口编</w:t>
                  </w:r>
                </w:p>
                <w:p w14:paraId="58B983A4">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号</w:t>
                  </w:r>
                </w:p>
              </w:tc>
              <w:tc>
                <w:tcPr>
                  <w:tcW w:w="796" w:type="pct"/>
                  <w:vMerge w:val="restart"/>
                  <w:tcBorders>
                    <w:tl2br w:val="nil"/>
                    <w:tr2bl w:val="nil"/>
                  </w:tcBorders>
                  <w:vAlign w:val="center"/>
                </w:tcPr>
                <w:p w14:paraId="63CE7DDF">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排放口设置是否符合要求</w:t>
                  </w:r>
                </w:p>
              </w:tc>
              <w:tc>
                <w:tcPr>
                  <w:tcW w:w="286" w:type="pct"/>
                  <w:vMerge w:val="restart"/>
                  <w:tcBorders>
                    <w:tl2br w:val="nil"/>
                    <w:tr2bl w:val="nil"/>
                  </w:tcBorders>
                  <w:vAlign w:val="center"/>
                </w:tcPr>
                <w:p w14:paraId="1F7848F5">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排放口类型</w:t>
                  </w:r>
                </w:p>
              </w:tc>
            </w:tr>
            <w:tr w14:paraId="4B70F9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199" w:type="pct"/>
                  <w:vMerge w:val="continue"/>
                  <w:tcBorders>
                    <w:tl2br w:val="nil"/>
                    <w:tr2bl w:val="nil"/>
                  </w:tcBorders>
                  <w:vAlign w:val="center"/>
                </w:tcPr>
                <w:p w14:paraId="405E45E1">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p>
              </w:tc>
              <w:tc>
                <w:tcPr>
                  <w:tcW w:w="314" w:type="pct"/>
                  <w:vMerge w:val="continue"/>
                  <w:tcBorders>
                    <w:tl2br w:val="nil"/>
                    <w:tr2bl w:val="nil"/>
                  </w:tcBorders>
                  <w:vAlign w:val="center"/>
                </w:tcPr>
                <w:p w14:paraId="0821EB55">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p>
              </w:tc>
              <w:tc>
                <w:tcPr>
                  <w:tcW w:w="737" w:type="pct"/>
                  <w:vMerge w:val="continue"/>
                  <w:tcBorders>
                    <w:tl2br w:val="nil"/>
                    <w:tr2bl w:val="nil"/>
                  </w:tcBorders>
                  <w:vAlign w:val="center"/>
                </w:tcPr>
                <w:p w14:paraId="2569F163">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p>
              </w:tc>
              <w:tc>
                <w:tcPr>
                  <w:tcW w:w="575" w:type="pct"/>
                  <w:vMerge w:val="continue"/>
                  <w:tcBorders>
                    <w:tl2br w:val="nil"/>
                    <w:tr2bl w:val="nil"/>
                  </w:tcBorders>
                  <w:vAlign w:val="center"/>
                </w:tcPr>
                <w:p w14:paraId="01743385">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p>
              </w:tc>
              <w:tc>
                <w:tcPr>
                  <w:tcW w:w="204" w:type="pct"/>
                  <w:vMerge w:val="continue"/>
                  <w:tcBorders>
                    <w:tl2br w:val="nil"/>
                    <w:tr2bl w:val="nil"/>
                  </w:tcBorders>
                  <w:vAlign w:val="center"/>
                </w:tcPr>
                <w:p w14:paraId="115B137A">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p>
              </w:tc>
              <w:tc>
                <w:tcPr>
                  <w:tcW w:w="498" w:type="pct"/>
                  <w:tcBorders>
                    <w:tl2br w:val="nil"/>
                    <w:tr2bl w:val="nil"/>
                  </w:tcBorders>
                  <w:vAlign w:val="center"/>
                </w:tcPr>
                <w:p w14:paraId="2B3B4A3F">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污染</w:t>
                  </w:r>
                </w:p>
                <w:p w14:paraId="0B793E84">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治理</w:t>
                  </w:r>
                </w:p>
                <w:p w14:paraId="327E3A55">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设施</w:t>
                  </w:r>
                </w:p>
                <w:p w14:paraId="7067D94E">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编号</w:t>
                  </w:r>
                </w:p>
              </w:tc>
              <w:tc>
                <w:tcPr>
                  <w:tcW w:w="633" w:type="pct"/>
                  <w:tcBorders>
                    <w:tl2br w:val="nil"/>
                    <w:tr2bl w:val="nil"/>
                  </w:tcBorders>
                  <w:vAlign w:val="center"/>
                </w:tcPr>
                <w:p w14:paraId="1185BB6C">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污染治理设施名称</w:t>
                  </w:r>
                </w:p>
              </w:tc>
              <w:tc>
                <w:tcPr>
                  <w:tcW w:w="468" w:type="pct"/>
                  <w:tcBorders>
                    <w:tl2br w:val="nil"/>
                    <w:tr2bl w:val="nil"/>
                  </w:tcBorders>
                  <w:vAlign w:val="center"/>
                </w:tcPr>
                <w:p w14:paraId="435AF6E3">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污染治理设施工艺</w:t>
                  </w:r>
                </w:p>
              </w:tc>
              <w:tc>
                <w:tcPr>
                  <w:tcW w:w="284" w:type="pct"/>
                  <w:vMerge w:val="continue"/>
                  <w:tcBorders>
                    <w:tl2br w:val="nil"/>
                    <w:tr2bl w:val="nil"/>
                  </w:tcBorders>
                  <w:vAlign w:val="center"/>
                </w:tcPr>
                <w:p w14:paraId="7936CB44">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p>
              </w:tc>
              <w:tc>
                <w:tcPr>
                  <w:tcW w:w="796" w:type="pct"/>
                  <w:vMerge w:val="continue"/>
                  <w:tcBorders>
                    <w:tl2br w:val="nil"/>
                    <w:tr2bl w:val="nil"/>
                  </w:tcBorders>
                  <w:vAlign w:val="center"/>
                </w:tcPr>
                <w:p w14:paraId="7774B1DF">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p>
              </w:tc>
              <w:tc>
                <w:tcPr>
                  <w:tcW w:w="286" w:type="pct"/>
                  <w:vMerge w:val="continue"/>
                  <w:tcBorders>
                    <w:tl2br w:val="nil"/>
                    <w:tr2bl w:val="nil"/>
                  </w:tcBorders>
                  <w:vAlign w:val="center"/>
                </w:tcPr>
                <w:p w14:paraId="12625D82">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p>
              </w:tc>
            </w:tr>
            <w:tr w14:paraId="06FE4A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99" w:type="pct"/>
                  <w:tcBorders>
                    <w:tl2br w:val="nil"/>
                    <w:tr2bl w:val="nil"/>
                  </w:tcBorders>
                  <w:vAlign w:val="center"/>
                </w:tcPr>
                <w:p w14:paraId="396EE97D">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1</w:t>
                  </w:r>
                </w:p>
              </w:tc>
              <w:tc>
                <w:tcPr>
                  <w:tcW w:w="314" w:type="pct"/>
                  <w:tcBorders>
                    <w:tl2br w:val="nil"/>
                    <w:tr2bl w:val="nil"/>
                  </w:tcBorders>
                  <w:vAlign w:val="center"/>
                </w:tcPr>
                <w:p w14:paraId="2B1DB23A">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生活</w:t>
                  </w:r>
                  <w:r>
                    <w:rPr>
                      <w:rFonts w:hint="default" w:ascii="Times New Roman" w:hAnsi="Times New Roman" w:cs="Times New Roman"/>
                      <w:color w:val="auto"/>
                      <w:highlight w:val="none"/>
                      <w:u w:val="none" w:color="auto"/>
                      <w:lang w:val="en-US" w:eastAsia="zh-CN"/>
                    </w:rPr>
                    <w:t>污</w:t>
                  </w:r>
                  <w:r>
                    <w:rPr>
                      <w:rFonts w:hint="default" w:ascii="Times New Roman" w:hAnsi="Times New Roman" w:cs="Times New Roman"/>
                      <w:color w:val="auto"/>
                      <w:highlight w:val="none"/>
                      <w:u w:val="none" w:color="auto"/>
                    </w:rPr>
                    <w:t>水</w:t>
                  </w:r>
                </w:p>
              </w:tc>
              <w:tc>
                <w:tcPr>
                  <w:tcW w:w="737" w:type="pct"/>
                  <w:tcBorders>
                    <w:tl2br w:val="nil"/>
                    <w:tr2bl w:val="nil"/>
                  </w:tcBorders>
                  <w:vAlign w:val="center"/>
                </w:tcPr>
                <w:p w14:paraId="422C6EA9">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eastAsia="宋体" w:cs="Times New Roman"/>
                      <w:color w:val="auto"/>
                      <w:highlight w:val="none"/>
                      <w:u w:val="none" w:color="auto"/>
                      <w:lang w:eastAsia="zh-CN"/>
                    </w:rPr>
                  </w:pPr>
                  <w:r>
                    <w:rPr>
                      <w:rFonts w:hint="default" w:ascii="Times New Roman" w:hAnsi="Times New Roman" w:cs="Times New Roman"/>
                      <w:color w:val="auto"/>
                      <w:highlight w:val="none"/>
                      <w:u w:val="none" w:color="auto"/>
                    </w:rPr>
                    <w:t>pH、COD</w:t>
                  </w:r>
                  <w:r>
                    <w:rPr>
                      <w:rFonts w:hint="default"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rPr>
                    <w:t>BOD</w:t>
                  </w:r>
                  <w:r>
                    <w:rPr>
                      <w:rFonts w:hint="default" w:ascii="Times New Roman" w:hAnsi="Times New Roman" w:cs="Times New Roman"/>
                      <w:color w:val="auto"/>
                      <w:highlight w:val="none"/>
                      <w:u w:val="none" w:color="auto"/>
                      <w:vertAlign w:val="subscript"/>
                    </w:rPr>
                    <w:t>5</w:t>
                  </w:r>
                  <w:r>
                    <w:rPr>
                      <w:rFonts w:hint="default"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rPr>
                    <w:t>SS</w:t>
                  </w:r>
                  <w:r>
                    <w:rPr>
                      <w:rFonts w:hint="default" w:ascii="Times New Roman" w:hAnsi="Times New Roman" w:cs="Times New Roman"/>
                      <w:color w:val="auto"/>
                      <w:highlight w:val="none"/>
                      <w:u w:val="none" w:color="auto"/>
                      <w:lang w:eastAsia="zh-CN"/>
                    </w:rPr>
                    <w:t>、</w:t>
                  </w:r>
                </w:p>
                <w:p w14:paraId="486119C3">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both"/>
                    <w:textAlignment w:val="baseline"/>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NH</w:t>
                  </w:r>
                  <w:r>
                    <w:rPr>
                      <w:rFonts w:hint="default" w:ascii="Times New Roman" w:hAnsi="Times New Roman" w:cs="Times New Roman"/>
                      <w:color w:val="auto"/>
                      <w:highlight w:val="none"/>
                      <w:u w:val="none" w:color="auto"/>
                      <w:vertAlign w:val="subscript"/>
                    </w:rPr>
                    <w:t>3</w:t>
                  </w:r>
                  <w:r>
                    <w:rPr>
                      <w:rFonts w:hint="default" w:ascii="Times New Roman" w:hAnsi="Times New Roman" w:cs="Times New Roman"/>
                      <w:color w:val="auto"/>
                      <w:highlight w:val="none"/>
                      <w:u w:val="none" w:color="auto"/>
                    </w:rPr>
                    <w:t>-N</w:t>
                  </w:r>
                  <w:r>
                    <w:rPr>
                      <w:rFonts w:hint="default"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rPr>
                    <w:t>总磷</w:t>
                  </w:r>
                </w:p>
              </w:tc>
              <w:tc>
                <w:tcPr>
                  <w:tcW w:w="575" w:type="pct"/>
                  <w:tcBorders>
                    <w:tl2br w:val="nil"/>
                    <w:tr2bl w:val="nil"/>
                  </w:tcBorders>
                  <w:vAlign w:val="center"/>
                </w:tcPr>
                <w:p w14:paraId="7016AEDB">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eastAsia="宋体"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周边农肥</w:t>
                  </w:r>
                </w:p>
              </w:tc>
              <w:tc>
                <w:tcPr>
                  <w:tcW w:w="204" w:type="pct"/>
                  <w:tcBorders>
                    <w:tl2br w:val="nil"/>
                    <w:tr2bl w:val="nil"/>
                  </w:tcBorders>
                  <w:vAlign w:val="center"/>
                </w:tcPr>
                <w:p w14:paraId="74A703F4">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eastAsia="宋体" w:cs="Times New Roman"/>
                      <w:color w:val="auto"/>
                      <w:highlight w:val="none"/>
                      <w:u w:val="none" w:color="auto"/>
                      <w:lang w:eastAsia="zh-CN"/>
                    </w:rPr>
                  </w:pPr>
                  <w:r>
                    <w:rPr>
                      <w:rFonts w:hint="default" w:ascii="Times New Roman" w:hAnsi="Times New Roman" w:cs="Times New Roman"/>
                      <w:color w:val="auto"/>
                      <w:highlight w:val="none"/>
                      <w:u w:val="none" w:color="auto"/>
                      <w:lang w:val="en-US" w:eastAsia="zh-CN"/>
                    </w:rPr>
                    <w:t>/</w:t>
                  </w:r>
                </w:p>
              </w:tc>
              <w:tc>
                <w:tcPr>
                  <w:tcW w:w="498" w:type="pct"/>
                  <w:tcBorders>
                    <w:tl2br w:val="nil"/>
                    <w:tr2bl w:val="nil"/>
                  </w:tcBorders>
                  <w:vAlign w:val="center"/>
                </w:tcPr>
                <w:p w14:paraId="0731920D">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TW001</w:t>
                  </w:r>
                </w:p>
              </w:tc>
              <w:tc>
                <w:tcPr>
                  <w:tcW w:w="633" w:type="pct"/>
                  <w:tcBorders>
                    <w:tl2br w:val="nil"/>
                    <w:tr2bl w:val="nil"/>
                  </w:tcBorders>
                  <w:vAlign w:val="center"/>
                </w:tcPr>
                <w:p w14:paraId="1B630560">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lang w:val="en-US" w:eastAsia="zh-CN"/>
                    </w:rPr>
                    <w:t>三级</w:t>
                  </w:r>
                  <w:r>
                    <w:rPr>
                      <w:rFonts w:hint="default" w:ascii="Times New Roman" w:hAnsi="Times New Roman" w:cs="Times New Roman"/>
                      <w:color w:val="auto"/>
                      <w:highlight w:val="none"/>
                      <w:u w:val="none" w:color="auto"/>
                    </w:rPr>
                    <w:t>化粪池</w:t>
                  </w:r>
                </w:p>
              </w:tc>
              <w:tc>
                <w:tcPr>
                  <w:tcW w:w="468" w:type="pct"/>
                  <w:tcBorders>
                    <w:tl2br w:val="nil"/>
                    <w:tr2bl w:val="nil"/>
                  </w:tcBorders>
                  <w:vAlign w:val="center"/>
                </w:tcPr>
                <w:p w14:paraId="1865213D">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预处理</w:t>
                  </w:r>
                </w:p>
              </w:tc>
              <w:tc>
                <w:tcPr>
                  <w:tcW w:w="284" w:type="pct"/>
                  <w:tcBorders>
                    <w:tl2br w:val="nil"/>
                    <w:tr2bl w:val="nil"/>
                  </w:tcBorders>
                  <w:vAlign w:val="center"/>
                </w:tcPr>
                <w:p w14:paraId="5D77ED91">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lang w:val="en-US" w:eastAsia="zh-CN"/>
                    </w:rPr>
                    <w:t>/</w:t>
                  </w:r>
                </w:p>
              </w:tc>
              <w:tc>
                <w:tcPr>
                  <w:tcW w:w="796" w:type="pct"/>
                  <w:tcBorders>
                    <w:tl2br w:val="nil"/>
                    <w:tr2bl w:val="nil"/>
                  </w:tcBorders>
                  <w:vAlign w:val="center"/>
                </w:tcPr>
                <w:p w14:paraId="76464DAA">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lang w:val="en-US" w:eastAsia="zh-CN"/>
                    </w:rPr>
                    <w:t>/</w:t>
                  </w:r>
                </w:p>
              </w:tc>
              <w:tc>
                <w:tcPr>
                  <w:tcW w:w="286" w:type="pct"/>
                  <w:tcBorders>
                    <w:tl2br w:val="nil"/>
                    <w:tr2bl w:val="nil"/>
                  </w:tcBorders>
                  <w:vAlign w:val="center"/>
                </w:tcPr>
                <w:p w14:paraId="571F7990">
                  <w:pPr>
                    <w:pStyle w:val="63"/>
                    <w:keepNext w:val="0"/>
                    <w:keepLines w:val="0"/>
                    <w:pageBreakBefore w:val="0"/>
                    <w:widowControl/>
                    <w:tabs>
                      <w:tab w:val="left" w:pos="1021"/>
                    </w:tabs>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lang w:val="en-US" w:eastAsia="zh-CN"/>
                    </w:rPr>
                    <w:t>/</w:t>
                  </w:r>
                </w:p>
              </w:tc>
            </w:tr>
          </w:tbl>
          <w:p w14:paraId="7D897D04">
            <w:pPr>
              <w:numPr>
                <w:ilvl w:val="1"/>
                <w:numId w:val="0"/>
              </w:numPr>
              <w:adjustRightInd w:val="0"/>
              <w:snapToGrid w:val="0"/>
              <w:spacing w:line="360" w:lineRule="auto"/>
              <w:ind w:left="420" w:leftChars="0" w:firstLine="0" w:firstLineChars="0"/>
              <w:jc w:val="left"/>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2.2</w:t>
            </w:r>
            <w:r>
              <w:rPr>
                <w:rFonts w:hint="default" w:ascii="Times New Roman" w:hAnsi="Times New Roman" w:eastAsia="宋体" w:cs="Times New Roman"/>
                <w:b/>
                <w:bCs/>
                <w:color w:val="auto"/>
                <w:sz w:val="24"/>
                <w:szCs w:val="24"/>
                <w:highlight w:val="none"/>
                <w:lang w:val="en-US" w:eastAsia="zh-CN"/>
              </w:rPr>
              <w:t>、废水治理设施进行处理的可</w:t>
            </w:r>
            <w:r>
              <w:rPr>
                <w:rFonts w:hint="eastAsia" w:ascii="Times New Roman" w:hAnsi="Times New Roman" w:eastAsia="宋体" w:cs="Times New Roman"/>
                <w:b/>
                <w:bCs/>
                <w:color w:val="auto"/>
                <w:sz w:val="24"/>
                <w:szCs w:val="24"/>
                <w:highlight w:val="none"/>
                <w:lang w:val="en-US" w:eastAsia="zh-CN"/>
              </w:rPr>
              <w:t>行</w:t>
            </w:r>
            <w:r>
              <w:rPr>
                <w:rFonts w:hint="default" w:ascii="Times New Roman" w:hAnsi="Times New Roman" w:eastAsia="宋体" w:cs="Times New Roman"/>
                <w:b/>
                <w:bCs/>
                <w:color w:val="auto"/>
                <w:sz w:val="24"/>
                <w:szCs w:val="24"/>
                <w:highlight w:val="none"/>
                <w:lang w:val="en-US" w:eastAsia="zh-CN"/>
              </w:rPr>
              <w:t>性分析</w:t>
            </w:r>
          </w:p>
          <w:p w14:paraId="7F3A2CA8">
            <w:pPr>
              <w:pStyle w:val="54"/>
              <w:tabs>
                <w:tab w:val="left" w:pos="1021"/>
              </w:tabs>
              <w:bidi w:val="0"/>
              <w:spacing w:line="360" w:lineRule="auto"/>
              <w:rPr>
                <w:rFonts w:hint="eastAsia"/>
                <w:color w:val="auto"/>
                <w:highlight w:val="none"/>
                <w:u w:val="none" w:color="auto"/>
                <w:lang w:val="en-US" w:eastAsia="zh-CN"/>
              </w:rPr>
            </w:pPr>
            <w:r>
              <w:rPr>
                <w:rFonts w:hint="eastAsia"/>
                <w:color w:val="auto"/>
                <w:highlight w:val="none"/>
                <w:u w:val="none" w:color="auto"/>
                <w:lang w:val="en-US" w:eastAsia="zh-CN"/>
              </w:rPr>
              <w:t>三级化粪池是一种传统的污水处理设施，通过厌氧发酵原理，对污水中的有机物进行分解和稳定。技术成熟、操作简单，适用于各类规模的污水预处理。</w:t>
            </w:r>
          </w:p>
          <w:p w14:paraId="0F57B5E8">
            <w:pPr>
              <w:pStyle w:val="54"/>
              <w:tabs>
                <w:tab w:val="left" w:pos="1021"/>
              </w:tabs>
              <w:bidi w:val="0"/>
              <w:spacing w:line="360" w:lineRule="auto"/>
              <w:rPr>
                <w:rFonts w:hint="eastAsia" w:cs="Times New Roman"/>
                <w:color w:val="auto"/>
                <w:highlight w:val="none"/>
                <w:u w:val="none" w:color="auto"/>
                <w:lang w:val="en-US" w:eastAsia="zh-CN"/>
              </w:rPr>
            </w:pPr>
            <w:r>
              <w:rPr>
                <w:rFonts w:hint="eastAsia"/>
                <w:color w:val="auto"/>
                <w:highlight w:val="none"/>
                <w:u w:val="none" w:color="auto"/>
                <w:lang w:val="en-US" w:eastAsia="zh-CN"/>
              </w:rPr>
              <w:t>其成本相对较低，维护管理简便。同时，三级化粪池能够有效减少污水中的有机物含量，减轻后续处理</w:t>
            </w:r>
            <w:r>
              <w:rPr>
                <w:rFonts w:hint="eastAsia" w:cs="Times New Roman"/>
                <w:color w:val="auto"/>
                <w:highlight w:val="none"/>
                <w:u w:val="none" w:color="auto"/>
                <w:lang w:val="en-US" w:eastAsia="zh-CN"/>
              </w:rPr>
              <w:t>设施的压力，降低整体污水处理成本。三级化粪池能够减少污水中的病原体和臭味物质。</w:t>
            </w:r>
          </w:p>
          <w:p w14:paraId="2C267BD0">
            <w:pPr>
              <w:pStyle w:val="54"/>
              <w:keepNext w:val="0"/>
              <w:keepLines w:val="0"/>
              <w:pageBreakBefore w:val="0"/>
              <w:widowControl/>
              <w:tabs>
                <w:tab w:val="left" w:pos="1021"/>
              </w:tabs>
              <w:kinsoku/>
              <w:wordWrap w:val="0"/>
              <w:overflowPunct/>
              <w:topLinePunct/>
              <w:autoSpaceDE/>
              <w:autoSpaceDN/>
              <w:bidi w:val="0"/>
              <w:adjustRightInd/>
              <w:snapToGrid/>
              <w:spacing w:line="360" w:lineRule="auto"/>
              <w:rPr>
                <w:rFonts w:hint="eastAsia"/>
                <w:color w:val="auto"/>
                <w:highlight w:val="none"/>
                <w:u w:val="single" w:color="auto"/>
              </w:rPr>
            </w:pPr>
            <w:r>
              <w:rPr>
                <w:rFonts w:hint="default" w:ascii="Times New Roman" w:hAnsi="Times New Roman" w:cs="Times New Roman"/>
                <w:color w:val="auto"/>
                <w:highlight w:val="none"/>
                <w:u w:val="single" w:color="auto"/>
              </w:rPr>
              <w:t>根据《湖南省用水定额》(DB43/T388-2020)</w:t>
            </w:r>
            <w:r>
              <w:rPr>
                <w:rFonts w:hint="default" w:ascii="Times New Roman" w:hAnsi="Times New Roman" w:cs="Times New Roman"/>
                <w:color w:val="auto"/>
                <w:highlight w:val="none"/>
                <w:u w:val="single" w:color="auto"/>
                <w:lang w:val="en-US" w:eastAsia="zh-CN"/>
              </w:rPr>
              <w:t>可知</w:t>
            </w:r>
            <w:r>
              <w:rPr>
                <w:rFonts w:hint="default" w:ascii="Times New Roman" w:hAnsi="Times New Roman" w:cs="Times New Roman"/>
                <w:color w:val="auto"/>
                <w:highlight w:val="none"/>
                <w:u w:val="single" w:color="auto"/>
              </w:rPr>
              <w:t>，项目所在地属于洞庭湖及环湖区，灌溉分区为</w:t>
            </w:r>
            <w:r>
              <w:rPr>
                <w:rFonts w:hint="default" w:ascii="Times New Roman" w:hAnsi="Times New Roman" w:cs="Times New Roman"/>
                <w:color w:val="auto"/>
                <w:highlight w:val="none"/>
                <w:u w:val="single" w:color="auto"/>
                <w:lang w:val="en-US" w:eastAsia="zh-CN"/>
              </w:rPr>
              <w:t>Ⅲ</w:t>
            </w:r>
            <w:r>
              <w:rPr>
                <w:rFonts w:hint="default" w:ascii="Times New Roman" w:hAnsi="Times New Roman" w:cs="Times New Roman"/>
                <w:color w:val="auto"/>
                <w:highlight w:val="none"/>
                <w:u w:val="single" w:color="auto"/>
              </w:rPr>
              <w:t>区，项目周边田地主要种植水稻，早稻、中稻和晚稻的净灌溉用水基准定额为155~411m</w:t>
            </w:r>
            <w:r>
              <w:rPr>
                <w:rFonts w:hint="default" w:ascii="Times New Roman" w:hAnsi="Times New Roman" w:cs="Times New Roman"/>
                <w:color w:val="auto"/>
                <w:highlight w:val="none"/>
                <w:u w:val="single" w:color="auto"/>
                <w:vertAlign w:val="superscript"/>
              </w:rPr>
              <w:t>3</w:t>
            </w:r>
            <w:r>
              <w:rPr>
                <w:rFonts w:hint="default" w:ascii="Times New Roman" w:hAnsi="Times New Roman" w:cs="Times New Roman"/>
                <w:color w:val="auto"/>
                <w:highlight w:val="none"/>
                <w:u w:val="single" w:color="auto"/>
              </w:rPr>
              <w:t>/亩</w:t>
            </w:r>
            <w:r>
              <w:rPr>
                <w:rFonts w:hint="default" w:ascii="Times New Roman" w:hAnsi="Times New Roman" w:cs="Times New Roman"/>
                <w:color w:val="auto"/>
                <w:highlight w:val="none"/>
                <w:u w:val="single" w:color="auto"/>
                <w:lang w:val="en-US" w:eastAsia="zh-CN"/>
              </w:rPr>
              <w:t>·</w:t>
            </w:r>
            <w:r>
              <w:rPr>
                <w:rFonts w:hint="default" w:ascii="Times New Roman" w:hAnsi="Times New Roman" w:cs="Times New Roman"/>
                <w:color w:val="auto"/>
                <w:highlight w:val="none"/>
                <w:u w:val="single" w:color="auto"/>
              </w:rPr>
              <w:t>a</w:t>
            </w:r>
            <w:r>
              <w:rPr>
                <w:rFonts w:hint="default" w:ascii="Times New Roman" w:hAnsi="Times New Roman" w:cs="Times New Roman"/>
                <w:color w:val="auto"/>
                <w:highlight w:val="none"/>
                <w:u w:val="single" w:color="auto"/>
                <w:lang w:eastAsia="zh-CN"/>
              </w:rPr>
              <w:t>；</w:t>
            </w:r>
            <w:r>
              <w:rPr>
                <w:rFonts w:hint="default" w:ascii="Times New Roman" w:hAnsi="Times New Roman" w:cs="Times New Roman"/>
                <w:color w:val="auto"/>
                <w:highlight w:val="none"/>
                <w:u w:val="single" w:color="auto"/>
              </w:rPr>
              <w:t>本项目周边能用于消纳粪污水的农田至少有10亩，则项目周边农田所需施肥用水总量为1550~4110m</w:t>
            </w:r>
            <w:r>
              <w:rPr>
                <w:rFonts w:hint="default" w:ascii="Times New Roman" w:hAnsi="Times New Roman" w:cs="Times New Roman"/>
                <w:color w:val="auto"/>
                <w:highlight w:val="none"/>
                <w:u w:val="single" w:color="auto"/>
                <w:vertAlign w:val="superscript"/>
                <w:lang w:val="en-US" w:eastAsia="zh-CN"/>
              </w:rPr>
              <w:t>3</w:t>
            </w:r>
            <w:r>
              <w:rPr>
                <w:rFonts w:hint="default" w:ascii="Times New Roman" w:hAnsi="Times New Roman" w:cs="Times New Roman"/>
                <w:color w:val="auto"/>
                <w:highlight w:val="none"/>
                <w:u w:val="single" w:color="auto"/>
              </w:rPr>
              <w:t>/a。本项目营运期员工生活污水产生量为</w:t>
            </w:r>
            <w:r>
              <w:rPr>
                <w:rFonts w:hint="eastAsia" w:ascii="Times New Roman" w:hAnsi="Times New Roman" w:cs="Times New Roman"/>
                <w:color w:val="auto"/>
                <w:highlight w:val="none"/>
                <w:u w:val="single" w:color="auto"/>
                <w:lang w:val="en-US" w:eastAsia="zh-CN"/>
              </w:rPr>
              <w:t>1</w:t>
            </w:r>
            <w:r>
              <w:rPr>
                <w:rFonts w:hint="eastAsia" w:ascii="Times New Roman" w:cs="Times New Roman"/>
                <w:color w:val="auto"/>
                <w:highlight w:val="none"/>
                <w:u w:val="single" w:color="auto"/>
                <w:lang w:val="en-US" w:eastAsia="zh-CN"/>
              </w:rPr>
              <w:t>52</w:t>
            </w:r>
            <w:r>
              <w:rPr>
                <w:rFonts w:hint="default" w:ascii="Times New Roman" w:hAnsi="Times New Roman" w:cs="Times New Roman"/>
                <w:color w:val="auto"/>
                <w:highlight w:val="none"/>
                <w:u w:val="single" w:color="auto"/>
              </w:rPr>
              <w:t>m</w:t>
            </w:r>
            <w:r>
              <w:rPr>
                <w:rFonts w:hint="default" w:ascii="Times New Roman" w:hAnsi="Times New Roman" w:cs="Times New Roman"/>
                <w:color w:val="auto"/>
                <w:highlight w:val="none"/>
                <w:u w:val="single" w:color="auto"/>
                <w:vertAlign w:val="superscript"/>
              </w:rPr>
              <w:t>3</w:t>
            </w:r>
            <w:r>
              <w:rPr>
                <w:rFonts w:hint="default" w:ascii="Times New Roman" w:hAnsi="Times New Roman" w:cs="Times New Roman"/>
                <w:color w:val="auto"/>
                <w:highlight w:val="none"/>
                <w:u w:val="single" w:color="auto"/>
              </w:rPr>
              <w:t>/a。由此表明，从水量上，项目附近的农田完全可以消纳本项目产生的生活污水</w:t>
            </w:r>
            <w:r>
              <w:rPr>
                <w:rFonts w:hint="default" w:ascii="Times New Roman" w:hAnsi="Times New Roman" w:cs="Times New Roman"/>
                <w:color w:val="auto"/>
                <w:highlight w:val="none"/>
                <w:u w:val="single" w:color="auto"/>
                <w:lang w:eastAsia="zh-CN"/>
              </w:rPr>
              <w:t>；</w:t>
            </w:r>
            <w:r>
              <w:rPr>
                <w:rFonts w:hint="default" w:ascii="Times New Roman" w:hAnsi="Times New Roman" w:cs="Times New Roman"/>
                <w:color w:val="auto"/>
                <w:highlight w:val="none"/>
                <w:u w:val="single" w:color="auto"/>
              </w:rPr>
              <w:t>本项目粪污农用主要采用人工挑运的方式，从运输方式上可行。</w:t>
            </w:r>
          </w:p>
          <w:p w14:paraId="6DD68709">
            <w:pPr>
              <w:pStyle w:val="54"/>
              <w:keepNext w:val="0"/>
              <w:keepLines w:val="0"/>
              <w:pageBreakBefore w:val="0"/>
              <w:widowControl/>
              <w:tabs>
                <w:tab w:val="left" w:pos="1021"/>
              </w:tabs>
              <w:kinsoku/>
              <w:wordWrap w:val="0"/>
              <w:overflowPunct/>
              <w:topLinePunct/>
              <w:autoSpaceDE/>
              <w:autoSpaceDN/>
              <w:bidi w:val="0"/>
              <w:adjustRightInd/>
              <w:snapToGrid/>
              <w:spacing w:line="360" w:lineRule="auto"/>
              <w:rPr>
                <w:rFonts w:hint="eastAsia"/>
                <w:color w:val="auto"/>
                <w:highlight w:val="none"/>
                <w:u w:val="none" w:color="auto"/>
              </w:rPr>
            </w:pPr>
            <w:r>
              <w:rPr>
                <w:rFonts w:hint="eastAsia"/>
                <w:color w:val="auto"/>
                <w:highlight w:val="none"/>
                <w:u w:val="none" w:color="auto"/>
              </w:rPr>
              <w:t>同时，生活污水污染因子单一，可生化降解能力强，根据中国农村现状情况</w:t>
            </w:r>
            <w:r>
              <w:rPr>
                <w:rFonts w:hint="eastAsia"/>
                <w:color w:val="auto"/>
                <w:highlight w:val="none"/>
                <w:u w:val="none" w:color="auto"/>
                <w:lang w:eastAsia="zh-CN"/>
              </w:rPr>
              <w:t>，以</w:t>
            </w:r>
            <w:r>
              <w:rPr>
                <w:rFonts w:hint="eastAsia"/>
                <w:color w:val="auto"/>
                <w:highlight w:val="none"/>
                <w:u w:val="none" w:color="auto"/>
              </w:rPr>
              <w:t>及各地农村实际耕作经验，人畜的粪便经化粪池初步处理后是较好的生态有机肥，可以单独使用，也可以配合化肥使用。</w:t>
            </w:r>
          </w:p>
          <w:p w14:paraId="01E4D2DE">
            <w:pPr>
              <w:pStyle w:val="54"/>
              <w:keepNext w:val="0"/>
              <w:keepLines w:val="0"/>
              <w:pageBreakBefore w:val="0"/>
              <w:widowControl/>
              <w:tabs>
                <w:tab w:val="left" w:pos="1021"/>
              </w:tabs>
              <w:kinsoku/>
              <w:wordWrap w:val="0"/>
              <w:overflowPunct/>
              <w:topLinePunct/>
              <w:autoSpaceDE/>
              <w:autoSpaceDN/>
              <w:bidi w:val="0"/>
              <w:adjustRightInd/>
              <w:snapToGrid/>
              <w:spacing w:line="360" w:lineRule="auto"/>
              <w:rPr>
                <w:color w:val="auto"/>
                <w:highlight w:val="none"/>
                <w:u w:val="none" w:color="auto"/>
              </w:rPr>
            </w:pPr>
            <w:r>
              <w:rPr>
                <w:rFonts w:hint="eastAsia"/>
                <w:color w:val="auto"/>
                <w:highlight w:val="none"/>
                <w:u w:val="none" w:color="auto"/>
              </w:rPr>
              <w:t>综上所述，本项目的生活污水从水量、运输方式、水质上看，用作农肥是可行的。</w:t>
            </w:r>
          </w:p>
          <w:p w14:paraId="1D6A819C">
            <w:pPr>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3、运营期噪声</w:t>
            </w:r>
            <w:r>
              <w:rPr>
                <w:rFonts w:hint="default" w:ascii="Times New Roman" w:hAnsi="Times New Roman" w:cs="Times New Roman"/>
                <w:b/>
                <w:color w:val="auto"/>
                <w:sz w:val="24"/>
                <w:highlight w:val="none"/>
              </w:rPr>
              <w:t>污染</w:t>
            </w:r>
            <w:r>
              <w:rPr>
                <w:rFonts w:hint="default" w:ascii="Times New Roman" w:hAnsi="Times New Roman" w:cs="Times New Roman"/>
                <w:b/>
                <w:bCs/>
                <w:color w:val="auto"/>
                <w:sz w:val="24"/>
                <w:highlight w:val="none"/>
              </w:rPr>
              <w:t>及保护措施</w:t>
            </w:r>
          </w:p>
          <w:p w14:paraId="1C79EADC">
            <w:pPr>
              <w:spacing w:line="360" w:lineRule="auto"/>
              <w:ind w:firstLine="482" w:firstLineChars="200"/>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3.1、噪声环境保护措施</w:t>
            </w:r>
          </w:p>
          <w:p w14:paraId="529A48FE">
            <w:pPr>
              <w:spacing w:line="360" w:lineRule="auto"/>
              <w:ind w:firstLine="480" w:firstLineChars="2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u w:val="single"/>
              </w:rPr>
              <w:t>项目运营期产生的噪声主要有生产车间设备运行噪声，设备噪声级在</w:t>
            </w:r>
            <w:r>
              <w:rPr>
                <w:rFonts w:hint="eastAsia" w:cs="Times New Roman"/>
                <w:color w:val="auto"/>
                <w:sz w:val="24"/>
                <w:highlight w:val="none"/>
                <w:u w:val="single"/>
                <w:lang w:val="en-US" w:eastAsia="zh-CN"/>
              </w:rPr>
              <w:t>70</w:t>
            </w:r>
            <w:r>
              <w:rPr>
                <w:rFonts w:hint="default" w:ascii="Times New Roman" w:hAnsi="Times New Roman" w:cs="Times New Roman"/>
                <w:color w:val="auto"/>
                <w:sz w:val="24"/>
                <w:highlight w:val="none"/>
                <w:u w:val="single"/>
              </w:rPr>
              <w:t>～</w:t>
            </w:r>
            <w:r>
              <w:rPr>
                <w:rFonts w:hint="eastAsia" w:cs="Times New Roman"/>
                <w:color w:val="auto"/>
                <w:sz w:val="24"/>
                <w:highlight w:val="none"/>
                <w:u w:val="single"/>
                <w:lang w:val="en-US" w:eastAsia="zh-CN"/>
              </w:rPr>
              <w:t>90</w:t>
            </w:r>
            <w:r>
              <w:rPr>
                <w:rFonts w:hint="default" w:ascii="Times New Roman" w:hAnsi="Times New Roman" w:cs="Times New Roman"/>
                <w:color w:val="auto"/>
                <w:sz w:val="24"/>
                <w:highlight w:val="none"/>
                <w:u w:val="single"/>
              </w:rPr>
              <w:t>dB(A)。为确保项目生产过程中厂界噪声达标排放，并进一步减轻噪声对周边环境的影响，环评根据现场踏勘建议建设单位采取以下措施：</w:t>
            </w:r>
          </w:p>
          <w:p w14:paraId="260062C3">
            <w:pPr>
              <w:spacing w:line="360" w:lineRule="auto"/>
              <w:ind w:firstLine="480" w:firstLineChars="2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u w:val="single"/>
              </w:rPr>
              <w:t>①在声源处降低噪声：在满足工艺设计的前提下，尽量选用满足国际标准的低噪声、低振动型号的设备，降低噪声源强。</w:t>
            </w:r>
          </w:p>
          <w:p w14:paraId="17852298">
            <w:pPr>
              <w:spacing w:line="360" w:lineRule="auto"/>
              <w:ind w:firstLine="480" w:firstLineChars="2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u w:val="single"/>
              </w:rPr>
              <w:t>②采取各类减振降噪措施：为防止振动产生的噪声污染，对噪声相对较大的机械设备加设减振垫，以</w:t>
            </w:r>
            <w:r>
              <w:rPr>
                <w:rFonts w:hint="eastAsia" w:cs="Times New Roman"/>
                <w:color w:val="auto"/>
                <w:sz w:val="24"/>
                <w:highlight w:val="none"/>
                <w:u w:val="single"/>
                <w:lang w:eastAsia="zh-CN"/>
              </w:rPr>
              <w:t>防止</w:t>
            </w:r>
            <w:r>
              <w:rPr>
                <w:rFonts w:hint="default" w:ascii="Times New Roman" w:hAnsi="Times New Roman" w:cs="Times New Roman"/>
                <w:color w:val="auto"/>
                <w:sz w:val="24"/>
                <w:highlight w:val="none"/>
                <w:u w:val="single"/>
              </w:rPr>
              <w:t>振动产生噪音。</w:t>
            </w:r>
          </w:p>
          <w:p w14:paraId="1463E360">
            <w:pPr>
              <w:spacing w:line="360" w:lineRule="auto"/>
              <w:ind w:firstLine="480" w:firstLineChars="200"/>
              <w:rPr>
                <w:rFonts w:hint="default" w:ascii="Times New Roman" w:hAnsi="Times New Roman" w:cs="Times New Roman"/>
                <w:color w:val="auto"/>
                <w:sz w:val="24"/>
                <w:highlight w:val="none"/>
                <w:u w:val="none"/>
                <w:lang w:val="en-US" w:eastAsia="zh-CN"/>
              </w:rPr>
            </w:pPr>
            <w:r>
              <w:rPr>
                <w:rFonts w:hint="default" w:ascii="Times New Roman" w:hAnsi="Times New Roman" w:cs="Times New Roman"/>
                <w:color w:val="auto"/>
                <w:sz w:val="24"/>
                <w:highlight w:val="none"/>
                <w:u w:val="single"/>
              </w:rPr>
              <w:t>③加强职工环保意识教育，提倡文明生产，防止人为噪声；建立设备定期维护，保养的管理制度，以防止设备故障形成的非正常生产噪声，同时确保环保措施发挥最佳有效的功能；</w:t>
            </w:r>
          </w:p>
          <w:p w14:paraId="74B803BB">
            <w:pPr>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本项目主要噪声产生、治理情况、排放情况及与环境保护目标达标情况见下表：</w:t>
            </w:r>
          </w:p>
          <w:p w14:paraId="5843EB3D">
            <w:pPr>
              <w:pStyle w:val="63"/>
              <w:keepNext w:val="0"/>
              <w:keepLines w:val="0"/>
              <w:pageBreakBefore w:val="0"/>
              <w:widowControl/>
              <w:tabs>
                <w:tab w:val="left" w:pos="1021"/>
              </w:tabs>
              <w:kinsoku/>
              <w:wordWrap w:val="0"/>
              <w:overflowPunct/>
              <w:topLinePunct/>
              <w:autoSpaceDE/>
              <w:autoSpaceDN/>
              <w:bidi w:val="0"/>
              <w:adjustRightInd/>
              <w:snapToGrid/>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表4-</w:t>
            </w:r>
            <w:r>
              <w:rPr>
                <w:rFonts w:hint="default" w:ascii="Times New Roman" w:hAnsi="Times New Roman" w:cs="Times New Roman"/>
                <w:b/>
                <w:bCs/>
                <w:color w:val="auto"/>
                <w:highlight w:val="none"/>
                <w:u w:val="none" w:color="auto"/>
                <w:lang w:val="en-US" w:eastAsia="zh-CN"/>
              </w:rPr>
              <w:t>1</w:t>
            </w:r>
            <w:r>
              <w:rPr>
                <w:rFonts w:hint="eastAsia" w:ascii="Times New Roman" w:hAnsi="Times New Roman" w:cs="Times New Roman"/>
                <w:b/>
                <w:bCs/>
                <w:color w:val="auto"/>
                <w:highlight w:val="none"/>
                <w:u w:val="none" w:color="auto"/>
                <w:lang w:val="en-US" w:eastAsia="zh-CN"/>
              </w:rPr>
              <w:t>1</w:t>
            </w:r>
            <w:r>
              <w:rPr>
                <w:rFonts w:hint="default" w:ascii="Times New Roman" w:hAnsi="Times New Roman" w:cs="Times New Roman"/>
                <w:b/>
                <w:bCs/>
                <w:color w:val="auto"/>
                <w:highlight w:val="none"/>
                <w:u w:val="none" w:color="auto"/>
                <w:lang w:val="en-US" w:eastAsia="zh-CN"/>
              </w:rPr>
              <w:t xml:space="preserve">   </w:t>
            </w:r>
            <w:r>
              <w:rPr>
                <w:rFonts w:hint="default" w:ascii="Times New Roman" w:hAnsi="Times New Roman" w:cs="Times New Roman"/>
                <w:b/>
                <w:bCs/>
                <w:color w:val="auto"/>
                <w:highlight w:val="none"/>
                <w:u w:val="none" w:color="auto"/>
              </w:rPr>
              <w:t>工程设备噪声源强一览表</w:t>
            </w:r>
          </w:p>
          <w:tbl>
            <w:tblPr>
              <w:tblStyle w:val="33"/>
              <w:tblW w:w="7918"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427"/>
              <w:gridCol w:w="427"/>
              <w:gridCol w:w="683"/>
              <w:gridCol w:w="420"/>
              <w:gridCol w:w="638"/>
              <w:gridCol w:w="428"/>
              <w:gridCol w:w="499"/>
              <w:gridCol w:w="432"/>
              <w:gridCol w:w="428"/>
              <w:gridCol w:w="429"/>
              <w:gridCol w:w="765"/>
              <w:gridCol w:w="485"/>
              <w:gridCol w:w="645"/>
              <w:gridCol w:w="765"/>
              <w:gridCol w:w="447"/>
            </w:tblGrid>
            <w:tr w14:paraId="6FFC1AA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270" w:type="pct"/>
                  <w:vMerge w:val="restart"/>
                  <w:noWrap w:val="0"/>
                  <w:vAlign w:val="center"/>
                </w:tcPr>
                <w:p w14:paraId="57B21D7F">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序</w:t>
                  </w:r>
                </w:p>
                <w:p w14:paraId="219EBE2E">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号</w:t>
                  </w:r>
                </w:p>
              </w:tc>
              <w:tc>
                <w:tcPr>
                  <w:tcW w:w="270" w:type="pct"/>
                  <w:vMerge w:val="restart"/>
                  <w:noWrap w:val="0"/>
                  <w:vAlign w:val="center"/>
                </w:tcPr>
                <w:p w14:paraId="1B0E164F">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建筑物</w:t>
                  </w:r>
                </w:p>
                <w:p w14:paraId="0D497F65">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名称</w:t>
                  </w:r>
                </w:p>
              </w:tc>
              <w:tc>
                <w:tcPr>
                  <w:tcW w:w="432" w:type="pct"/>
                  <w:vMerge w:val="restart"/>
                  <w:noWrap w:val="0"/>
                  <w:vAlign w:val="center"/>
                </w:tcPr>
                <w:p w14:paraId="099FCA83">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声源名</w:t>
                  </w:r>
                </w:p>
                <w:p w14:paraId="08650C6A">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称</w:t>
                  </w:r>
                </w:p>
              </w:tc>
              <w:tc>
                <w:tcPr>
                  <w:tcW w:w="265" w:type="pct"/>
                  <w:vMerge w:val="restart"/>
                  <w:noWrap w:val="0"/>
                  <w:vAlign w:val="center"/>
                </w:tcPr>
                <w:p w14:paraId="71298442">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声功率级</w:t>
                  </w:r>
                </w:p>
                <w:p w14:paraId="0ED40342">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/dB(A)</w:t>
                  </w:r>
                </w:p>
              </w:tc>
              <w:tc>
                <w:tcPr>
                  <w:tcW w:w="403" w:type="pct"/>
                  <w:vMerge w:val="restart"/>
                  <w:noWrap w:val="0"/>
                  <w:vAlign w:val="center"/>
                </w:tcPr>
                <w:p w14:paraId="4B3D6777">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声源控</w:t>
                  </w:r>
                </w:p>
                <w:p w14:paraId="393F437D">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bCs/>
                      <w:color w:val="auto"/>
                      <w:kern w:val="0"/>
                      <w:sz w:val="21"/>
                      <w:szCs w:val="21"/>
                      <w:highlight w:val="none"/>
                      <w:u w:val="none" w:color="auto"/>
                      <w:lang w:bidi="ar"/>
                    </w:rPr>
                    <w:t>制措施</w:t>
                  </w:r>
                </w:p>
              </w:tc>
              <w:tc>
                <w:tcPr>
                  <w:tcW w:w="858" w:type="pct"/>
                  <w:gridSpan w:val="3"/>
                  <w:noWrap w:val="0"/>
                  <w:vAlign w:val="center"/>
                </w:tcPr>
                <w:p w14:paraId="1ECA47CF">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空间相对位置/m</w:t>
                  </w:r>
                </w:p>
              </w:tc>
              <w:tc>
                <w:tcPr>
                  <w:tcW w:w="541" w:type="pct"/>
                  <w:gridSpan w:val="2"/>
                  <w:vMerge w:val="restart"/>
                  <w:noWrap w:val="0"/>
                  <w:vAlign w:val="center"/>
                </w:tcPr>
                <w:p w14:paraId="60937E0F">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距室内边</w:t>
                  </w:r>
                </w:p>
                <w:p w14:paraId="4A8A75A8">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界距离/m</w:t>
                  </w:r>
                </w:p>
              </w:tc>
              <w:tc>
                <w:tcPr>
                  <w:tcW w:w="483" w:type="pct"/>
                  <w:vMerge w:val="restart"/>
                  <w:noWrap w:val="0"/>
                  <w:vAlign w:val="center"/>
                </w:tcPr>
                <w:p w14:paraId="13E9877D">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室内边界</w:t>
                  </w:r>
                </w:p>
                <w:p w14:paraId="3F9E4AE2">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声级</w:t>
                  </w:r>
                </w:p>
                <w:p w14:paraId="43925076">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/dB(A)</w:t>
                  </w:r>
                </w:p>
              </w:tc>
              <w:tc>
                <w:tcPr>
                  <w:tcW w:w="306" w:type="pct"/>
                  <w:vMerge w:val="restart"/>
                  <w:noWrap w:val="0"/>
                  <w:vAlign w:val="center"/>
                </w:tcPr>
                <w:p w14:paraId="75CE80A5">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运行时</w:t>
                  </w:r>
                </w:p>
                <w:p w14:paraId="21E81C46">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段</w:t>
                  </w:r>
                </w:p>
              </w:tc>
              <w:tc>
                <w:tcPr>
                  <w:tcW w:w="407" w:type="pct"/>
                  <w:vMerge w:val="restart"/>
                  <w:noWrap w:val="0"/>
                  <w:vAlign w:val="center"/>
                </w:tcPr>
                <w:p w14:paraId="4E6DDA31">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建筑物插入损</w:t>
                  </w:r>
                </w:p>
                <w:p w14:paraId="089727D0">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失/</w:t>
                  </w:r>
                </w:p>
                <w:p w14:paraId="1A3EAA35">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dB(A)</w:t>
                  </w:r>
                </w:p>
              </w:tc>
              <w:tc>
                <w:tcPr>
                  <w:tcW w:w="759" w:type="pct"/>
                  <w:gridSpan w:val="2"/>
                  <w:noWrap w:val="0"/>
                  <w:vAlign w:val="center"/>
                </w:tcPr>
                <w:p w14:paraId="2A8995A5">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建筑物外噪声</w:t>
                  </w:r>
                </w:p>
              </w:tc>
            </w:tr>
            <w:tr w14:paraId="34818BA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270" w:type="pct"/>
                  <w:vMerge w:val="continue"/>
                  <w:noWrap w:val="0"/>
                  <w:vAlign w:val="center"/>
                </w:tcPr>
                <w:p w14:paraId="042A3FD8">
                  <w:pPr>
                    <w:keepNext w:val="0"/>
                    <w:keepLines w:val="0"/>
                    <w:pageBreakBefore w:val="0"/>
                    <w:widowControl/>
                    <w:kinsoku/>
                    <w:wordWrap w:val="0"/>
                    <w:overflowPunct/>
                    <w:topLinePunct/>
                    <w:autoSpaceDE/>
                    <w:autoSpaceDN/>
                    <w:bidi w:val="0"/>
                    <w:adjustRightInd/>
                    <w:snapToGrid/>
                    <w:spacing w:after="0" w:line="240" w:lineRule="auto"/>
                    <w:ind w:firstLine="42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70" w:type="pct"/>
                  <w:vMerge w:val="continue"/>
                  <w:noWrap w:val="0"/>
                  <w:vAlign w:val="center"/>
                </w:tcPr>
                <w:p w14:paraId="138BCB98">
                  <w:pPr>
                    <w:keepNext w:val="0"/>
                    <w:keepLines w:val="0"/>
                    <w:pageBreakBefore w:val="0"/>
                    <w:widowControl/>
                    <w:kinsoku/>
                    <w:wordWrap w:val="0"/>
                    <w:overflowPunct/>
                    <w:topLinePunct/>
                    <w:autoSpaceDE/>
                    <w:autoSpaceDN/>
                    <w:bidi w:val="0"/>
                    <w:adjustRightInd/>
                    <w:snapToGrid/>
                    <w:spacing w:after="0" w:line="240" w:lineRule="auto"/>
                    <w:ind w:firstLine="42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32" w:type="pct"/>
                  <w:vMerge w:val="continue"/>
                  <w:noWrap w:val="0"/>
                  <w:vAlign w:val="center"/>
                </w:tcPr>
                <w:p w14:paraId="75B15C1D">
                  <w:pPr>
                    <w:keepNext w:val="0"/>
                    <w:keepLines w:val="0"/>
                    <w:pageBreakBefore w:val="0"/>
                    <w:widowControl/>
                    <w:kinsoku/>
                    <w:wordWrap w:val="0"/>
                    <w:overflowPunct/>
                    <w:topLinePunct/>
                    <w:autoSpaceDE/>
                    <w:autoSpaceDN/>
                    <w:bidi w:val="0"/>
                    <w:adjustRightInd/>
                    <w:snapToGrid/>
                    <w:spacing w:after="0" w:line="240" w:lineRule="auto"/>
                    <w:ind w:firstLine="42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65" w:type="pct"/>
                  <w:vMerge w:val="continue"/>
                  <w:noWrap w:val="0"/>
                  <w:vAlign w:val="center"/>
                </w:tcPr>
                <w:p w14:paraId="411E5A3C">
                  <w:pPr>
                    <w:keepNext w:val="0"/>
                    <w:keepLines w:val="0"/>
                    <w:pageBreakBefore w:val="0"/>
                    <w:widowControl/>
                    <w:kinsoku/>
                    <w:wordWrap w:val="0"/>
                    <w:overflowPunct/>
                    <w:topLinePunct/>
                    <w:autoSpaceDE/>
                    <w:autoSpaceDN/>
                    <w:bidi w:val="0"/>
                    <w:adjustRightInd/>
                    <w:snapToGrid/>
                    <w:spacing w:after="0" w:line="240" w:lineRule="auto"/>
                    <w:ind w:firstLine="42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03" w:type="pct"/>
                  <w:vMerge w:val="continue"/>
                  <w:noWrap w:val="0"/>
                  <w:vAlign w:val="center"/>
                </w:tcPr>
                <w:p w14:paraId="6D29195D">
                  <w:pPr>
                    <w:keepNext w:val="0"/>
                    <w:keepLines w:val="0"/>
                    <w:pageBreakBefore w:val="0"/>
                    <w:widowControl/>
                    <w:kinsoku/>
                    <w:wordWrap w:val="0"/>
                    <w:overflowPunct/>
                    <w:topLinePunct/>
                    <w:autoSpaceDE/>
                    <w:autoSpaceDN/>
                    <w:bidi w:val="0"/>
                    <w:adjustRightInd/>
                    <w:snapToGrid/>
                    <w:spacing w:after="0" w:line="240" w:lineRule="auto"/>
                    <w:ind w:firstLine="42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70" w:type="pct"/>
                  <w:noWrap w:val="0"/>
                  <w:vAlign w:val="center"/>
                </w:tcPr>
                <w:p w14:paraId="3D28B5FF">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bCs/>
                      <w:color w:val="auto"/>
                      <w:kern w:val="2"/>
                      <w:sz w:val="21"/>
                      <w:szCs w:val="21"/>
                      <w:highlight w:val="none"/>
                      <w:u w:val="none" w:color="auto"/>
                      <w:lang w:val="en-US" w:eastAsia="zh-CN" w:bidi="ar-SA"/>
                    </w:rPr>
                    <w:t>X</w:t>
                  </w:r>
                </w:p>
              </w:tc>
              <w:tc>
                <w:tcPr>
                  <w:tcW w:w="315" w:type="pct"/>
                  <w:noWrap w:val="0"/>
                  <w:vAlign w:val="center"/>
                </w:tcPr>
                <w:p w14:paraId="67B1AF8D">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bCs/>
                      <w:color w:val="auto"/>
                      <w:kern w:val="2"/>
                      <w:sz w:val="21"/>
                      <w:szCs w:val="21"/>
                      <w:highlight w:val="none"/>
                      <w:u w:val="none" w:color="auto"/>
                      <w:lang w:val="en-US" w:eastAsia="zh-CN" w:bidi="ar-SA"/>
                    </w:rPr>
                    <w:t>Y</w:t>
                  </w:r>
                </w:p>
              </w:tc>
              <w:tc>
                <w:tcPr>
                  <w:tcW w:w="272" w:type="pct"/>
                  <w:noWrap w:val="0"/>
                  <w:vAlign w:val="center"/>
                </w:tcPr>
                <w:p w14:paraId="3EE3A7AE">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bCs/>
                      <w:color w:val="auto"/>
                      <w:kern w:val="2"/>
                      <w:sz w:val="21"/>
                      <w:szCs w:val="21"/>
                      <w:highlight w:val="none"/>
                      <w:u w:val="none" w:color="auto"/>
                      <w:lang w:val="en-US" w:eastAsia="zh-CN" w:bidi="ar-SA"/>
                    </w:rPr>
                    <w:t>Z</w:t>
                  </w:r>
                </w:p>
              </w:tc>
              <w:tc>
                <w:tcPr>
                  <w:tcW w:w="541" w:type="pct"/>
                  <w:gridSpan w:val="2"/>
                  <w:vMerge w:val="continue"/>
                  <w:noWrap w:val="0"/>
                  <w:vAlign w:val="center"/>
                </w:tcPr>
                <w:p w14:paraId="473C475E">
                  <w:pPr>
                    <w:keepNext w:val="0"/>
                    <w:keepLines w:val="0"/>
                    <w:pageBreakBefore w:val="0"/>
                    <w:widowControl/>
                    <w:kinsoku/>
                    <w:wordWrap w:val="0"/>
                    <w:overflowPunct/>
                    <w:topLinePunct/>
                    <w:autoSpaceDE/>
                    <w:autoSpaceDN/>
                    <w:bidi w:val="0"/>
                    <w:adjustRightInd/>
                    <w:snapToGrid/>
                    <w:spacing w:after="0" w:line="240" w:lineRule="auto"/>
                    <w:ind w:firstLine="42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83" w:type="pct"/>
                  <w:vMerge w:val="continue"/>
                  <w:noWrap w:val="0"/>
                  <w:vAlign w:val="center"/>
                </w:tcPr>
                <w:p w14:paraId="39D69EC2">
                  <w:pPr>
                    <w:keepNext w:val="0"/>
                    <w:keepLines w:val="0"/>
                    <w:pageBreakBefore w:val="0"/>
                    <w:widowControl/>
                    <w:kinsoku/>
                    <w:wordWrap w:val="0"/>
                    <w:overflowPunct/>
                    <w:topLinePunct/>
                    <w:autoSpaceDE/>
                    <w:autoSpaceDN/>
                    <w:bidi w:val="0"/>
                    <w:adjustRightInd/>
                    <w:snapToGrid/>
                    <w:spacing w:after="0" w:line="240" w:lineRule="auto"/>
                    <w:ind w:firstLine="42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306" w:type="pct"/>
                  <w:vMerge w:val="continue"/>
                  <w:noWrap w:val="0"/>
                  <w:vAlign w:val="center"/>
                </w:tcPr>
                <w:p w14:paraId="0D2849CF">
                  <w:pPr>
                    <w:keepNext w:val="0"/>
                    <w:keepLines w:val="0"/>
                    <w:pageBreakBefore w:val="0"/>
                    <w:widowControl/>
                    <w:kinsoku/>
                    <w:wordWrap w:val="0"/>
                    <w:overflowPunct/>
                    <w:topLinePunct/>
                    <w:autoSpaceDE/>
                    <w:autoSpaceDN/>
                    <w:bidi w:val="0"/>
                    <w:adjustRightInd/>
                    <w:snapToGrid/>
                    <w:spacing w:after="0" w:line="240" w:lineRule="auto"/>
                    <w:ind w:firstLine="42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07" w:type="pct"/>
                  <w:vMerge w:val="continue"/>
                  <w:noWrap w:val="0"/>
                  <w:vAlign w:val="center"/>
                </w:tcPr>
                <w:p w14:paraId="545D6402">
                  <w:pPr>
                    <w:keepNext w:val="0"/>
                    <w:keepLines w:val="0"/>
                    <w:pageBreakBefore w:val="0"/>
                    <w:widowControl/>
                    <w:kinsoku/>
                    <w:wordWrap w:val="0"/>
                    <w:overflowPunct/>
                    <w:topLinePunct/>
                    <w:autoSpaceDE/>
                    <w:autoSpaceDN/>
                    <w:bidi w:val="0"/>
                    <w:adjustRightInd/>
                    <w:snapToGrid/>
                    <w:spacing w:after="0" w:line="240" w:lineRule="auto"/>
                    <w:ind w:firstLine="42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83" w:type="pct"/>
                  <w:noWrap w:val="0"/>
                  <w:vAlign w:val="center"/>
                </w:tcPr>
                <w:p w14:paraId="74369DD6">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声压级</w:t>
                  </w:r>
                </w:p>
                <w:p w14:paraId="0841E5A3">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/dB(A)</w:t>
                  </w:r>
                </w:p>
              </w:tc>
              <w:tc>
                <w:tcPr>
                  <w:tcW w:w="276" w:type="pct"/>
                  <w:noWrap w:val="0"/>
                  <w:vAlign w:val="center"/>
                </w:tcPr>
                <w:p w14:paraId="2DEDFEF3">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建筑物</w:t>
                  </w:r>
                </w:p>
                <w:p w14:paraId="7A53C23C">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kern w:val="0"/>
                      <w:sz w:val="21"/>
                      <w:szCs w:val="21"/>
                      <w:highlight w:val="none"/>
                      <w:u w:val="none" w:color="auto"/>
                      <w:lang w:bidi="ar"/>
                    </w:rPr>
                    <w:t>外距离</w:t>
                  </w:r>
                </w:p>
              </w:tc>
            </w:tr>
            <w:tr w14:paraId="19B6BD9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4" w:hRule="atLeast"/>
                <w:jc w:val="center"/>
              </w:trPr>
              <w:tc>
                <w:tcPr>
                  <w:tcW w:w="270" w:type="pct"/>
                  <w:vMerge w:val="restart"/>
                  <w:noWrap w:val="0"/>
                  <w:vAlign w:val="center"/>
                </w:tcPr>
                <w:p w14:paraId="635FDB68">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 w:val="21"/>
                      <w:szCs w:val="21"/>
                      <w:highlight w:val="none"/>
                      <w:u w:val="none" w:color="auto"/>
                    </w:rPr>
                    <w:t>l</w:t>
                  </w:r>
                </w:p>
              </w:tc>
              <w:tc>
                <w:tcPr>
                  <w:tcW w:w="270" w:type="pct"/>
                  <w:vMerge w:val="restart"/>
                  <w:noWrap w:val="0"/>
                  <w:vAlign w:val="center"/>
                </w:tcPr>
                <w:p w14:paraId="080FF80A">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color w:val="auto"/>
                      <w:sz w:val="21"/>
                      <w:szCs w:val="21"/>
                      <w:highlight w:val="none"/>
                      <w:u w:val="none" w:color="auto"/>
                    </w:rPr>
                    <w:t>生产</w:t>
                  </w:r>
                  <w:r>
                    <w:rPr>
                      <w:rFonts w:hint="default" w:ascii="Times New Roman" w:hAnsi="Times New Roman" w:eastAsia="宋体" w:cs="Times New Roman"/>
                      <w:color w:val="auto"/>
                      <w:sz w:val="21"/>
                      <w:szCs w:val="21"/>
                      <w:highlight w:val="none"/>
                      <w:u w:val="none" w:color="auto"/>
                      <w:lang w:val="en-US" w:eastAsia="zh-CN"/>
                    </w:rPr>
                    <w:t>厂房</w:t>
                  </w:r>
                </w:p>
              </w:tc>
              <w:tc>
                <w:tcPr>
                  <w:tcW w:w="432" w:type="pct"/>
                  <w:vMerge w:val="restart"/>
                  <w:noWrap w:val="0"/>
                  <w:vAlign w:val="center"/>
                </w:tcPr>
                <w:p w14:paraId="2CA4E9BB">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cs="Times New Roman"/>
                      <w:bCs/>
                      <w:color w:val="auto"/>
                      <w:sz w:val="21"/>
                      <w:szCs w:val="21"/>
                      <w:highlight w:val="none"/>
                      <w:u w:val="none" w:color="auto"/>
                      <w:lang w:val="en-US" w:eastAsia="zh-CN"/>
                    </w:rPr>
                    <w:t>抽残机</w:t>
                  </w:r>
                </w:p>
              </w:tc>
              <w:tc>
                <w:tcPr>
                  <w:tcW w:w="265" w:type="pct"/>
                  <w:vMerge w:val="restart"/>
                  <w:noWrap w:val="0"/>
                  <w:vAlign w:val="center"/>
                </w:tcPr>
                <w:p w14:paraId="5FA8712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rPr>
                  </w:pPr>
                  <w:r>
                    <w:rPr>
                      <w:rFonts w:hint="default" w:ascii="Times New Roman" w:hAnsi="Times New Roman" w:cs="Times New Roman"/>
                      <w:color w:val="auto"/>
                      <w:sz w:val="21"/>
                      <w:szCs w:val="21"/>
                      <w:highlight w:val="none"/>
                      <w:u w:val="none" w:color="auto"/>
                      <w:lang w:val="en-US" w:eastAsia="zh-CN"/>
                    </w:rPr>
                    <w:t>90</w:t>
                  </w:r>
                </w:p>
              </w:tc>
              <w:tc>
                <w:tcPr>
                  <w:tcW w:w="403" w:type="pct"/>
                  <w:vMerge w:val="restart"/>
                  <w:noWrap w:val="0"/>
                  <w:vAlign w:val="center"/>
                </w:tcPr>
                <w:p w14:paraId="3756F6E7">
                  <w:pPr>
                    <w:keepNext w:val="0"/>
                    <w:keepLines w:val="0"/>
                    <w:pageBreakBefore w:val="0"/>
                    <w:widowControl/>
                    <w:kinsoku/>
                    <w:wordWrap w:val="0"/>
                    <w:overflowPunct/>
                    <w:topLinePunct/>
                    <w:autoSpaceDE/>
                    <w:autoSpaceDN/>
                    <w:bidi w:val="0"/>
                    <w:adjustRightInd/>
                    <w:snapToGrid/>
                    <w:jc w:val="both"/>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合理布置、基础</w:t>
                  </w:r>
                  <w:r>
                    <w:rPr>
                      <w:rFonts w:hint="default" w:ascii="Times New Roman" w:hAnsi="Times New Roman" w:cs="Times New Roman"/>
                      <w:color w:val="auto"/>
                      <w:spacing w:val="0"/>
                      <w:position w:val="0"/>
                      <w:sz w:val="21"/>
                      <w:szCs w:val="21"/>
                      <w:highlight w:val="none"/>
                      <w:u w:val="none" w:color="auto"/>
                      <w:lang w:eastAsia="zh-CN"/>
                    </w:rPr>
                    <w:t>减振</w:t>
                  </w:r>
                  <w:r>
                    <w:rPr>
                      <w:rFonts w:hint="default" w:ascii="Times New Roman" w:hAnsi="Times New Roman" w:eastAsia="宋体" w:cs="Times New Roman"/>
                      <w:color w:val="auto"/>
                      <w:spacing w:val="0"/>
                      <w:position w:val="0"/>
                      <w:sz w:val="21"/>
                      <w:szCs w:val="21"/>
                      <w:highlight w:val="none"/>
                      <w:u w:val="none" w:color="auto"/>
                      <w:lang w:eastAsia="zh-CN"/>
                    </w:rPr>
                    <w:t>、隔声处理，绿化带、围墙隔声，加强管理和设备的保养，防止异常</w:t>
                  </w:r>
                  <w:r>
                    <w:rPr>
                      <w:rFonts w:hint="default" w:ascii="Times New Roman" w:hAnsi="Times New Roman" w:cs="Times New Roman"/>
                      <w:color w:val="auto"/>
                      <w:spacing w:val="0"/>
                      <w:position w:val="0"/>
                      <w:sz w:val="21"/>
                      <w:szCs w:val="21"/>
                      <w:highlight w:val="none"/>
                      <w:u w:val="none" w:color="auto"/>
                      <w:lang w:eastAsia="zh-CN"/>
                    </w:rPr>
                    <w:t>噪染</w:t>
                  </w:r>
                </w:p>
              </w:tc>
              <w:tc>
                <w:tcPr>
                  <w:tcW w:w="270" w:type="pct"/>
                  <w:vMerge w:val="restart"/>
                  <w:noWrap w:val="0"/>
                  <w:vAlign w:val="center"/>
                </w:tcPr>
                <w:p w14:paraId="4B6F6498">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rPr>
                  </w:pPr>
                  <w:r>
                    <w:rPr>
                      <w:rFonts w:hint="eastAsia" w:ascii="Times New Roman" w:hAnsi="Times New Roman" w:cs="Times New Roman"/>
                      <w:color w:val="auto"/>
                      <w:sz w:val="21"/>
                      <w:szCs w:val="21"/>
                      <w:highlight w:val="none"/>
                      <w:u w:val="none" w:color="auto"/>
                      <w:lang w:val="en-US" w:eastAsia="zh-CN"/>
                    </w:rPr>
                    <w:t>-35</w:t>
                  </w:r>
                </w:p>
              </w:tc>
              <w:tc>
                <w:tcPr>
                  <w:tcW w:w="315" w:type="pct"/>
                  <w:vMerge w:val="restart"/>
                  <w:noWrap w:val="0"/>
                  <w:vAlign w:val="center"/>
                </w:tcPr>
                <w:p w14:paraId="216A4EF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rPr>
                  </w:pPr>
                  <w:r>
                    <w:rPr>
                      <w:rFonts w:hint="default" w:ascii="Times New Roman" w:hAnsi="Times New Roman" w:eastAsia="宋体" w:cs="Times New Roman"/>
                      <w:color w:val="auto"/>
                      <w:sz w:val="21"/>
                      <w:szCs w:val="21"/>
                      <w:highlight w:val="none"/>
                      <w:u w:val="none" w:color="auto"/>
                      <w:lang w:val="en-US" w:eastAsia="zh-CN"/>
                    </w:rPr>
                    <w:t>-</w:t>
                  </w:r>
                  <w:r>
                    <w:rPr>
                      <w:rFonts w:hint="eastAsia" w:ascii="Times New Roman" w:hAnsi="Times New Roman" w:cs="Times New Roman"/>
                      <w:color w:val="auto"/>
                      <w:sz w:val="21"/>
                      <w:szCs w:val="21"/>
                      <w:highlight w:val="none"/>
                      <w:u w:val="none" w:color="auto"/>
                      <w:lang w:val="en-US" w:eastAsia="zh-CN"/>
                    </w:rPr>
                    <w:t>20</w:t>
                  </w:r>
                </w:p>
              </w:tc>
              <w:tc>
                <w:tcPr>
                  <w:tcW w:w="272" w:type="pct"/>
                  <w:vMerge w:val="restart"/>
                  <w:noWrap w:val="0"/>
                  <w:vAlign w:val="center"/>
                </w:tcPr>
                <w:p w14:paraId="61F26500">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1.5</w:t>
                  </w:r>
                </w:p>
              </w:tc>
              <w:tc>
                <w:tcPr>
                  <w:tcW w:w="270" w:type="pct"/>
                  <w:noWrap w:val="0"/>
                  <w:vAlign w:val="center"/>
                </w:tcPr>
                <w:p w14:paraId="6E77F695">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东</w:t>
                  </w:r>
                </w:p>
              </w:tc>
              <w:tc>
                <w:tcPr>
                  <w:tcW w:w="270" w:type="pct"/>
                  <w:noWrap w:val="0"/>
                  <w:vAlign w:val="center"/>
                </w:tcPr>
                <w:p w14:paraId="1728D52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38</w:t>
                  </w:r>
                </w:p>
              </w:tc>
              <w:tc>
                <w:tcPr>
                  <w:tcW w:w="483" w:type="pct"/>
                  <w:noWrap w:val="0"/>
                  <w:vAlign w:val="center"/>
                </w:tcPr>
                <w:p w14:paraId="5386E6EF">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58.40</w:t>
                  </w:r>
                </w:p>
              </w:tc>
              <w:tc>
                <w:tcPr>
                  <w:tcW w:w="306" w:type="pct"/>
                  <w:vMerge w:val="restart"/>
                  <w:noWrap w:val="0"/>
                  <w:vAlign w:val="center"/>
                </w:tcPr>
                <w:p w14:paraId="3F124D9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cs="Times New Roman"/>
                      <w:color w:val="auto"/>
                      <w:spacing w:val="0"/>
                      <w:position w:val="0"/>
                      <w:sz w:val="21"/>
                      <w:szCs w:val="21"/>
                      <w:highlight w:val="none"/>
                      <w:u w:val="none" w:color="auto"/>
                      <w:lang w:val="en-US" w:eastAsia="zh-CN"/>
                    </w:rPr>
                    <w:t>8</w:t>
                  </w:r>
                  <w:r>
                    <w:rPr>
                      <w:rFonts w:hint="default" w:ascii="Times New Roman" w:hAnsi="Times New Roman" w:eastAsia="宋体" w:cs="Times New Roman"/>
                      <w:color w:val="auto"/>
                      <w:spacing w:val="0"/>
                      <w:position w:val="0"/>
                      <w:sz w:val="21"/>
                      <w:szCs w:val="21"/>
                      <w:highlight w:val="none"/>
                      <w:u w:val="none" w:color="auto"/>
                      <w:lang w:val="en-US" w:eastAsia="zh-CN"/>
                    </w:rPr>
                    <w:t>h</w:t>
                  </w:r>
                </w:p>
              </w:tc>
              <w:tc>
                <w:tcPr>
                  <w:tcW w:w="407" w:type="pct"/>
                  <w:vMerge w:val="restart"/>
                  <w:noWrap w:val="0"/>
                  <w:vAlign w:val="center"/>
                </w:tcPr>
                <w:p w14:paraId="34E910CC">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15</w:t>
                  </w:r>
                </w:p>
              </w:tc>
              <w:tc>
                <w:tcPr>
                  <w:tcW w:w="765" w:type="dxa"/>
                  <w:noWrap w:val="0"/>
                  <w:vAlign w:val="center"/>
                </w:tcPr>
                <w:p w14:paraId="53BF2FD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43.4</w:t>
                  </w:r>
                  <w:r>
                    <w:rPr>
                      <w:rFonts w:hint="eastAsia" w:cs="Times New Roman"/>
                      <w:i w:val="0"/>
                      <w:iCs w:val="0"/>
                      <w:color w:val="auto"/>
                      <w:szCs w:val="21"/>
                      <w:highlight w:val="none"/>
                      <w:u w:val="none" w:color="auto"/>
                      <w:lang w:val="en-US" w:eastAsia="zh-CN"/>
                    </w:rPr>
                    <w:t>0</w:t>
                  </w:r>
                </w:p>
              </w:tc>
              <w:tc>
                <w:tcPr>
                  <w:tcW w:w="276" w:type="pct"/>
                  <w:noWrap w:val="0"/>
                  <w:vAlign w:val="center"/>
                </w:tcPr>
                <w:p w14:paraId="0F78142F">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40050B7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70" w:type="pct"/>
                  <w:vMerge w:val="continue"/>
                  <w:noWrap w:val="0"/>
                  <w:vAlign w:val="center"/>
                </w:tcPr>
                <w:p w14:paraId="3C7D01E7">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38511D50">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432" w:type="pct"/>
                  <w:vMerge w:val="continue"/>
                  <w:noWrap w:val="0"/>
                  <w:vAlign w:val="center"/>
                </w:tcPr>
                <w:p w14:paraId="060F1967">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65" w:type="pct"/>
                  <w:vMerge w:val="continue"/>
                  <w:noWrap w:val="0"/>
                  <w:vAlign w:val="center"/>
                </w:tcPr>
                <w:p w14:paraId="54825914">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3" w:type="pct"/>
                  <w:vMerge w:val="continue"/>
                  <w:noWrap w:val="0"/>
                  <w:vAlign w:val="center"/>
                </w:tcPr>
                <w:p w14:paraId="3CCE84B6">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36BEF9A8">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315" w:type="pct"/>
                  <w:vMerge w:val="continue"/>
                  <w:noWrap w:val="0"/>
                  <w:vAlign w:val="center"/>
                </w:tcPr>
                <w:p w14:paraId="32145F56">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2" w:type="pct"/>
                  <w:vMerge w:val="continue"/>
                  <w:noWrap w:val="0"/>
                  <w:vAlign w:val="center"/>
                </w:tcPr>
                <w:p w14:paraId="26BB025C">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noWrap w:val="0"/>
                  <w:vAlign w:val="center"/>
                </w:tcPr>
                <w:p w14:paraId="094053B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南</w:t>
                  </w:r>
                </w:p>
              </w:tc>
              <w:tc>
                <w:tcPr>
                  <w:tcW w:w="270" w:type="pct"/>
                  <w:noWrap w:val="0"/>
                  <w:vAlign w:val="center"/>
                </w:tcPr>
                <w:p w14:paraId="1587F98F">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12</w:t>
                  </w:r>
                </w:p>
              </w:tc>
              <w:tc>
                <w:tcPr>
                  <w:tcW w:w="483" w:type="pct"/>
                  <w:noWrap w:val="0"/>
                  <w:vAlign w:val="center"/>
                </w:tcPr>
                <w:p w14:paraId="297AB24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68.42</w:t>
                  </w:r>
                </w:p>
              </w:tc>
              <w:tc>
                <w:tcPr>
                  <w:tcW w:w="306" w:type="pct"/>
                  <w:vMerge w:val="continue"/>
                  <w:noWrap w:val="0"/>
                  <w:vAlign w:val="center"/>
                </w:tcPr>
                <w:p w14:paraId="41EBA0A0">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7" w:type="pct"/>
                  <w:vMerge w:val="continue"/>
                  <w:noWrap w:val="0"/>
                  <w:vAlign w:val="center"/>
                </w:tcPr>
                <w:p w14:paraId="41890CD9">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765" w:type="dxa"/>
                  <w:noWrap w:val="0"/>
                  <w:vAlign w:val="center"/>
                </w:tcPr>
                <w:p w14:paraId="25EC69A6">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53.42</w:t>
                  </w:r>
                </w:p>
              </w:tc>
              <w:tc>
                <w:tcPr>
                  <w:tcW w:w="276" w:type="pct"/>
                  <w:noWrap w:val="0"/>
                  <w:vAlign w:val="center"/>
                </w:tcPr>
                <w:p w14:paraId="76EC6CB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3274660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4" w:hRule="atLeast"/>
                <w:jc w:val="center"/>
              </w:trPr>
              <w:tc>
                <w:tcPr>
                  <w:tcW w:w="270" w:type="pct"/>
                  <w:vMerge w:val="continue"/>
                  <w:noWrap w:val="0"/>
                  <w:vAlign w:val="center"/>
                </w:tcPr>
                <w:p w14:paraId="1510CCC4">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0B00A95D">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432" w:type="pct"/>
                  <w:vMerge w:val="continue"/>
                  <w:noWrap w:val="0"/>
                  <w:vAlign w:val="center"/>
                </w:tcPr>
                <w:p w14:paraId="3988EFE2">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65" w:type="pct"/>
                  <w:vMerge w:val="continue"/>
                  <w:noWrap w:val="0"/>
                  <w:vAlign w:val="center"/>
                </w:tcPr>
                <w:p w14:paraId="74E86C17">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3" w:type="pct"/>
                  <w:vMerge w:val="continue"/>
                  <w:noWrap w:val="0"/>
                  <w:vAlign w:val="center"/>
                </w:tcPr>
                <w:p w14:paraId="21AE5B2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7A845FD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315" w:type="pct"/>
                  <w:vMerge w:val="continue"/>
                  <w:noWrap w:val="0"/>
                  <w:vAlign w:val="center"/>
                </w:tcPr>
                <w:p w14:paraId="7F49E40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2" w:type="pct"/>
                  <w:vMerge w:val="continue"/>
                  <w:noWrap w:val="0"/>
                  <w:vAlign w:val="center"/>
                </w:tcPr>
                <w:p w14:paraId="53B6BA7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noWrap w:val="0"/>
                  <w:vAlign w:val="center"/>
                </w:tcPr>
                <w:p w14:paraId="4794AA23">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西</w:t>
                  </w:r>
                </w:p>
              </w:tc>
              <w:tc>
                <w:tcPr>
                  <w:tcW w:w="270" w:type="pct"/>
                  <w:noWrap w:val="0"/>
                  <w:vAlign w:val="center"/>
                </w:tcPr>
                <w:p w14:paraId="75859435">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62</w:t>
                  </w:r>
                </w:p>
              </w:tc>
              <w:tc>
                <w:tcPr>
                  <w:tcW w:w="483" w:type="pct"/>
                  <w:noWrap w:val="0"/>
                  <w:vAlign w:val="center"/>
                </w:tcPr>
                <w:p w14:paraId="22D944E4">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54.15</w:t>
                  </w:r>
                </w:p>
              </w:tc>
              <w:tc>
                <w:tcPr>
                  <w:tcW w:w="306" w:type="pct"/>
                  <w:vMerge w:val="continue"/>
                  <w:noWrap w:val="0"/>
                  <w:vAlign w:val="center"/>
                </w:tcPr>
                <w:p w14:paraId="0F3BF6B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7" w:type="pct"/>
                  <w:vMerge w:val="continue"/>
                  <w:noWrap w:val="0"/>
                  <w:vAlign w:val="center"/>
                </w:tcPr>
                <w:p w14:paraId="4F98731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765" w:type="dxa"/>
                  <w:noWrap w:val="0"/>
                  <w:vAlign w:val="center"/>
                </w:tcPr>
                <w:p w14:paraId="5AA57AF9">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39.15</w:t>
                  </w:r>
                </w:p>
              </w:tc>
              <w:tc>
                <w:tcPr>
                  <w:tcW w:w="276" w:type="pct"/>
                  <w:noWrap w:val="0"/>
                  <w:vAlign w:val="center"/>
                </w:tcPr>
                <w:p w14:paraId="161CFE39">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3B70870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4" w:hRule="atLeast"/>
                <w:jc w:val="center"/>
              </w:trPr>
              <w:tc>
                <w:tcPr>
                  <w:tcW w:w="270" w:type="pct"/>
                  <w:vMerge w:val="continue"/>
                  <w:noWrap w:val="0"/>
                  <w:vAlign w:val="center"/>
                </w:tcPr>
                <w:p w14:paraId="2D207F55">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32A6F237">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432" w:type="pct"/>
                  <w:vMerge w:val="continue"/>
                  <w:noWrap w:val="0"/>
                  <w:vAlign w:val="center"/>
                </w:tcPr>
                <w:p w14:paraId="483F8904">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65" w:type="pct"/>
                  <w:vMerge w:val="continue"/>
                  <w:noWrap w:val="0"/>
                  <w:vAlign w:val="center"/>
                </w:tcPr>
                <w:p w14:paraId="19AD380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3" w:type="pct"/>
                  <w:vMerge w:val="continue"/>
                  <w:noWrap w:val="0"/>
                  <w:vAlign w:val="center"/>
                </w:tcPr>
                <w:p w14:paraId="7F0D4877">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76D0C6C0">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315" w:type="pct"/>
                  <w:vMerge w:val="continue"/>
                  <w:noWrap w:val="0"/>
                  <w:vAlign w:val="center"/>
                </w:tcPr>
                <w:p w14:paraId="5030ED24">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2" w:type="pct"/>
                  <w:vMerge w:val="continue"/>
                  <w:noWrap w:val="0"/>
                  <w:vAlign w:val="center"/>
                </w:tcPr>
                <w:p w14:paraId="693F0ED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noWrap w:val="0"/>
                  <w:vAlign w:val="center"/>
                </w:tcPr>
                <w:p w14:paraId="4EFF32F8">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北</w:t>
                  </w:r>
                </w:p>
              </w:tc>
              <w:tc>
                <w:tcPr>
                  <w:tcW w:w="270" w:type="pct"/>
                  <w:noWrap w:val="0"/>
                  <w:vAlign w:val="center"/>
                </w:tcPr>
                <w:p w14:paraId="7B55EC47">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45</w:t>
                  </w:r>
                </w:p>
              </w:tc>
              <w:tc>
                <w:tcPr>
                  <w:tcW w:w="483" w:type="pct"/>
                  <w:noWrap w:val="0"/>
                  <w:vAlign w:val="center"/>
                </w:tcPr>
                <w:p w14:paraId="5ED33434">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56.94</w:t>
                  </w:r>
                </w:p>
              </w:tc>
              <w:tc>
                <w:tcPr>
                  <w:tcW w:w="306" w:type="pct"/>
                  <w:vMerge w:val="continue"/>
                  <w:noWrap w:val="0"/>
                  <w:vAlign w:val="center"/>
                </w:tcPr>
                <w:p w14:paraId="46E038A5">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7" w:type="pct"/>
                  <w:vMerge w:val="continue"/>
                  <w:noWrap w:val="0"/>
                  <w:vAlign w:val="center"/>
                </w:tcPr>
                <w:p w14:paraId="522547C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765" w:type="dxa"/>
                  <w:noWrap w:val="0"/>
                  <w:vAlign w:val="center"/>
                </w:tcPr>
                <w:p w14:paraId="373604B9">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41.94</w:t>
                  </w:r>
                </w:p>
              </w:tc>
              <w:tc>
                <w:tcPr>
                  <w:tcW w:w="276" w:type="pct"/>
                  <w:noWrap w:val="0"/>
                  <w:vAlign w:val="center"/>
                </w:tcPr>
                <w:p w14:paraId="2BE665B0">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40A5B79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4" w:hRule="atLeast"/>
                <w:jc w:val="center"/>
              </w:trPr>
              <w:tc>
                <w:tcPr>
                  <w:tcW w:w="270" w:type="pct"/>
                  <w:vMerge w:val="restart"/>
                  <w:noWrap w:val="0"/>
                  <w:vAlign w:val="center"/>
                </w:tcPr>
                <w:p w14:paraId="54027941">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lang w:val="en-US" w:eastAsia="zh-CN"/>
                    </w:rPr>
                    <w:t>2</w:t>
                  </w:r>
                </w:p>
              </w:tc>
              <w:tc>
                <w:tcPr>
                  <w:tcW w:w="270" w:type="pct"/>
                  <w:vMerge w:val="continue"/>
                  <w:noWrap w:val="0"/>
                  <w:vAlign w:val="center"/>
                </w:tcPr>
                <w:p w14:paraId="414E720D">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432" w:type="pct"/>
                  <w:vMerge w:val="restart"/>
                  <w:noWrap w:val="0"/>
                  <w:vAlign w:val="center"/>
                </w:tcPr>
                <w:p w14:paraId="6B8FD5A5">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cs="Times New Roman"/>
                      <w:bCs/>
                      <w:color w:val="auto"/>
                      <w:sz w:val="21"/>
                      <w:szCs w:val="21"/>
                      <w:highlight w:val="none"/>
                      <w:u w:val="none" w:color="auto"/>
                      <w:lang w:val="en-US" w:eastAsia="zh-CN"/>
                    </w:rPr>
                    <w:t>卸阀机</w:t>
                  </w:r>
                </w:p>
              </w:tc>
              <w:tc>
                <w:tcPr>
                  <w:tcW w:w="265" w:type="pct"/>
                  <w:vMerge w:val="restart"/>
                  <w:noWrap w:val="0"/>
                  <w:vAlign w:val="center"/>
                </w:tcPr>
                <w:p w14:paraId="0DFD680E">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rPr>
                  </w:pPr>
                  <w:r>
                    <w:rPr>
                      <w:rFonts w:hint="default" w:ascii="Times New Roman" w:hAnsi="Times New Roman" w:cs="Times New Roman"/>
                      <w:color w:val="auto"/>
                      <w:spacing w:val="0"/>
                      <w:position w:val="0"/>
                      <w:sz w:val="21"/>
                      <w:szCs w:val="21"/>
                      <w:highlight w:val="none"/>
                      <w:u w:val="none" w:color="auto"/>
                      <w:lang w:val="en-US" w:eastAsia="zh-CN"/>
                    </w:rPr>
                    <w:t>75</w:t>
                  </w:r>
                </w:p>
              </w:tc>
              <w:tc>
                <w:tcPr>
                  <w:tcW w:w="403" w:type="pct"/>
                  <w:vMerge w:val="continue"/>
                  <w:noWrap w:val="0"/>
                  <w:vAlign w:val="center"/>
                </w:tcPr>
                <w:p w14:paraId="6565BAE7">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vMerge w:val="restart"/>
                  <w:noWrap w:val="0"/>
                  <w:vAlign w:val="center"/>
                </w:tcPr>
                <w:p w14:paraId="17C4B4D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-60</w:t>
                  </w:r>
                </w:p>
              </w:tc>
              <w:tc>
                <w:tcPr>
                  <w:tcW w:w="315" w:type="pct"/>
                  <w:vMerge w:val="restart"/>
                  <w:noWrap w:val="0"/>
                  <w:vAlign w:val="center"/>
                </w:tcPr>
                <w:p w14:paraId="074B241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-15</w:t>
                  </w:r>
                </w:p>
              </w:tc>
              <w:tc>
                <w:tcPr>
                  <w:tcW w:w="272" w:type="pct"/>
                  <w:vMerge w:val="restart"/>
                  <w:noWrap w:val="0"/>
                  <w:vAlign w:val="center"/>
                </w:tcPr>
                <w:p w14:paraId="6E2C146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1.5</w:t>
                  </w:r>
                </w:p>
              </w:tc>
              <w:tc>
                <w:tcPr>
                  <w:tcW w:w="270" w:type="pct"/>
                  <w:noWrap w:val="0"/>
                  <w:vAlign w:val="center"/>
                </w:tcPr>
                <w:p w14:paraId="5332B6A8">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东</w:t>
                  </w:r>
                </w:p>
              </w:tc>
              <w:tc>
                <w:tcPr>
                  <w:tcW w:w="270" w:type="pct"/>
                  <w:noWrap w:val="0"/>
                  <w:vAlign w:val="center"/>
                </w:tcPr>
                <w:p w14:paraId="117E94F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65</w:t>
                  </w:r>
                </w:p>
              </w:tc>
              <w:tc>
                <w:tcPr>
                  <w:tcW w:w="483" w:type="pct"/>
                  <w:noWrap w:val="0"/>
                  <w:vAlign w:val="center"/>
                </w:tcPr>
                <w:p w14:paraId="174662B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38.74</w:t>
                  </w:r>
                </w:p>
              </w:tc>
              <w:tc>
                <w:tcPr>
                  <w:tcW w:w="306" w:type="pct"/>
                  <w:vMerge w:val="continue"/>
                  <w:noWrap w:val="0"/>
                  <w:vAlign w:val="center"/>
                </w:tcPr>
                <w:p w14:paraId="671C9B83">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7" w:type="pct"/>
                  <w:vMerge w:val="continue"/>
                  <w:noWrap w:val="0"/>
                  <w:vAlign w:val="center"/>
                </w:tcPr>
                <w:p w14:paraId="3FBA181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765" w:type="dxa"/>
                  <w:noWrap w:val="0"/>
                  <w:vAlign w:val="center"/>
                </w:tcPr>
                <w:p w14:paraId="2AE7289F">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23.74</w:t>
                  </w:r>
                </w:p>
              </w:tc>
              <w:tc>
                <w:tcPr>
                  <w:tcW w:w="276" w:type="pct"/>
                  <w:noWrap w:val="0"/>
                  <w:vAlign w:val="center"/>
                </w:tcPr>
                <w:p w14:paraId="3BD382C5">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7B59B26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4" w:hRule="atLeast"/>
                <w:jc w:val="center"/>
              </w:trPr>
              <w:tc>
                <w:tcPr>
                  <w:tcW w:w="270" w:type="pct"/>
                  <w:vMerge w:val="continue"/>
                  <w:noWrap w:val="0"/>
                  <w:vAlign w:val="center"/>
                </w:tcPr>
                <w:p w14:paraId="10576786">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415112A5">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432" w:type="pct"/>
                  <w:vMerge w:val="continue"/>
                  <w:noWrap w:val="0"/>
                  <w:vAlign w:val="center"/>
                </w:tcPr>
                <w:p w14:paraId="4B93636B">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65" w:type="pct"/>
                  <w:vMerge w:val="continue"/>
                  <w:noWrap w:val="0"/>
                  <w:vAlign w:val="center"/>
                </w:tcPr>
                <w:p w14:paraId="5515B485">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3" w:type="pct"/>
                  <w:vMerge w:val="continue"/>
                  <w:noWrap w:val="0"/>
                  <w:vAlign w:val="center"/>
                </w:tcPr>
                <w:p w14:paraId="0723E19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35CE6B0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315" w:type="pct"/>
                  <w:vMerge w:val="continue"/>
                  <w:noWrap w:val="0"/>
                  <w:vAlign w:val="center"/>
                </w:tcPr>
                <w:p w14:paraId="4A0FC1C4">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2" w:type="pct"/>
                  <w:vMerge w:val="continue"/>
                  <w:noWrap w:val="0"/>
                  <w:vAlign w:val="center"/>
                </w:tcPr>
                <w:p w14:paraId="79E8422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noWrap w:val="0"/>
                  <w:vAlign w:val="center"/>
                </w:tcPr>
                <w:p w14:paraId="49D43AA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南</w:t>
                  </w:r>
                </w:p>
              </w:tc>
              <w:tc>
                <w:tcPr>
                  <w:tcW w:w="270" w:type="pct"/>
                  <w:noWrap w:val="0"/>
                  <w:vAlign w:val="center"/>
                </w:tcPr>
                <w:p w14:paraId="74BBB28E">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18</w:t>
                  </w:r>
                </w:p>
              </w:tc>
              <w:tc>
                <w:tcPr>
                  <w:tcW w:w="483" w:type="pct"/>
                  <w:noWrap w:val="0"/>
                  <w:vAlign w:val="center"/>
                </w:tcPr>
                <w:p w14:paraId="16A93894">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49.89</w:t>
                  </w:r>
                </w:p>
              </w:tc>
              <w:tc>
                <w:tcPr>
                  <w:tcW w:w="306" w:type="pct"/>
                  <w:vMerge w:val="continue"/>
                  <w:noWrap w:val="0"/>
                  <w:vAlign w:val="center"/>
                </w:tcPr>
                <w:p w14:paraId="69DAFDC3">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7" w:type="pct"/>
                  <w:vMerge w:val="continue"/>
                  <w:noWrap w:val="0"/>
                  <w:vAlign w:val="center"/>
                </w:tcPr>
                <w:p w14:paraId="523B0D13">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765" w:type="dxa"/>
                  <w:noWrap w:val="0"/>
                  <w:vAlign w:val="center"/>
                </w:tcPr>
                <w:p w14:paraId="7EEDE220">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34.89</w:t>
                  </w:r>
                </w:p>
              </w:tc>
              <w:tc>
                <w:tcPr>
                  <w:tcW w:w="276" w:type="pct"/>
                  <w:noWrap w:val="0"/>
                  <w:vAlign w:val="center"/>
                </w:tcPr>
                <w:p w14:paraId="34CFEBA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2709130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4" w:hRule="atLeast"/>
                <w:jc w:val="center"/>
              </w:trPr>
              <w:tc>
                <w:tcPr>
                  <w:tcW w:w="270" w:type="pct"/>
                  <w:vMerge w:val="continue"/>
                  <w:noWrap w:val="0"/>
                  <w:vAlign w:val="center"/>
                </w:tcPr>
                <w:p w14:paraId="3A069F90">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3388E229">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432" w:type="pct"/>
                  <w:vMerge w:val="continue"/>
                  <w:noWrap w:val="0"/>
                  <w:vAlign w:val="center"/>
                </w:tcPr>
                <w:p w14:paraId="7E40A549">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65" w:type="pct"/>
                  <w:vMerge w:val="continue"/>
                  <w:noWrap w:val="0"/>
                  <w:vAlign w:val="center"/>
                </w:tcPr>
                <w:p w14:paraId="33EDD18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3" w:type="pct"/>
                  <w:vMerge w:val="continue"/>
                  <w:noWrap w:val="0"/>
                  <w:vAlign w:val="center"/>
                </w:tcPr>
                <w:p w14:paraId="6B1FBE60">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6CBFD4C4">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315" w:type="pct"/>
                  <w:vMerge w:val="continue"/>
                  <w:noWrap w:val="0"/>
                  <w:vAlign w:val="center"/>
                </w:tcPr>
                <w:p w14:paraId="2159E933">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2" w:type="pct"/>
                  <w:vMerge w:val="continue"/>
                  <w:noWrap w:val="0"/>
                  <w:vAlign w:val="center"/>
                </w:tcPr>
                <w:p w14:paraId="7B7542D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noWrap w:val="0"/>
                  <w:vAlign w:val="center"/>
                </w:tcPr>
                <w:p w14:paraId="1DC54B8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西</w:t>
                  </w:r>
                </w:p>
              </w:tc>
              <w:tc>
                <w:tcPr>
                  <w:tcW w:w="270" w:type="pct"/>
                  <w:noWrap w:val="0"/>
                  <w:vAlign w:val="center"/>
                </w:tcPr>
                <w:p w14:paraId="6946E76E">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35</w:t>
                  </w:r>
                </w:p>
              </w:tc>
              <w:tc>
                <w:tcPr>
                  <w:tcW w:w="483" w:type="pct"/>
                  <w:noWrap w:val="0"/>
                  <w:vAlign w:val="center"/>
                </w:tcPr>
                <w:p w14:paraId="256660D5">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44.12</w:t>
                  </w:r>
                </w:p>
              </w:tc>
              <w:tc>
                <w:tcPr>
                  <w:tcW w:w="306" w:type="pct"/>
                  <w:vMerge w:val="continue"/>
                  <w:noWrap w:val="0"/>
                  <w:vAlign w:val="center"/>
                </w:tcPr>
                <w:p w14:paraId="7D994CA7">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7" w:type="pct"/>
                  <w:vMerge w:val="continue"/>
                  <w:noWrap w:val="0"/>
                  <w:vAlign w:val="center"/>
                </w:tcPr>
                <w:p w14:paraId="4311AB09">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765" w:type="dxa"/>
                  <w:noWrap w:val="0"/>
                  <w:vAlign w:val="center"/>
                </w:tcPr>
                <w:p w14:paraId="0A7A8D9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29.12</w:t>
                  </w:r>
                </w:p>
              </w:tc>
              <w:tc>
                <w:tcPr>
                  <w:tcW w:w="276" w:type="pct"/>
                  <w:noWrap w:val="0"/>
                  <w:vAlign w:val="center"/>
                </w:tcPr>
                <w:p w14:paraId="3A4AAEC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47C3160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4" w:hRule="atLeast"/>
                <w:jc w:val="center"/>
              </w:trPr>
              <w:tc>
                <w:tcPr>
                  <w:tcW w:w="270" w:type="pct"/>
                  <w:vMerge w:val="continue"/>
                  <w:noWrap w:val="0"/>
                  <w:vAlign w:val="center"/>
                </w:tcPr>
                <w:p w14:paraId="2BBB3BA0">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165563D8">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432" w:type="pct"/>
                  <w:vMerge w:val="continue"/>
                  <w:noWrap w:val="0"/>
                  <w:vAlign w:val="center"/>
                </w:tcPr>
                <w:p w14:paraId="0885C7CE">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65" w:type="pct"/>
                  <w:vMerge w:val="continue"/>
                  <w:noWrap w:val="0"/>
                  <w:vAlign w:val="center"/>
                </w:tcPr>
                <w:p w14:paraId="7A25F48E">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3" w:type="pct"/>
                  <w:vMerge w:val="continue"/>
                  <w:noWrap w:val="0"/>
                  <w:vAlign w:val="center"/>
                </w:tcPr>
                <w:p w14:paraId="6657F133">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18B198A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315" w:type="pct"/>
                  <w:vMerge w:val="continue"/>
                  <w:noWrap w:val="0"/>
                  <w:vAlign w:val="center"/>
                </w:tcPr>
                <w:p w14:paraId="1D67A243">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2" w:type="pct"/>
                  <w:vMerge w:val="continue"/>
                  <w:noWrap w:val="0"/>
                  <w:vAlign w:val="center"/>
                </w:tcPr>
                <w:p w14:paraId="732A60BE">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noWrap w:val="0"/>
                  <w:vAlign w:val="center"/>
                </w:tcPr>
                <w:p w14:paraId="45F49CE9">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北</w:t>
                  </w:r>
                </w:p>
              </w:tc>
              <w:tc>
                <w:tcPr>
                  <w:tcW w:w="270" w:type="pct"/>
                  <w:noWrap w:val="0"/>
                  <w:vAlign w:val="center"/>
                </w:tcPr>
                <w:p w14:paraId="3330E14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42</w:t>
                  </w:r>
                </w:p>
              </w:tc>
              <w:tc>
                <w:tcPr>
                  <w:tcW w:w="483" w:type="pct"/>
                  <w:noWrap w:val="0"/>
                  <w:vAlign w:val="center"/>
                </w:tcPr>
                <w:p w14:paraId="3E3D8CE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42.51</w:t>
                  </w:r>
                </w:p>
              </w:tc>
              <w:tc>
                <w:tcPr>
                  <w:tcW w:w="306" w:type="pct"/>
                  <w:vMerge w:val="continue"/>
                  <w:noWrap w:val="0"/>
                  <w:vAlign w:val="center"/>
                </w:tcPr>
                <w:p w14:paraId="781D135E">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7" w:type="pct"/>
                  <w:vMerge w:val="continue"/>
                  <w:noWrap w:val="0"/>
                  <w:vAlign w:val="center"/>
                </w:tcPr>
                <w:p w14:paraId="131B4324">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765" w:type="dxa"/>
                  <w:noWrap w:val="0"/>
                  <w:vAlign w:val="center"/>
                </w:tcPr>
                <w:p w14:paraId="69F9CD39">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27.51</w:t>
                  </w:r>
                </w:p>
              </w:tc>
              <w:tc>
                <w:tcPr>
                  <w:tcW w:w="276" w:type="pct"/>
                  <w:noWrap w:val="0"/>
                  <w:vAlign w:val="center"/>
                </w:tcPr>
                <w:p w14:paraId="00AF0C6F">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4BE70D2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2" w:hRule="atLeast"/>
                <w:jc w:val="center"/>
              </w:trPr>
              <w:tc>
                <w:tcPr>
                  <w:tcW w:w="270" w:type="pct"/>
                  <w:vMerge w:val="restart"/>
                  <w:noWrap w:val="0"/>
                  <w:vAlign w:val="center"/>
                </w:tcPr>
                <w:p w14:paraId="5FD9F499">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lang w:val="en-US" w:eastAsia="zh-CN"/>
                    </w:rPr>
                    <w:t>3</w:t>
                  </w:r>
                </w:p>
              </w:tc>
              <w:tc>
                <w:tcPr>
                  <w:tcW w:w="270" w:type="pct"/>
                  <w:vMerge w:val="continue"/>
                  <w:noWrap w:val="0"/>
                  <w:vAlign w:val="center"/>
                </w:tcPr>
                <w:p w14:paraId="5ACBD0EA">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432" w:type="pct"/>
                  <w:vMerge w:val="restart"/>
                  <w:noWrap w:val="0"/>
                  <w:vAlign w:val="center"/>
                </w:tcPr>
                <w:p w14:paraId="15845BCD">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lang w:val="en-US"/>
                    </w:rPr>
                  </w:pPr>
                  <w:r>
                    <w:rPr>
                      <w:rFonts w:hint="eastAsia" w:cs="Times New Roman"/>
                      <w:bCs/>
                      <w:color w:val="auto"/>
                      <w:sz w:val="21"/>
                      <w:szCs w:val="21"/>
                      <w:highlight w:val="none"/>
                      <w:u w:val="none" w:color="auto"/>
                      <w:lang w:val="en-US" w:eastAsia="zh-CN"/>
                    </w:rPr>
                    <w:t>焚烧炉</w:t>
                  </w:r>
                </w:p>
              </w:tc>
              <w:tc>
                <w:tcPr>
                  <w:tcW w:w="265" w:type="pct"/>
                  <w:vMerge w:val="restart"/>
                  <w:noWrap w:val="0"/>
                  <w:vAlign w:val="center"/>
                </w:tcPr>
                <w:p w14:paraId="2EF2FAD7">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70</w:t>
                  </w:r>
                </w:p>
              </w:tc>
              <w:tc>
                <w:tcPr>
                  <w:tcW w:w="403" w:type="pct"/>
                  <w:vMerge w:val="continue"/>
                  <w:noWrap w:val="0"/>
                  <w:vAlign w:val="center"/>
                </w:tcPr>
                <w:p w14:paraId="5FC77C07">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vMerge w:val="restart"/>
                  <w:noWrap w:val="0"/>
                  <w:vAlign w:val="center"/>
                </w:tcPr>
                <w:p w14:paraId="7877B2A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b w:val="0"/>
                      <w:bCs w:val="0"/>
                      <w:color w:val="auto"/>
                      <w:szCs w:val="21"/>
                      <w:highlight w:val="none"/>
                      <w:u w:val="none" w:color="auto"/>
                      <w:lang w:val="en-US" w:eastAsia="zh-CN"/>
                    </w:rPr>
                  </w:pPr>
                  <w:r>
                    <w:rPr>
                      <w:rFonts w:hint="eastAsia" w:ascii="Times New Roman" w:hAnsi="Times New Roman" w:cs="Times New Roman"/>
                      <w:b w:val="0"/>
                      <w:bCs w:val="0"/>
                      <w:color w:val="auto"/>
                      <w:szCs w:val="21"/>
                      <w:highlight w:val="none"/>
                      <w:u w:val="none" w:color="auto"/>
                      <w:lang w:val="en-US" w:eastAsia="zh-CN"/>
                    </w:rPr>
                    <w:t>-75</w:t>
                  </w:r>
                </w:p>
              </w:tc>
              <w:tc>
                <w:tcPr>
                  <w:tcW w:w="315" w:type="pct"/>
                  <w:vMerge w:val="restart"/>
                  <w:noWrap w:val="0"/>
                  <w:vAlign w:val="center"/>
                </w:tcPr>
                <w:p w14:paraId="31E7907E">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b w:val="0"/>
                      <w:bCs w:val="0"/>
                      <w:color w:val="auto"/>
                      <w:szCs w:val="21"/>
                      <w:highlight w:val="none"/>
                      <w:u w:val="none" w:color="auto"/>
                      <w:lang w:val="en-US" w:eastAsia="zh-CN"/>
                    </w:rPr>
                  </w:pPr>
                  <w:r>
                    <w:rPr>
                      <w:rFonts w:hint="eastAsia" w:ascii="Times New Roman" w:hAnsi="Times New Roman" w:cs="Times New Roman"/>
                      <w:b w:val="0"/>
                      <w:bCs w:val="0"/>
                      <w:color w:val="auto"/>
                      <w:szCs w:val="21"/>
                      <w:highlight w:val="none"/>
                      <w:u w:val="none" w:color="auto"/>
                      <w:lang w:val="en-US" w:eastAsia="zh-CN"/>
                    </w:rPr>
                    <w:t>-40</w:t>
                  </w:r>
                </w:p>
              </w:tc>
              <w:tc>
                <w:tcPr>
                  <w:tcW w:w="272" w:type="pct"/>
                  <w:vMerge w:val="restart"/>
                  <w:noWrap w:val="0"/>
                  <w:vAlign w:val="center"/>
                </w:tcPr>
                <w:p w14:paraId="39811D86">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1.5</w:t>
                  </w:r>
                </w:p>
              </w:tc>
              <w:tc>
                <w:tcPr>
                  <w:tcW w:w="270" w:type="pct"/>
                  <w:noWrap w:val="0"/>
                  <w:vAlign w:val="center"/>
                </w:tcPr>
                <w:p w14:paraId="5572958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东</w:t>
                  </w:r>
                </w:p>
              </w:tc>
              <w:tc>
                <w:tcPr>
                  <w:tcW w:w="270" w:type="pct"/>
                  <w:noWrap w:val="0"/>
                  <w:vAlign w:val="center"/>
                </w:tcPr>
                <w:p w14:paraId="247AA968">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80</w:t>
                  </w:r>
                </w:p>
              </w:tc>
              <w:tc>
                <w:tcPr>
                  <w:tcW w:w="483" w:type="pct"/>
                  <w:noWrap w:val="0"/>
                  <w:vAlign w:val="center"/>
                </w:tcPr>
                <w:p w14:paraId="2B6B1963">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31.94</w:t>
                  </w:r>
                </w:p>
              </w:tc>
              <w:tc>
                <w:tcPr>
                  <w:tcW w:w="306" w:type="pct"/>
                  <w:vMerge w:val="continue"/>
                  <w:noWrap w:val="0"/>
                  <w:vAlign w:val="center"/>
                </w:tcPr>
                <w:p w14:paraId="39443DE4">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7" w:type="pct"/>
                  <w:vMerge w:val="continue"/>
                  <w:noWrap w:val="0"/>
                  <w:vAlign w:val="center"/>
                </w:tcPr>
                <w:p w14:paraId="69AFA1A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765" w:type="dxa"/>
                  <w:noWrap w:val="0"/>
                  <w:vAlign w:val="center"/>
                </w:tcPr>
                <w:p w14:paraId="43B0776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16.94</w:t>
                  </w:r>
                </w:p>
              </w:tc>
              <w:tc>
                <w:tcPr>
                  <w:tcW w:w="276" w:type="pct"/>
                  <w:noWrap w:val="0"/>
                  <w:vAlign w:val="center"/>
                </w:tcPr>
                <w:p w14:paraId="5A406556">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5C2C987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4" w:hRule="atLeast"/>
                <w:jc w:val="center"/>
              </w:trPr>
              <w:tc>
                <w:tcPr>
                  <w:tcW w:w="270" w:type="pct"/>
                  <w:vMerge w:val="continue"/>
                  <w:noWrap w:val="0"/>
                  <w:vAlign w:val="center"/>
                </w:tcPr>
                <w:p w14:paraId="6C8C6048">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64C7618B">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432" w:type="pct"/>
                  <w:vMerge w:val="continue"/>
                  <w:noWrap w:val="0"/>
                  <w:vAlign w:val="center"/>
                </w:tcPr>
                <w:p w14:paraId="141F91F1">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65" w:type="pct"/>
                  <w:vMerge w:val="continue"/>
                  <w:noWrap w:val="0"/>
                  <w:vAlign w:val="center"/>
                </w:tcPr>
                <w:p w14:paraId="4AB8170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3" w:type="pct"/>
                  <w:vMerge w:val="continue"/>
                  <w:noWrap w:val="0"/>
                  <w:vAlign w:val="center"/>
                </w:tcPr>
                <w:p w14:paraId="0965E0F6">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01FDE04E">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b w:val="0"/>
                      <w:bCs w:val="0"/>
                      <w:color w:val="auto"/>
                      <w:szCs w:val="21"/>
                      <w:highlight w:val="none"/>
                      <w:u w:val="none" w:color="auto"/>
                    </w:rPr>
                  </w:pPr>
                </w:p>
              </w:tc>
              <w:tc>
                <w:tcPr>
                  <w:tcW w:w="315" w:type="pct"/>
                  <w:vMerge w:val="continue"/>
                  <w:noWrap w:val="0"/>
                  <w:vAlign w:val="center"/>
                </w:tcPr>
                <w:p w14:paraId="1475D098">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b w:val="0"/>
                      <w:bCs w:val="0"/>
                      <w:color w:val="auto"/>
                      <w:szCs w:val="21"/>
                      <w:highlight w:val="none"/>
                      <w:u w:val="none" w:color="auto"/>
                    </w:rPr>
                  </w:pPr>
                </w:p>
              </w:tc>
              <w:tc>
                <w:tcPr>
                  <w:tcW w:w="272" w:type="pct"/>
                  <w:vMerge w:val="continue"/>
                  <w:noWrap w:val="0"/>
                  <w:vAlign w:val="center"/>
                </w:tcPr>
                <w:p w14:paraId="7C67AC1E">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noWrap w:val="0"/>
                  <w:vAlign w:val="center"/>
                </w:tcPr>
                <w:p w14:paraId="3D7AD337">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南</w:t>
                  </w:r>
                </w:p>
              </w:tc>
              <w:tc>
                <w:tcPr>
                  <w:tcW w:w="270" w:type="pct"/>
                  <w:noWrap w:val="0"/>
                  <w:vAlign w:val="center"/>
                </w:tcPr>
                <w:p w14:paraId="30AA14E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45</w:t>
                  </w:r>
                </w:p>
              </w:tc>
              <w:tc>
                <w:tcPr>
                  <w:tcW w:w="483" w:type="pct"/>
                  <w:noWrap w:val="0"/>
                  <w:vAlign w:val="center"/>
                </w:tcPr>
                <w:p w14:paraId="4D2B26F7">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36.94</w:t>
                  </w:r>
                </w:p>
              </w:tc>
              <w:tc>
                <w:tcPr>
                  <w:tcW w:w="306" w:type="pct"/>
                  <w:vMerge w:val="continue"/>
                  <w:noWrap w:val="0"/>
                  <w:vAlign w:val="center"/>
                </w:tcPr>
                <w:p w14:paraId="5E9A1FA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7" w:type="pct"/>
                  <w:vMerge w:val="continue"/>
                  <w:noWrap w:val="0"/>
                  <w:vAlign w:val="center"/>
                </w:tcPr>
                <w:p w14:paraId="5B631D93">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765" w:type="dxa"/>
                  <w:noWrap w:val="0"/>
                  <w:vAlign w:val="center"/>
                </w:tcPr>
                <w:p w14:paraId="0A6BD2D8">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21.94</w:t>
                  </w:r>
                </w:p>
              </w:tc>
              <w:tc>
                <w:tcPr>
                  <w:tcW w:w="276" w:type="pct"/>
                  <w:noWrap w:val="0"/>
                  <w:vAlign w:val="center"/>
                </w:tcPr>
                <w:p w14:paraId="185BD4E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5A773DA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4" w:hRule="atLeast"/>
                <w:jc w:val="center"/>
              </w:trPr>
              <w:tc>
                <w:tcPr>
                  <w:tcW w:w="270" w:type="pct"/>
                  <w:vMerge w:val="continue"/>
                  <w:noWrap w:val="0"/>
                  <w:vAlign w:val="center"/>
                </w:tcPr>
                <w:p w14:paraId="41123DEE">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2FA0F5DC">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432" w:type="pct"/>
                  <w:vMerge w:val="continue"/>
                  <w:noWrap w:val="0"/>
                  <w:vAlign w:val="center"/>
                </w:tcPr>
                <w:p w14:paraId="35695A54">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65" w:type="pct"/>
                  <w:vMerge w:val="continue"/>
                  <w:noWrap w:val="0"/>
                  <w:vAlign w:val="center"/>
                </w:tcPr>
                <w:p w14:paraId="7055547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3" w:type="pct"/>
                  <w:vMerge w:val="continue"/>
                  <w:noWrap w:val="0"/>
                  <w:vAlign w:val="center"/>
                </w:tcPr>
                <w:p w14:paraId="0C2F93C0">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4A91BB9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b w:val="0"/>
                      <w:bCs w:val="0"/>
                      <w:color w:val="auto"/>
                      <w:szCs w:val="21"/>
                      <w:highlight w:val="none"/>
                      <w:u w:val="none" w:color="auto"/>
                    </w:rPr>
                  </w:pPr>
                </w:p>
              </w:tc>
              <w:tc>
                <w:tcPr>
                  <w:tcW w:w="315" w:type="pct"/>
                  <w:vMerge w:val="continue"/>
                  <w:noWrap w:val="0"/>
                  <w:vAlign w:val="center"/>
                </w:tcPr>
                <w:p w14:paraId="1CE737A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b w:val="0"/>
                      <w:bCs w:val="0"/>
                      <w:color w:val="auto"/>
                      <w:szCs w:val="21"/>
                      <w:highlight w:val="none"/>
                      <w:u w:val="none" w:color="auto"/>
                    </w:rPr>
                  </w:pPr>
                </w:p>
              </w:tc>
              <w:tc>
                <w:tcPr>
                  <w:tcW w:w="272" w:type="pct"/>
                  <w:vMerge w:val="continue"/>
                  <w:noWrap w:val="0"/>
                  <w:vAlign w:val="center"/>
                </w:tcPr>
                <w:p w14:paraId="51249D5E">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noWrap w:val="0"/>
                  <w:vAlign w:val="center"/>
                </w:tcPr>
                <w:p w14:paraId="03C1643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西</w:t>
                  </w:r>
                </w:p>
              </w:tc>
              <w:tc>
                <w:tcPr>
                  <w:tcW w:w="270" w:type="pct"/>
                  <w:noWrap w:val="0"/>
                  <w:vAlign w:val="center"/>
                </w:tcPr>
                <w:p w14:paraId="0BF5F24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20</w:t>
                  </w:r>
                </w:p>
              </w:tc>
              <w:tc>
                <w:tcPr>
                  <w:tcW w:w="483" w:type="pct"/>
                  <w:noWrap w:val="0"/>
                  <w:vAlign w:val="center"/>
                </w:tcPr>
                <w:p w14:paraId="1BD4597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43.98</w:t>
                  </w:r>
                </w:p>
              </w:tc>
              <w:tc>
                <w:tcPr>
                  <w:tcW w:w="306" w:type="pct"/>
                  <w:vMerge w:val="continue"/>
                  <w:noWrap w:val="0"/>
                  <w:vAlign w:val="center"/>
                </w:tcPr>
                <w:p w14:paraId="3B65922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7" w:type="pct"/>
                  <w:vMerge w:val="continue"/>
                  <w:noWrap w:val="0"/>
                  <w:vAlign w:val="center"/>
                </w:tcPr>
                <w:p w14:paraId="594FA3C9">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765" w:type="dxa"/>
                  <w:noWrap w:val="0"/>
                  <w:vAlign w:val="center"/>
                </w:tcPr>
                <w:p w14:paraId="68F0E95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28.98</w:t>
                  </w:r>
                </w:p>
              </w:tc>
              <w:tc>
                <w:tcPr>
                  <w:tcW w:w="276" w:type="pct"/>
                  <w:noWrap w:val="0"/>
                  <w:vAlign w:val="center"/>
                </w:tcPr>
                <w:p w14:paraId="4E11163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6CD9304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70" w:type="pct"/>
                  <w:vMerge w:val="continue"/>
                  <w:noWrap w:val="0"/>
                  <w:vAlign w:val="center"/>
                </w:tcPr>
                <w:p w14:paraId="093DCB30">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5DE44E68">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432" w:type="pct"/>
                  <w:vMerge w:val="continue"/>
                  <w:noWrap w:val="0"/>
                  <w:vAlign w:val="center"/>
                </w:tcPr>
                <w:p w14:paraId="39D6B0AA">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rPr>
                  </w:pPr>
                </w:p>
              </w:tc>
              <w:tc>
                <w:tcPr>
                  <w:tcW w:w="265" w:type="pct"/>
                  <w:vMerge w:val="continue"/>
                  <w:noWrap w:val="0"/>
                  <w:vAlign w:val="center"/>
                </w:tcPr>
                <w:p w14:paraId="446C7DE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3" w:type="pct"/>
                  <w:vMerge w:val="continue"/>
                  <w:noWrap w:val="0"/>
                  <w:vAlign w:val="center"/>
                </w:tcPr>
                <w:p w14:paraId="344E70F8">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vMerge w:val="continue"/>
                  <w:noWrap w:val="0"/>
                  <w:vAlign w:val="center"/>
                </w:tcPr>
                <w:p w14:paraId="34B13AE0">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b w:val="0"/>
                      <w:bCs w:val="0"/>
                      <w:color w:val="auto"/>
                      <w:szCs w:val="21"/>
                      <w:highlight w:val="none"/>
                      <w:u w:val="none" w:color="auto"/>
                    </w:rPr>
                  </w:pPr>
                </w:p>
              </w:tc>
              <w:tc>
                <w:tcPr>
                  <w:tcW w:w="315" w:type="pct"/>
                  <w:vMerge w:val="continue"/>
                  <w:noWrap w:val="0"/>
                  <w:vAlign w:val="center"/>
                </w:tcPr>
                <w:p w14:paraId="7CBD0178">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b w:val="0"/>
                      <w:bCs w:val="0"/>
                      <w:color w:val="auto"/>
                      <w:szCs w:val="21"/>
                      <w:highlight w:val="none"/>
                      <w:u w:val="none" w:color="auto"/>
                    </w:rPr>
                  </w:pPr>
                </w:p>
              </w:tc>
              <w:tc>
                <w:tcPr>
                  <w:tcW w:w="272" w:type="pct"/>
                  <w:vMerge w:val="continue"/>
                  <w:noWrap w:val="0"/>
                  <w:vAlign w:val="center"/>
                </w:tcPr>
                <w:p w14:paraId="4914CC5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270" w:type="pct"/>
                  <w:noWrap w:val="0"/>
                  <w:vAlign w:val="center"/>
                </w:tcPr>
                <w:p w14:paraId="0A96C7DC">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eastAsia="zh-CN"/>
                    </w:rPr>
                    <w:t>北</w:t>
                  </w:r>
                </w:p>
              </w:tc>
              <w:tc>
                <w:tcPr>
                  <w:tcW w:w="270" w:type="pct"/>
                  <w:noWrap w:val="0"/>
                  <w:vAlign w:val="center"/>
                </w:tcPr>
                <w:p w14:paraId="2F50642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17</w:t>
                  </w:r>
                </w:p>
              </w:tc>
              <w:tc>
                <w:tcPr>
                  <w:tcW w:w="483" w:type="pct"/>
                  <w:noWrap w:val="0"/>
                  <w:vAlign w:val="center"/>
                </w:tcPr>
                <w:p w14:paraId="23B6F6F9">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45.39</w:t>
                  </w:r>
                </w:p>
              </w:tc>
              <w:tc>
                <w:tcPr>
                  <w:tcW w:w="306" w:type="pct"/>
                  <w:vMerge w:val="continue"/>
                  <w:noWrap w:val="0"/>
                  <w:vAlign w:val="center"/>
                </w:tcPr>
                <w:p w14:paraId="700AD0B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407" w:type="pct"/>
                  <w:vMerge w:val="continue"/>
                  <w:noWrap w:val="0"/>
                  <w:vAlign w:val="center"/>
                </w:tcPr>
                <w:p w14:paraId="7DA9F8C6">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p>
              </w:tc>
              <w:tc>
                <w:tcPr>
                  <w:tcW w:w="765" w:type="dxa"/>
                  <w:noWrap w:val="0"/>
                  <w:vAlign w:val="center"/>
                </w:tcPr>
                <w:p w14:paraId="151EF7E8">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30.39</w:t>
                  </w:r>
                </w:p>
              </w:tc>
              <w:tc>
                <w:tcPr>
                  <w:tcW w:w="276" w:type="pct"/>
                  <w:noWrap w:val="0"/>
                  <w:vAlign w:val="center"/>
                </w:tcPr>
                <w:p w14:paraId="3563DD2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7A6193F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4" w:hRule="atLeast"/>
                <w:jc w:val="center"/>
              </w:trPr>
              <w:tc>
                <w:tcPr>
                  <w:tcW w:w="270" w:type="pct"/>
                  <w:vMerge w:val="restart"/>
                  <w:noWrap w:val="0"/>
                  <w:vAlign w:val="center"/>
                </w:tcPr>
                <w:p w14:paraId="48EF2889">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lang w:val="en-US" w:eastAsia="zh-CN"/>
                    </w:rPr>
                    <w:t>4</w:t>
                  </w:r>
                </w:p>
              </w:tc>
              <w:tc>
                <w:tcPr>
                  <w:tcW w:w="270" w:type="pct"/>
                  <w:vMerge w:val="continue"/>
                  <w:noWrap w:val="0"/>
                  <w:vAlign w:val="center"/>
                </w:tcPr>
                <w:p w14:paraId="3AB6C63A">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432" w:type="pct"/>
                  <w:vMerge w:val="restart"/>
                  <w:noWrap w:val="0"/>
                  <w:vAlign w:val="center"/>
                </w:tcPr>
                <w:p w14:paraId="6F6041EF">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r>
                    <w:rPr>
                      <w:rFonts w:hint="default" w:ascii="Times New Roman" w:hAnsi="Times New Roman" w:cs="Times New Roman"/>
                      <w:i w:val="0"/>
                      <w:iCs w:val="0"/>
                      <w:color w:val="auto"/>
                      <w:kern w:val="0"/>
                      <w:sz w:val="21"/>
                      <w:szCs w:val="21"/>
                      <w:highlight w:val="none"/>
                      <w:u w:val="none" w:color="auto"/>
                      <w:lang w:val="en-US" w:eastAsia="zh-CN" w:bidi="ar"/>
                    </w:rPr>
                    <w:t>风机</w:t>
                  </w:r>
                </w:p>
              </w:tc>
              <w:tc>
                <w:tcPr>
                  <w:tcW w:w="265" w:type="pct"/>
                  <w:vMerge w:val="restart"/>
                  <w:noWrap w:val="0"/>
                  <w:vAlign w:val="center"/>
                </w:tcPr>
                <w:p w14:paraId="5B65F5A1">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center"/>
                    <w:rPr>
                      <w:rFonts w:hint="default" w:ascii="Times New Roman" w:hAnsi="Times New Roman" w:cs="Times New Roman"/>
                      <w:b/>
                      <w:bCs/>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lang w:val="en-US" w:eastAsia="zh-CN"/>
                    </w:rPr>
                    <w:t>90</w:t>
                  </w:r>
                </w:p>
              </w:tc>
              <w:tc>
                <w:tcPr>
                  <w:tcW w:w="403" w:type="pct"/>
                  <w:vMerge w:val="continue"/>
                  <w:noWrap w:val="0"/>
                  <w:vAlign w:val="center"/>
                </w:tcPr>
                <w:p w14:paraId="3F7A684D">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270" w:type="pct"/>
                  <w:vMerge w:val="restart"/>
                  <w:noWrap w:val="0"/>
                  <w:vAlign w:val="center"/>
                </w:tcPr>
                <w:p w14:paraId="7C16CD8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b w:val="0"/>
                      <w:bCs w:val="0"/>
                      <w:color w:val="auto"/>
                      <w:kern w:val="2"/>
                      <w:sz w:val="21"/>
                      <w:szCs w:val="21"/>
                      <w:highlight w:val="none"/>
                      <w:u w:val="none" w:color="auto"/>
                      <w:lang w:val="en-US" w:eastAsia="zh-CN" w:bidi="ar-SA"/>
                    </w:rPr>
                  </w:pPr>
                  <w:r>
                    <w:rPr>
                      <w:rFonts w:hint="eastAsia" w:ascii="Times New Roman" w:hAnsi="Times New Roman" w:cs="Times New Roman"/>
                      <w:b w:val="0"/>
                      <w:bCs w:val="0"/>
                      <w:color w:val="auto"/>
                      <w:kern w:val="2"/>
                      <w:sz w:val="21"/>
                      <w:szCs w:val="21"/>
                      <w:highlight w:val="none"/>
                      <w:u w:val="none" w:color="auto"/>
                      <w:lang w:val="en-US" w:eastAsia="zh-CN" w:bidi="ar-SA"/>
                    </w:rPr>
                    <w:t>-78</w:t>
                  </w:r>
                </w:p>
              </w:tc>
              <w:tc>
                <w:tcPr>
                  <w:tcW w:w="315" w:type="pct"/>
                  <w:vMerge w:val="restart"/>
                  <w:noWrap w:val="0"/>
                  <w:vAlign w:val="center"/>
                </w:tcPr>
                <w:p w14:paraId="4A77CB0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b w:val="0"/>
                      <w:bCs w:val="0"/>
                      <w:color w:val="auto"/>
                      <w:kern w:val="2"/>
                      <w:sz w:val="21"/>
                      <w:szCs w:val="21"/>
                      <w:highlight w:val="none"/>
                      <w:u w:val="none" w:color="auto"/>
                      <w:lang w:val="en-US" w:eastAsia="zh-CN" w:bidi="ar-SA"/>
                    </w:rPr>
                  </w:pPr>
                  <w:r>
                    <w:rPr>
                      <w:rFonts w:hint="eastAsia" w:ascii="Times New Roman" w:hAnsi="Times New Roman" w:cs="Times New Roman"/>
                      <w:b w:val="0"/>
                      <w:bCs w:val="0"/>
                      <w:color w:val="auto"/>
                      <w:kern w:val="2"/>
                      <w:sz w:val="21"/>
                      <w:szCs w:val="21"/>
                      <w:highlight w:val="none"/>
                      <w:u w:val="none" w:color="auto"/>
                      <w:lang w:val="en-US" w:eastAsia="zh-CN" w:bidi="ar-SA"/>
                    </w:rPr>
                    <w:t>-42</w:t>
                  </w:r>
                </w:p>
              </w:tc>
              <w:tc>
                <w:tcPr>
                  <w:tcW w:w="272" w:type="pct"/>
                  <w:vMerge w:val="restart"/>
                  <w:noWrap w:val="0"/>
                  <w:vAlign w:val="center"/>
                </w:tcPr>
                <w:p w14:paraId="204C5376">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color w:val="auto"/>
                      <w:spacing w:val="0"/>
                      <w:position w:val="0"/>
                      <w:sz w:val="21"/>
                      <w:szCs w:val="21"/>
                      <w:highlight w:val="none"/>
                      <w:u w:val="none" w:color="auto"/>
                      <w:lang w:val="en-US" w:eastAsia="zh-CN"/>
                    </w:rPr>
                    <w:t>1.5</w:t>
                  </w:r>
                </w:p>
              </w:tc>
              <w:tc>
                <w:tcPr>
                  <w:tcW w:w="270" w:type="pct"/>
                  <w:noWrap w:val="0"/>
                  <w:vAlign w:val="center"/>
                </w:tcPr>
                <w:p w14:paraId="62C84E1E">
                  <w:pPr>
                    <w:keepNext w:val="0"/>
                    <w:keepLines w:val="0"/>
                    <w:pageBreakBefore w:val="0"/>
                    <w:widowControl/>
                    <w:kinsoku/>
                    <w:wordWrap w:val="0"/>
                    <w:overflowPunct/>
                    <w:topLinePunct/>
                    <w:autoSpaceDE/>
                    <w:autoSpaceDN/>
                    <w:bidi w:val="0"/>
                    <w:adjustRightInd/>
                    <w:snapToGrid/>
                    <w:jc w:val="both"/>
                    <w:outlineLvl w:val="9"/>
                    <w:rPr>
                      <w:rFonts w:hint="default" w:ascii="Times New Roman" w:hAnsi="Times New Roman"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color w:val="auto"/>
                      <w:spacing w:val="0"/>
                      <w:position w:val="0"/>
                      <w:sz w:val="21"/>
                      <w:szCs w:val="21"/>
                      <w:highlight w:val="none"/>
                      <w:u w:val="none" w:color="auto"/>
                      <w:lang w:eastAsia="zh-CN"/>
                    </w:rPr>
                    <w:t>东</w:t>
                  </w:r>
                </w:p>
              </w:tc>
              <w:tc>
                <w:tcPr>
                  <w:tcW w:w="270" w:type="pct"/>
                  <w:noWrap w:val="0"/>
                  <w:vAlign w:val="center"/>
                </w:tcPr>
                <w:p w14:paraId="36BF9350">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83</w:t>
                  </w:r>
                </w:p>
              </w:tc>
              <w:tc>
                <w:tcPr>
                  <w:tcW w:w="483" w:type="pct"/>
                  <w:noWrap w:val="0"/>
                  <w:vAlign w:val="center"/>
                </w:tcPr>
                <w:p w14:paraId="16F76B0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51.62</w:t>
                  </w:r>
                </w:p>
              </w:tc>
              <w:tc>
                <w:tcPr>
                  <w:tcW w:w="306" w:type="pct"/>
                  <w:vMerge w:val="continue"/>
                  <w:noWrap w:val="0"/>
                  <w:vAlign w:val="center"/>
                </w:tcPr>
                <w:p w14:paraId="775FAF31">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407" w:type="pct"/>
                  <w:vMerge w:val="continue"/>
                  <w:noWrap w:val="0"/>
                  <w:vAlign w:val="center"/>
                </w:tcPr>
                <w:p w14:paraId="49ACE29A">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765" w:type="dxa"/>
                  <w:noWrap w:val="0"/>
                  <w:vAlign w:val="center"/>
                </w:tcPr>
                <w:p w14:paraId="57A4B673">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36.62</w:t>
                  </w:r>
                </w:p>
              </w:tc>
              <w:tc>
                <w:tcPr>
                  <w:tcW w:w="276" w:type="pct"/>
                  <w:noWrap w:val="0"/>
                  <w:vAlign w:val="center"/>
                </w:tcPr>
                <w:p w14:paraId="2A4D5DF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pacing w:val="0"/>
                      <w:position w:val="0"/>
                      <w:sz w:val="21"/>
                      <w:szCs w:val="21"/>
                      <w:highlight w:val="none"/>
                      <w:u w:val="none" w:color="auto"/>
                      <w:lang w:val="en-US" w:eastAsia="zh-CN"/>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3D0C58A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4" w:hRule="atLeast"/>
                <w:jc w:val="center"/>
              </w:trPr>
              <w:tc>
                <w:tcPr>
                  <w:tcW w:w="270" w:type="pct"/>
                  <w:vMerge w:val="continue"/>
                  <w:noWrap w:val="0"/>
                  <w:vAlign w:val="center"/>
                </w:tcPr>
                <w:p w14:paraId="7EEED601">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lang w:val="en-US" w:eastAsia="zh-CN"/>
                    </w:rPr>
                  </w:pPr>
                </w:p>
              </w:tc>
              <w:tc>
                <w:tcPr>
                  <w:tcW w:w="270" w:type="pct"/>
                  <w:vMerge w:val="continue"/>
                  <w:noWrap w:val="0"/>
                  <w:vAlign w:val="center"/>
                </w:tcPr>
                <w:p w14:paraId="6D7666E7">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432" w:type="pct"/>
                  <w:vMerge w:val="continue"/>
                  <w:noWrap w:val="0"/>
                  <w:vAlign w:val="center"/>
                </w:tcPr>
                <w:p w14:paraId="79E523A6">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265" w:type="pct"/>
                  <w:vMerge w:val="continue"/>
                  <w:noWrap w:val="0"/>
                  <w:vAlign w:val="center"/>
                </w:tcPr>
                <w:p w14:paraId="66F36ACB">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403" w:type="pct"/>
                  <w:vMerge w:val="continue"/>
                  <w:noWrap w:val="0"/>
                  <w:vAlign w:val="center"/>
                </w:tcPr>
                <w:p w14:paraId="7911DCAC">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270" w:type="pct"/>
                  <w:vMerge w:val="continue"/>
                  <w:noWrap w:val="0"/>
                  <w:vAlign w:val="center"/>
                </w:tcPr>
                <w:p w14:paraId="07978435">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b w:val="0"/>
                      <w:bCs w:val="0"/>
                      <w:color w:val="auto"/>
                      <w:kern w:val="2"/>
                      <w:sz w:val="21"/>
                      <w:szCs w:val="21"/>
                      <w:highlight w:val="none"/>
                      <w:u w:val="none" w:color="auto"/>
                      <w:lang w:val="en-US" w:eastAsia="zh-CN" w:bidi="ar-SA"/>
                    </w:rPr>
                  </w:pPr>
                </w:p>
              </w:tc>
              <w:tc>
                <w:tcPr>
                  <w:tcW w:w="315" w:type="pct"/>
                  <w:vMerge w:val="continue"/>
                  <w:noWrap w:val="0"/>
                  <w:vAlign w:val="center"/>
                </w:tcPr>
                <w:p w14:paraId="6996B2C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b w:val="0"/>
                      <w:bCs w:val="0"/>
                      <w:color w:val="auto"/>
                      <w:kern w:val="2"/>
                      <w:sz w:val="21"/>
                      <w:szCs w:val="21"/>
                      <w:highlight w:val="none"/>
                      <w:u w:val="none" w:color="auto"/>
                      <w:lang w:val="en-US" w:eastAsia="zh-CN" w:bidi="ar-SA"/>
                    </w:rPr>
                  </w:pPr>
                </w:p>
              </w:tc>
              <w:tc>
                <w:tcPr>
                  <w:tcW w:w="272" w:type="pct"/>
                  <w:vMerge w:val="continue"/>
                  <w:noWrap w:val="0"/>
                  <w:vAlign w:val="center"/>
                </w:tcPr>
                <w:p w14:paraId="6B48F625">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b/>
                      <w:bCs/>
                      <w:color w:val="auto"/>
                      <w:kern w:val="2"/>
                      <w:sz w:val="21"/>
                      <w:szCs w:val="21"/>
                      <w:highlight w:val="none"/>
                      <w:u w:val="none" w:color="auto"/>
                      <w:lang w:val="en-US" w:eastAsia="zh-CN" w:bidi="ar-SA"/>
                    </w:rPr>
                  </w:pPr>
                </w:p>
              </w:tc>
              <w:tc>
                <w:tcPr>
                  <w:tcW w:w="270" w:type="pct"/>
                  <w:noWrap w:val="0"/>
                  <w:vAlign w:val="center"/>
                </w:tcPr>
                <w:p w14:paraId="58BCBCDB">
                  <w:pPr>
                    <w:keepNext w:val="0"/>
                    <w:keepLines w:val="0"/>
                    <w:pageBreakBefore w:val="0"/>
                    <w:widowControl/>
                    <w:kinsoku/>
                    <w:wordWrap w:val="0"/>
                    <w:overflowPunct/>
                    <w:topLinePunct/>
                    <w:autoSpaceDE/>
                    <w:autoSpaceDN/>
                    <w:bidi w:val="0"/>
                    <w:adjustRightInd/>
                    <w:snapToGrid/>
                    <w:jc w:val="both"/>
                    <w:outlineLvl w:val="9"/>
                    <w:rPr>
                      <w:rFonts w:hint="default" w:ascii="Times New Roman" w:hAnsi="Times New Roman"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color w:val="auto"/>
                      <w:spacing w:val="0"/>
                      <w:position w:val="0"/>
                      <w:sz w:val="21"/>
                      <w:szCs w:val="21"/>
                      <w:highlight w:val="none"/>
                      <w:u w:val="none" w:color="auto"/>
                      <w:lang w:eastAsia="zh-CN"/>
                    </w:rPr>
                    <w:t>南</w:t>
                  </w:r>
                </w:p>
              </w:tc>
              <w:tc>
                <w:tcPr>
                  <w:tcW w:w="270" w:type="pct"/>
                  <w:noWrap w:val="0"/>
                  <w:vAlign w:val="center"/>
                </w:tcPr>
                <w:p w14:paraId="24AE73B7">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48</w:t>
                  </w:r>
                </w:p>
              </w:tc>
              <w:tc>
                <w:tcPr>
                  <w:tcW w:w="483" w:type="pct"/>
                  <w:noWrap w:val="0"/>
                  <w:vAlign w:val="center"/>
                </w:tcPr>
                <w:p w14:paraId="1B88C1E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56.38</w:t>
                  </w:r>
                </w:p>
              </w:tc>
              <w:tc>
                <w:tcPr>
                  <w:tcW w:w="306" w:type="pct"/>
                  <w:vMerge w:val="continue"/>
                  <w:noWrap w:val="0"/>
                  <w:vAlign w:val="center"/>
                </w:tcPr>
                <w:p w14:paraId="734AC1E5">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407" w:type="pct"/>
                  <w:vMerge w:val="continue"/>
                  <w:noWrap w:val="0"/>
                  <w:vAlign w:val="center"/>
                </w:tcPr>
                <w:p w14:paraId="0ED14F13">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765" w:type="dxa"/>
                  <w:noWrap w:val="0"/>
                  <w:vAlign w:val="center"/>
                </w:tcPr>
                <w:p w14:paraId="63C28F0F">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41.38</w:t>
                  </w:r>
                </w:p>
              </w:tc>
              <w:tc>
                <w:tcPr>
                  <w:tcW w:w="276" w:type="pct"/>
                  <w:noWrap w:val="0"/>
                  <w:vAlign w:val="center"/>
                </w:tcPr>
                <w:p w14:paraId="6D6564C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pacing w:val="0"/>
                      <w:position w:val="0"/>
                      <w:sz w:val="21"/>
                      <w:szCs w:val="21"/>
                      <w:highlight w:val="none"/>
                      <w:u w:val="none" w:color="auto"/>
                      <w:lang w:val="en-US" w:eastAsia="zh-CN"/>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74514F5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4" w:hRule="atLeast"/>
                <w:jc w:val="center"/>
              </w:trPr>
              <w:tc>
                <w:tcPr>
                  <w:tcW w:w="270" w:type="pct"/>
                  <w:vMerge w:val="continue"/>
                  <w:noWrap w:val="0"/>
                  <w:vAlign w:val="center"/>
                </w:tcPr>
                <w:p w14:paraId="1B5F9EE6">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lang w:val="en-US" w:eastAsia="zh-CN"/>
                    </w:rPr>
                  </w:pPr>
                </w:p>
              </w:tc>
              <w:tc>
                <w:tcPr>
                  <w:tcW w:w="270" w:type="pct"/>
                  <w:vMerge w:val="continue"/>
                  <w:noWrap w:val="0"/>
                  <w:vAlign w:val="center"/>
                </w:tcPr>
                <w:p w14:paraId="6B4A7E94">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432" w:type="pct"/>
                  <w:vMerge w:val="continue"/>
                  <w:noWrap w:val="0"/>
                  <w:vAlign w:val="center"/>
                </w:tcPr>
                <w:p w14:paraId="17DF1E9D">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265" w:type="pct"/>
                  <w:vMerge w:val="continue"/>
                  <w:noWrap w:val="0"/>
                  <w:vAlign w:val="center"/>
                </w:tcPr>
                <w:p w14:paraId="216A0C6A">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403" w:type="pct"/>
                  <w:vMerge w:val="continue"/>
                  <w:noWrap w:val="0"/>
                  <w:vAlign w:val="center"/>
                </w:tcPr>
                <w:p w14:paraId="6CE5857A">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270" w:type="pct"/>
                  <w:vMerge w:val="continue"/>
                  <w:noWrap w:val="0"/>
                  <w:vAlign w:val="center"/>
                </w:tcPr>
                <w:p w14:paraId="63B45BA8">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b w:val="0"/>
                      <w:bCs w:val="0"/>
                      <w:color w:val="auto"/>
                      <w:kern w:val="2"/>
                      <w:sz w:val="21"/>
                      <w:szCs w:val="21"/>
                      <w:highlight w:val="none"/>
                      <w:u w:val="none" w:color="auto"/>
                      <w:lang w:val="en-US" w:eastAsia="zh-CN" w:bidi="ar-SA"/>
                    </w:rPr>
                  </w:pPr>
                </w:p>
              </w:tc>
              <w:tc>
                <w:tcPr>
                  <w:tcW w:w="315" w:type="pct"/>
                  <w:vMerge w:val="continue"/>
                  <w:noWrap w:val="0"/>
                  <w:vAlign w:val="center"/>
                </w:tcPr>
                <w:p w14:paraId="5066427E">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b w:val="0"/>
                      <w:bCs w:val="0"/>
                      <w:color w:val="auto"/>
                      <w:kern w:val="2"/>
                      <w:sz w:val="21"/>
                      <w:szCs w:val="21"/>
                      <w:highlight w:val="none"/>
                      <w:u w:val="none" w:color="auto"/>
                      <w:lang w:val="en-US" w:eastAsia="zh-CN" w:bidi="ar-SA"/>
                    </w:rPr>
                  </w:pPr>
                </w:p>
              </w:tc>
              <w:tc>
                <w:tcPr>
                  <w:tcW w:w="272" w:type="pct"/>
                  <w:vMerge w:val="continue"/>
                  <w:noWrap w:val="0"/>
                  <w:vAlign w:val="center"/>
                </w:tcPr>
                <w:p w14:paraId="1186EF19">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b/>
                      <w:bCs/>
                      <w:color w:val="auto"/>
                      <w:kern w:val="2"/>
                      <w:sz w:val="21"/>
                      <w:szCs w:val="21"/>
                      <w:highlight w:val="none"/>
                      <w:u w:val="none" w:color="auto"/>
                      <w:lang w:val="en-US" w:eastAsia="zh-CN" w:bidi="ar-SA"/>
                    </w:rPr>
                  </w:pPr>
                </w:p>
              </w:tc>
              <w:tc>
                <w:tcPr>
                  <w:tcW w:w="270" w:type="pct"/>
                  <w:noWrap w:val="0"/>
                  <w:vAlign w:val="center"/>
                </w:tcPr>
                <w:p w14:paraId="39FEB3C8">
                  <w:pPr>
                    <w:keepNext w:val="0"/>
                    <w:keepLines w:val="0"/>
                    <w:pageBreakBefore w:val="0"/>
                    <w:widowControl/>
                    <w:kinsoku/>
                    <w:wordWrap w:val="0"/>
                    <w:overflowPunct/>
                    <w:topLinePunct/>
                    <w:autoSpaceDE/>
                    <w:autoSpaceDN/>
                    <w:bidi w:val="0"/>
                    <w:adjustRightInd/>
                    <w:snapToGrid/>
                    <w:jc w:val="both"/>
                    <w:outlineLvl w:val="9"/>
                    <w:rPr>
                      <w:rFonts w:hint="default" w:ascii="Times New Roman" w:hAnsi="Times New Roman"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color w:val="auto"/>
                      <w:spacing w:val="0"/>
                      <w:position w:val="0"/>
                      <w:sz w:val="21"/>
                      <w:szCs w:val="21"/>
                      <w:highlight w:val="none"/>
                      <w:u w:val="none" w:color="auto"/>
                      <w:lang w:eastAsia="zh-CN"/>
                    </w:rPr>
                    <w:t>西</w:t>
                  </w:r>
                </w:p>
              </w:tc>
              <w:tc>
                <w:tcPr>
                  <w:tcW w:w="270" w:type="pct"/>
                  <w:noWrap w:val="0"/>
                  <w:vAlign w:val="center"/>
                </w:tcPr>
                <w:p w14:paraId="22E3E3A0">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17</w:t>
                  </w:r>
                </w:p>
              </w:tc>
              <w:tc>
                <w:tcPr>
                  <w:tcW w:w="483" w:type="pct"/>
                  <w:noWrap w:val="0"/>
                  <w:vAlign w:val="center"/>
                </w:tcPr>
                <w:p w14:paraId="2B3129C8">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65.39</w:t>
                  </w:r>
                </w:p>
              </w:tc>
              <w:tc>
                <w:tcPr>
                  <w:tcW w:w="306" w:type="pct"/>
                  <w:vMerge w:val="continue"/>
                  <w:noWrap w:val="0"/>
                  <w:vAlign w:val="center"/>
                </w:tcPr>
                <w:p w14:paraId="229C0E2A">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407" w:type="pct"/>
                  <w:vMerge w:val="continue"/>
                  <w:noWrap w:val="0"/>
                  <w:vAlign w:val="center"/>
                </w:tcPr>
                <w:p w14:paraId="03E1B627">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765" w:type="dxa"/>
                  <w:noWrap w:val="0"/>
                  <w:vAlign w:val="center"/>
                </w:tcPr>
                <w:p w14:paraId="17A9EF19">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50.39</w:t>
                  </w:r>
                </w:p>
              </w:tc>
              <w:tc>
                <w:tcPr>
                  <w:tcW w:w="276" w:type="pct"/>
                  <w:noWrap w:val="0"/>
                  <w:vAlign w:val="center"/>
                </w:tcPr>
                <w:p w14:paraId="2EE78A56">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pacing w:val="0"/>
                      <w:position w:val="0"/>
                      <w:sz w:val="21"/>
                      <w:szCs w:val="21"/>
                      <w:highlight w:val="none"/>
                      <w:u w:val="none" w:color="auto"/>
                      <w:lang w:val="en-US" w:eastAsia="zh-CN"/>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38E1FB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4" w:hRule="atLeast"/>
                <w:jc w:val="center"/>
              </w:trPr>
              <w:tc>
                <w:tcPr>
                  <w:tcW w:w="270" w:type="pct"/>
                  <w:vMerge w:val="continue"/>
                  <w:noWrap w:val="0"/>
                  <w:vAlign w:val="center"/>
                </w:tcPr>
                <w:p w14:paraId="6180CB27">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lang w:val="en-US" w:eastAsia="zh-CN"/>
                    </w:rPr>
                  </w:pPr>
                </w:p>
              </w:tc>
              <w:tc>
                <w:tcPr>
                  <w:tcW w:w="270" w:type="pct"/>
                  <w:vMerge w:val="continue"/>
                  <w:noWrap w:val="0"/>
                  <w:vAlign w:val="center"/>
                </w:tcPr>
                <w:p w14:paraId="1BA85A48">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432" w:type="pct"/>
                  <w:vMerge w:val="continue"/>
                  <w:noWrap w:val="0"/>
                  <w:vAlign w:val="center"/>
                </w:tcPr>
                <w:p w14:paraId="2C005C57">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265" w:type="pct"/>
                  <w:vMerge w:val="continue"/>
                  <w:noWrap w:val="0"/>
                  <w:vAlign w:val="center"/>
                </w:tcPr>
                <w:p w14:paraId="07929BEE">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403" w:type="pct"/>
                  <w:vMerge w:val="continue"/>
                  <w:noWrap w:val="0"/>
                  <w:vAlign w:val="center"/>
                </w:tcPr>
                <w:p w14:paraId="2235DE37">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270" w:type="pct"/>
                  <w:vMerge w:val="continue"/>
                  <w:noWrap w:val="0"/>
                  <w:vAlign w:val="center"/>
                </w:tcPr>
                <w:p w14:paraId="3D65BB46">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b w:val="0"/>
                      <w:bCs w:val="0"/>
                      <w:color w:val="auto"/>
                      <w:kern w:val="2"/>
                      <w:sz w:val="21"/>
                      <w:szCs w:val="21"/>
                      <w:highlight w:val="none"/>
                      <w:u w:val="none" w:color="auto"/>
                      <w:lang w:val="en-US" w:eastAsia="zh-CN" w:bidi="ar-SA"/>
                    </w:rPr>
                  </w:pPr>
                </w:p>
              </w:tc>
              <w:tc>
                <w:tcPr>
                  <w:tcW w:w="315" w:type="pct"/>
                  <w:vMerge w:val="continue"/>
                  <w:noWrap w:val="0"/>
                  <w:vAlign w:val="center"/>
                </w:tcPr>
                <w:p w14:paraId="2327DEC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b w:val="0"/>
                      <w:bCs w:val="0"/>
                      <w:color w:val="auto"/>
                      <w:kern w:val="2"/>
                      <w:sz w:val="21"/>
                      <w:szCs w:val="21"/>
                      <w:highlight w:val="none"/>
                      <w:u w:val="none" w:color="auto"/>
                      <w:lang w:val="en-US" w:eastAsia="zh-CN" w:bidi="ar-SA"/>
                    </w:rPr>
                  </w:pPr>
                </w:p>
              </w:tc>
              <w:tc>
                <w:tcPr>
                  <w:tcW w:w="272" w:type="pct"/>
                  <w:vMerge w:val="continue"/>
                  <w:noWrap w:val="0"/>
                  <w:vAlign w:val="center"/>
                </w:tcPr>
                <w:p w14:paraId="3B1A9FB5">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b/>
                      <w:bCs/>
                      <w:color w:val="auto"/>
                      <w:kern w:val="2"/>
                      <w:sz w:val="21"/>
                      <w:szCs w:val="21"/>
                      <w:highlight w:val="none"/>
                      <w:u w:val="none" w:color="auto"/>
                      <w:lang w:val="en-US" w:eastAsia="zh-CN" w:bidi="ar-SA"/>
                    </w:rPr>
                  </w:pPr>
                </w:p>
              </w:tc>
              <w:tc>
                <w:tcPr>
                  <w:tcW w:w="270" w:type="pct"/>
                  <w:noWrap w:val="0"/>
                  <w:vAlign w:val="center"/>
                </w:tcPr>
                <w:p w14:paraId="59F46313">
                  <w:pPr>
                    <w:keepNext w:val="0"/>
                    <w:keepLines w:val="0"/>
                    <w:pageBreakBefore w:val="0"/>
                    <w:widowControl/>
                    <w:kinsoku/>
                    <w:wordWrap w:val="0"/>
                    <w:overflowPunct/>
                    <w:topLinePunct/>
                    <w:autoSpaceDE/>
                    <w:autoSpaceDN/>
                    <w:bidi w:val="0"/>
                    <w:adjustRightInd/>
                    <w:snapToGrid/>
                    <w:jc w:val="both"/>
                    <w:outlineLvl w:val="9"/>
                    <w:rPr>
                      <w:rFonts w:hint="default" w:ascii="Times New Roman" w:hAnsi="Times New Roman"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color w:val="auto"/>
                      <w:spacing w:val="0"/>
                      <w:position w:val="0"/>
                      <w:sz w:val="21"/>
                      <w:szCs w:val="21"/>
                      <w:highlight w:val="none"/>
                      <w:u w:val="none" w:color="auto"/>
                      <w:lang w:eastAsia="zh-CN"/>
                    </w:rPr>
                    <w:t>北</w:t>
                  </w:r>
                </w:p>
              </w:tc>
              <w:tc>
                <w:tcPr>
                  <w:tcW w:w="270" w:type="pct"/>
                  <w:noWrap w:val="0"/>
                  <w:vAlign w:val="center"/>
                </w:tcPr>
                <w:p w14:paraId="264FBC3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14</w:t>
                  </w:r>
                </w:p>
              </w:tc>
              <w:tc>
                <w:tcPr>
                  <w:tcW w:w="483" w:type="pct"/>
                  <w:noWrap w:val="0"/>
                  <w:vAlign w:val="center"/>
                </w:tcPr>
                <w:p w14:paraId="24A65C8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67.08</w:t>
                  </w:r>
                </w:p>
              </w:tc>
              <w:tc>
                <w:tcPr>
                  <w:tcW w:w="306" w:type="pct"/>
                  <w:vMerge w:val="continue"/>
                  <w:noWrap w:val="0"/>
                  <w:vAlign w:val="center"/>
                </w:tcPr>
                <w:p w14:paraId="20909637">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407" w:type="pct"/>
                  <w:vMerge w:val="continue"/>
                  <w:noWrap w:val="0"/>
                  <w:vAlign w:val="center"/>
                </w:tcPr>
                <w:p w14:paraId="70EEA168">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b/>
                      <w:bCs/>
                      <w:color w:val="auto"/>
                      <w:kern w:val="2"/>
                      <w:sz w:val="21"/>
                      <w:szCs w:val="21"/>
                      <w:highlight w:val="none"/>
                      <w:u w:val="none" w:color="auto"/>
                      <w:lang w:val="en-US" w:eastAsia="zh-CN" w:bidi="ar-SA"/>
                    </w:rPr>
                  </w:pPr>
                </w:p>
              </w:tc>
              <w:tc>
                <w:tcPr>
                  <w:tcW w:w="765" w:type="dxa"/>
                  <w:noWrap w:val="0"/>
                  <w:vAlign w:val="center"/>
                </w:tcPr>
                <w:p w14:paraId="50A9516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52.08</w:t>
                  </w:r>
                </w:p>
              </w:tc>
              <w:tc>
                <w:tcPr>
                  <w:tcW w:w="276" w:type="pct"/>
                  <w:noWrap w:val="0"/>
                  <w:vAlign w:val="center"/>
                </w:tcPr>
                <w:p w14:paraId="32D818B7">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eastAsia="宋体" w:cs="Times New Roman"/>
                      <w:color w:val="auto"/>
                      <w:spacing w:val="0"/>
                      <w:position w:val="0"/>
                      <w:sz w:val="21"/>
                      <w:szCs w:val="21"/>
                      <w:highlight w:val="none"/>
                      <w:u w:val="none" w:color="auto"/>
                      <w:lang w:val="en-US" w:eastAsia="zh-CN"/>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24B84E9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0" w:hRule="atLeast"/>
                <w:jc w:val="center"/>
              </w:trPr>
              <w:tc>
                <w:tcPr>
                  <w:tcW w:w="270" w:type="pct"/>
                  <w:vMerge w:val="restart"/>
                  <w:noWrap w:val="0"/>
                  <w:vAlign w:val="center"/>
                </w:tcPr>
                <w:p w14:paraId="01B82368">
                  <w:pPr>
                    <w:keepNext w:val="0"/>
                    <w:keepLines w:val="0"/>
                    <w:pageBreakBefore w:val="0"/>
                    <w:widowControl/>
                    <w:kinsoku/>
                    <w:wordWrap w:val="0"/>
                    <w:overflowPunct/>
                    <w:topLinePunct/>
                    <w:autoSpaceDE/>
                    <w:autoSpaceDN/>
                    <w:bidi w:val="0"/>
                    <w:adjustRightInd/>
                    <w:snapToGrid/>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lang w:val="en-US" w:eastAsia="zh-CN"/>
                    </w:rPr>
                    <w:t>5</w:t>
                  </w:r>
                </w:p>
              </w:tc>
              <w:tc>
                <w:tcPr>
                  <w:tcW w:w="270" w:type="pct"/>
                  <w:vMerge w:val="continue"/>
                  <w:noWrap w:val="0"/>
                  <w:vAlign w:val="center"/>
                </w:tcPr>
                <w:p w14:paraId="23101531">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32" w:type="pct"/>
                  <w:vMerge w:val="restart"/>
                  <w:noWrap w:val="0"/>
                  <w:vAlign w:val="center"/>
                </w:tcPr>
                <w:p w14:paraId="55EB9412">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cs="Times New Roman"/>
                      <w:bCs/>
                      <w:color w:val="auto"/>
                      <w:sz w:val="21"/>
                      <w:szCs w:val="21"/>
                      <w:highlight w:val="none"/>
                      <w:u w:val="none" w:color="auto"/>
                      <w:lang w:val="en-US" w:eastAsia="zh-CN"/>
                    </w:rPr>
                    <w:t>液压一体化裁剪机</w:t>
                  </w:r>
                </w:p>
              </w:tc>
              <w:tc>
                <w:tcPr>
                  <w:tcW w:w="265" w:type="pct"/>
                  <w:vMerge w:val="restart"/>
                  <w:noWrap w:val="0"/>
                  <w:vAlign w:val="center"/>
                </w:tcPr>
                <w:p w14:paraId="348501ED">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center"/>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lang w:val="en-US" w:eastAsia="zh-CN"/>
                    </w:rPr>
                    <w:t>75</w:t>
                  </w:r>
                </w:p>
              </w:tc>
              <w:tc>
                <w:tcPr>
                  <w:tcW w:w="403" w:type="pct"/>
                  <w:vMerge w:val="continue"/>
                  <w:noWrap w:val="0"/>
                  <w:vAlign w:val="center"/>
                </w:tcPr>
                <w:p w14:paraId="36DF0E67">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70" w:type="pct"/>
                  <w:vMerge w:val="restart"/>
                  <w:noWrap w:val="0"/>
                  <w:vAlign w:val="center"/>
                </w:tcPr>
                <w:p w14:paraId="417009FB">
                  <w:pPr>
                    <w:keepNext w:val="0"/>
                    <w:keepLines w:val="0"/>
                    <w:pageBreakBefore w:val="0"/>
                    <w:kinsoku/>
                    <w:wordWrap/>
                    <w:overflowPunct/>
                    <w:topLinePunct w:val="0"/>
                    <w:autoSpaceDE/>
                    <w:autoSpaceDN/>
                    <w:bidi w:val="0"/>
                    <w:adjustRightInd/>
                    <w:snapToGrid/>
                    <w:jc w:val="center"/>
                    <w:outlineLvl w:val="9"/>
                    <w:rPr>
                      <w:rFonts w:hint="default" w:ascii="Times New Roman" w:hAnsi="Times New Roman" w:eastAsia="宋体" w:cs="Times New Roman"/>
                      <w:b w:val="0"/>
                      <w:bCs w:val="0"/>
                      <w:color w:val="auto"/>
                      <w:kern w:val="2"/>
                      <w:sz w:val="21"/>
                      <w:szCs w:val="21"/>
                      <w:highlight w:val="none"/>
                      <w:u w:val="none" w:color="auto"/>
                      <w:lang w:val="en-US" w:eastAsia="zh-CN" w:bidi="ar-SA"/>
                    </w:rPr>
                  </w:pPr>
                  <w:r>
                    <w:rPr>
                      <w:rFonts w:hint="eastAsia" w:ascii="Times New Roman" w:hAnsi="Times New Roman" w:cs="Times New Roman"/>
                      <w:b w:val="0"/>
                      <w:bCs w:val="0"/>
                      <w:color w:val="auto"/>
                      <w:kern w:val="2"/>
                      <w:sz w:val="21"/>
                      <w:szCs w:val="21"/>
                      <w:highlight w:val="none"/>
                      <w:u w:val="none" w:color="auto"/>
                      <w:lang w:val="en-US" w:eastAsia="zh-CN" w:bidi="ar-SA"/>
                    </w:rPr>
                    <w:t>-40</w:t>
                  </w:r>
                </w:p>
              </w:tc>
              <w:tc>
                <w:tcPr>
                  <w:tcW w:w="315" w:type="pct"/>
                  <w:vMerge w:val="restart"/>
                  <w:noWrap w:val="0"/>
                  <w:vAlign w:val="center"/>
                </w:tcPr>
                <w:p w14:paraId="436A024C">
                  <w:pPr>
                    <w:keepNext w:val="0"/>
                    <w:keepLines w:val="0"/>
                    <w:pageBreakBefore w:val="0"/>
                    <w:kinsoku/>
                    <w:wordWrap/>
                    <w:overflowPunct/>
                    <w:topLinePunct w:val="0"/>
                    <w:autoSpaceDE/>
                    <w:autoSpaceDN/>
                    <w:bidi w:val="0"/>
                    <w:adjustRightInd/>
                    <w:snapToGrid/>
                    <w:jc w:val="center"/>
                    <w:outlineLvl w:val="9"/>
                    <w:rPr>
                      <w:rFonts w:hint="default" w:ascii="Times New Roman" w:hAnsi="Times New Roman" w:eastAsia="宋体" w:cs="Times New Roman"/>
                      <w:b w:val="0"/>
                      <w:bCs w:val="0"/>
                      <w:color w:val="auto"/>
                      <w:kern w:val="2"/>
                      <w:sz w:val="21"/>
                      <w:szCs w:val="21"/>
                      <w:highlight w:val="none"/>
                      <w:u w:val="none" w:color="auto"/>
                      <w:lang w:val="en-US" w:eastAsia="zh-CN" w:bidi="ar-SA"/>
                    </w:rPr>
                  </w:pPr>
                  <w:r>
                    <w:rPr>
                      <w:rFonts w:hint="eastAsia" w:ascii="Times New Roman" w:hAnsi="Times New Roman" w:cs="Times New Roman"/>
                      <w:b w:val="0"/>
                      <w:bCs w:val="0"/>
                      <w:color w:val="auto"/>
                      <w:kern w:val="2"/>
                      <w:sz w:val="21"/>
                      <w:szCs w:val="21"/>
                      <w:highlight w:val="none"/>
                      <w:u w:val="none" w:color="auto"/>
                      <w:lang w:val="en-US" w:eastAsia="zh-CN" w:bidi="ar-SA"/>
                    </w:rPr>
                    <w:t>-50</w:t>
                  </w:r>
                </w:p>
              </w:tc>
              <w:tc>
                <w:tcPr>
                  <w:tcW w:w="272" w:type="pct"/>
                  <w:vMerge w:val="restart"/>
                  <w:noWrap w:val="0"/>
                  <w:vAlign w:val="center"/>
                </w:tcPr>
                <w:p w14:paraId="5B23D67D">
                  <w:pPr>
                    <w:keepNext w:val="0"/>
                    <w:keepLines w:val="0"/>
                    <w:pageBreakBefore w:val="0"/>
                    <w:kinsoku/>
                    <w:wordWrap/>
                    <w:overflowPunct/>
                    <w:topLinePunct w:val="0"/>
                    <w:autoSpaceDE/>
                    <w:autoSpaceDN/>
                    <w:bidi w:val="0"/>
                    <w:adjustRightInd/>
                    <w:snapToGrid/>
                    <w:jc w:val="center"/>
                    <w:outlineLvl w:val="9"/>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cs="Times New Roman"/>
                      <w:b w:val="0"/>
                      <w:bCs w:val="0"/>
                      <w:color w:val="auto"/>
                      <w:kern w:val="2"/>
                      <w:sz w:val="21"/>
                      <w:szCs w:val="21"/>
                      <w:highlight w:val="none"/>
                      <w:u w:val="none" w:color="auto"/>
                      <w:lang w:val="en-US" w:eastAsia="zh-CN" w:bidi="ar-SA"/>
                    </w:rPr>
                    <w:t>3</w:t>
                  </w:r>
                </w:p>
              </w:tc>
              <w:tc>
                <w:tcPr>
                  <w:tcW w:w="270" w:type="pct"/>
                  <w:noWrap w:val="0"/>
                  <w:vAlign w:val="center"/>
                </w:tcPr>
                <w:p w14:paraId="58D974B7">
                  <w:pPr>
                    <w:keepNext w:val="0"/>
                    <w:keepLines w:val="0"/>
                    <w:pageBreakBefore w:val="0"/>
                    <w:kinsoku/>
                    <w:wordWrap/>
                    <w:overflowPunct/>
                    <w:topLinePunct w:val="0"/>
                    <w:autoSpaceDE/>
                    <w:autoSpaceDN/>
                    <w:bidi w:val="0"/>
                    <w:adjustRightInd/>
                    <w:snapToGrid/>
                    <w:jc w:val="center"/>
                    <w:outlineLvl w:val="9"/>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val="0"/>
                      <w:bCs w:val="0"/>
                      <w:color w:val="auto"/>
                      <w:spacing w:val="0"/>
                      <w:position w:val="0"/>
                      <w:sz w:val="21"/>
                      <w:szCs w:val="21"/>
                      <w:highlight w:val="none"/>
                      <w:u w:val="none" w:color="auto"/>
                      <w:lang w:eastAsia="zh-CN"/>
                    </w:rPr>
                    <w:t>东</w:t>
                  </w:r>
                </w:p>
              </w:tc>
              <w:tc>
                <w:tcPr>
                  <w:tcW w:w="270" w:type="pct"/>
                  <w:noWrap w:val="0"/>
                  <w:vAlign w:val="center"/>
                </w:tcPr>
                <w:p w14:paraId="4A9B8DF0">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45</w:t>
                  </w:r>
                </w:p>
              </w:tc>
              <w:tc>
                <w:tcPr>
                  <w:tcW w:w="483" w:type="pct"/>
                  <w:noWrap w:val="0"/>
                  <w:vAlign w:val="center"/>
                </w:tcPr>
                <w:p w14:paraId="1DDB353B">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41.94</w:t>
                  </w:r>
                </w:p>
              </w:tc>
              <w:tc>
                <w:tcPr>
                  <w:tcW w:w="306" w:type="pct"/>
                  <w:vMerge w:val="continue"/>
                  <w:noWrap w:val="0"/>
                  <w:vAlign w:val="center"/>
                </w:tcPr>
                <w:p w14:paraId="59DFB10F">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07" w:type="pct"/>
                  <w:vMerge w:val="continue"/>
                  <w:noWrap w:val="0"/>
                  <w:vAlign w:val="center"/>
                </w:tcPr>
                <w:p w14:paraId="40CC2BF4">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765" w:type="dxa"/>
                  <w:noWrap w:val="0"/>
                  <w:vAlign w:val="center"/>
                </w:tcPr>
                <w:p w14:paraId="50B0EC8E">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26.94</w:t>
                  </w:r>
                </w:p>
              </w:tc>
              <w:tc>
                <w:tcPr>
                  <w:tcW w:w="276" w:type="pct"/>
                  <w:noWrap w:val="0"/>
                  <w:vAlign w:val="center"/>
                </w:tcPr>
                <w:p w14:paraId="4D19B107">
                  <w:pPr>
                    <w:keepNext w:val="0"/>
                    <w:keepLines w:val="0"/>
                    <w:pageBreakBefore w:val="0"/>
                    <w:kinsoku/>
                    <w:wordWrap/>
                    <w:overflowPunct/>
                    <w:topLinePunct w:val="0"/>
                    <w:autoSpaceDE/>
                    <w:autoSpaceDN/>
                    <w:bidi w:val="0"/>
                    <w:adjustRightInd/>
                    <w:snapToGrid/>
                    <w:jc w:val="center"/>
                    <w:outlineLvl w:val="9"/>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591D434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0" w:hRule="atLeast"/>
                <w:jc w:val="center"/>
              </w:trPr>
              <w:tc>
                <w:tcPr>
                  <w:tcW w:w="270" w:type="pct"/>
                  <w:vMerge w:val="continue"/>
                  <w:noWrap w:val="0"/>
                  <w:vAlign w:val="center"/>
                </w:tcPr>
                <w:p w14:paraId="5A35AC82">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color w:val="auto"/>
                      <w:highlight w:val="none"/>
                      <w:u w:val="none" w:color="auto"/>
                    </w:rPr>
                  </w:pPr>
                </w:p>
              </w:tc>
              <w:tc>
                <w:tcPr>
                  <w:tcW w:w="270" w:type="pct"/>
                  <w:vMerge w:val="continue"/>
                  <w:noWrap w:val="0"/>
                  <w:vAlign w:val="center"/>
                </w:tcPr>
                <w:p w14:paraId="196B5971">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color w:val="auto"/>
                      <w:highlight w:val="none"/>
                      <w:u w:val="none" w:color="auto"/>
                    </w:rPr>
                  </w:pPr>
                </w:p>
              </w:tc>
              <w:tc>
                <w:tcPr>
                  <w:tcW w:w="432" w:type="pct"/>
                  <w:vMerge w:val="continue"/>
                  <w:noWrap w:val="0"/>
                  <w:vAlign w:val="center"/>
                </w:tcPr>
                <w:p w14:paraId="16B912BA">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color w:val="auto"/>
                      <w:highlight w:val="none"/>
                      <w:u w:val="none" w:color="auto"/>
                    </w:rPr>
                  </w:pPr>
                </w:p>
              </w:tc>
              <w:tc>
                <w:tcPr>
                  <w:tcW w:w="265" w:type="pct"/>
                  <w:vMerge w:val="continue"/>
                  <w:noWrap w:val="0"/>
                  <w:vAlign w:val="center"/>
                </w:tcPr>
                <w:p w14:paraId="331930C2">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color w:val="auto"/>
                      <w:highlight w:val="none"/>
                      <w:u w:val="none" w:color="auto"/>
                    </w:rPr>
                  </w:pPr>
                </w:p>
              </w:tc>
              <w:tc>
                <w:tcPr>
                  <w:tcW w:w="403" w:type="pct"/>
                  <w:vMerge w:val="continue"/>
                  <w:noWrap w:val="0"/>
                  <w:vAlign w:val="center"/>
                </w:tcPr>
                <w:p w14:paraId="216B899A">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color w:val="auto"/>
                      <w:highlight w:val="none"/>
                      <w:u w:val="none" w:color="auto"/>
                    </w:rPr>
                  </w:pPr>
                </w:p>
              </w:tc>
              <w:tc>
                <w:tcPr>
                  <w:tcW w:w="270" w:type="pct"/>
                  <w:vMerge w:val="continue"/>
                  <w:noWrap w:val="0"/>
                  <w:vAlign w:val="center"/>
                </w:tcPr>
                <w:p w14:paraId="66FA52D8">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color w:val="auto"/>
                      <w:highlight w:val="none"/>
                      <w:u w:val="none" w:color="auto"/>
                    </w:rPr>
                  </w:pPr>
                </w:p>
              </w:tc>
              <w:tc>
                <w:tcPr>
                  <w:tcW w:w="315" w:type="pct"/>
                  <w:vMerge w:val="continue"/>
                  <w:noWrap w:val="0"/>
                  <w:vAlign w:val="center"/>
                </w:tcPr>
                <w:p w14:paraId="75B33398">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color w:val="auto"/>
                      <w:highlight w:val="none"/>
                      <w:u w:val="none" w:color="auto"/>
                    </w:rPr>
                  </w:pPr>
                </w:p>
              </w:tc>
              <w:tc>
                <w:tcPr>
                  <w:tcW w:w="272" w:type="pct"/>
                  <w:vMerge w:val="continue"/>
                  <w:noWrap w:val="0"/>
                  <w:vAlign w:val="center"/>
                </w:tcPr>
                <w:p w14:paraId="328D5514">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color w:val="auto"/>
                      <w:highlight w:val="none"/>
                      <w:u w:val="none" w:color="auto"/>
                    </w:rPr>
                  </w:pPr>
                </w:p>
              </w:tc>
              <w:tc>
                <w:tcPr>
                  <w:tcW w:w="270" w:type="pct"/>
                  <w:noWrap w:val="0"/>
                  <w:vAlign w:val="center"/>
                </w:tcPr>
                <w:p w14:paraId="1E80820E">
                  <w:pPr>
                    <w:keepNext w:val="0"/>
                    <w:keepLines w:val="0"/>
                    <w:pageBreakBefore w:val="0"/>
                    <w:kinsoku/>
                    <w:wordWrap/>
                    <w:overflowPunct/>
                    <w:topLinePunct w:val="0"/>
                    <w:autoSpaceDE/>
                    <w:autoSpaceDN/>
                    <w:bidi w:val="0"/>
                    <w:adjustRightInd/>
                    <w:snapToGrid/>
                    <w:jc w:val="center"/>
                    <w:outlineLvl w:val="9"/>
                    <w:rPr>
                      <w:rFonts w:hint="default" w:ascii="Times New Roman" w:hAnsi="Times New Roman" w:cs="Times New Roman"/>
                      <w:color w:val="auto"/>
                      <w:highlight w:val="none"/>
                      <w:u w:val="none" w:color="auto"/>
                    </w:rPr>
                  </w:pPr>
                  <w:r>
                    <w:rPr>
                      <w:rFonts w:hint="default" w:ascii="Times New Roman" w:hAnsi="Times New Roman" w:eastAsia="宋体" w:cs="Times New Roman"/>
                      <w:b w:val="0"/>
                      <w:bCs w:val="0"/>
                      <w:color w:val="auto"/>
                      <w:spacing w:val="0"/>
                      <w:position w:val="0"/>
                      <w:sz w:val="21"/>
                      <w:szCs w:val="21"/>
                      <w:highlight w:val="none"/>
                      <w:u w:val="none" w:color="auto"/>
                      <w:lang w:eastAsia="zh-CN"/>
                    </w:rPr>
                    <w:t>南</w:t>
                  </w:r>
                </w:p>
              </w:tc>
              <w:tc>
                <w:tcPr>
                  <w:tcW w:w="270" w:type="pct"/>
                  <w:noWrap w:val="0"/>
                  <w:vAlign w:val="center"/>
                </w:tcPr>
                <w:p w14:paraId="1A3E2D3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55</w:t>
                  </w:r>
                </w:p>
              </w:tc>
              <w:tc>
                <w:tcPr>
                  <w:tcW w:w="483" w:type="pct"/>
                  <w:noWrap w:val="0"/>
                  <w:vAlign w:val="center"/>
                </w:tcPr>
                <w:p w14:paraId="5355BF90">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40.19</w:t>
                  </w:r>
                </w:p>
              </w:tc>
              <w:tc>
                <w:tcPr>
                  <w:tcW w:w="306" w:type="pct"/>
                  <w:vMerge w:val="continue"/>
                  <w:noWrap w:val="0"/>
                  <w:vAlign w:val="center"/>
                </w:tcPr>
                <w:p w14:paraId="5B8CE1E4">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color w:val="auto"/>
                      <w:highlight w:val="none"/>
                      <w:u w:val="none" w:color="auto"/>
                    </w:rPr>
                  </w:pPr>
                </w:p>
              </w:tc>
              <w:tc>
                <w:tcPr>
                  <w:tcW w:w="407" w:type="pct"/>
                  <w:vMerge w:val="continue"/>
                  <w:noWrap w:val="0"/>
                  <w:vAlign w:val="center"/>
                </w:tcPr>
                <w:p w14:paraId="4605A23E">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cs="Times New Roman"/>
                      <w:color w:val="auto"/>
                      <w:highlight w:val="none"/>
                      <w:u w:val="none" w:color="auto"/>
                    </w:rPr>
                  </w:pPr>
                </w:p>
              </w:tc>
              <w:tc>
                <w:tcPr>
                  <w:tcW w:w="765" w:type="dxa"/>
                  <w:noWrap w:val="0"/>
                  <w:vAlign w:val="center"/>
                </w:tcPr>
                <w:p w14:paraId="11C4081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25.19</w:t>
                  </w:r>
                </w:p>
              </w:tc>
              <w:tc>
                <w:tcPr>
                  <w:tcW w:w="276" w:type="pct"/>
                  <w:noWrap w:val="0"/>
                  <w:vAlign w:val="center"/>
                </w:tcPr>
                <w:p w14:paraId="04A84D64">
                  <w:pPr>
                    <w:keepNext w:val="0"/>
                    <w:keepLines w:val="0"/>
                    <w:pageBreakBefore w:val="0"/>
                    <w:kinsoku/>
                    <w:wordWrap/>
                    <w:overflowPunct/>
                    <w:topLinePunct w:val="0"/>
                    <w:autoSpaceDE/>
                    <w:autoSpaceDN/>
                    <w:bidi w:val="0"/>
                    <w:adjustRightInd/>
                    <w:snapToGrid/>
                    <w:jc w:val="center"/>
                    <w:outlineLvl w:val="9"/>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76AF486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0" w:hRule="atLeast"/>
                <w:jc w:val="center"/>
              </w:trPr>
              <w:tc>
                <w:tcPr>
                  <w:tcW w:w="270" w:type="pct"/>
                  <w:vMerge w:val="continue"/>
                  <w:noWrap w:val="0"/>
                  <w:vAlign w:val="center"/>
                </w:tcPr>
                <w:p w14:paraId="30B76666">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70" w:type="pct"/>
                  <w:vMerge w:val="continue"/>
                  <w:noWrap w:val="0"/>
                  <w:vAlign w:val="center"/>
                </w:tcPr>
                <w:p w14:paraId="62F3E0A5">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32" w:type="pct"/>
                  <w:vMerge w:val="continue"/>
                  <w:noWrap w:val="0"/>
                  <w:vAlign w:val="center"/>
                </w:tcPr>
                <w:p w14:paraId="05A4797E">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65" w:type="pct"/>
                  <w:vMerge w:val="continue"/>
                  <w:noWrap w:val="0"/>
                  <w:vAlign w:val="center"/>
                </w:tcPr>
                <w:p w14:paraId="65F14689">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03" w:type="pct"/>
                  <w:vMerge w:val="continue"/>
                  <w:noWrap w:val="0"/>
                  <w:vAlign w:val="center"/>
                </w:tcPr>
                <w:p w14:paraId="66F43E70">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70" w:type="pct"/>
                  <w:vMerge w:val="continue"/>
                  <w:noWrap w:val="0"/>
                  <w:vAlign w:val="center"/>
                </w:tcPr>
                <w:p w14:paraId="7C63BE56">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315" w:type="pct"/>
                  <w:vMerge w:val="continue"/>
                  <w:noWrap w:val="0"/>
                  <w:vAlign w:val="center"/>
                </w:tcPr>
                <w:p w14:paraId="34EF4675">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72" w:type="pct"/>
                  <w:vMerge w:val="continue"/>
                  <w:noWrap w:val="0"/>
                  <w:vAlign w:val="center"/>
                </w:tcPr>
                <w:p w14:paraId="3DE2F0C2">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70" w:type="pct"/>
                  <w:noWrap w:val="0"/>
                  <w:vAlign w:val="center"/>
                </w:tcPr>
                <w:p w14:paraId="0D67F7B8">
                  <w:pPr>
                    <w:keepNext w:val="0"/>
                    <w:keepLines w:val="0"/>
                    <w:pageBreakBefore w:val="0"/>
                    <w:kinsoku/>
                    <w:wordWrap/>
                    <w:overflowPunct/>
                    <w:topLinePunct w:val="0"/>
                    <w:autoSpaceDE/>
                    <w:autoSpaceDN/>
                    <w:bidi w:val="0"/>
                    <w:adjustRightInd/>
                    <w:snapToGrid/>
                    <w:jc w:val="center"/>
                    <w:outlineLvl w:val="9"/>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val="0"/>
                      <w:bCs w:val="0"/>
                      <w:color w:val="auto"/>
                      <w:spacing w:val="0"/>
                      <w:position w:val="0"/>
                      <w:sz w:val="21"/>
                      <w:szCs w:val="21"/>
                      <w:highlight w:val="none"/>
                      <w:u w:val="none" w:color="auto"/>
                      <w:lang w:eastAsia="zh-CN"/>
                    </w:rPr>
                    <w:t>西</w:t>
                  </w:r>
                </w:p>
              </w:tc>
              <w:tc>
                <w:tcPr>
                  <w:tcW w:w="270" w:type="pct"/>
                  <w:noWrap w:val="0"/>
                  <w:vAlign w:val="center"/>
                </w:tcPr>
                <w:p w14:paraId="32BC895F">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55</w:t>
                  </w:r>
                </w:p>
              </w:tc>
              <w:tc>
                <w:tcPr>
                  <w:tcW w:w="483" w:type="pct"/>
                  <w:noWrap w:val="0"/>
                  <w:vAlign w:val="center"/>
                </w:tcPr>
                <w:p w14:paraId="51828B05">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40.19</w:t>
                  </w:r>
                </w:p>
              </w:tc>
              <w:tc>
                <w:tcPr>
                  <w:tcW w:w="306" w:type="pct"/>
                  <w:vMerge w:val="continue"/>
                  <w:noWrap w:val="0"/>
                  <w:vAlign w:val="center"/>
                </w:tcPr>
                <w:p w14:paraId="78853AF9">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07" w:type="pct"/>
                  <w:vMerge w:val="continue"/>
                  <w:noWrap w:val="0"/>
                  <w:vAlign w:val="center"/>
                </w:tcPr>
                <w:p w14:paraId="2D5C6915">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765" w:type="dxa"/>
                  <w:noWrap w:val="0"/>
                  <w:vAlign w:val="center"/>
                </w:tcPr>
                <w:p w14:paraId="0096985A">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25.19</w:t>
                  </w:r>
                </w:p>
              </w:tc>
              <w:tc>
                <w:tcPr>
                  <w:tcW w:w="276" w:type="pct"/>
                  <w:noWrap w:val="0"/>
                  <w:vAlign w:val="center"/>
                </w:tcPr>
                <w:p w14:paraId="2358D0CD">
                  <w:pPr>
                    <w:keepNext w:val="0"/>
                    <w:keepLines w:val="0"/>
                    <w:pageBreakBefore w:val="0"/>
                    <w:kinsoku/>
                    <w:wordWrap/>
                    <w:overflowPunct/>
                    <w:topLinePunct w:val="0"/>
                    <w:autoSpaceDE/>
                    <w:autoSpaceDN/>
                    <w:bidi w:val="0"/>
                    <w:adjustRightInd/>
                    <w:snapToGrid/>
                    <w:jc w:val="center"/>
                    <w:outlineLvl w:val="9"/>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4FFB90F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0" w:hRule="atLeast"/>
                <w:jc w:val="center"/>
              </w:trPr>
              <w:tc>
                <w:tcPr>
                  <w:tcW w:w="270" w:type="pct"/>
                  <w:vMerge w:val="continue"/>
                  <w:noWrap w:val="0"/>
                  <w:vAlign w:val="center"/>
                </w:tcPr>
                <w:p w14:paraId="64E0674F">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70" w:type="pct"/>
                  <w:vMerge w:val="continue"/>
                  <w:noWrap w:val="0"/>
                  <w:vAlign w:val="center"/>
                </w:tcPr>
                <w:p w14:paraId="4458F00E">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32" w:type="pct"/>
                  <w:vMerge w:val="continue"/>
                  <w:noWrap w:val="0"/>
                  <w:vAlign w:val="center"/>
                </w:tcPr>
                <w:p w14:paraId="0501F3A4">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65" w:type="pct"/>
                  <w:vMerge w:val="continue"/>
                  <w:noWrap w:val="0"/>
                  <w:vAlign w:val="center"/>
                </w:tcPr>
                <w:p w14:paraId="031A5E9B">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03" w:type="pct"/>
                  <w:vMerge w:val="continue"/>
                  <w:noWrap w:val="0"/>
                  <w:vAlign w:val="center"/>
                </w:tcPr>
                <w:p w14:paraId="5421220A">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70" w:type="pct"/>
                  <w:vMerge w:val="continue"/>
                  <w:noWrap w:val="0"/>
                  <w:vAlign w:val="center"/>
                </w:tcPr>
                <w:p w14:paraId="5FC8B081">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315" w:type="pct"/>
                  <w:vMerge w:val="continue"/>
                  <w:noWrap w:val="0"/>
                  <w:vAlign w:val="center"/>
                </w:tcPr>
                <w:p w14:paraId="312D721B">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72" w:type="pct"/>
                  <w:vMerge w:val="continue"/>
                  <w:noWrap w:val="0"/>
                  <w:vAlign w:val="center"/>
                </w:tcPr>
                <w:p w14:paraId="535F40D6">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270" w:type="pct"/>
                  <w:noWrap w:val="0"/>
                  <w:vAlign w:val="center"/>
                </w:tcPr>
                <w:p w14:paraId="77EA2AA7">
                  <w:pPr>
                    <w:keepNext w:val="0"/>
                    <w:keepLines w:val="0"/>
                    <w:pageBreakBefore w:val="0"/>
                    <w:kinsoku/>
                    <w:wordWrap/>
                    <w:overflowPunct/>
                    <w:topLinePunct w:val="0"/>
                    <w:autoSpaceDE/>
                    <w:autoSpaceDN/>
                    <w:bidi w:val="0"/>
                    <w:adjustRightInd/>
                    <w:snapToGrid/>
                    <w:jc w:val="center"/>
                    <w:outlineLvl w:val="9"/>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val="0"/>
                      <w:bCs w:val="0"/>
                      <w:color w:val="auto"/>
                      <w:spacing w:val="0"/>
                      <w:position w:val="0"/>
                      <w:sz w:val="21"/>
                      <w:szCs w:val="21"/>
                      <w:highlight w:val="none"/>
                      <w:u w:val="none" w:color="auto"/>
                      <w:lang w:eastAsia="zh-CN"/>
                    </w:rPr>
                    <w:t>北</w:t>
                  </w:r>
                </w:p>
              </w:tc>
              <w:tc>
                <w:tcPr>
                  <w:tcW w:w="270" w:type="pct"/>
                  <w:noWrap w:val="0"/>
                  <w:vAlign w:val="center"/>
                </w:tcPr>
                <w:p w14:paraId="1B6070F2">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10</w:t>
                  </w:r>
                </w:p>
              </w:tc>
              <w:tc>
                <w:tcPr>
                  <w:tcW w:w="483" w:type="pct"/>
                  <w:noWrap w:val="0"/>
                  <w:vAlign w:val="center"/>
                </w:tcPr>
                <w:p w14:paraId="2048A731">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color w:val="auto"/>
                      <w:szCs w:val="21"/>
                      <w:highlight w:val="none"/>
                      <w:u w:val="none" w:color="auto"/>
                      <w:lang w:val="en-US" w:eastAsia="zh-CN"/>
                    </w:rPr>
                  </w:pPr>
                  <w:r>
                    <w:rPr>
                      <w:rFonts w:hint="eastAsia" w:ascii="Times New Roman" w:hAnsi="Times New Roman" w:cs="Times New Roman"/>
                      <w:color w:val="auto"/>
                      <w:szCs w:val="21"/>
                      <w:highlight w:val="none"/>
                      <w:u w:val="none" w:color="auto"/>
                      <w:lang w:val="en-US" w:eastAsia="zh-CN"/>
                    </w:rPr>
                    <w:t>55.00</w:t>
                  </w:r>
                </w:p>
              </w:tc>
              <w:tc>
                <w:tcPr>
                  <w:tcW w:w="306" w:type="pct"/>
                  <w:vMerge w:val="continue"/>
                  <w:noWrap w:val="0"/>
                  <w:vAlign w:val="center"/>
                </w:tcPr>
                <w:p w14:paraId="321E965C">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407" w:type="pct"/>
                  <w:vMerge w:val="continue"/>
                  <w:noWrap w:val="0"/>
                  <w:vAlign w:val="center"/>
                </w:tcPr>
                <w:p w14:paraId="38E92204">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p>
              </w:tc>
              <w:tc>
                <w:tcPr>
                  <w:tcW w:w="765" w:type="dxa"/>
                  <w:noWrap w:val="0"/>
                  <w:vAlign w:val="center"/>
                </w:tcPr>
                <w:p w14:paraId="3D5B367D">
                  <w:pPr>
                    <w:keepNext w:val="0"/>
                    <w:keepLines w:val="0"/>
                    <w:pageBreakBefore w:val="0"/>
                    <w:widowControl/>
                    <w:kinsoku/>
                    <w:wordWrap w:val="0"/>
                    <w:overflowPunct/>
                    <w:topLinePunct/>
                    <w:autoSpaceDE/>
                    <w:autoSpaceDN/>
                    <w:bidi w:val="0"/>
                    <w:adjustRightInd/>
                    <w:snapToGrid/>
                    <w:jc w:val="center"/>
                    <w:outlineLvl w:val="9"/>
                    <w:rPr>
                      <w:rFonts w:hint="default" w:ascii="Times New Roman" w:hAnsi="Times New Roman" w:cs="Times New Roman"/>
                      <w:i w:val="0"/>
                      <w:iCs w:val="0"/>
                      <w:color w:val="auto"/>
                      <w:szCs w:val="21"/>
                      <w:highlight w:val="none"/>
                      <w:u w:val="none" w:color="auto"/>
                      <w:lang w:val="en-US" w:eastAsia="zh-CN"/>
                    </w:rPr>
                  </w:pPr>
                  <w:r>
                    <w:rPr>
                      <w:rFonts w:hint="eastAsia" w:ascii="Times New Roman" w:hAnsi="Times New Roman" w:cs="Times New Roman"/>
                      <w:i w:val="0"/>
                      <w:iCs w:val="0"/>
                      <w:color w:val="auto"/>
                      <w:szCs w:val="21"/>
                      <w:highlight w:val="none"/>
                      <w:u w:val="none" w:color="auto"/>
                      <w:lang w:val="en-US" w:eastAsia="zh-CN"/>
                    </w:rPr>
                    <w:t>40</w:t>
                  </w:r>
                  <w:r>
                    <w:rPr>
                      <w:rFonts w:hint="eastAsia" w:cs="Times New Roman"/>
                      <w:i w:val="0"/>
                      <w:iCs w:val="0"/>
                      <w:color w:val="auto"/>
                      <w:szCs w:val="21"/>
                      <w:highlight w:val="none"/>
                      <w:u w:val="none" w:color="auto"/>
                      <w:lang w:val="en-US" w:eastAsia="zh-CN"/>
                    </w:rPr>
                    <w:t>.00</w:t>
                  </w:r>
                </w:p>
              </w:tc>
              <w:tc>
                <w:tcPr>
                  <w:tcW w:w="276" w:type="pct"/>
                  <w:noWrap w:val="0"/>
                  <w:vAlign w:val="center"/>
                </w:tcPr>
                <w:p w14:paraId="18632AF7">
                  <w:pPr>
                    <w:keepNext w:val="0"/>
                    <w:keepLines w:val="0"/>
                    <w:pageBreakBefore w:val="0"/>
                    <w:kinsoku/>
                    <w:wordWrap/>
                    <w:overflowPunct/>
                    <w:topLinePunct w:val="0"/>
                    <w:autoSpaceDE/>
                    <w:autoSpaceDN/>
                    <w:bidi w:val="0"/>
                    <w:adjustRightInd/>
                    <w:snapToGrid/>
                    <w:jc w:val="center"/>
                    <w:outlineLvl w:val="9"/>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color w:val="auto"/>
                      <w:spacing w:val="0"/>
                      <w:position w:val="0"/>
                      <w:sz w:val="21"/>
                      <w:szCs w:val="21"/>
                      <w:highlight w:val="none"/>
                      <w:u w:val="none" w:color="auto"/>
                      <w:lang w:val="en-US" w:eastAsia="zh-CN"/>
                    </w:rPr>
                    <w:t>1</w:t>
                  </w:r>
                </w:p>
              </w:tc>
            </w:tr>
            <w:tr w14:paraId="629257E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4" w:hRule="atLeast"/>
                <w:jc w:val="center"/>
              </w:trPr>
              <w:tc>
                <w:tcPr>
                  <w:tcW w:w="5000" w:type="pct"/>
                  <w:gridSpan w:val="15"/>
                  <w:noWrap w:val="0"/>
                  <w:vAlign w:val="center"/>
                </w:tcPr>
                <w:p w14:paraId="7B8B3EC7">
                  <w:pPr>
                    <w:keepNext w:val="0"/>
                    <w:keepLines w:val="0"/>
                    <w:pageBreakBefore w:val="0"/>
                    <w:widowControl/>
                    <w:kinsoku/>
                    <w:wordWrap w:val="0"/>
                    <w:overflowPunct/>
                    <w:topLinePunct/>
                    <w:autoSpaceDE/>
                    <w:autoSpaceDN/>
                    <w:bidi w:val="0"/>
                    <w:adjustRightInd/>
                    <w:snapToGrid/>
                    <w:spacing w:after="0" w:line="240" w:lineRule="auto"/>
                    <w:ind w:left="0" w:leftChars="0" w:firstLine="0" w:firstLineChars="0"/>
                    <w:jc w:val="both"/>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bCs/>
                      <w:color w:val="auto"/>
                      <w:kern w:val="2"/>
                      <w:sz w:val="21"/>
                      <w:szCs w:val="21"/>
                      <w:highlight w:val="none"/>
                      <w:u w:val="none" w:color="auto"/>
                      <w:lang w:val="en-US" w:eastAsia="zh-CN" w:bidi="ar-SA"/>
                    </w:rPr>
                    <w:t>注：以</w:t>
                  </w:r>
                  <w:r>
                    <w:rPr>
                      <w:rFonts w:hint="eastAsia" w:ascii="Times New Roman" w:hAnsi="Times New Roman" w:eastAsia="宋体" w:cs="Times New Roman"/>
                      <w:b/>
                      <w:bCs/>
                      <w:color w:val="auto"/>
                      <w:kern w:val="2"/>
                      <w:sz w:val="21"/>
                      <w:szCs w:val="21"/>
                      <w:highlight w:val="none"/>
                      <w:u w:val="none" w:color="auto"/>
                      <w:lang w:val="en-US" w:eastAsia="zh-CN" w:bidi="ar-SA"/>
                    </w:rPr>
                    <w:t>生产厂房</w:t>
                  </w:r>
                  <w:r>
                    <w:rPr>
                      <w:rFonts w:hint="eastAsia" w:cs="Times New Roman"/>
                      <w:b/>
                      <w:bCs/>
                      <w:color w:val="auto"/>
                      <w:kern w:val="2"/>
                      <w:sz w:val="21"/>
                      <w:szCs w:val="21"/>
                      <w:highlight w:val="none"/>
                      <w:u w:val="none" w:color="auto"/>
                      <w:lang w:val="en-US" w:eastAsia="zh-CN" w:bidi="ar-SA"/>
                    </w:rPr>
                    <w:t>东</w:t>
                  </w:r>
                  <w:r>
                    <w:rPr>
                      <w:rFonts w:hint="default" w:ascii="Times New Roman" w:hAnsi="Times New Roman" w:eastAsia="宋体" w:cs="Times New Roman"/>
                      <w:b/>
                      <w:bCs/>
                      <w:color w:val="auto"/>
                      <w:kern w:val="2"/>
                      <w:sz w:val="21"/>
                      <w:szCs w:val="21"/>
                      <w:highlight w:val="none"/>
                      <w:u w:val="none" w:color="auto"/>
                      <w:lang w:val="en-US" w:eastAsia="zh-CN" w:bidi="ar-SA"/>
                    </w:rPr>
                    <w:t>角为中心（0,0,0）</w:t>
                  </w:r>
                </w:p>
              </w:tc>
            </w:tr>
          </w:tbl>
          <w:p w14:paraId="675A4D10">
            <w:pPr>
              <w:pStyle w:val="54"/>
              <w:spacing w:line="360" w:lineRule="auto"/>
              <w:ind w:firstLine="482" w:firstLineChars="20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3.2、噪声预测</w:t>
            </w:r>
          </w:p>
          <w:p w14:paraId="097BCEB6">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w:t>
            </w:r>
            <w:bookmarkStart w:id="27" w:name="OLE_LINK27"/>
            <w:r>
              <w:rPr>
                <w:rFonts w:hint="default" w:ascii="Times New Roman" w:hAnsi="Times New Roman" w:cs="Times New Roman"/>
                <w:color w:val="auto"/>
                <w:sz w:val="24"/>
                <w:highlight w:val="none"/>
              </w:rPr>
              <w:t>《环境影响评价技术导则 声环境》（HJ2.4—2021）</w:t>
            </w:r>
            <w:bookmarkEnd w:id="27"/>
            <w:r>
              <w:rPr>
                <w:rFonts w:hint="default" w:ascii="Times New Roman" w:hAnsi="Times New Roman" w:cs="Times New Roman"/>
                <w:color w:val="auto"/>
                <w:sz w:val="24"/>
                <w:highlight w:val="none"/>
              </w:rPr>
              <w:t>中对噪声源强的分类，项目噪声源强按声源性质可以分为流动声源和固定声源两大类，机动车辆为流动声源，场内固定的产生噪声设备为固定声源。在本项目中，项目工业噪声源强均为固定声源。因此，本项目根据导则对工业噪声预测。</w:t>
            </w:r>
          </w:p>
          <w:p w14:paraId="39102DF5">
            <w:pPr>
              <w:spacing w:line="360" w:lineRule="auto"/>
              <w:ind w:firstLine="480"/>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①噪声源源强的选择原则</w:t>
            </w:r>
          </w:p>
          <w:p w14:paraId="23D76880">
            <w:pPr>
              <w:spacing w:line="360" w:lineRule="auto"/>
              <w:ind w:firstLine="480"/>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A、本项目噪声源较简单，有部分属于强噪声设备，有些设备噪声给出的声压级有一个范围，本次评价预测时候按</w:t>
            </w:r>
            <w:r>
              <w:rPr>
                <w:rFonts w:hint="eastAsia" w:cs="Times New Roman"/>
                <w:color w:val="auto"/>
                <w:sz w:val="24"/>
                <w:highlight w:val="none"/>
                <w:u w:val="none"/>
                <w:lang w:val="en-US" w:eastAsia="zh-CN"/>
              </w:rPr>
              <w:t>最大</w:t>
            </w:r>
            <w:r>
              <w:rPr>
                <w:rFonts w:hint="default" w:ascii="Times New Roman" w:hAnsi="Times New Roman" w:cs="Times New Roman"/>
                <w:color w:val="auto"/>
                <w:sz w:val="24"/>
                <w:highlight w:val="none"/>
                <w:u w:val="none"/>
              </w:rPr>
              <w:t>值考虑。</w:t>
            </w:r>
          </w:p>
          <w:p w14:paraId="36408386">
            <w:pPr>
              <w:spacing w:line="360" w:lineRule="auto"/>
              <w:ind w:firstLine="480"/>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B、高噪声设备和低噪声设备的户外噪声级相差较大，按照噪声级叠加规律，相差10dB以上的多个噪声源，可不用考虑低噪声的影响。因此，本次评价在预测时按此规律筛选，只考虑高噪声设备的影响。</w:t>
            </w:r>
          </w:p>
          <w:p w14:paraId="4A26C27D">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②预测模式的选取</w:t>
            </w:r>
          </w:p>
          <w:p w14:paraId="2D8AABA8">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根据《环境影响评价技术导则 声环境》（HJ2.4-2021）的技术要求，本次评价采取导则上推荐模式。</w:t>
            </w:r>
          </w:p>
          <w:p w14:paraId="0EB194CF">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A、声级计算</w:t>
            </w:r>
          </w:p>
          <w:p w14:paraId="01D3B134">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建设项目声源在预测点产生的等效声级贡献值（Leqg）计算公式：</w:t>
            </w:r>
          </w:p>
          <w:p w14:paraId="7DE70E8C">
            <w:pPr>
              <w:spacing w:line="360" w:lineRule="auto"/>
              <w:jc w:val="center"/>
              <w:rPr>
                <w:rFonts w:hint="default" w:ascii="Times New Roman" w:hAnsi="Times New Roman" w:cs="Times New Roman"/>
                <w:color w:val="auto"/>
                <w:sz w:val="24"/>
                <w:highlight w:val="none"/>
              </w:rPr>
            </w:pPr>
            <w:r>
              <w:rPr>
                <w:rFonts w:hint="default" w:ascii="Times New Roman" w:hAnsi="Times New Roman" w:cs="Times New Roman"/>
                <w:color w:val="auto"/>
                <w:position w:val="-28"/>
                <w:sz w:val="24"/>
                <w:highlight w:val="none"/>
              </w:rPr>
              <w:object>
                <v:shape id="_x0000_i1025" o:spt="75" type="#_x0000_t75" style="height:37.6pt;width:141.25pt;" o:ole="t" filled="f" o:preferrelative="t" stroked="f" coordsize="21600,21600">
                  <v:path/>
                  <v:fill on="f" focussize="0,0"/>
                  <v:stroke on="f"/>
                  <v:imagedata r:id="rId12" o:title=""/>
                  <o:lock v:ext="edit" aspectratio="t"/>
                  <w10:wrap type="none"/>
                  <w10:anchorlock/>
                </v:shape>
                <o:OLEObject Type="Embed" ProgID="Equation.KSEE3" ShapeID="_x0000_i1025" DrawAspect="Content" ObjectID="_1468075725" r:id="rId11">
                  <o:LockedField>false</o:LockedField>
                </o:OLEObject>
              </w:object>
            </w:r>
          </w:p>
          <w:p w14:paraId="173D3E9D">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w:t>
            </w:r>
          </w:p>
          <w:p w14:paraId="7C6DDEF1">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L</w:t>
            </w:r>
            <w:r>
              <w:rPr>
                <w:rFonts w:hint="default" w:ascii="Times New Roman" w:hAnsi="Times New Roman" w:cs="Times New Roman"/>
                <w:color w:val="auto"/>
                <w:sz w:val="24"/>
                <w:highlight w:val="none"/>
                <w:vertAlign w:val="subscript"/>
              </w:rPr>
              <w:t>eqg</w:t>
            </w:r>
            <w:r>
              <w:rPr>
                <w:rFonts w:hint="default" w:ascii="Times New Roman" w:hAnsi="Times New Roman" w:cs="Times New Roman"/>
                <w:color w:val="auto"/>
                <w:sz w:val="24"/>
                <w:highlight w:val="none"/>
              </w:rPr>
              <w:t>——噪声贡献值，dB；</w:t>
            </w:r>
          </w:p>
          <w:p w14:paraId="0E229535">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T——预测计算的时间段，S;</w:t>
            </w:r>
          </w:p>
          <w:p w14:paraId="34A50864">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t</w:t>
            </w:r>
            <w:r>
              <w:rPr>
                <w:rFonts w:hint="default" w:ascii="Times New Roman" w:hAnsi="Times New Roman" w:cs="Times New Roman"/>
                <w:color w:val="auto"/>
                <w:sz w:val="24"/>
                <w:highlight w:val="none"/>
                <w:vertAlign w:val="subscript"/>
              </w:rPr>
              <w:t>i</w:t>
            </w:r>
            <w:r>
              <w:rPr>
                <w:rFonts w:hint="default" w:ascii="Times New Roman" w:hAnsi="Times New Roman" w:cs="Times New Roman"/>
                <w:color w:val="auto"/>
                <w:sz w:val="24"/>
                <w:highlight w:val="none"/>
              </w:rPr>
              <w:t>——i声源在T时段内的运行时间，S;</w:t>
            </w:r>
          </w:p>
          <w:p w14:paraId="7AD4A83C">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LAi ——i 声源在预测点产生的A声级，dB。</w:t>
            </w:r>
          </w:p>
          <w:p w14:paraId="44E51043">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B、预测点的预测等效声级(Leq )计算公式：</w:t>
            </w:r>
          </w:p>
          <w:p w14:paraId="26F541C5">
            <w:pPr>
              <w:spacing w:line="360" w:lineRule="auto"/>
              <w:jc w:val="center"/>
              <w:rPr>
                <w:rFonts w:hint="default" w:ascii="Times New Roman" w:hAnsi="Times New Roman" w:cs="Times New Roman"/>
                <w:color w:val="auto"/>
                <w:sz w:val="24"/>
                <w:highlight w:val="none"/>
              </w:rPr>
            </w:pPr>
            <w:r>
              <w:rPr>
                <w:rFonts w:hint="default" w:ascii="Times New Roman" w:hAnsi="Times New Roman" w:cs="Times New Roman"/>
                <w:color w:val="auto"/>
                <w:position w:val="-14"/>
                <w:sz w:val="24"/>
                <w:highlight w:val="none"/>
              </w:rPr>
              <w:object>
                <v:shape id="_x0000_i1026" o:spt="75" type="#_x0000_t75" style="height:20pt;width:143pt;" o:ole="t" filled="f" o:preferrelative="t" stroked="f" coordsize="21600,21600">
                  <v:path/>
                  <v:fill on="f" focussize="0,0"/>
                  <v:stroke on="f"/>
                  <v:imagedata r:id="rId14" o:title=""/>
                  <o:lock v:ext="edit" aspectratio="t"/>
                  <w10:wrap type="none"/>
                  <w10:anchorlock/>
                </v:shape>
                <o:OLEObject Type="Embed" ProgID="Equation.KSEE3" ShapeID="_x0000_i1026" DrawAspect="Content" ObjectID="_1468075726" r:id="rId13">
                  <o:LockedField>false</o:LockedField>
                </o:OLEObject>
              </w:object>
            </w:r>
          </w:p>
          <w:p w14:paraId="4567A8EE">
            <w:pPr>
              <w:spacing w:line="360" w:lineRule="auto"/>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w:t>
            </w:r>
          </w:p>
          <w:p w14:paraId="0277F169">
            <w:pPr>
              <w:spacing w:line="360" w:lineRule="auto"/>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L</w:t>
            </w:r>
            <w:r>
              <w:rPr>
                <w:rFonts w:hint="default" w:ascii="Times New Roman" w:hAnsi="Times New Roman" w:cs="Times New Roman"/>
                <w:color w:val="auto"/>
                <w:sz w:val="24"/>
                <w:highlight w:val="none"/>
                <w:vertAlign w:val="subscript"/>
              </w:rPr>
              <w:t>eq</w:t>
            </w:r>
            <w:r>
              <w:rPr>
                <w:rFonts w:hint="default" w:ascii="Times New Roman" w:hAnsi="Times New Roman" w:cs="Times New Roman"/>
                <w:color w:val="auto"/>
                <w:sz w:val="24"/>
                <w:highlight w:val="none"/>
              </w:rPr>
              <w:t>—预测点的总等效声级，dB；</w:t>
            </w:r>
          </w:p>
          <w:p w14:paraId="09C3AE1D">
            <w:pPr>
              <w:spacing w:line="360" w:lineRule="auto"/>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L</w:t>
            </w:r>
            <w:r>
              <w:rPr>
                <w:rFonts w:hint="default" w:ascii="Times New Roman" w:hAnsi="Times New Roman" w:cs="Times New Roman"/>
                <w:color w:val="auto"/>
                <w:sz w:val="24"/>
                <w:highlight w:val="none"/>
                <w:vertAlign w:val="subscript"/>
              </w:rPr>
              <w:t>eqg</w:t>
            </w:r>
            <w:r>
              <w:rPr>
                <w:rFonts w:hint="default" w:ascii="Times New Roman" w:hAnsi="Times New Roman" w:cs="Times New Roman"/>
                <w:color w:val="auto"/>
                <w:sz w:val="24"/>
                <w:highlight w:val="none"/>
              </w:rPr>
              <w:t xml:space="preserve">——建设项目声源在预测点的等效声级贡献值，dB； </w:t>
            </w:r>
          </w:p>
          <w:p w14:paraId="3C80AC83">
            <w:pPr>
              <w:spacing w:line="360" w:lineRule="auto"/>
              <w:ind w:firstLine="540" w:firstLineChars="2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L</w:t>
            </w:r>
            <w:r>
              <w:rPr>
                <w:rFonts w:hint="default" w:ascii="Times New Roman" w:hAnsi="Times New Roman" w:cs="Times New Roman"/>
                <w:color w:val="auto"/>
                <w:sz w:val="24"/>
                <w:highlight w:val="none"/>
                <w:vertAlign w:val="subscript"/>
              </w:rPr>
              <w:t>eqb</w:t>
            </w:r>
            <w:r>
              <w:rPr>
                <w:rFonts w:hint="default" w:ascii="Times New Roman" w:hAnsi="Times New Roman" w:cs="Times New Roman"/>
                <w:color w:val="auto"/>
                <w:sz w:val="24"/>
                <w:highlight w:val="none"/>
              </w:rPr>
              <w:t>——预测点的背景值，dB。</w:t>
            </w:r>
          </w:p>
          <w:p w14:paraId="0CEC7876">
            <w:pPr>
              <w:pStyle w:val="54"/>
              <w:spacing w:line="360" w:lineRule="auto"/>
              <w:ind w:firstLine="480"/>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C、户外声传播衰减计算</w:t>
            </w:r>
          </w:p>
          <w:p w14:paraId="437317A4">
            <w:pPr>
              <w:pStyle w:val="54"/>
              <w:spacing w:line="360" w:lineRule="auto"/>
              <w:ind w:firstLine="480"/>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户外声传播衰减包括几何发散（Adiv）、大气吸收（Aatm）、地面效应（Agr）屏障屏蔽（Abar）、其他多方面效应（Amisc）引起的衰减。距声源点 r 处的 A 声级按下式计算：</w:t>
            </w:r>
          </w:p>
          <w:p w14:paraId="365BAE01">
            <w:pPr>
              <w:pStyle w:val="54"/>
              <w:spacing w:line="360" w:lineRule="auto"/>
              <w:ind w:firstLine="0" w:firstLineChars="0"/>
              <w:jc w:val="center"/>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Lp（r）=Lp（r0）-（Adiv + Aatm + Agr + Abar + Amisc）</w:t>
            </w:r>
          </w:p>
          <w:p w14:paraId="4A10A6ED">
            <w:pPr>
              <w:pStyle w:val="54"/>
              <w:spacing w:line="360" w:lineRule="auto"/>
              <w:ind w:firstLine="480" w:firstLineChars="200"/>
              <w:rPr>
                <w:rFonts w:hint="default" w:ascii="Times New Roman" w:hAnsi="Times New Roman" w:cs="Times New Roman"/>
                <w:b/>
                <w:color w:val="auto"/>
                <w:highlight w:val="none"/>
                <w:u w:val="none" w:color="auto"/>
              </w:rPr>
            </w:pPr>
            <w:r>
              <w:rPr>
                <w:rFonts w:hint="default" w:ascii="Times New Roman" w:hAnsi="Times New Roman" w:cs="Times New Roman"/>
                <w:bCs/>
                <w:color w:val="auto"/>
                <w:highlight w:val="none"/>
              </w:rPr>
              <w:t>在预测中考虑大气吸收衰减、室内声源等效室外声源等影响和计算方法。</w:t>
            </w:r>
            <w:r>
              <w:rPr>
                <w:rFonts w:hint="default" w:ascii="Times New Roman" w:hAnsi="Times New Roman" w:cs="Times New Roman"/>
                <w:b/>
                <w:color w:val="auto"/>
                <w:highlight w:val="none"/>
                <w:u w:val="none" w:color="auto"/>
              </w:rPr>
              <w:t>3.3、厂界预测结果</w:t>
            </w:r>
          </w:p>
          <w:p w14:paraId="4356D1C6">
            <w:pPr>
              <w:pStyle w:val="54"/>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color w:val="auto"/>
                <w:highlight w:val="none"/>
                <w:u w:val="none" w:color="auto"/>
              </w:rPr>
              <w:t>利用上述的预测评价数学模型，将噪声源强、源强距离厂界距离等有关参数</w:t>
            </w:r>
            <w:r>
              <w:rPr>
                <w:rFonts w:hint="eastAsia" w:ascii="Times New Roman" w:cs="Times New Roman"/>
                <w:color w:val="auto"/>
                <w:highlight w:val="none"/>
                <w:u w:val="none" w:color="auto"/>
                <w:lang w:val="en-US" w:eastAsia="zh-CN"/>
              </w:rPr>
              <w:t>代</w:t>
            </w:r>
            <w:r>
              <w:rPr>
                <w:rFonts w:hint="default" w:ascii="Times New Roman" w:hAnsi="Times New Roman" w:cs="Times New Roman"/>
                <w:color w:val="auto"/>
                <w:highlight w:val="none"/>
                <w:u w:val="none" w:color="auto"/>
              </w:rPr>
              <w:t>入公式计算预测项目噪声源同时产生噪声的最不利情况下的厂界噪声，各厂界的预测结果见下表：</w:t>
            </w:r>
          </w:p>
        </w:tc>
      </w:tr>
    </w:tbl>
    <w:p w14:paraId="51256AD9">
      <w:pPr>
        <w:adjustRightInd w:val="0"/>
        <w:snapToGrid w:val="0"/>
        <w:spacing w:line="360" w:lineRule="auto"/>
        <w:rPr>
          <w:b/>
          <w:color w:val="auto"/>
          <w:kern w:val="0"/>
          <w:sz w:val="28"/>
          <w:szCs w:val="28"/>
          <w:highlight w:val="none"/>
        </w:rPr>
        <w:sectPr>
          <w:pgSz w:w="11907" w:h="16840"/>
          <w:pgMar w:top="1134" w:right="1531" w:bottom="1134" w:left="1531" w:header="851" w:footer="850" w:gutter="0"/>
          <w:pgBorders>
            <w:top w:val="none" w:sz="0" w:space="0"/>
            <w:left w:val="none" w:sz="0" w:space="0"/>
            <w:bottom w:val="none" w:sz="0" w:space="0"/>
            <w:right w:val="none" w:sz="0" w:space="0"/>
          </w:pgBorders>
          <w:pgNumType w:fmt="decimal"/>
          <w:cols w:space="720" w:num="1"/>
          <w:docGrid w:linePitch="312" w:charSpace="0"/>
        </w:sectPr>
      </w:pPr>
    </w:p>
    <w:tbl>
      <w:tblPr>
        <w:tblStyle w:val="34"/>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Layout w:type="autofit"/>
        <w:tblCellMar>
          <w:top w:w="0" w:type="dxa"/>
          <w:left w:w="108" w:type="dxa"/>
          <w:bottom w:w="0" w:type="dxa"/>
          <w:right w:w="108" w:type="dxa"/>
        </w:tblCellMar>
      </w:tblPr>
      <w:tblGrid>
        <w:gridCol w:w="816"/>
        <w:gridCol w:w="8245"/>
      </w:tblGrid>
      <w:tr w14:paraId="07AC36CF">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CellMar>
            <w:top w:w="0" w:type="dxa"/>
            <w:left w:w="108" w:type="dxa"/>
            <w:bottom w:w="0" w:type="dxa"/>
            <w:right w:w="108" w:type="dxa"/>
          </w:tblCellMar>
        </w:tblPrEx>
        <w:trPr>
          <w:trHeight w:val="14534" w:hRule="atLeast"/>
        </w:trPr>
        <w:tc>
          <w:tcPr>
            <w:tcW w:w="816" w:type="dxa"/>
            <w:tcBorders>
              <w:tl2br w:val="nil"/>
              <w:tr2bl w:val="nil"/>
            </w:tcBorders>
          </w:tcPr>
          <w:p w14:paraId="102F6897">
            <w:pPr>
              <w:rPr>
                <w:color w:val="auto"/>
                <w:highlight w:val="none"/>
                <w:vertAlign w:val="baseline"/>
              </w:rPr>
            </w:pPr>
          </w:p>
        </w:tc>
        <w:tc>
          <w:tcPr>
            <w:tcW w:w="8245" w:type="dxa"/>
            <w:tcBorders>
              <w:tl2br w:val="nil"/>
              <w:tr2bl w:val="nil"/>
            </w:tcBorders>
          </w:tcPr>
          <w:p w14:paraId="7BD1063B">
            <w:pPr>
              <w:ind w:firstLine="422" w:firstLineChars="200"/>
              <w:jc w:val="center"/>
              <w:rPr>
                <w:rFonts w:hint="default" w:ascii="Times New Roman" w:hAnsi="Times New Roman" w:cs="Times New Roman"/>
                <w:b/>
                <w:color w:val="auto"/>
                <w:sz w:val="21"/>
                <w:szCs w:val="21"/>
                <w:highlight w:val="none"/>
                <w:u w:val="none" w:color="auto"/>
              </w:rPr>
            </w:pPr>
            <w:r>
              <w:rPr>
                <w:rFonts w:hint="default" w:ascii="Times New Roman" w:hAnsi="Times New Roman" w:cs="Times New Roman"/>
                <w:b/>
                <w:color w:val="auto"/>
                <w:sz w:val="21"/>
                <w:szCs w:val="21"/>
                <w:highlight w:val="none"/>
                <w:u w:val="none" w:color="auto"/>
              </w:rPr>
              <w:t>表4-</w:t>
            </w:r>
            <w:r>
              <w:rPr>
                <w:rFonts w:hint="eastAsia" w:cs="Times New Roman"/>
                <w:b/>
                <w:color w:val="auto"/>
                <w:sz w:val="21"/>
                <w:szCs w:val="21"/>
                <w:highlight w:val="none"/>
                <w:u w:val="none" w:color="auto"/>
                <w:lang w:val="en-US" w:eastAsia="zh-CN"/>
              </w:rPr>
              <w:t xml:space="preserve">12  </w:t>
            </w:r>
            <w:r>
              <w:rPr>
                <w:rFonts w:hint="default" w:ascii="Times New Roman" w:hAnsi="Times New Roman" w:cs="Times New Roman"/>
                <w:b/>
                <w:color w:val="auto"/>
                <w:sz w:val="21"/>
                <w:szCs w:val="21"/>
                <w:highlight w:val="none"/>
                <w:u w:val="none" w:color="auto"/>
              </w:rPr>
              <w:t>项目厂界噪声预测结果   单位：dB(A)</w:t>
            </w:r>
          </w:p>
          <w:tbl>
            <w:tblPr>
              <w:tblStyle w:val="33"/>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85"/>
              <w:gridCol w:w="1225"/>
              <w:gridCol w:w="1242"/>
              <w:gridCol w:w="1530"/>
              <w:gridCol w:w="1842"/>
              <w:gridCol w:w="1170"/>
            </w:tblGrid>
            <w:tr w14:paraId="05FF7F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4" w:hRule="atLeast"/>
                <w:jc w:val="center"/>
              </w:trPr>
              <w:tc>
                <w:tcPr>
                  <w:tcW w:w="616" w:type="pct"/>
                  <w:noWrap w:val="0"/>
                  <w:vAlign w:val="center"/>
                </w:tcPr>
                <w:p w14:paraId="26D758CE">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序号</w:t>
                  </w:r>
                </w:p>
              </w:tc>
              <w:tc>
                <w:tcPr>
                  <w:tcW w:w="766" w:type="pct"/>
                  <w:noWrap w:val="0"/>
                  <w:vAlign w:val="center"/>
                </w:tcPr>
                <w:p w14:paraId="3CB0A16E">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厂界方位</w:t>
                  </w:r>
                </w:p>
              </w:tc>
              <w:tc>
                <w:tcPr>
                  <w:tcW w:w="776" w:type="pct"/>
                  <w:noWrap w:val="0"/>
                  <w:vAlign w:val="center"/>
                </w:tcPr>
                <w:p w14:paraId="16786B13">
                  <w:pPr>
                    <w:spacing w:before="120" w:beforeLines="50" w:after="120" w:afterLines="50"/>
                    <w:jc w:val="center"/>
                    <w:rPr>
                      <w:rFonts w:hint="default" w:ascii="Times New Roman" w:hAnsi="Times New Roman" w:cs="Times New Roman"/>
                      <w:b/>
                      <w:color w:val="auto"/>
                      <w:sz w:val="24"/>
                    </w:rPr>
                  </w:pPr>
                  <w:r>
                    <w:rPr>
                      <w:rFonts w:hint="default" w:ascii="Times New Roman" w:hAnsi="Times New Roman" w:cs="Times New Roman"/>
                      <w:color w:val="auto"/>
                      <w:szCs w:val="21"/>
                    </w:rPr>
                    <w:t>时间</w:t>
                  </w:r>
                </w:p>
              </w:tc>
              <w:tc>
                <w:tcPr>
                  <w:tcW w:w="956" w:type="pct"/>
                  <w:noWrap w:val="0"/>
                  <w:vAlign w:val="center"/>
                </w:tcPr>
                <w:p w14:paraId="1BF8FB0C">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贡献值</w:t>
                  </w:r>
                </w:p>
              </w:tc>
              <w:tc>
                <w:tcPr>
                  <w:tcW w:w="1151" w:type="pct"/>
                  <w:noWrap w:val="0"/>
                  <w:vAlign w:val="center"/>
                </w:tcPr>
                <w:p w14:paraId="6DA5DBDD">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标准值dB(A)</w:t>
                  </w:r>
                </w:p>
              </w:tc>
              <w:tc>
                <w:tcPr>
                  <w:tcW w:w="731" w:type="pct"/>
                  <w:noWrap w:val="0"/>
                  <w:vAlign w:val="center"/>
                </w:tcPr>
                <w:p w14:paraId="1FBD123B">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是否达标</w:t>
                  </w:r>
                </w:p>
              </w:tc>
            </w:tr>
            <w:tr w14:paraId="6E38EB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616" w:type="pct"/>
                  <w:noWrap w:val="0"/>
                  <w:vAlign w:val="center"/>
                </w:tcPr>
                <w:p w14:paraId="2040EE21">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766" w:type="pct"/>
                  <w:noWrap w:val="0"/>
                  <w:vAlign w:val="center"/>
                </w:tcPr>
                <w:p w14:paraId="45ACB0D8">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东厂界</w:t>
                  </w:r>
                </w:p>
              </w:tc>
              <w:tc>
                <w:tcPr>
                  <w:tcW w:w="776" w:type="pct"/>
                  <w:noWrap w:val="0"/>
                  <w:vAlign w:val="center"/>
                </w:tcPr>
                <w:p w14:paraId="0C6E29F9">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昼间</w:t>
                  </w:r>
                </w:p>
              </w:tc>
              <w:tc>
                <w:tcPr>
                  <w:tcW w:w="956" w:type="pct"/>
                  <w:noWrap w:val="0"/>
                  <w:vAlign w:val="center"/>
                </w:tcPr>
                <w:p w14:paraId="2723ED03">
                  <w:pPr>
                    <w:snapToGrid w:val="0"/>
                    <w:jc w:val="center"/>
                    <w:rPr>
                      <w:rFonts w:hint="default" w:ascii="Times New Roman" w:hAnsi="Times New Roman" w:eastAsia="宋体" w:cs="Times New Roman"/>
                      <w:color w:val="auto"/>
                      <w:szCs w:val="21"/>
                      <w:lang w:val="en-US" w:eastAsia="zh-CN"/>
                    </w:rPr>
                  </w:pPr>
                  <w:r>
                    <w:rPr>
                      <w:rFonts w:hint="eastAsia" w:eastAsia="宋体" w:cs="Times New Roman"/>
                      <w:color w:val="auto"/>
                      <w:szCs w:val="21"/>
                      <w:lang w:val="en-US" w:eastAsia="zh-CN"/>
                    </w:rPr>
                    <w:t>38.79</w:t>
                  </w:r>
                </w:p>
              </w:tc>
              <w:tc>
                <w:tcPr>
                  <w:tcW w:w="1151" w:type="pct"/>
                  <w:noWrap w:val="0"/>
                  <w:vAlign w:val="center"/>
                </w:tcPr>
                <w:p w14:paraId="768D76A3">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昼间：60</w:t>
                  </w:r>
                </w:p>
              </w:tc>
              <w:tc>
                <w:tcPr>
                  <w:tcW w:w="731" w:type="pct"/>
                  <w:vMerge w:val="restart"/>
                  <w:noWrap w:val="0"/>
                  <w:vAlign w:val="center"/>
                </w:tcPr>
                <w:p w14:paraId="363DD7D4">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达标</w:t>
                  </w:r>
                </w:p>
              </w:tc>
            </w:tr>
            <w:tr w14:paraId="40CE1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616" w:type="pct"/>
                  <w:noWrap w:val="0"/>
                  <w:vAlign w:val="center"/>
                </w:tcPr>
                <w:p w14:paraId="10C74A35">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2</w:t>
                  </w:r>
                </w:p>
              </w:tc>
              <w:tc>
                <w:tcPr>
                  <w:tcW w:w="766" w:type="pct"/>
                  <w:noWrap w:val="0"/>
                  <w:vAlign w:val="center"/>
                </w:tcPr>
                <w:p w14:paraId="01CB1EE3">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南厂界</w:t>
                  </w:r>
                </w:p>
              </w:tc>
              <w:tc>
                <w:tcPr>
                  <w:tcW w:w="776" w:type="pct"/>
                  <w:noWrap w:val="0"/>
                  <w:vAlign w:val="center"/>
                </w:tcPr>
                <w:p w14:paraId="66CCF1C8">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昼间</w:t>
                  </w:r>
                </w:p>
              </w:tc>
              <w:tc>
                <w:tcPr>
                  <w:tcW w:w="956" w:type="pct"/>
                  <w:noWrap w:val="0"/>
                  <w:vAlign w:val="center"/>
                </w:tcPr>
                <w:p w14:paraId="0DD942C5">
                  <w:pPr>
                    <w:snapToGrid w:val="0"/>
                    <w:jc w:val="center"/>
                    <w:rPr>
                      <w:rFonts w:hint="default" w:ascii="Times New Roman" w:hAnsi="Times New Roman" w:eastAsia="宋体" w:cs="Times New Roman"/>
                      <w:color w:val="auto"/>
                      <w:szCs w:val="21"/>
                      <w:lang w:val="en-US" w:eastAsia="zh-CN"/>
                    </w:rPr>
                  </w:pPr>
                  <w:r>
                    <w:rPr>
                      <w:rFonts w:hint="eastAsia" w:eastAsia="宋体" w:cs="Times New Roman"/>
                      <w:color w:val="auto"/>
                      <w:szCs w:val="21"/>
                      <w:lang w:val="en-US" w:eastAsia="zh-CN"/>
                    </w:rPr>
                    <w:t>43.19</w:t>
                  </w:r>
                </w:p>
              </w:tc>
              <w:tc>
                <w:tcPr>
                  <w:tcW w:w="1151" w:type="pct"/>
                  <w:noWrap w:val="0"/>
                  <w:vAlign w:val="center"/>
                </w:tcPr>
                <w:p w14:paraId="0E8A4142">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昼间：60</w:t>
                  </w:r>
                </w:p>
              </w:tc>
              <w:tc>
                <w:tcPr>
                  <w:tcW w:w="731" w:type="pct"/>
                  <w:vMerge w:val="continue"/>
                  <w:noWrap w:val="0"/>
                  <w:vAlign w:val="center"/>
                </w:tcPr>
                <w:p w14:paraId="042A0D0D">
                  <w:pPr>
                    <w:snapToGrid w:val="0"/>
                    <w:jc w:val="center"/>
                    <w:rPr>
                      <w:rFonts w:hint="default" w:ascii="Times New Roman" w:hAnsi="Times New Roman" w:cs="Times New Roman"/>
                      <w:color w:val="auto"/>
                      <w:szCs w:val="21"/>
                    </w:rPr>
                  </w:pPr>
                </w:p>
              </w:tc>
            </w:tr>
            <w:tr w14:paraId="371446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7" w:hRule="atLeast"/>
                <w:jc w:val="center"/>
              </w:trPr>
              <w:tc>
                <w:tcPr>
                  <w:tcW w:w="616" w:type="pct"/>
                  <w:noWrap w:val="0"/>
                  <w:vAlign w:val="center"/>
                </w:tcPr>
                <w:p w14:paraId="1D5166C5">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3</w:t>
                  </w:r>
                </w:p>
              </w:tc>
              <w:tc>
                <w:tcPr>
                  <w:tcW w:w="766" w:type="pct"/>
                  <w:noWrap w:val="0"/>
                  <w:vAlign w:val="center"/>
                </w:tcPr>
                <w:p w14:paraId="2DAD05B1">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西厂界</w:t>
                  </w:r>
                </w:p>
              </w:tc>
              <w:tc>
                <w:tcPr>
                  <w:tcW w:w="776" w:type="pct"/>
                  <w:noWrap w:val="0"/>
                  <w:vAlign w:val="center"/>
                </w:tcPr>
                <w:p w14:paraId="4414FFFA">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昼间</w:t>
                  </w:r>
                </w:p>
              </w:tc>
              <w:tc>
                <w:tcPr>
                  <w:tcW w:w="956" w:type="pct"/>
                  <w:noWrap w:val="0"/>
                  <w:vAlign w:val="center"/>
                </w:tcPr>
                <w:p w14:paraId="1B76C4FF">
                  <w:pPr>
                    <w:snapToGrid w:val="0"/>
                    <w:jc w:val="center"/>
                    <w:rPr>
                      <w:rFonts w:hint="default" w:ascii="Times New Roman" w:hAnsi="Times New Roman" w:eastAsia="宋体" w:cs="Times New Roman"/>
                      <w:color w:val="auto"/>
                      <w:szCs w:val="21"/>
                      <w:lang w:val="en-US" w:eastAsia="zh-CN"/>
                    </w:rPr>
                  </w:pPr>
                  <w:r>
                    <w:rPr>
                      <w:rFonts w:hint="eastAsia" w:eastAsia="宋体" w:cs="Times New Roman"/>
                      <w:color w:val="auto"/>
                      <w:szCs w:val="21"/>
                      <w:lang w:val="en-US" w:eastAsia="zh-CN"/>
                    </w:rPr>
                    <w:t>50.37</w:t>
                  </w:r>
                </w:p>
              </w:tc>
              <w:tc>
                <w:tcPr>
                  <w:tcW w:w="1151" w:type="pct"/>
                  <w:noWrap w:val="0"/>
                  <w:vAlign w:val="center"/>
                </w:tcPr>
                <w:p w14:paraId="19BDC777">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昼间：60</w:t>
                  </w:r>
                </w:p>
              </w:tc>
              <w:tc>
                <w:tcPr>
                  <w:tcW w:w="731" w:type="pct"/>
                  <w:vMerge w:val="continue"/>
                  <w:noWrap w:val="0"/>
                  <w:vAlign w:val="center"/>
                </w:tcPr>
                <w:p w14:paraId="7A4DC198">
                  <w:pPr>
                    <w:snapToGrid w:val="0"/>
                    <w:jc w:val="center"/>
                    <w:rPr>
                      <w:rFonts w:hint="default" w:ascii="Times New Roman" w:hAnsi="Times New Roman" w:cs="Times New Roman"/>
                      <w:color w:val="auto"/>
                      <w:szCs w:val="21"/>
                    </w:rPr>
                  </w:pPr>
                </w:p>
              </w:tc>
            </w:tr>
            <w:tr w14:paraId="1C1664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7" w:hRule="atLeast"/>
                <w:jc w:val="center"/>
              </w:trPr>
              <w:tc>
                <w:tcPr>
                  <w:tcW w:w="616" w:type="pct"/>
                  <w:noWrap w:val="0"/>
                  <w:vAlign w:val="center"/>
                </w:tcPr>
                <w:p w14:paraId="23EC4B27">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4</w:t>
                  </w:r>
                </w:p>
              </w:tc>
              <w:tc>
                <w:tcPr>
                  <w:tcW w:w="766" w:type="pct"/>
                  <w:noWrap w:val="0"/>
                  <w:vAlign w:val="center"/>
                </w:tcPr>
                <w:p w14:paraId="14981EB3">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北厂界</w:t>
                  </w:r>
                </w:p>
              </w:tc>
              <w:tc>
                <w:tcPr>
                  <w:tcW w:w="776" w:type="pct"/>
                  <w:noWrap w:val="0"/>
                  <w:vAlign w:val="center"/>
                </w:tcPr>
                <w:p w14:paraId="1AA78A37">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昼间</w:t>
                  </w:r>
                </w:p>
              </w:tc>
              <w:tc>
                <w:tcPr>
                  <w:tcW w:w="956" w:type="pct"/>
                  <w:noWrap w:val="0"/>
                  <w:vAlign w:val="center"/>
                </w:tcPr>
                <w:p w14:paraId="49438042">
                  <w:pPr>
                    <w:snapToGrid w:val="0"/>
                    <w:jc w:val="center"/>
                    <w:rPr>
                      <w:rFonts w:hint="default" w:ascii="Times New Roman" w:hAnsi="Times New Roman" w:eastAsia="宋体" w:cs="Times New Roman"/>
                      <w:color w:val="auto"/>
                      <w:szCs w:val="21"/>
                      <w:lang w:val="en-US" w:eastAsia="zh-CN"/>
                    </w:rPr>
                  </w:pPr>
                  <w:r>
                    <w:rPr>
                      <w:rFonts w:hint="eastAsia" w:eastAsia="宋体" w:cs="Times New Roman"/>
                      <w:color w:val="auto"/>
                      <w:szCs w:val="21"/>
                      <w:lang w:val="en-US" w:eastAsia="zh-CN"/>
                    </w:rPr>
                    <w:t>41.93</w:t>
                  </w:r>
                </w:p>
              </w:tc>
              <w:tc>
                <w:tcPr>
                  <w:tcW w:w="1151" w:type="pct"/>
                  <w:noWrap w:val="0"/>
                  <w:vAlign w:val="center"/>
                </w:tcPr>
                <w:p w14:paraId="26875788">
                  <w:pPr>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昼间：60</w:t>
                  </w:r>
                </w:p>
              </w:tc>
              <w:tc>
                <w:tcPr>
                  <w:tcW w:w="731" w:type="pct"/>
                  <w:vMerge w:val="continue"/>
                  <w:noWrap w:val="0"/>
                  <w:vAlign w:val="center"/>
                </w:tcPr>
                <w:p w14:paraId="6492E3FC">
                  <w:pPr>
                    <w:snapToGrid w:val="0"/>
                    <w:jc w:val="center"/>
                    <w:rPr>
                      <w:rFonts w:hint="default" w:ascii="Times New Roman" w:hAnsi="Times New Roman" w:cs="Times New Roman"/>
                      <w:color w:val="auto"/>
                      <w:szCs w:val="21"/>
                    </w:rPr>
                  </w:pPr>
                </w:p>
              </w:tc>
            </w:tr>
          </w:tbl>
          <w:p w14:paraId="29CB25F4">
            <w:pPr>
              <w:spacing w:line="360" w:lineRule="auto"/>
              <w:ind w:firstLine="480" w:firstLineChars="200"/>
              <w:rPr>
                <w:rFonts w:hint="default" w:ascii="Times New Roman" w:hAnsi="Times New Roman" w:eastAsia="宋体" w:cs="Times New Roman"/>
                <w:color w:val="auto"/>
                <w:sz w:val="32"/>
                <w:szCs w:val="32"/>
                <w:highlight w:val="none"/>
                <w:u w:val="none" w:color="auto"/>
                <w:lang w:val="en-US" w:eastAsia="zh-CN"/>
              </w:rPr>
            </w:pPr>
            <w:r>
              <w:rPr>
                <w:rFonts w:hint="default" w:ascii="Times New Roman" w:hAnsi="Times New Roman" w:cs="Times New Roman"/>
                <w:color w:val="auto"/>
                <w:sz w:val="24"/>
                <w:szCs w:val="28"/>
                <w:highlight w:val="none"/>
                <w:u w:val="none" w:color="auto"/>
              </w:rPr>
              <w:t>根据上表，各声源在采取相应的隔声、减振等措施后，厂界噪声昼间</w:t>
            </w:r>
            <w:r>
              <w:rPr>
                <w:rFonts w:hint="default" w:ascii="Times New Roman" w:hAnsi="Times New Roman" w:cs="Times New Roman"/>
                <w:color w:val="auto"/>
                <w:sz w:val="24"/>
                <w:szCs w:val="28"/>
                <w:highlight w:val="none"/>
                <w:u w:val="none" w:color="auto"/>
                <w:lang w:val="en-US" w:eastAsia="zh-CN"/>
              </w:rPr>
              <w:t>贡献值</w:t>
            </w:r>
            <w:r>
              <w:rPr>
                <w:rFonts w:hint="default" w:ascii="Times New Roman" w:hAnsi="Times New Roman" w:cs="Times New Roman"/>
                <w:color w:val="auto"/>
                <w:sz w:val="24"/>
                <w:szCs w:val="28"/>
                <w:highlight w:val="none"/>
                <w:u w:val="none" w:color="auto"/>
              </w:rPr>
              <w:t>满足《工业企业厂界环境噪声排放标准》（GB12348-2008）中的</w:t>
            </w:r>
            <w:r>
              <w:rPr>
                <w:rFonts w:hint="default" w:ascii="Times New Roman" w:hAnsi="Times New Roman" w:cs="Times New Roman"/>
                <w:color w:val="auto"/>
                <w:sz w:val="24"/>
                <w:szCs w:val="28"/>
                <w:highlight w:val="none"/>
                <w:u w:val="none" w:color="auto"/>
                <w:lang w:val="en-US" w:eastAsia="zh-CN"/>
              </w:rPr>
              <w:t>2</w:t>
            </w:r>
            <w:r>
              <w:rPr>
                <w:rFonts w:hint="default" w:ascii="Times New Roman" w:hAnsi="Times New Roman" w:cs="Times New Roman"/>
                <w:color w:val="auto"/>
                <w:sz w:val="24"/>
                <w:szCs w:val="28"/>
                <w:highlight w:val="none"/>
                <w:u w:val="none" w:color="auto"/>
              </w:rPr>
              <w:t>类功能区标准要求。</w:t>
            </w:r>
            <w:r>
              <w:rPr>
                <w:rFonts w:hint="default" w:ascii="Times New Roman" w:hAnsi="Times New Roman" w:cs="Times New Roman"/>
                <w:color w:val="auto"/>
                <w:sz w:val="24"/>
                <w:szCs w:val="28"/>
                <w:highlight w:val="none"/>
                <w:u w:val="none" w:color="auto"/>
                <w:lang w:eastAsia="zh-CN"/>
              </w:rPr>
              <w:t>本项目</w:t>
            </w:r>
            <w:r>
              <w:rPr>
                <w:rFonts w:hint="default" w:ascii="Times New Roman" w:hAnsi="Times New Roman" w:cs="Times New Roman"/>
                <w:color w:val="auto"/>
                <w:sz w:val="24"/>
                <w:szCs w:val="28"/>
                <w:highlight w:val="none"/>
                <w:u w:val="none" w:color="auto"/>
                <w:lang w:val="en-US" w:eastAsia="zh-CN"/>
              </w:rPr>
              <w:t>50m范围内无敏感点，因此噪声对周边环境影响较小。</w:t>
            </w:r>
          </w:p>
          <w:p w14:paraId="0B57E81A">
            <w:pPr>
              <w:snapToGrid w:val="0"/>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4、运营期固废</w:t>
            </w:r>
            <w:r>
              <w:rPr>
                <w:rFonts w:hint="default" w:ascii="Times New Roman" w:hAnsi="Times New Roman" w:cs="Times New Roman"/>
                <w:b/>
                <w:color w:val="auto"/>
                <w:sz w:val="24"/>
                <w:highlight w:val="none"/>
              </w:rPr>
              <w:t>污染</w:t>
            </w:r>
            <w:r>
              <w:rPr>
                <w:rFonts w:hint="default" w:ascii="Times New Roman" w:hAnsi="Times New Roman" w:cs="Times New Roman"/>
                <w:b/>
                <w:bCs/>
                <w:color w:val="auto"/>
                <w:sz w:val="24"/>
                <w:highlight w:val="none"/>
              </w:rPr>
              <w:t>及保护措施</w:t>
            </w:r>
          </w:p>
          <w:p w14:paraId="6C24D046">
            <w:pPr>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运营期产生的固体废物主要为一般固废、</w:t>
            </w:r>
            <w:r>
              <w:rPr>
                <w:rFonts w:hint="eastAsia" w:ascii="Times New Roman" w:hAnsi="Times New Roman" w:cs="Times New Roman"/>
                <w:color w:val="auto"/>
                <w:sz w:val="24"/>
                <w:highlight w:val="none"/>
                <w:lang w:val="en-US" w:eastAsia="zh-CN"/>
              </w:rPr>
              <w:t>危险废物</w:t>
            </w:r>
            <w:r>
              <w:rPr>
                <w:rFonts w:hint="default" w:ascii="Times New Roman" w:hAnsi="Times New Roman" w:cs="Times New Roman"/>
                <w:color w:val="auto"/>
                <w:sz w:val="24"/>
                <w:highlight w:val="none"/>
              </w:rPr>
              <w:t>以及员工生活垃圾。</w:t>
            </w:r>
          </w:p>
          <w:p w14:paraId="25D6E5A7">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（1）一般固废</w:t>
            </w:r>
          </w:p>
          <w:p w14:paraId="4E60B5ED">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宋体" w:cs="Times New Roman"/>
                <w:color w:val="auto"/>
                <w:spacing w:val="0"/>
                <w:kern w:val="0"/>
                <w:sz w:val="24"/>
                <w:highlight w:val="none"/>
                <w:u w:val="none" w:color="auto"/>
                <w:lang w:val="en-US" w:eastAsia="zh-CN"/>
              </w:rPr>
            </w:pPr>
            <w:r>
              <w:rPr>
                <w:rFonts w:hint="default" w:ascii="Times New Roman" w:hAnsi="Times New Roman" w:eastAsia="宋体" w:cs="Times New Roman"/>
                <w:color w:val="auto"/>
                <w:spacing w:val="0"/>
                <w:kern w:val="0"/>
                <w:sz w:val="24"/>
                <w:highlight w:val="none"/>
                <w:u w:val="none" w:color="auto"/>
              </w:rPr>
              <w:t>①</w:t>
            </w:r>
            <w:r>
              <w:rPr>
                <w:rFonts w:hint="default" w:ascii="Times New Roman" w:hAnsi="Times New Roman" w:eastAsia="宋体" w:cs="Times New Roman"/>
                <w:color w:val="auto"/>
                <w:spacing w:val="0"/>
                <w:kern w:val="0"/>
                <w:sz w:val="24"/>
                <w:highlight w:val="none"/>
                <w:u w:val="none" w:color="auto"/>
                <w:lang w:val="en-US" w:eastAsia="zh-CN"/>
              </w:rPr>
              <w:t>废角阀</w:t>
            </w:r>
          </w:p>
          <w:p w14:paraId="0A8E43A9">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cs="Times New Roman"/>
                <w:b w:val="0"/>
                <w:color w:val="auto"/>
                <w:sz w:val="24"/>
                <w:szCs w:val="24"/>
                <w:highlight w:val="none"/>
                <w:u w:val="none"/>
                <w:lang w:val="en-US" w:eastAsia="zh-CN"/>
              </w:rPr>
            </w:pPr>
            <w:r>
              <w:rPr>
                <w:rFonts w:hint="default" w:ascii="Times New Roman" w:hAnsi="Times New Roman" w:eastAsia="宋体" w:cs="Times New Roman"/>
                <w:color w:val="auto"/>
                <w:spacing w:val="0"/>
                <w:kern w:val="0"/>
                <w:sz w:val="24"/>
                <w:highlight w:val="none"/>
                <w:u w:val="none" w:color="auto"/>
                <w:lang w:val="en-US" w:eastAsia="zh-CN"/>
              </w:rPr>
              <w:t>项目报废液化气钢瓶拆解</w:t>
            </w:r>
            <w:r>
              <w:rPr>
                <w:rFonts w:hint="eastAsia" w:cs="Times New Roman"/>
                <w:color w:val="auto"/>
                <w:spacing w:val="0"/>
                <w:kern w:val="0"/>
                <w:sz w:val="24"/>
                <w:highlight w:val="none"/>
                <w:u w:val="none" w:color="auto"/>
                <w:lang w:val="en-US" w:eastAsia="zh-CN"/>
              </w:rPr>
              <w:t>将</w:t>
            </w:r>
            <w:r>
              <w:rPr>
                <w:rFonts w:hint="default" w:ascii="Times New Roman" w:hAnsi="Times New Roman" w:eastAsia="宋体" w:cs="Times New Roman"/>
                <w:color w:val="auto"/>
                <w:spacing w:val="0"/>
                <w:kern w:val="0"/>
                <w:sz w:val="24"/>
                <w:highlight w:val="none"/>
                <w:u w:val="none" w:color="auto"/>
                <w:lang w:val="en-US" w:eastAsia="zh-CN"/>
              </w:rPr>
              <w:t>产生的废角阀，产生12万只/a，废角阀经前期抽残、高温焚烧除净表面及内部残留油气、油污后，无危险特性，归类为一般工业固体废物，可统一收集后外售综合回收利用。废角阀</w:t>
            </w:r>
            <w:r>
              <w:rPr>
                <w:rFonts w:hint="default" w:ascii="Times New Roman" w:hAnsi="Times New Roman" w:eastAsia="宋体" w:cs="Times New Roman"/>
                <w:b w:val="0"/>
                <w:color w:val="auto"/>
                <w:sz w:val="24"/>
                <w:szCs w:val="24"/>
                <w:highlight w:val="none"/>
                <w:u w:val="none"/>
              </w:rPr>
              <w:fldChar w:fldCharType="begin"/>
            </w:r>
            <w:r>
              <w:rPr>
                <w:rFonts w:hint="default" w:ascii="Times New Roman" w:hAnsi="Times New Roman" w:eastAsia="宋体" w:cs="Times New Roman"/>
                <w:b w:val="0"/>
                <w:color w:val="auto"/>
                <w:sz w:val="24"/>
                <w:szCs w:val="24"/>
                <w:highlight w:val="none"/>
                <w:u w:val="none"/>
              </w:rPr>
              <w:instrText xml:space="preserve"> HYPERLINK "http://hbj.yzcity.gov.cn/hbj/0605/202402/a79a86bf9568452f94f07e29adc7a6aa/files/d47d98d916cf4b05acdd58fb910c60f1.pdf" \t "http://hbj.yzcity.gov.cn/hbj/0605/202402/_blank" </w:instrText>
            </w:r>
            <w:r>
              <w:rPr>
                <w:rFonts w:hint="default" w:ascii="Times New Roman" w:hAnsi="Times New Roman" w:eastAsia="宋体" w:cs="Times New Roman"/>
                <w:b w:val="0"/>
                <w:color w:val="auto"/>
                <w:sz w:val="24"/>
                <w:szCs w:val="24"/>
                <w:highlight w:val="none"/>
                <w:u w:val="none"/>
              </w:rPr>
              <w:fldChar w:fldCharType="separate"/>
            </w:r>
            <w:r>
              <w:rPr>
                <w:rFonts w:hint="default" w:ascii="Times New Roman" w:hAnsi="Times New Roman" w:eastAsia="宋体" w:cs="Times New Roman"/>
                <w:b w:val="0"/>
                <w:color w:val="auto"/>
                <w:sz w:val="24"/>
                <w:szCs w:val="24"/>
                <w:highlight w:val="none"/>
                <w:u w:val="none"/>
                <w:lang w:val="en-US" w:eastAsia="zh-CN"/>
              </w:rPr>
              <w:t>属于</w:t>
            </w:r>
            <w:r>
              <w:rPr>
                <w:rFonts w:hint="default" w:ascii="Times New Roman" w:hAnsi="Times New Roman" w:eastAsia="宋体" w:cs="Times New Roman"/>
                <w:b w:val="0"/>
                <w:color w:val="auto"/>
                <w:sz w:val="24"/>
                <w:szCs w:val="24"/>
                <w:highlight w:val="none"/>
                <w:u w:val="none"/>
              </w:rPr>
              <w:t>生态环境部公布</w:t>
            </w:r>
            <w:r>
              <w:rPr>
                <w:rFonts w:hint="default" w:ascii="Times New Roman" w:hAnsi="Times New Roman" w:eastAsia="宋体" w:cs="Times New Roman"/>
                <w:b w:val="0"/>
                <w:color w:val="auto"/>
                <w:sz w:val="24"/>
                <w:szCs w:val="24"/>
                <w:highlight w:val="none"/>
                <w:u w:val="none"/>
                <w:lang w:eastAsia="zh-CN"/>
              </w:rPr>
              <w:t>《</w:t>
            </w:r>
            <w:r>
              <w:rPr>
                <w:rFonts w:hint="default" w:ascii="Times New Roman" w:hAnsi="Times New Roman" w:eastAsia="宋体" w:cs="Times New Roman"/>
                <w:b w:val="0"/>
                <w:color w:val="auto"/>
                <w:sz w:val="24"/>
                <w:szCs w:val="24"/>
                <w:highlight w:val="none"/>
                <w:u w:val="none"/>
              </w:rPr>
              <w:t>固体废物分类与代码目录</w:t>
            </w:r>
            <w:r>
              <w:rPr>
                <w:rFonts w:hint="default" w:ascii="Times New Roman" w:hAnsi="Times New Roman" w:eastAsia="宋体" w:cs="Times New Roman"/>
                <w:b w:val="0"/>
                <w:color w:val="auto"/>
                <w:sz w:val="24"/>
                <w:szCs w:val="24"/>
                <w:highlight w:val="none"/>
                <w:u w:val="none"/>
                <w:lang w:eastAsia="zh-CN"/>
              </w:rPr>
              <w:t>》</w:t>
            </w:r>
            <w:r>
              <w:rPr>
                <w:rFonts w:hint="default" w:ascii="Times New Roman" w:hAnsi="Times New Roman" w:eastAsia="宋体" w:cs="Times New Roman"/>
                <w:b w:val="0"/>
                <w:color w:val="auto"/>
                <w:sz w:val="24"/>
                <w:szCs w:val="24"/>
                <w:highlight w:val="none"/>
                <w:u w:val="none"/>
              </w:rPr>
              <w:fldChar w:fldCharType="end"/>
            </w:r>
            <w:r>
              <w:rPr>
                <w:rFonts w:hint="default" w:ascii="Times New Roman" w:hAnsi="Times New Roman" w:cs="Times New Roman"/>
                <w:b w:val="0"/>
                <w:color w:val="auto"/>
                <w:sz w:val="24"/>
                <w:szCs w:val="24"/>
                <w:highlight w:val="none"/>
                <w:u w:val="none"/>
                <w:lang w:val="en-US" w:eastAsia="zh-CN"/>
              </w:rPr>
              <w:t>SW</w:t>
            </w:r>
            <w:r>
              <w:rPr>
                <w:rFonts w:hint="eastAsia" w:cs="Times New Roman"/>
                <w:b w:val="0"/>
                <w:color w:val="auto"/>
                <w:sz w:val="24"/>
                <w:szCs w:val="24"/>
                <w:highlight w:val="none"/>
                <w:u w:val="none"/>
                <w:lang w:val="en-US" w:eastAsia="zh-CN"/>
              </w:rPr>
              <w:t>17类可再生类废物固废</w:t>
            </w:r>
            <w:r>
              <w:rPr>
                <w:rFonts w:hint="default" w:ascii="Times New Roman" w:hAnsi="Times New Roman" w:cs="Times New Roman"/>
                <w:b w:val="0"/>
                <w:color w:val="auto"/>
                <w:sz w:val="24"/>
                <w:szCs w:val="24"/>
                <w:highlight w:val="none"/>
                <w:u w:val="none"/>
                <w:lang w:val="en-US" w:eastAsia="zh-CN"/>
              </w:rPr>
              <w:t>，</w:t>
            </w:r>
            <w:r>
              <w:rPr>
                <w:rFonts w:hint="eastAsia" w:cs="Times New Roman"/>
                <w:b w:val="0"/>
                <w:color w:val="auto"/>
                <w:sz w:val="24"/>
                <w:szCs w:val="24"/>
                <w:highlight w:val="none"/>
                <w:u w:val="none"/>
                <w:lang w:val="en-US" w:eastAsia="zh-CN"/>
              </w:rPr>
              <w:t>代码：900</w:t>
            </w:r>
            <w:r>
              <w:rPr>
                <w:rFonts w:hint="default" w:ascii="Times New Roman" w:hAnsi="Times New Roman" w:cs="Times New Roman"/>
                <w:b w:val="0"/>
                <w:color w:val="auto"/>
                <w:sz w:val="24"/>
                <w:szCs w:val="24"/>
                <w:highlight w:val="none"/>
                <w:u w:val="none"/>
                <w:lang w:val="en-US" w:eastAsia="zh-CN"/>
              </w:rPr>
              <w:t>-0</w:t>
            </w:r>
            <w:r>
              <w:rPr>
                <w:rFonts w:hint="eastAsia" w:cs="Times New Roman"/>
                <w:b w:val="0"/>
                <w:color w:val="auto"/>
                <w:sz w:val="24"/>
                <w:szCs w:val="24"/>
                <w:highlight w:val="none"/>
                <w:u w:val="none"/>
                <w:lang w:val="en-US" w:eastAsia="zh-CN"/>
              </w:rPr>
              <w:t>01</w:t>
            </w:r>
            <w:r>
              <w:rPr>
                <w:rFonts w:hint="default" w:ascii="Times New Roman" w:hAnsi="Times New Roman" w:cs="Times New Roman"/>
                <w:b w:val="0"/>
                <w:color w:val="auto"/>
                <w:sz w:val="24"/>
                <w:szCs w:val="24"/>
                <w:highlight w:val="none"/>
                <w:u w:val="none"/>
                <w:lang w:val="en-US" w:eastAsia="zh-CN"/>
              </w:rPr>
              <w:t>-S</w:t>
            </w:r>
            <w:r>
              <w:rPr>
                <w:rFonts w:hint="eastAsia" w:cs="Times New Roman"/>
                <w:b w:val="0"/>
                <w:color w:val="auto"/>
                <w:sz w:val="24"/>
                <w:szCs w:val="24"/>
                <w:highlight w:val="none"/>
                <w:u w:val="none"/>
                <w:lang w:val="en-US" w:eastAsia="zh-CN"/>
              </w:rPr>
              <w:t>17</w:t>
            </w:r>
            <w:r>
              <w:rPr>
                <w:rFonts w:hint="default" w:ascii="Times New Roman" w:hAnsi="Times New Roman" w:cs="Times New Roman"/>
                <w:b w:val="0"/>
                <w:color w:val="auto"/>
                <w:sz w:val="24"/>
                <w:szCs w:val="24"/>
                <w:highlight w:val="none"/>
                <w:u w:val="none"/>
                <w:lang w:val="en-US" w:eastAsia="zh-CN"/>
              </w:rPr>
              <w:t>。</w:t>
            </w:r>
          </w:p>
          <w:p w14:paraId="20FF0A00">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eastAsia" w:ascii="Times New Roman" w:hAnsi="Times New Roman" w:eastAsia="宋体" w:cs="Times New Roman"/>
                <w:color w:val="auto"/>
                <w:spacing w:val="0"/>
                <w:kern w:val="0"/>
                <w:sz w:val="24"/>
                <w:highlight w:val="none"/>
                <w:u w:val="single" w:color="auto"/>
                <w:lang w:val="en-US" w:eastAsia="zh-CN"/>
              </w:rPr>
            </w:pPr>
            <w:r>
              <w:rPr>
                <w:rFonts w:hint="eastAsia" w:ascii="Times New Roman" w:hAnsi="Times New Roman" w:eastAsia="宋体" w:cs="Times New Roman"/>
                <w:color w:val="auto"/>
                <w:spacing w:val="0"/>
                <w:kern w:val="0"/>
                <w:sz w:val="24"/>
                <w:highlight w:val="none"/>
                <w:u w:val="single" w:color="auto"/>
              </w:rPr>
              <w:t>②</w:t>
            </w:r>
            <w:r>
              <w:rPr>
                <w:rFonts w:hint="eastAsia" w:ascii="Times New Roman" w:hAnsi="Times New Roman" w:eastAsia="宋体" w:cs="Times New Roman"/>
                <w:color w:val="auto"/>
                <w:spacing w:val="0"/>
                <w:kern w:val="0"/>
                <w:sz w:val="24"/>
                <w:highlight w:val="none"/>
                <w:u w:val="single" w:color="auto"/>
                <w:lang w:val="en-US" w:eastAsia="zh-CN"/>
              </w:rPr>
              <w:t>布袋除尘器收集的粉尘</w:t>
            </w:r>
          </w:p>
          <w:p w14:paraId="1D4612AC">
            <w:pPr>
              <w:keepNext w:val="0"/>
              <w:keepLines w:val="0"/>
              <w:pageBreakBefore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cs="Times New Roman"/>
                <w:color w:val="auto"/>
                <w:sz w:val="24"/>
                <w:highlight w:val="none"/>
                <w:u w:val="single" w:color="auto"/>
              </w:rPr>
            </w:pPr>
            <w:r>
              <w:rPr>
                <w:rFonts w:ascii="宋体" w:hAnsi="宋体" w:eastAsia="宋体" w:cs="宋体"/>
                <w:color w:val="auto"/>
                <w:sz w:val="24"/>
                <w:szCs w:val="24"/>
                <w:u w:val="single" w:color="auto"/>
              </w:rPr>
              <w:t>项目报废液化气钢瓶焚烧废气采用</w:t>
            </w:r>
            <w:r>
              <w:rPr>
                <w:rFonts w:hint="eastAsia"/>
                <w:color w:val="auto"/>
                <w:sz w:val="24"/>
                <w:u w:val="single" w:color="auto"/>
                <w:lang w:val="en-US" w:eastAsia="zh-CN"/>
              </w:rPr>
              <w:t>旋风除尘+高温布袋除尘组合工艺</w:t>
            </w:r>
            <w:r>
              <w:rPr>
                <w:rFonts w:hint="default" w:ascii="Times New Roman" w:hAnsi="Times New Roman" w:eastAsia="宋体" w:cs="Times New Roman"/>
                <w:color w:val="auto"/>
                <w:sz w:val="24"/>
                <w:szCs w:val="24"/>
                <w:u w:val="single" w:color="auto"/>
              </w:rPr>
              <w:t>净化，</w:t>
            </w:r>
            <w:r>
              <w:rPr>
                <w:rFonts w:hint="eastAsia"/>
                <w:color w:val="auto"/>
                <w:sz w:val="24"/>
                <w:u w:val="single" w:color="auto"/>
                <w:lang w:val="en-US" w:eastAsia="zh-CN"/>
              </w:rPr>
              <w:t>旋风及</w:t>
            </w:r>
            <w:r>
              <w:rPr>
                <w:rFonts w:hint="default" w:ascii="Times New Roman" w:hAnsi="Times New Roman" w:eastAsia="宋体" w:cs="Times New Roman"/>
                <w:color w:val="auto"/>
                <w:sz w:val="24"/>
                <w:szCs w:val="24"/>
                <w:u w:val="single" w:color="auto"/>
              </w:rPr>
              <w:t>布袋除尘装置</w:t>
            </w:r>
            <w:r>
              <w:rPr>
                <w:rFonts w:hint="eastAsia" w:cs="Times New Roman"/>
                <w:color w:val="auto"/>
                <w:sz w:val="24"/>
                <w:szCs w:val="24"/>
                <w:u w:val="single" w:color="auto"/>
                <w:lang w:val="en-US" w:eastAsia="zh-CN"/>
              </w:rPr>
              <w:t>将</w:t>
            </w:r>
            <w:r>
              <w:rPr>
                <w:rFonts w:hint="default" w:ascii="Times New Roman" w:hAnsi="Times New Roman" w:eastAsia="宋体" w:cs="Times New Roman"/>
                <w:color w:val="auto"/>
                <w:sz w:val="24"/>
                <w:szCs w:val="24"/>
                <w:u w:val="single" w:color="auto"/>
              </w:rPr>
              <w:t>捕集废气中粉尘，粉尘产生量约1.9t/a；该粉尘</w:t>
            </w:r>
            <w:r>
              <w:rPr>
                <w:rFonts w:hint="eastAsia" w:ascii="Times New Roman" w:hAnsi="Times New Roman" w:eastAsia="宋体" w:cs="Times New Roman"/>
                <w:color w:val="auto"/>
                <w:sz w:val="24"/>
                <w:szCs w:val="24"/>
                <w:u w:val="single" w:color="auto"/>
                <w:lang w:val="en-US" w:eastAsia="zh-CN"/>
              </w:rPr>
              <w:t>主要为燃料燃烧</w:t>
            </w:r>
            <w:r>
              <w:rPr>
                <w:rFonts w:hint="default" w:ascii="Times New Roman" w:hAnsi="Times New Roman" w:eastAsia="宋体" w:cs="Times New Roman"/>
                <w:color w:val="auto"/>
                <w:sz w:val="24"/>
                <w:szCs w:val="24"/>
                <w:u w:val="single" w:color="auto"/>
              </w:rPr>
              <w:t>灰渣，</w:t>
            </w:r>
            <w:r>
              <w:rPr>
                <w:rFonts w:hint="eastAsia" w:ascii="Times New Roman" w:hAnsi="Times New Roman" w:eastAsia="宋体" w:cs="Times New Roman"/>
                <w:color w:val="auto"/>
                <w:sz w:val="24"/>
                <w:szCs w:val="24"/>
                <w:u w:val="single" w:color="auto"/>
                <w:lang w:val="en-US" w:eastAsia="zh-CN"/>
              </w:rPr>
              <w:t>可</w:t>
            </w:r>
            <w:r>
              <w:rPr>
                <w:rFonts w:hint="default" w:ascii="Times New Roman" w:hAnsi="Times New Roman" w:eastAsia="宋体" w:cs="Times New Roman"/>
                <w:color w:val="auto"/>
                <w:sz w:val="24"/>
                <w:szCs w:val="24"/>
                <w:u w:val="single" w:color="auto"/>
              </w:rPr>
              <w:t>统一收集后</w:t>
            </w:r>
            <w:r>
              <w:rPr>
                <w:rFonts w:hint="eastAsia" w:ascii="Times New Roman" w:hAnsi="Times New Roman" w:eastAsia="宋体" w:cs="Times New Roman"/>
                <w:color w:val="auto"/>
                <w:sz w:val="24"/>
                <w:szCs w:val="24"/>
                <w:u w:val="single" w:color="auto"/>
                <w:lang w:val="en-US" w:eastAsia="zh-CN"/>
              </w:rPr>
              <w:t>外售</w:t>
            </w:r>
            <w:r>
              <w:rPr>
                <w:rFonts w:hint="default" w:ascii="Times New Roman" w:hAnsi="Times New Roman" w:eastAsia="宋体" w:cs="Times New Roman"/>
                <w:color w:val="auto"/>
                <w:sz w:val="24"/>
                <w:szCs w:val="24"/>
                <w:u w:val="single" w:color="auto"/>
              </w:rPr>
              <w:t>综合回收利用；该粉尘属于生态环境部公布《固体废物分类与代码目录》SW</w:t>
            </w:r>
            <w:r>
              <w:rPr>
                <w:rFonts w:hint="eastAsia" w:ascii="Times New Roman" w:hAnsi="Times New Roman" w:eastAsia="宋体" w:cs="Times New Roman"/>
                <w:color w:val="auto"/>
                <w:sz w:val="24"/>
                <w:szCs w:val="24"/>
                <w:u w:val="single" w:color="auto"/>
                <w:lang w:val="en-US" w:eastAsia="zh-CN"/>
              </w:rPr>
              <w:t>59其他工业固体废物</w:t>
            </w:r>
            <w:r>
              <w:rPr>
                <w:rFonts w:hint="default" w:ascii="Times New Roman" w:hAnsi="Times New Roman" w:cs="Times New Roman"/>
                <w:b w:val="0"/>
                <w:color w:val="auto"/>
                <w:sz w:val="24"/>
                <w:szCs w:val="24"/>
                <w:highlight w:val="none"/>
                <w:u w:val="single" w:color="auto"/>
                <w:lang w:val="en-US" w:eastAsia="zh-CN"/>
              </w:rPr>
              <w:t>，</w:t>
            </w:r>
            <w:r>
              <w:rPr>
                <w:rFonts w:hint="eastAsia" w:cs="Times New Roman"/>
                <w:b w:val="0"/>
                <w:color w:val="auto"/>
                <w:sz w:val="24"/>
                <w:szCs w:val="24"/>
                <w:highlight w:val="none"/>
                <w:u w:val="single" w:color="auto"/>
                <w:lang w:val="en-US" w:eastAsia="zh-CN"/>
              </w:rPr>
              <w:t>代码：900-099-S59</w:t>
            </w:r>
            <w:r>
              <w:rPr>
                <w:rFonts w:hint="default" w:ascii="Times New Roman" w:hAnsi="Times New Roman" w:cs="Times New Roman"/>
                <w:b w:val="0"/>
                <w:color w:val="auto"/>
                <w:sz w:val="24"/>
                <w:szCs w:val="24"/>
                <w:highlight w:val="none"/>
                <w:u w:val="single" w:color="auto"/>
                <w:lang w:val="en-US" w:eastAsia="zh-CN"/>
              </w:rPr>
              <w:t>。</w:t>
            </w:r>
          </w:p>
          <w:p w14:paraId="2FB91467">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③</w:t>
            </w:r>
            <w:r>
              <w:rPr>
                <w:rFonts w:hint="eastAsia" w:cs="Times New Roman"/>
                <w:color w:val="auto"/>
                <w:sz w:val="24"/>
                <w:highlight w:val="none"/>
                <w:u w:val="none" w:color="auto"/>
                <w:lang w:val="en-US" w:eastAsia="zh-CN"/>
              </w:rPr>
              <w:t>废布袋：</w:t>
            </w:r>
            <w:r>
              <w:rPr>
                <w:rFonts w:ascii="宋体" w:hAnsi="宋体" w:eastAsia="宋体" w:cs="宋体"/>
                <w:color w:val="auto"/>
                <w:sz w:val="24"/>
                <w:szCs w:val="24"/>
              </w:rPr>
              <w:t>项目报废液化气钢瓶焚烧废气</w:t>
            </w:r>
            <w:r>
              <w:rPr>
                <w:rFonts w:hint="eastAsia" w:ascii="宋体" w:hAnsi="宋体" w:cs="宋体"/>
                <w:color w:val="auto"/>
                <w:sz w:val="24"/>
                <w:szCs w:val="24"/>
                <w:lang w:val="en-US" w:eastAsia="zh-CN"/>
              </w:rPr>
              <w:t>处理过程</w:t>
            </w:r>
            <w:r>
              <w:rPr>
                <w:rFonts w:hint="default" w:ascii="Times New Roman" w:hAnsi="Times New Roman" w:eastAsia="宋体" w:cs="Times New Roman"/>
                <w:color w:val="auto"/>
                <w:spacing w:val="0"/>
                <w:kern w:val="0"/>
                <w:sz w:val="24"/>
                <w:highlight w:val="none"/>
                <w:u w:val="none" w:color="auto"/>
                <w:lang w:val="en-US" w:eastAsia="zh-CN"/>
              </w:rPr>
              <w:t>除尘器需要定期更换布袋，废布袋每次产生约为0.1t，每六个月更换一次，</w:t>
            </w:r>
            <w:r>
              <w:rPr>
                <w:rFonts w:hint="eastAsia" w:cs="Times New Roman"/>
                <w:color w:val="auto"/>
                <w:spacing w:val="0"/>
                <w:kern w:val="0"/>
                <w:sz w:val="24"/>
                <w:highlight w:val="none"/>
                <w:u w:val="none" w:color="auto"/>
                <w:lang w:val="en-US" w:eastAsia="zh-CN"/>
              </w:rPr>
              <w:t>则</w:t>
            </w:r>
            <w:r>
              <w:rPr>
                <w:rFonts w:hint="default" w:ascii="Times New Roman" w:hAnsi="Times New Roman" w:eastAsia="宋体" w:cs="Times New Roman"/>
                <w:color w:val="auto"/>
                <w:spacing w:val="0"/>
                <w:kern w:val="0"/>
                <w:sz w:val="24"/>
                <w:highlight w:val="none"/>
                <w:u w:val="none" w:color="auto"/>
                <w:lang w:val="en-US" w:eastAsia="zh-CN"/>
              </w:rPr>
              <w:t>废气治理产生的废布袋约为0.</w:t>
            </w:r>
            <w:r>
              <w:rPr>
                <w:rFonts w:hint="eastAsia" w:cs="Times New Roman"/>
                <w:color w:val="auto"/>
                <w:spacing w:val="0"/>
                <w:kern w:val="0"/>
                <w:sz w:val="24"/>
                <w:highlight w:val="none"/>
                <w:u w:val="none" w:color="auto"/>
                <w:lang w:val="en-US" w:eastAsia="zh-CN"/>
              </w:rPr>
              <w:t>2</w:t>
            </w:r>
            <w:r>
              <w:rPr>
                <w:rFonts w:hint="default" w:ascii="Times New Roman" w:hAnsi="Times New Roman" w:eastAsia="宋体" w:cs="Times New Roman"/>
                <w:color w:val="auto"/>
                <w:spacing w:val="0"/>
                <w:kern w:val="0"/>
                <w:sz w:val="24"/>
                <w:highlight w:val="none"/>
                <w:u w:val="none" w:color="auto"/>
                <w:lang w:val="en-US" w:eastAsia="zh-CN"/>
              </w:rPr>
              <w:t>t/a，收集后暂存于一般工业固废暂存间，定期外售给物资回收公司综合利用。</w:t>
            </w:r>
            <w:r>
              <w:rPr>
                <w:rFonts w:hint="eastAsia" w:ascii="Times New Roman" w:hAnsi="Times New Roman" w:eastAsia="宋体" w:cs="Times New Roman"/>
                <w:i w:val="0"/>
                <w:iCs w:val="0"/>
                <w:caps w:val="0"/>
                <w:color w:val="auto"/>
                <w:spacing w:val="0"/>
                <w:sz w:val="24"/>
                <w:szCs w:val="24"/>
                <w:highlight w:val="none"/>
                <w:shd w:val="clear" w:fill="FFFFFF"/>
                <w:lang w:val="en-US" w:eastAsia="zh-CN"/>
              </w:rPr>
              <w:t>废布袋</w:t>
            </w:r>
            <w:r>
              <w:rPr>
                <w:rFonts w:hint="default" w:ascii="Times New Roman" w:hAnsi="Times New Roman" w:eastAsia="宋体" w:cs="Times New Roman"/>
                <w:b w:val="0"/>
                <w:color w:val="auto"/>
                <w:sz w:val="24"/>
                <w:szCs w:val="24"/>
                <w:highlight w:val="none"/>
                <w:u w:val="none"/>
              </w:rPr>
              <w:fldChar w:fldCharType="begin"/>
            </w:r>
            <w:r>
              <w:rPr>
                <w:rFonts w:hint="default" w:ascii="Times New Roman" w:hAnsi="Times New Roman" w:eastAsia="宋体" w:cs="Times New Roman"/>
                <w:b w:val="0"/>
                <w:color w:val="auto"/>
                <w:sz w:val="24"/>
                <w:szCs w:val="24"/>
                <w:highlight w:val="none"/>
                <w:u w:val="none"/>
              </w:rPr>
              <w:instrText xml:space="preserve"> HYPERLINK "http://hbj.yzcity.gov.cn/hbj/0605/202402/a79a86bf9568452f94f07e29adc7a6aa/files/d47d98d916cf4b05acdd58fb910c60f1.pdf" \t "http://hbj.yzcity.gov.cn/hbj/0605/202402/_blank" </w:instrText>
            </w:r>
            <w:r>
              <w:rPr>
                <w:rFonts w:hint="default" w:ascii="Times New Roman" w:hAnsi="Times New Roman" w:eastAsia="宋体" w:cs="Times New Roman"/>
                <w:b w:val="0"/>
                <w:color w:val="auto"/>
                <w:sz w:val="24"/>
                <w:szCs w:val="24"/>
                <w:highlight w:val="none"/>
                <w:u w:val="none"/>
              </w:rPr>
              <w:fldChar w:fldCharType="separate"/>
            </w:r>
            <w:r>
              <w:rPr>
                <w:rFonts w:hint="default" w:ascii="Times New Roman" w:hAnsi="Times New Roman" w:eastAsia="宋体" w:cs="Times New Roman"/>
                <w:b w:val="0"/>
                <w:color w:val="auto"/>
                <w:sz w:val="24"/>
                <w:szCs w:val="24"/>
                <w:highlight w:val="none"/>
                <w:u w:val="none"/>
                <w:lang w:val="en-US" w:eastAsia="zh-CN"/>
              </w:rPr>
              <w:t>属于</w:t>
            </w:r>
            <w:r>
              <w:rPr>
                <w:rFonts w:hint="default" w:ascii="Times New Roman" w:hAnsi="Times New Roman" w:eastAsia="宋体" w:cs="Times New Roman"/>
                <w:b w:val="0"/>
                <w:color w:val="auto"/>
                <w:sz w:val="24"/>
                <w:szCs w:val="24"/>
                <w:highlight w:val="none"/>
                <w:u w:val="none"/>
              </w:rPr>
              <w:t>生态环境部公布</w:t>
            </w:r>
            <w:r>
              <w:rPr>
                <w:rFonts w:hint="default" w:ascii="Times New Roman" w:hAnsi="Times New Roman" w:eastAsia="宋体" w:cs="Times New Roman"/>
                <w:b w:val="0"/>
                <w:color w:val="auto"/>
                <w:sz w:val="24"/>
                <w:szCs w:val="24"/>
                <w:highlight w:val="none"/>
                <w:u w:val="none"/>
                <w:lang w:eastAsia="zh-CN"/>
              </w:rPr>
              <w:t>《</w:t>
            </w:r>
            <w:r>
              <w:rPr>
                <w:rFonts w:hint="default" w:ascii="Times New Roman" w:hAnsi="Times New Roman" w:eastAsia="宋体" w:cs="Times New Roman"/>
                <w:b w:val="0"/>
                <w:color w:val="auto"/>
                <w:sz w:val="24"/>
                <w:szCs w:val="24"/>
                <w:highlight w:val="none"/>
                <w:u w:val="none"/>
              </w:rPr>
              <w:t>固体废物分类与代码目录</w:t>
            </w:r>
            <w:r>
              <w:rPr>
                <w:rFonts w:hint="default" w:ascii="Times New Roman" w:hAnsi="Times New Roman" w:eastAsia="宋体" w:cs="Times New Roman"/>
                <w:b w:val="0"/>
                <w:color w:val="auto"/>
                <w:sz w:val="24"/>
                <w:szCs w:val="24"/>
                <w:highlight w:val="none"/>
                <w:u w:val="none"/>
                <w:lang w:eastAsia="zh-CN"/>
              </w:rPr>
              <w:t>》</w:t>
            </w:r>
            <w:r>
              <w:rPr>
                <w:rFonts w:hint="default" w:ascii="Times New Roman" w:hAnsi="Times New Roman" w:eastAsia="宋体" w:cs="Times New Roman"/>
                <w:b w:val="0"/>
                <w:color w:val="auto"/>
                <w:sz w:val="24"/>
                <w:szCs w:val="24"/>
                <w:highlight w:val="none"/>
                <w:u w:val="none"/>
              </w:rPr>
              <w:fldChar w:fldCharType="end"/>
            </w:r>
            <w:r>
              <w:rPr>
                <w:rFonts w:hint="default" w:ascii="Times New Roman" w:hAnsi="Times New Roman" w:eastAsia="宋体" w:cs="Times New Roman"/>
                <w:b w:val="0"/>
                <w:color w:val="auto"/>
                <w:sz w:val="24"/>
                <w:szCs w:val="24"/>
                <w:highlight w:val="none"/>
                <w:u w:val="none"/>
                <w:lang w:eastAsia="zh-CN"/>
              </w:rPr>
              <w:t>（</w:t>
            </w:r>
            <w:r>
              <w:rPr>
                <w:rFonts w:hint="default" w:ascii="Times New Roman" w:hAnsi="Times New Roman" w:eastAsia="宋体" w:cs="Times New Roman"/>
                <w:b w:val="0"/>
                <w:color w:val="auto"/>
                <w:sz w:val="24"/>
                <w:szCs w:val="24"/>
                <w:highlight w:val="none"/>
                <w:u w:val="none"/>
              </w:rPr>
              <w:t>2024年1月19日</w:t>
            </w:r>
            <w:r>
              <w:rPr>
                <w:rFonts w:hint="default" w:ascii="Times New Roman" w:hAnsi="Times New Roman" w:eastAsia="宋体" w:cs="Times New Roman"/>
                <w:b w:val="0"/>
                <w:color w:val="auto"/>
                <w:sz w:val="24"/>
                <w:szCs w:val="24"/>
                <w:highlight w:val="none"/>
                <w:u w:val="none"/>
                <w:lang w:eastAsia="zh-CN"/>
              </w:rPr>
              <w:t>）</w:t>
            </w:r>
            <w:r>
              <w:rPr>
                <w:rFonts w:hint="default" w:ascii="Times New Roman" w:hAnsi="Times New Roman" w:eastAsia="宋体" w:cs="Times New Roman"/>
                <w:b w:val="0"/>
                <w:color w:val="auto"/>
                <w:sz w:val="24"/>
                <w:szCs w:val="24"/>
                <w:highlight w:val="none"/>
                <w:u w:val="none"/>
                <w:lang w:val="en-US" w:eastAsia="zh-CN"/>
              </w:rPr>
              <w:t>中</w:t>
            </w:r>
            <w:r>
              <w:rPr>
                <w:rFonts w:ascii="宋体" w:hAnsi="宋体" w:eastAsia="宋体" w:cs="宋体"/>
                <w:color w:val="auto"/>
                <w:sz w:val="24"/>
                <w:szCs w:val="24"/>
              </w:rPr>
              <w:t>废</w:t>
            </w:r>
            <w:r>
              <w:rPr>
                <w:rFonts w:hint="eastAsia" w:ascii="宋体" w:hAnsi="宋体" w:cs="宋体"/>
                <w:color w:val="auto"/>
                <w:sz w:val="24"/>
                <w:szCs w:val="24"/>
                <w:lang w:val="en-US" w:eastAsia="zh-CN"/>
              </w:rPr>
              <w:t>过滤材料</w:t>
            </w:r>
            <w:r>
              <w:rPr>
                <w:rFonts w:hint="default" w:ascii="Times New Roman" w:hAnsi="Times New Roman" w:eastAsia="宋体" w:cs="Times New Roman"/>
                <w:b w:val="0"/>
                <w:color w:val="auto"/>
                <w:sz w:val="24"/>
                <w:szCs w:val="24"/>
                <w:highlight w:val="none"/>
                <w:u w:val="none"/>
                <w:lang w:eastAsia="zh-CN"/>
              </w:rPr>
              <w:t>，</w:t>
            </w:r>
            <w:r>
              <w:rPr>
                <w:rFonts w:hint="default" w:ascii="Times New Roman" w:hAnsi="Times New Roman" w:eastAsia="宋体" w:cs="Times New Roman"/>
                <w:b w:val="0"/>
                <w:color w:val="auto"/>
                <w:sz w:val="24"/>
                <w:szCs w:val="24"/>
                <w:highlight w:val="none"/>
                <w:u w:val="none"/>
                <w:lang w:val="en-US" w:eastAsia="zh-CN"/>
              </w:rPr>
              <w:t>废物代码：</w:t>
            </w:r>
            <w:r>
              <w:rPr>
                <w:rFonts w:hint="default" w:ascii="Times New Roman" w:hAnsi="Times New Roman" w:cs="Times New Roman"/>
                <w:b w:val="0"/>
                <w:color w:val="auto"/>
                <w:sz w:val="24"/>
                <w:szCs w:val="24"/>
                <w:highlight w:val="none"/>
                <w:u w:val="none"/>
                <w:lang w:val="en-US" w:eastAsia="zh-CN"/>
              </w:rPr>
              <w:t>SW</w:t>
            </w:r>
            <w:r>
              <w:rPr>
                <w:rFonts w:hint="eastAsia" w:cs="Times New Roman"/>
                <w:b w:val="0"/>
                <w:color w:val="auto"/>
                <w:sz w:val="24"/>
                <w:szCs w:val="24"/>
                <w:highlight w:val="none"/>
                <w:u w:val="none"/>
                <w:lang w:val="en-US" w:eastAsia="zh-CN"/>
              </w:rPr>
              <w:t>59</w:t>
            </w:r>
            <w:r>
              <w:rPr>
                <w:rFonts w:hint="default" w:ascii="Times New Roman" w:hAnsi="Times New Roman" w:cs="Times New Roman"/>
                <w:b w:val="0"/>
                <w:color w:val="auto"/>
                <w:sz w:val="24"/>
                <w:szCs w:val="24"/>
                <w:highlight w:val="none"/>
                <w:u w:val="none"/>
                <w:lang w:val="en-US" w:eastAsia="zh-CN"/>
              </w:rPr>
              <w:t>，900-00</w:t>
            </w:r>
            <w:r>
              <w:rPr>
                <w:rFonts w:hint="eastAsia" w:cs="Times New Roman"/>
                <w:b w:val="0"/>
                <w:color w:val="auto"/>
                <w:sz w:val="24"/>
                <w:szCs w:val="24"/>
                <w:highlight w:val="none"/>
                <w:u w:val="none"/>
                <w:lang w:val="en-US" w:eastAsia="zh-CN"/>
              </w:rPr>
              <w:t>9</w:t>
            </w:r>
            <w:r>
              <w:rPr>
                <w:rFonts w:hint="default" w:ascii="Times New Roman" w:hAnsi="Times New Roman" w:cs="Times New Roman"/>
                <w:b w:val="0"/>
                <w:color w:val="auto"/>
                <w:sz w:val="24"/>
                <w:szCs w:val="24"/>
                <w:highlight w:val="none"/>
                <w:u w:val="none"/>
                <w:lang w:val="en-US" w:eastAsia="zh-CN"/>
              </w:rPr>
              <w:t>-S</w:t>
            </w:r>
            <w:r>
              <w:rPr>
                <w:rFonts w:hint="eastAsia" w:cs="Times New Roman"/>
                <w:b w:val="0"/>
                <w:color w:val="auto"/>
                <w:sz w:val="24"/>
                <w:szCs w:val="24"/>
                <w:highlight w:val="none"/>
                <w:u w:val="none"/>
                <w:lang w:val="en-US" w:eastAsia="zh-CN"/>
              </w:rPr>
              <w:t>59</w:t>
            </w:r>
            <w:r>
              <w:rPr>
                <w:rFonts w:hint="default" w:ascii="Times New Roman" w:hAnsi="Times New Roman" w:cs="Times New Roman"/>
                <w:b w:val="0"/>
                <w:color w:val="auto"/>
                <w:sz w:val="24"/>
                <w:szCs w:val="24"/>
                <w:highlight w:val="none"/>
                <w:u w:val="none"/>
                <w:lang w:val="en-US" w:eastAsia="zh-CN"/>
              </w:rPr>
              <w:t>。</w:t>
            </w:r>
          </w:p>
          <w:p w14:paraId="36311073">
            <w:pPr>
              <w:spacing w:line="360" w:lineRule="auto"/>
              <w:ind w:firstLine="480" w:firstLineChars="200"/>
              <w:rPr>
                <w:rFonts w:hint="default" w:ascii="Times New Roman" w:hAnsi="Times New Roman" w:cs="Times New Roman"/>
                <w:color w:val="auto"/>
                <w:sz w:val="24"/>
                <w:highlight w:val="none"/>
                <w:u w:val="single" w:color="auto"/>
              </w:rPr>
            </w:pPr>
            <w:r>
              <w:rPr>
                <w:rFonts w:hint="eastAsia" w:ascii="宋体" w:hAnsi="宋体" w:eastAsia="宋体" w:cs="宋体"/>
                <w:color w:val="auto"/>
                <w:spacing w:val="0"/>
                <w:kern w:val="0"/>
                <w:sz w:val="24"/>
                <w:highlight w:val="none"/>
                <w:u w:val="single" w:color="auto"/>
              </w:rPr>
              <w:t>④</w:t>
            </w:r>
            <w:r>
              <w:rPr>
                <w:rFonts w:hint="default" w:ascii="Times New Roman" w:hAnsi="Times New Roman" w:cs="Times New Roman"/>
                <w:color w:val="auto"/>
                <w:sz w:val="24"/>
                <w:highlight w:val="none"/>
                <w:u w:val="single" w:color="auto"/>
              </w:rPr>
              <w:t>焚烧炉</w:t>
            </w:r>
            <w:r>
              <w:rPr>
                <w:rFonts w:hint="eastAsia" w:cs="Times New Roman"/>
                <w:color w:val="auto"/>
                <w:sz w:val="24"/>
                <w:highlight w:val="none"/>
                <w:u w:val="single" w:color="auto"/>
                <w:lang w:val="en-US" w:eastAsia="zh-CN"/>
              </w:rPr>
              <w:t>灰</w:t>
            </w:r>
            <w:r>
              <w:rPr>
                <w:rFonts w:hint="default" w:ascii="Times New Roman" w:hAnsi="Times New Roman" w:cs="Times New Roman"/>
                <w:color w:val="auto"/>
                <w:sz w:val="24"/>
                <w:highlight w:val="none"/>
                <w:u w:val="single" w:color="auto"/>
              </w:rPr>
              <w:t>渣（生物质燃料燃烧产物）</w:t>
            </w:r>
          </w:p>
          <w:p w14:paraId="6637BE79">
            <w:pPr>
              <w:spacing w:line="360" w:lineRule="auto"/>
              <w:ind w:firstLine="480" w:firstLineChars="200"/>
              <w:rPr>
                <w:rFonts w:hint="default" w:ascii="Times New Roman" w:hAnsi="Times New Roman" w:cs="Times New Roman"/>
                <w:color w:val="auto"/>
                <w:sz w:val="24"/>
                <w:highlight w:val="none"/>
                <w:u w:val="single" w:color="auto"/>
                <w:lang w:val="en-US" w:eastAsia="zh-CN"/>
              </w:rPr>
            </w:pPr>
            <w:r>
              <w:rPr>
                <w:rFonts w:hint="default" w:ascii="Times New Roman" w:hAnsi="Times New Roman" w:cs="Times New Roman"/>
                <w:color w:val="auto"/>
                <w:sz w:val="24"/>
                <w:highlight w:val="none"/>
                <w:u w:val="single" w:color="auto"/>
                <w:lang w:val="en-US" w:eastAsia="zh-CN"/>
              </w:rPr>
              <w:t>焚烧炉采用生物质</w:t>
            </w:r>
            <w:r>
              <w:rPr>
                <w:rFonts w:hint="eastAsia" w:cs="Times New Roman"/>
                <w:color w:val="auto"/>
                <w:sz w:val="24"/>
                <w:highlight w:val="none"/>
                <w:u w:val="single" w:color="auto"/>
                <w:lang w:val="en-US" w:eastAsia="zh-CN"/>
              </w:rPr>
              <w:t>颗粒以及回收的液化石油气</w:t>
            </w:r>
            <w:r>
              <w:rPr>
                <w:rFonts w:hint="default" w:ascii="Times New Roman" w:hAnsi="Times New Roman" w:cs="Times New Roman"/>
                <w:color w:val="auto"/>
                <w:sz w:val="24"/>
                <w:highlight w:val="none"/>
                <w:u w:val="single" w:color="auto"/>
                <w:lang w:val="en-US" w:eastAsia="zh-CN"/>
              </w:rPr>
              <w:t>颗粒作为燃料，生物质</w:t>
            </w:r>
            <w:r>
              <w:rPr>
                <w:rFonts w:hint="eastAsia" w:cs="Times New Roman"/>
                <w:color w:val="auto"/>
                <w:sz w:val="24"/>
                <w:highlight w:val="none"/>
                <w:u w:val="single" w:color="auto"/>
                <w:lang w:val="en-US" w:eastAsia="zh-CN"/>
              </w:rPr>
              <w:t>颗粒</w:t>
            </w:r>
            <w:r>
              <w:rPr>
                <w:rFonts w:hint="default" w:ascii="Times New Roman" w:hAnsi="Times New Roman" w:cs="Times New Roman"/>
                <w:color w:val="auto"/>
                <w:sz w:val="24"/>
                <w:highlight w:val="none"/>
                <w:u w:val="single" w:color="auto"/>
                <w:lang w:val="en-US" w:eastAsia="zh-CN"/>
              </w:rPr>
              <w:t xml:space="preserve">充分燃烧产生炉底渣；项目生物质颗粒年消耗 </w:t>
            </w:r>
            <w:r>
              <w:rPr>
                <w:rFonts w:hint="eastAsia" w:cs="Times New Roman"/>
                <w:color w:val="auto"/>
                <w:sz w:val="24"/>
                <w:highlight w:val="none"/>
                <w:u w:val="single" w:color="auto"/>
                <w:lang w:val="en-US" w:eastAsia="zh-CN"/>
              </w:rPr>
              <w:t>181.29</w:t>
            </w:r>
            <w:r>
              <w:rPr>
                <w:rFonts w:hint="default" w:ascii="Times New Roman" w:hAnsi="Times New Roman" w:cs="Times New Roman"/>
                <w:color w:val="auto"/>
                <w:sz w:val="24"/>
                <w:highlight w:val="none"/>
                <w:u w:val="single" w:color="auto"/>
                <w:lang w:val="en-US" w:eastAsia="zh-CN"/>
              </w:rPr>
              <w:t>t/a，依据生物质颗粒检测报告灰分指标 3.82%核算，炉渣年产生量</w:t>
            </w:r>
            <w:r>
              <w:rPr>
                <w:rFonts w:hint="eastAsia" w:cs="Times New Roman"/>
                <w:color w:val="auto"/>
                <w:sz w:val="24"/>
                <w:highlight w:val="none"/>
                <w:u w:val="single" w:color="auto"/>
                <w:lang w:val="en-US" w:eastAsia="zh-CN"/>
              </w:rPr>
              <w:t>6.93</w:t>
            </w:r>
            <w:r>
              <w:rPr>
                <w:rFonts w:hint="default" w:ascii="Times New Roman" w:hAnsi="Times New Roman" w:cs="Times New Roman"/>
                <w:color w:val="auto"/>
                <w:sz w:val="24"/>
                <w:highlight w:val="none"/>
                <w:u w:val="single" w:color="auto"/>
                <w:lang w:val="en-US" w:eastAsia="zh-CN"/>
              </w:rPr>
              <w:t>t/a；炉渣</w:t>
            </w:r>
            <w:r>
              <w:rPr>
                <w:rFonts w:hint="eastAsia" w:cs="Times New Roman"/>
                <w:color w:val="auto"/>
                <w:sz w:val="24"/>
                <w:highlight w:val="none"/>
                <w:u w:val="single" w:color="auto"/>
                <w:lang w:val="en-US" w:eastAsia="zh-CN"/>
              </w:rPr>
              <w:t>可</w:t>
            </w:r>
            <w:r>
              <w:rPr>
                <w:rFonts w:hint="default" w:ascii="Times New Roman" w:hAnsi="Times New Roman" w:cs="Times New Roman"/>
                <w:color w:val="auto"/>
                <w:sz w:val="24"/>
                <w:highlight w:val="none"/>
                <w:u w:val="single" w:color="auto"/>
                <w:lang w:val="en-US" w:eastAsia="zh-CN"/>
              </w:rPr>
              <w:t>集中收集，</w:t>
            </w:r>
            <w:r>
              <w:rPr>
                <w:rFonts w:hint="eastAsia" w:cs="Times New Roman"/>
                <w:color w:val="auto"/>
                <w:sz w:val="24"/>
                <w:highlight w:val="none"/>
                <w:u w:val="single" w:color="auto"/>
                <w:lang w:val="en-US" w:eastAsia="zh-CN"/>
              </w:rPr>
              <w:t>可作为</w:t>
            </w:r>
            <w:r>
              <w:rPr>
                <w:rFonts w:ascii="宋体" w:hAnsi="宋体" w:eastAsia="宋体" w:cs="宋体"/>
                <w:color w:val="auto"/>
                <w:sz w:val="24"/>
                <w:szCs w:val="24"/>
                <w:u w:val="single" w:color="auto"/>
              </w:rPr>
              <w:t>用作</w:t>
            </w:r>
            <w:r>
              <w:rPr>
                <w:rFonts w:hint="eastAsia" w:ascii="宋体" w:hAnsi="宋体" w:eastAsia="宋体" w:cs="宋体"/>
                <w:color w:val="auto"/>
                <w:sz w:val="24"/>
                <w:szCs w:val="24"/>
                <w:u w:val="single" w:color="auto"/>
                <w:lang w:val="en-US" w:eastAsia="zh-CN"/>
              </w:rPr>
              <w:t>周边</w:t>
            </w:r>
            <w:r>
              <w:rPr>
                <w:rFonts w:ascii="宋体" w:hAnsi="宋体" w:eastAsia="宋体" w:cs="宋体"/>
                <w:color w:val="auto"/>
                <w:sz w:val="24"/>
                <w:szCs w:val="24"/>
                <w:u w:val="single" w:color="auto"/>
              </w:rPr>
              <w:t>道路路基垫层、回填材料</w:t>
            </w:r>
            <w:r>
              <w:rPr>
                <w:rFonts w:hint="default" w:ascii="Times New Roman" w:hAnsi="Times New Roman" w:cs="Times New Roman"/>
                <w:color w:val="auto"/>
                <w:sz w:val="24"/>
                <w:highlight w:val="none"/>
                <w:u w:val="single" w:color="auto"/>
                <w:lang w:val="en-US" w:eastAsia="zh-CN"/>
              </w:rPr>
              <w:t>。焚烧炉生物质底渣属于生态环境部公布《固体废物分类与代码目录》SW</w:t>
            </w:r>
            <w:r>
              <w:rPr>
                <w:rFonts w:hint="eastAsia" w:cs="Times New Roman"/>
                <w:color w:val="auto"/>
                <w:sz w:val="24"/>
                <w:highlight w:val="none"/>
                <w:u w:val="single" w:color="auto"/>
                <w:lang w:val="en-US" w:eastAsia="zh-CN"/>
              </w:rPr>
              <w:t>03炉渣</w:t>
            </w:r>
            <w:r>
              <w:rPr>
                <w:rFonts w:hint="default" w:ascii="Times New Roman" w:hAnsi="Times New Roman" w:cs="Times New Roman"/>
                <w:color w:val="auto"/>
                <w:sz w:val="24"/>
                <w:highlight w:val="none"/>
                <w:u w:val="single" w:color="auto"/>
                <w:lang w:val="en-US" w:eastAsia="zh-CN"/>
              </w:rPr>
              <w:t>，代码：900-0</w:t>
            </w:r>
            <w:r>
              <w:rPr>
                <w:rFonts w:hint="eastAsia" w:cs="Times New Roman"/>
                <w:color w:val="auto"/>
                <w:sz w:val="24"/>
                <w:highlight w:val="none"/>
                <w:u w:val="single" w:color="auto"/>
                <w:lang w:val="en-US" w:eastAsia="zh-CN"/>
              </w:rPr>
              <w:t>01</w:t>
            </w:r>
            <w:r>
              <w:rPr>
                <w:rFonts w:hint="default" w:ascii="Times New Roman" w:hAnsi="Times New Roman" w:cs="Times New Roman"/>
                <w:color w:val="auto"/>
                <w:sz w:val="24"/>
                <w:highlight w:val="none"/>
                <w:u w:val="single" w:color="auto"/>
                <w:lang w:val="en-US" w:eastAsia="zh-CN"/>
              </w:rPr>
              <w:t>-S</w:t>
            </w:r>
            <w:r>
              <w:rPr>
                <w:rFonts w:hint="eastAsia" w:cs="Times New Roman"/>
                <w:color w:val="auto"/>
                <w:sz w:val="24"/>
                <w:highlight w:val="none"/>
                <w:u w:val="single" w:color="auto"/>
                <w:lang w:val="en-US" w:eastAsia="zh-CN"/>
              </w:rPr>
              <w:t>03</w:t>
            </w:r>
            <w:r>
              <w:rPr>
                <w:rFonts w:hint="default" w:ascii="Times New Roman" w:hAnsi="Times New Roman" w:cs="Times New Roman"/>
                <w:color w:val="auto"/>
                <w:sz w:val="24"/>
                <w:highlight w:val="none"/>
                <w:u w:val="single" w:color="auto"/>
                <w:lang w:val="en-US" w:eastAsia="zh-CN"/>
              </w:rPr>
              <w:t>。</w:t>
            </w:r>
          </w:p>
          <w:p w14:paraId="21999469">
            <w:pPr>
              <w:widowControl/>
              <w:spacing w:line="360" w:lineRule="auto"/>
              <w:ind w:firstLine="480"/>
              <w:rPr>
                <w:rFonts w:hint="eastAsia" w:ascii="Times New Roman" w:hAnsi="Times New Roman" w:eastAsia="宋体" w:cs="Times New Roman"/>
                <w:color w:val="auto"/>
                <w:sz w:val="24"/>
                <w:highlight w:val="none"/>
                <w:u w:val="none" w:color="auto"/>
                <w:lang w:val="en-US" w:eastAsia="zh-CN"/>
              </w:rPr>
            </w:pPr>
            <w:r>
              <w:rPr>
                <w:rFonts w:hint="eastAsia" w:ascii="宋体" w:hAnsi="宋体" w:eastAsia="宋体" w:cs="宋体"/>
                <w:color w:val="auto"/>
                <w:spacing w:val="0"/>
                <w:kern w:val="0"/>
                <w:sz w:val="24"/>
                <w:highlight w:val="none"/>
                <w:u w:val="none" w:color="auto"/>
              </w:rPr>
              <w:t>⑤</w:t>
            </w:r>
            <w:r>
              <w:rPr>
                <w:rFonts w:hint="default" w:ascii="Times New Roman" w:hAnsi="Times New Roman" w:eastAsia="宋体" w:cs="Times New Roman"/>
                <w:color w:val="auto"/>
                <w:spacing w:val="0"/>
                <w:kern w:val="0"/>
                <w:sz w:val="24"/>
                <w:highlight w:val="none"/>
                <w:u w:val="none" w:color="auto"/>
              </w:rPr>
              <w:t>废包装材料：主要是</w:t>
            </w:r>
            <w:r>
              <w:rPr>
                <w:rFonts w:hint="eastAsia" w:cs="Times New Roman"/>
                <w:color w:val="auto"/>
                <w:spacing w:val="0"/>
                <w:kern w:val="0"/>
                <w:sz w:val="24"/>
                <w:highlight w:val="none"/>
                <w:u w:val="none" w:color="auto"/>
                <w:lang w:val="en-US" w:eastAsia="zh-CN"/>
              </w:rPr>
              <w:t>辅料</w:t>
            </w:r>
            <w:r>
              <w:rPr>
                <w:rFonts w:hint="default" w:ascii="Times New Roman" w:hAnsi="Times New Roman" w:eastAsia="宋体" w:cs="Times New Roman"/>
                <w:color w:val="auto"/>
                <w:spacing w:val="0"/>
                <w:kern w:val="0"/>
                <w:sz w:val="24"/>
                <w:highlight w:val="none"/>
                <w:u w:val="none" w:color="auto"/>
              </w:rPr>
              <w:t>包装过程中产生的塑料袋</w:t>
            </w:r>
            <w:r>
              <w:rPr>
                <w:rFonts w:hint="default" w:ascii="Times New Roman" w:hAnsi="Times New Roman" w:eastAsia="宋体" w:cs="Times New Roman"/>
                <w:i w:val="0"/>
                <w:caps w:val="0"/>
                <w:color w:val="auto"/>
                <w:spacing w:val="0"/>
                <w:sz w:val="24"/>
                <w:szCs w:val="24"/>
                <w:highlight w:val="none"/>
                <w:shd w:val="clear" w:color="auto" w:fill="FFFFFF"/>
                <w:lang w:val="en-US" w:eastAsia="zh-CN"/>
              </w:rPr>
              <w:t>，</w:t>
            </w:r>
            <w:r>
              <w:rPr>
                <w:rFonts w:hint="default" w:ascii="Times New Roman" w:hAnsi="Times New Roman" w:eastAsia="宋体" w:cs="Times New Roman"/>
                <w:b w:val="0"/>
                <w:color w:val="auto"/>
                <w:sz w:val="24"/>
                <w:szCs w:val="24"/>
                <w:highlight w:val="none"/>
              </w:rPr>
              <w:t>产生量约为</w:t>
            </w:r>
            <w:r>
              <w:rPr>
                <w:rFonts w:hint="eastAsia" w:cs="Times New Roman"/>
                <w:b w:val="0"/>
                <w:color w:val="auto"/>
                <w:sz w:val="24"/>
                <w:szCs w:val="24"/>
                <w:highlight w:val="none"/>
                <w:lang w:val="en-US" w:eastAsia="zh-CN"/>
              </w:rPr>
              <w:t>0.3</w:t>
            </w:r>
            <w:r>
              <w:rPr>
                <w:rFonts w:hint="default" w:ascii="Times New Roman" w:hAnsi="Times New Roman" w:eastAsia="TimesNewRomanPSMT" w:cs="Times New Roman"/>
                <w:b w:val="0"/>
                <w:color w:val="auto"/>
                <w:sz w:val="24"/>
                <w:szCs w:val="24"/>
                <w:highlight w:val="none"/>
              </w:rPr>
              <w:t>t/a</w:t>
            </w:r>
            <w:r>
              <w:rPr>
                <w:rFonts w:hint="default" w:ascii="Times New Roman" w:hAnsi="Times New Roman" w:cs="Times New Roman"/>
                <w:b w:val="0"/>
                <w:color w:val="auto"/>
                <w:sz w:val="24"/>
                <w:szCs w:val="24"/>
                <w:highlight w:val="none"/>
                <w:lang w:eastAsia="zh-CN"/>
              </w:rPr>
              <w:t>，</w:t>
            </w:r>
            <w:r>
              <w:rPr>
                <w:rFonts w:hint="default" w:ascii="Times New Roman" w:hAnsi="Times New Roman" w:eastAsia="宋体" w:cs="Times New Roman"/>
                <w:b w:val="0"/>
                <w:color w:val="auto"/>
                <w:sz w:val="24"/>
                <w:szCs w:val="24"/>
                <w:highlight w:val="none"/>
                <w:lang w:val="en-US" w:eastAsia="zh-CN"/>
              </w:rPr>
              <w:t>将</w:t>
            </w:r>
            <w:r>
              <w:rPr>
                <w:rFonts w:hint="default" w:ascii="Times New Roman" w:hAnsi="Times New Roman" w:cs="Times New Roman"/>
                <w:b w:val="0"/>
                <w:color w:val="auto"/>
                <w:sz w:val="24"/>
                <w:szCs w:val="24"/>
                <w:highlight w:val="none"/>
                <w:lang w:val="en-US" w:eastAsia="zh-CN"/>
              </w:rPr>
              <w:t>统一收集后</w:t>
            </w:r>
            <w:r>
              <w:rPr>
                <w:rFonts w:hint="default" w:ascii="Times New Roman" w:hAnsi="Times New Roman" w:eastAsia="宋体" w:cs="Times New Roman"/>
                <w:b w:val="0"/>
                <w:color w:val="auto"/>
                <w:sz w:val="24"/>
                <w:szCs w:val="24"/>
                <w:highlight w:val="none"/>
              </w:rPr>
              <w:t>外售给物资单位回收综合利用</w:t>
            </w:r>
            <w:r>
              <w:rPr>
                <w:rFonts w:hint="default" w:ascii="Times New Roman" w:hAnsi="Times New Roman" w:cs="Times New Roman"/>
                <w:b w:val="0"/>
                <w:color w:val="auto"/>
                <w:sz w:val="24"/>
                <w:szCs w:val="24"/>
                <w:highlight w:val="none"/>
                <w:lang w:val="en-US" w:eastAsia="zh-CN"/>
              </w:rPr>
              <w:t>。</w:t>
            </w:r>
            <w:r>
              <w:rPr>
                <w:rFonts w:hint="default" w:ascii="Times New Roman" w:hAnsi="Times New Roman" w:eastAsia="Segoe UI" w:cs="Times New Roman"/>
                <w:i w:val="0"/>
                <w:iCs w:val="0"/>
                <w:caps w:val="0"/>
                <w:color w:val="auto"/>
                <w:spacing w:val="0"/>
                <w:sz w:val="24"/>
                <w:szCs w:val="24"/>
                <w:highlight w:val="none"/>
                <w:shd w:val="clear" w:fill="FFFFFF"/>
              </w:rPr>
              <w:t>根据生态环境部公布《固体废物分类与代码目录》</w:t>
            </w:r>
            <w:r>
              <w:rPr>
                <w:rFonts w:hint="default" w:ascii="Times New Roman" w:hAnsi="Times New Roman" w:eastAsia="宋体" w:cs="Times New Roman"/>
                <w:b w:val="0"/>
                <w:color w:val="auto"/>
                <w:sz w:val="24"/>
                <w:szCs w:val="24"/>
                <w:highlight w:val="none"/>
                <w:u w:val="none"/>
                <w:lang w:eastAsia="zh-CN"/>
              </w:rPr>
              <w:t>（</w:t>
            </w:r>
            <w:r>
              <w:rPr>
                <w:rFonts w:hint="default" w:ascii="Times New Roman" w:hAnsi="Times New Roman" w:eastAsia="宋体" w:cs="Times New Roman"/>
                <w:b w:val="0"/>
                <w:color w:val="auto"/>
                <w:sz w:val="24"/>
                <w:szCs w:val="24"/>
                <w:highlight w:val="none"/>
                <w:u w:val="none"/>
              </w:rPr>
              <w:t>2024年1月19日</w:t>
            </w:r>
            <w:r>
              <w:rPr>
                <w:rFonts w:hint="default" w:ascii="Times New Roman" w:hAnsi="Times New Roman" w:eastAsia="宋体" w:cs="Times New Roman"/>
                <w:b w:val="0"/>
                <w:color w:val="auto"/>
                <w:sz w:val="24"/>
                <w:szCs w:val="24"/>
                <w:highlight w:val="none"/>
                <w:u w:val="none"/>
                <w:lang w:eastAsia="zh-CN"/>
              </w:rPr>
              <w:t>）</w:t>
            </w:r>
            <w:r>
              <w:rPr>
                <w:rFonts w:hint="default" w:ascii="Times New Roman" w:hAnsi="Times New Roman" w:eastAsia="Segoe UI" w:cs="Times New Roman"/>
                <w:i w:val="0"/>
                <w:iCs w:val="0"/>
                <w:caps w:val="0"/>
                <w:color w:val="auto"/>
                <w:spacing w:val="0"/>
                <w:sz w:val="24"/>
                <w:szCs w:val="24"/>
                <w:highlight w:val="none"/>
                <w:shd w:val="clear" w:fill="FFFFFF"/>
              </w:rPr>
              <w:t>，其中废塑料的废物代码为SW</w:t>
            </w:r>
            <w:r>
              <w:rPr>
                <w:rFonts w:hint="eastAsia" w:cs="Times New Roman"/>
                <w:i w:val="0"/>
                <w:iCs w:val="0"/>
                <w:caps w:val="0"/>
                <w:color w:val="auto"/>
                <w:spacing w:val="0"/>
                <w:sz w:val="24"/>
                <w:szCs w:val="24"/>
                <w:highlight w:val="none"/>
                <w:shd w:val="clear" w:fill="FFFFFF"/>
                <w:lang w:val="en-US" w:eastAsia="zh-CN"/>
              </w:rPr>
              <w:t>17</w:t>
            </w:r>
            <w:r>
              <w:rPr>
                <w:rFonts w:hint="default" w:ascii="Times New Roman" w:hAnsi="Times New Roman" w:eastAsia="Segoe UI" w:cs="Times New Roman"/>
                <w:i w:val="0"/>
                <w:iCs w:val="0"/>
                <w:caps w:val="0"/>
                <w:color w:val="auto"/>
                <w:spacing w:val="0"/>
                <w:sz w:val="24"/>
                <w:szCs w:val="24"/>
                <w:highlight w:val="none"/>
                <w:shd w:val="clear" w:fill="FFFFFF"/>
              </w:rPr>
              <w:t>，900-00</w:t>
            </w:r>
            <w:r>
              <w:rPr>
                <w:rFonts w:hint="eastAsia" w:eastAsia="宋体" w:cs="Times New Roman"/>
                <w:i w:val="0"/>
                <w:iCs w:val="0"/>
                <w:caps w:val="0"/>
                <w:color w:val="auto"/>
                <w:spacing w:val="0"/>
                <w:sz w:val="24"/>
                <w:szCs w:val="24"/>
                <w:highlight w:val="none"/>
                <w:shd w:val="clear" w:fill="FFFFFF"/>
                <w:lang w:val="en-US" w:eastAsia="zh-CN"/>
              </w:rPr>
              <w:t>3</w:t>
            </w:r>
            <w:r>
              <w:rPr>
                <w:rFonts w:hint="default" w:ascii="Times New Roman" w:hAnsi="Times New Roman" w:eastAsia="Segoe UI" w:cs="Times New Roman"/>
                <w:i w:val="0"/>
                <w:iCs w:val="0"/>
                <w:caps w:val="0"/>
                <w:color w:val="auto"/>
                <w:spacing w:val="0"/>
                <w:sz w:val="24"/>
                <w:szCs w:val="24"/>
                <w:highlight w:val="none"/>
                <w:shd w:val="clear" w:fill="FFFFFF"/>
              </w:rPr>
              <w:t>-S</w:t>
            </w:r>
            <w:r>
              <w:rPr>
                <w:rFonts w:hint="eastAsia" w:eastAsia="宋体" w:cs="Times New Roman"/>
                <w:i w:val="0"/>
                <w:iCs w:val="0"/>
                <w:caps w:val="0"/>
                <w:color w:val="auto"/>
                <w:spacing w:val="0"/>
                <w:sz w:val="24"/>
                <w:szCs w:val="24"/>
                <w:highlight w:val="none"/>
                <w:shd w:val="clear" w:fill="FFFFFF"/>
                <w:lang w:val="en-US" w:eastAsia="zh-CN"/>
              </w:rPr>
              <w:t>17</w:t>
            </w:r>
            <w:r>
              <w:rPr>
                <w:rFonts w:hint="eastAsia" w:eastAsia="宋体" w:cs="Times New Roman"/>
                <w:i w:val="0"/>
                <w:iCs w:val="0"/>
                <w:caps w:val="0"/>
                <w:color w:val="auto"/>
                <w:spacing w:val="0"/>
                <w:sz w:val="24"/>
                <w:szCs w:val="24"/>
                <w:highlight w:val="none"/>
                <w:shd w:val="clear" w:fill="FFFFFF"/>
                <w:lang w:eastAsia="zh-CN"/>
              </w:rPr>
              <w:t>。</w:t>
            </w:r>
          </w:p>
          <w:p w14:paraId="74F688C9">
            <w:pPr>
              <w:spacing w:line="360" w:lineRule="auto"/>
              <w:ind w:firstLine="480" w:firstLineChars="200"/>
              <w:rPr>
                <w:rFonts w:hint="eastAsia" w:ascii="Times New Roman" w:hAnsi="Times New Roman" w:eastAsia="宋体" w:cs="Times New Roman"/>
                <w:color w:val="auto"/>
                <w:spacing w:val="0"/>
                <w:kern w:val="0"/>
                <w:sz w:val="24"/>
                <w:highlight w:val="none"/>
                <w:u w:val="none" w:color="auto"/>
              </w:rPr>
            </w:pPr>
            <w:r>
              <w:rPr>
                <w:rFonts w:hint="default" w:ascii="Times New Roman" w:hAnsi="Times New Roman" w:cs="Times New Roman"/>
                <w:color w:val="auto"/>
                <w:sz w:val="24"/>
                <w:highlight w:val="none"/>
              </w:rPr>
              <w:t>（2）危险废物</w:t>
            </w:r>
          </w:p>
          <w:p w14:paraId="630B22DE">
            <w:pPr>
              <w:spacing w:line="360" w:lineRule="auto"/>
              <w:ind w:firstLine="480" w:firstLineChars="200"/>
              <w:rPr>
                <w:rFonts w:hint="default" w:cs="Times New Roman"/>
                <w:color w:val="auto"/>
                <w:sz w:val="24"/>
                <w:highlight w:val="none"/>
                <w:lang w:val="en-US" w:eastAsia="zh-CN"/>
              </w:rPr>
            </w:pPr>
            <w:r>
              <w:rPr>
                <w:rFonts w:hint="default" w:ascii="Times New Roman" w:hAnsi="Times New Roman" w:eastAsia="宋体" w:cs="Times New Roman"/>
                <w:color w:val="auto"/>
                <w:spacing w:val="0"/>
                <w:kern w:val="0"/>
                <w:sz w:val="24"/>
                <w:highlight w:val="none"/>
                <w:u w:val="none" w:color="auto"/>
              </w:rPr>
              <w:t>①</w:t>
            </w:r>
            <w:r>
              <w:rPr>
                <w:rFonts w:hint="eastAsia" w:cs="Times New Roman"/>
                <w:color w:val="auto"/>
                <w:sz w:val="24"/>
                <w:highlight w:val="none"/>
                <w:lang w:val="en-US" w:eastAsia="zh-CN"/>
              </w:rPr>
              <w:t>废机油</w:t>
            </w:r>
          </w:p>
          <w:p w14:paraId="73975DD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rPr>
              <w:t>项目机械设备运行、维修</w:t>
            </w:r>
            <w:r>
              <w:rPr>
                <w:rFonts w:hint="eastAsia" w:ascii="Times New Roman" w:hAnsi="Times New Roman" w:eastAsia="宋体" w:cs="Times New Roman"/>
                <w:color w:val="auto"/>
                <w:sz w:val="24"/>
                <w:highlight w:val="none"/>
                <w:lang w:val="en-US" w:eastAsia="zh-CN"/>
              </w:rPr>
              <w:t>过程</w:t>
            </w:r>
            <w:r>
              <w:rPr>
                <w:rFonts w:hint="default" w:ascii="Times New Roman" w:hAnsi="Times New Roman" w:eastAsia="宋体" w:cs="Times New Roman"/>
                <w:color w:val="auto"/>
                <w:sz w:val="24"/>
                <w:highlight w:val="none"/>
              </w:rPr>
              <w:t>将产生少量废机油，废机油属于</w:t>
            </w:r>
            <w:bookmarkStart w:id="28" w:name="OLE_LINK99"/>
            <w:r>
              <w:rPr>
                <w:rFonts w:hint="default" w:ascii="Times New Roman" w:hAnsi="Times New Roman" w:cs="Times New Roman"/>
                <w:color w:val="auto"/>
                <w:sz w:val="24"/>
                <w:highlight w:val="none"/>
              </w:rPr>
              <w:t>《国家危险废物名录》（202</w:t>
            </w:r>
            <w:r>
              <w:rPr>
                <w:rFonts w:hint="eastAsia"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年）</w:t>
            </w:r>
            <w:r>
              <w:rPr>
                <w:rFonts w:hint="eastAsia" w:ascii="Times New Roman" w:hAnsi="Times New Roman" w:cs="Times New Roman"/>
                <w:color w:val="auto"/>
                <w:sz w:val="24"/>
                <w:highlight w:val="none"/>
                <w:u w:val="none"/>
                <w:lang w:val="en-US" w:eastAsia="zh-CN"/>
              </w:rPr>
              <w:t>中</w:t>
            </w:r>
            <w:r>
              <w:rPr>
                <w:rFonts w:hint="default" w:ascii="Times New Roman" w:hAnsi="Times New Roman" w:cs="Times New Roman"/>
                <w:color w:val="auto"/>
                <w:sz w:val="24"/>
                <w:highlight w:val="none"/>
                <w:u w:val="none"/>
              </w:rPr>
              <w:t>HW</w:t>
            </w:r>
            <w:r>
              <w:rPr>
                <w:rFonts w:hint="eastAsia" w:ascii="Times New Roman" w:hAnsi="Times New Roman" w:cs="Times New Roman"/>
                <w:color w:val="auto"/>
                <w:sz w:val="24"/>
                <w:highlight w:val="none"/>
                <w:u w:val="none"/>
                <w:lang w:val="en-US" w:eastAsia="zh-CN"/>
              </w:rPr>
              <w:t>08</w:t>
            </w:r>
            <w:r>
              <w:rPr>
                <w:rFonts w:hint="default" w:ascii="Times New Roman" w:hAnsi="Times New Roman" w:cs="Times New Roman"/>
                <w:color w:val="auto"/>
                <w:sz w:val="24"/>
                <w:highlight w:val="none"/>
                <w:u w:val="none"/>
              </w:rPr>
              <w:t>废物，</w:t>
            </w:r>
            <w:r>
              <w:rPr>
                <w:rFonts w:hint="default" w:ascii="Times New Roman" w:hAnsi="Times New Roman" w:cs="Times New Roman"/>
                <w:color w:val="auto"/>
                <w:sz w:val="24"/>
                <w:highlight w:val="none"/>
              </w:rPr>
              <w:t>危废代码</w:t>
            </w:r>
            <w:r>
              <w:rPr>
                <w:rFonts w:hint="eastAsia" w:cs="Times New Roman"/>
                <w:color w:val="auto"/>
                <w:sz w:val="24"/>
                <w:highlight w:val="none"/>
                <w:lang w:val="en-US" w:eastAsia="zh-CN"/>
              </w:rPr>
              <w:t>为</w:t>
            </w:r>
            <w:r>
              <w:rPr>
                <w:rFonts w:hint="default" w:ascii="Times New Roman" w:hAnsi="Times New Roman" w:eastAsia="宋体" w:cs="Times New Roman"/>
                <w:color w:val="auto"/>
                <w:sz w:val="24"/>
                <w:highlight w:val="none"/>
              </w:rPr>
              <w:t>900-2</w:t>
            </w:r>
            <w:r>
              <w:rPr>
                <w:rFonts w:hint="eastAsia" w:cs="Times New Roman"/>
                <w:color w:val="auto"/>
                <w:sz w:val="24"/>
                <w:highlight w:val="none"/>
                <w:lang w:val="en-US" w:eastAsia="zh-CN"/>
              </w:rPr>
              <w:t>14</w:t>
            </w:r>
            <w:r>
              <w:rPr>
                <w:rFonts w:hint="default" w:ascii="Times New Roman" w:hAnsi="Times New Roman" w:eastAsia="宋体" w:cs="Times New Roman"/>
                <w:color w:val="auto"/>
                <w:sz w:val="24"/>
                <w:highlight w:val="none"/>
              </w:rPr>
              <w:t>-0</w:t>
            </w:r>
            <w:r>
              <w:rPr>
                <w:rFonts w:hint="eastAsia" w:ascii="Times New Roman" w:hAnsi="Times New Roman" w:eastAsia="宋体" w:cs="Times New Roman"/>
                <w:color w:val="auto"/>
                <w:sz w:val="24"/>
                <w:highlight w:val="none"/>
                <w:lang w:val="en-US" w:eastAsia="zh-CN"/>
              </w:rPr>
              <w:t>8。</w:t>
            </w:r>
            <w:bookmarkEnd w:id="28"/>
            <w:r>
              <w:rPr>
                <w:rFonts w:hint="eastAsia" w:ascii="Times New Roman" w:hAnsi="Times New Roman" w:eastAsia="宋体" w:cs="Times New Roman"/>
                <w:color w:val="auto"/>
                <w:sz w:val="24"/>
                <w:highlight w:val="none"/>
                <w:lang w:val="en-US" w:eastAsia="zh-CN"/>
              </w:rPr>
              <w:t>废机油</w:t>
            </w:r>
            <w:r>
              <w:rPr>
                <w:rFonts w:hint="default" w:ascii="Times New Roman" w:hAnsi="Times New Roman" w:eastAsia="宋体" w:cs="Times New Roman"/>
                <w:color w:val="auto"/>
                <w:sz w:val="24"/>
                <w:highlight w:val="none"/>
              </w:rPr>
              <w:t>产生量约为0.0</w:t>
            </w:r>
            <w:r>
              <w:rPr>
                <w:rFonts w:hint="eastAsia"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rPr>
              <w:t>t/a</w:t>
            </w:r>
            <w:r>
              <w:rPr>
                <w:rFonts w:hint="eastAsia" w:cs="Times New Roman"/>
                <w:color w:val="auto"/>
                <w:sz w:val="24"/>
                <w:highlight w:val="none"/>
                <w:lang w:eastAsia="zh-CN"/>
              </w:rPr>
              <w:t>，</w:t>
            </w:r>
            <w:r>
              <w:rPr>
                <w:rFonts w:hint="default" w:ascii="Times New Roman" w:hAnsi="Times New Roman" w:cs="Times New Roman"/>
                <w:color w:val="auto"/>
                <w:sz w:val="24"/>
                <w:highlight w:val="none"/>
                <w:u w:val="none"/>
                <w:lang w:val="en-US" w:eastAsia="zh-CN"/>
              </w:rPr>
              <w:t>在</w:t>
            </w:r>
            <w:r>
              <w:rPr>
                <w:rFonts w:hint="default" w:ascii="Times New Roman" w:hAnsi="Times New Roman" w:cs="Times New Roman"/>
                <w:color w:val="auto"/>
                <w:sz w:val="24"/>
                <w:highlight w:val="none"/>
                <w:u w:val="none"/>
              </w:rPr>
              <w:t>厂区集中收集、暂存后</w:t>
            </w:r>
            <w:r>
              <w:rPr>
                <w:rFonts w:hint="eastAsia" w:ascii="Times New Roman" w:hAnsi="Times New Roman" w:cs="Times New Roman"/>
                <w:color w:val="auto"/>
                <w:sz w:val="24"/>
                <w:highlight w:val="none"/>
                <w:u w:val="none"/>
                <w:lang w:val="en-US" w:eastAsia="zh-CN"/>
              </w:rPr>
              <w:t>交由</w:t>
            </w:r>
            <w:r>
              <w:rPr>
                <w:rFonts w:hint="default" w:ascii="Times New Roman" w:hAnsi="Times New Roman" w:cs="Times New Roman"/>
                <w:color w:val="auto"/>
                <w:sz w:val="24"/>
                <w:highlight w:val="none"/>
                <w:u w:val="none"/>
              </w:rPr>
              <w:t>有危险废物处理资质的单位</w:t>
            </w:r>
            <w:r>
              <w:rPr>
                <w:rFonts w:hint="eastAsia" w:ascii="Times New Roman" w:hAnsi="Times New Roman" w:cs="Times New Roman"/>
                <w:color w:val="auto"/>
                <w:sz w:val="24"/>
                <w:highlight w:val="none"/>
                <w:u w:val="none"/>
                <w:lang w:val="en-US" w:eastAsia="zh-CN"/>
              </w:rPr>
              <w:t>处置。</w:t>
            </w:r>
          </w:p>
          <w:p w14:paraId="1DED4223">
            <w:pPr>
              <w:widowControl/>
              <w:spacing w:line="360" w:lineRule="auto"/>
              <w:ind w:firstLine="480"/>
              <w:rPr>
                <w:rFonts w:hint="default" w:ascii="Times New Roman" w:hAnsi="Times New Roman" w:cs="Times New Roman"/>
                <w:color w:val="auto"/>
                <w:sz w:val="24"/>
                <w:highlight w:val="none"/>
                <w:u w:val="none"/>
                <w:lang w:val="en-US" w:eastAsia="zh-CN"/>
              </w:rPr>
            </w:pPr>
            <w:r>
              <w:rPr>
                <w:rFonts w:hint="eastAsia" w:ascii="Times New Roman" w:hAnsi="Times New Roman" w:eastAsia="宋体" w:cs="Times New Roman"/>
                <w:color w:val="auto"/>
                <w:spacing w:val="0"/>
                <w:kern w:val="0"/>
                <w:sz w:val="24"/>
                <w:highlight w:val="none"/>
                <w:u w:val="none" w:color="auto"/>
              </w:rPr>
              <w:t>②</w:t>
            </w:r>
            <w:r>
              <w:rPr>
                <w:rFonts w:hint="eastAsia" w:cs="Times New Roman"/>
                <w:color w:val="auto"/>
                <w:sz w:val="24"/>
                <w:highlight w:val="none"/>
                <w:lang w:val="en-US" w:eastAsia="zh-CN"/>
              </w:rPr>
              <w:t>废机油桶</w:t>
            </w:r>
          </w:p>
          <w:p w14:paraId="1B926111">
            <w:pPr>
              <w:widowControl/>
              <w:spacing w:line="360" w:lineRule="auto"/>
              <w:ind w:firstLine="480"/>
              <w:rPr>
                <w:rFonts w:hint="eastAsia" w:ascii="Times New Roman" w:hAnsi="Times New Roman" w:cs="Times New Roman"/>
                <w:color w:val="auto"/>
                <w:sz w:val="24"/>
                <w:highlight w:val="none"/>
                <w:u w:val="none"/>
                <w:lang w:val="en-US" w:eastAsia="zh-CN"/>
              </w:rPr>
            </w:pPr>
            <w:r>
              <w:rPr>
                <w:rFonts w:hint="eastAsia" w:cs="Times New Roman"/>
                <w:color w:val="auto"/>
                <w:sz w:val="24"/>
                <w:highlight w:val="none"/>
                <w:u w:val="none"/>
                <w:lang w:val="en-US" w:eastAsia="zh-CN"/>
              </w:rPr>
              <w:t>机油</w:t>
            </w:r>
            <w:r>
              <w:rPr>
                <w:rFonts w:hint="default" w:ascii="Times New Roman" w:hAnsi="Times New Roman" w:cs="Times New Roman"/>
                <w:color w:val="auto"/>
                <w:sz w:val="24"/>
                <w:highlight w:val="none"/>
                <w:u w:val="none"/>
              </w:rPr>
              <w:t>包装桶</w:t>
            </w:r>
            <w:r>
              <w:rPr>
                <w:rFonts w:hint="eastAsia" w:ascii="Times New Roman" w:hAnsi="Times New Roman" w:cs="Times New Roman"/>
                <w:color w:val="auto"/>
                <w:sz w:val="24"/>
                <w:highlight w:val="none"/>
                <w:u w:val="none"/>
                <w:lang w:val="en-US" w:eastAsia="zh-CN"/>
              </w:rPr>
              <w:t>属于</w:t>
            </w:r>
            <w:r>
              <w:rPr>
                <w:rFonts w:hint="default" w:ascii="Times New Roman" w:hAnsi="Times New Roman" w:cs="Times New Roman"/>
                <w:color w:val="auto"/>
                <w:sz w:val="24"/>
                <w:highlight w:val="none"/>
              </w:rPr>
              <w:t>《国家危险废物名录》（202</w:t>
            </w:r>
            <w:r>
              <w:rPr>
                <w:rFonts w:hint="eastAsia"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年）</w:t>
            </w:r>
            <w:r>
              <w:rPr>
                <w:rFonts w:hint="eastAsia" w:ascii="Times New Roman" w:hAnsi="Times New Roman" w:cs="Times New Roman"/>
                <w:color w:val="auto"/>
                <w:sz w:val="24"/>
                <w:highlight w:val="none"/>
                <w:u w:val="none"/>
                <w:lang w:val="en-US" w:eastAsia="zh-CN"/>
              </w:rPr>
              <w:t>中</w:t>
            </w:r>
            <w:r>
              <w:rPr>
                <w:rFonts w:hint="default" w:ascii="Times New Roman" w:hAnsi="Times New Roman" w:cs="Times New Roman"/>
                <w:color w:val="auto"/>
                <w:sz w:val="24"/>
                <w:highlight w:val="none"/>
                <w:u w:val="none"/>
              </w:rPr>
              <w:t>HW49其他废物，</w:t>
            </w:r>
            <w:r>
              <w:rPr>
                <w:rFonts w:hint="default" w:ascii="Times New Roman" w:hAnsi="Times New Roman" w:cs="Times New Roman"/>
                <w:color w:val="auto"/>
                <w:sz w:val="24"/>
                <w:highlight w:val="none"/>
              </w:rPr>
              <w:t>危废代码</w:t>
            </w:r>
            <w:r>
              <w:rPr>
                <w:rFonts w:hint="eastAsia" w:cs="Times New Roman"/>
                <w:color w:val="auto"/>
                <w:sz w:val="24"/>
                <w:highlight w:val="none"/>
                <w:lang w:val="en-US" w:eastAsia="zh-CN"/>
              </w:rPr>
              <w:t>为</w:t>
            </w:r>
            <w:r>
              <w:rPr>
                <w:rFonts w:hint="default" w:ascii="Times New Roman" w:hAnsi="Times New Roman" w:cs="Times New Roman"/>
                <w:color w:val="auto"/>
                <w:sz w:val="24"/>
                <w:highlight w:val="none"/>
                <w:u w:val="none"/>
              </w:rPr>
              <w:t>900-041-49，</w:t>
            </w:r>
            <w:r>
              <w:rPr>
                <w:rFonts w:hint="eastAsia" w:cs="Times New Roman"/>
                <w:color w:val="auto"/>
                <w:sz w:val="24"/>
                <w:highlight w:val="none"/>
                <w:lang w:val="en-US" w:eastAsia="zh-CN"/>
              </w:rPr>
              <w:t>废机油桶</w:t>
            </w:r>
            <w:r>
              <w:rPr>
                <w:rFonts w:hint="default" w:ascii="Times New Roman" w:hAnsi="Times New Roman" w:cs="Times New Roman"/>
                <w:color w:val="auto"/>
                <w:sz w:val="24"/>
                <w:highlight w:val="none"/>
                <w:u w:val="none"/>
              </w:rPr>
              <w:t>产生量约为</w:t>
            </w:r>
            <w:r>
              <w:rPr>
                <w:rFonts w:hint="default" w:ascii="Times New Roman" w:hAnsi="Times New Roman" w:cs="Times New Roman"/>
                <w:color w:val="auto"/>
                <w:sz w:val="24"/>
                <w:highlight w:val="none"/>
                <w:u w:val="none"/>
                <w:lang w:val="en-US" w:eastAsia="zh-CN"/>
              </w:rPr>
              <w:t>0.</w:t>
            </w:r>
            <w:r>
              <w:rPr>
                <w:rFonts w:hint="eastAsia" w:cs="Times New Roman"/>
                <w:color w:val="auto"/>
                <w:sz w:val="24"/>
                <w:highlight w:val="none"/>
                <w:u w:val="none"/>
                <w:lang w:val="en-US" w:eastAsia="zh-CN"/>
              </w:rPr>
              <w:t>0</w:t>
            </w:r>
            <w:r>
              <w:rPr>
                <w:rFonts w:hint="default" w:ascii="Times New Roman" w:hAnsi="Times New Roman" w:cs="Times New Roman"/>
                <w:color w:val="auto"/>
                <w:sz w:val="24"/>
                <w:highlight w:val="none"/>
                <w:u w:val="none"/>
                <w:lang w:val="en-US" w:eastAsia="zh-CN"/>
              </w:rPr>
              <w:t>5</w:t>
            </w:r>
            <w:r>
              <w:rPr>
                <w:rFonts w:hint="default" w:ascii="Times New Roman" w:hAnsi="Times New Roman" w:cs="Times New Roman"/>
                <w:color w:val="auto"/>
                <w:sz w:val="24"/>
                <w:highlight w:val="none"/>
                <w:u w:val="none"/>
              </w:rPr>
              <w:t>t/a。</w:t>
            </w:r>
            <w:r>
              <w:rPr>
                <w:rFonts w:hint="default" w:ascii="Times New Roman" w:hAnsi="Times New Roman" w:cs="Times New Roman"/>
                <w:color w:val="auto"/>
                <w:sz w:val="24"/>
                <w:highlight w:val="none"/>
                <w:u w:val="none"/>
                <w:lang w:val="en-US" w:eastAsia="zh-CN"/>
              </w:rPr>
              <w:t>在</w:t>
            </w:r>
            <w:r>
              <w:rPr>
                <w:rFonts w:hint="default" w:ascii="Times New Roman" w:hAnsi="Times New Roman" w:cs="Times New Roman"/>
                <w:color w:val="auto"/>
                <w:sz w:val="24"/>
                <w:highlight w:val="none"/>
                <w:u w:val="none"/>
              </w:rPr>
              <w:t>厂区集中收集、暂存后</w:t>
            </w:r>
            <w:r>
              <w:rPr>
                <w:rFonts w:hint="eastAsia" w:ascii="Times New Roman" w:hAnsi="Times New Roman" w:cs="Times New Roman"/>
                <w:color w:val="auto"/>
                <w:sz w:val="24"/>
                <w:highlight w:val="none"/>
                <w:u w:val="none"/>
                <w:lang w:val="en-US" w:eastAsia="zh-CN"/>
              </w:rPr>
              <w:t>交由</w:t>
            </w:r>
            <w:r>
              <w:rPr>
                <w:rFonts w:hint="default" w:ascii="Times New Roman" w:hAnsi="Times New Roman" w:cs="Times New Roman"/>
                <w:color w:val="auto"/>
                <w:sz w:val="24"/>
                <w:highlight w:val="none"/>
                <w:u w:val="none"/>
              </w:rPr>
              <w:t>有危险废物处理资质的单位</w:t>
            </w:r>
            <w:r>
              <w:rPr>
                <w:rFonts w:hint="eastAsia" w:ascii="Times New Roman" w:hAnsi="Times New Roman" w:cs="Times New Roman"/>
                <w:color w:val="auto"/>
                <w:sz w:val="24"/>
                <w:highlight w:val="none"/>
                <w:u w:val="none"/>
                <w:lang w:val="en-US" w:eastAsia="zh-CN"/>
              </w:rPr>
              <w:t>处置。</w:t>
            </w:r>
          </w:p>
          <w:p w14:paraId="5D025C56">
            <w:pPr>
              <w:spacing w:line="360" w:lineRule="auto"/>
              <w:ind w:left="420" w:left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（3）生活垃圾</w:t>
            </w:r>
          </w:p>
          <w:p w14:paraId="462005C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项目劳动定员</w:t>
            </w:r>
            <w:r>
              <w:rPr>
                <w:rFonts w:hint="eastAsia" w:cs="Times New Roman"/>
                <w:color w:val="auto"/>
                <w:sz w:val="24"/>
                <w:highlight w:val="none"/>
                <w:lang w:val="en-US" w:eastAsia="zh-CN"/>
              </w:rPr>
              <w:t>5</w:t>
            </w:r>
            <w:r>
              <w:rPr>
                <w:rFonts w:hint="default" w:ascii="Times New Roman" w:hAnsi="Times New Roman" w:cs="Times New Roman"/>
                <w:color w:val="auto"/>
                <w:sz w:val="24"/>
                <w:highlight w:val="none"/>
              </w:rPr>
              <w:t>人，年工作300天，生活垃圾产生率按</w:t>
            </w:r>
            <w:r>
              <w:rPr>
                <w:rFonts w:hint="eastAsia" w:cs="Times New Roman"/>
                <w:color w:val="auto"/>
                <w:sz w:val="24"/>
                <w:highlight w:val="none"/>
                <w:lang w:val="en-US" w:eastAsia="zh-CN"/>
              </w:rPr>
              <w:t>1.0</w:t>
            </w:r>
            <w:r>
              <w:rPr>
                <w:rFonts w:hint="default" w:ascii="Times New Roman" w:hAnsi="Times New Roman" w:cs="Times New Roman"/>
                <w:color w:val="auto"/>
                <w:sz w:val="24"/>
                <w:highlight w:val="none"/>
              </w:rPr>
              <w:t>kg/人·d，则生活垃圾产生量为</w:t>
            </w:r>
            <w:r>
              <w:rPr>
                <w:rFonts w:hint="eastAsia" w:cs="Times New Roman"/>
                <w:color w:val="auto"/>
                <w:sz w:val="24"/>
                <w:highlight w:val="none"/>
                <w:lang w:val="en-US" w:eastAsia="zh-CN"/>
              </w:rPr>
              <w:t>1.5</w:t>
            </w:r>
            <w:r>
              <w:rPr>
                <w:rFonts w:hint="default" w:ascii="Times New Roman" w:hAnsi="Times New Roman" w:cs="Times New Roman"/>
                <w:color w:val="auto"/>
                <w:sz w:val="24"/>
                <w:highlight w:val="none"/>
              </w:rPr>
              <w:t>t/a，由环卫部门统一收集处理。</w:t>
            </w:r>
          </w:p>
          <w:p w14:paraId="10297948">
            <w:pPr>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表4-</w:t>
            </w:r>
            <w:r>
              <w:rPr>
                <w:rFonts w:hint="eastAsia" w:cs="Times New Roman"/>
                <w:b/>
                <w:bCs/>
                <w:color w:val="auto"/>
                <w:sz w:val="21"/>
                <w:szCs w:val="21"/>
                <w:highlight w:val="none"/>
                <w:u w:val="none" w:color="auto"/>
                <w:lang w:val="en-US" w:eastAsia="zh-CN"/>
              </w:rPr>
              <w:t xml:space="preserve">13  </w:t>
            </w:r>
            <w:r>
              <w:rPr>
                <w:rFonts w:hint="default" w:ascii="Times New Roman" w:hAnsi="Times New Roman" w:cs="Times New Roman"/>
                <w:b/>
                <w:bCs/>
                <w:color w:val="auto"/>
                <w:sz w:val="21"/>
                <w:szCs w:val="21"/>
                <w:highlight w:val="none"/>
                <w:u w:val="none" w:color="auto"/>
              </w:rPr>
              <w:t>项目固体废物产生及去向情况汇总表</w:t>
            </w:r>
          </w:p>
          <w:tbl>
            <w:tblPr>
              <w:tblStyle w:val="33"/>
              <w:tblW w:w="4997"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427"/>
              <w:gridCol w:w="989"/>
              <w:gridCol w:w="1023"/>
              <w:gridCol w:w="871"/>
              <w:gridCol w:w="2362"/>
              <w:gridCol w:w="943"/>
              <w:gridCol w:w="1379"/>
            </w:tblGrid>
            <w:tr w14:paraId="2213E3A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37" w:hRule="atLeast"/>
                <w:jc w:val="center"/>
              </w:trPr>
              <w:tc>
                <w:tcPr>
                  <w:tcW w:w="249" w:type="pct"/>
                  <w:tcBorders>
                    <w:tl2br w:val="nil"/>
                    <w:tr2bl w:val="nil"/>
                  </w:tcBorders>
                  <w:noWrap w:val="0"/>
                  <w:vAlign w:val="center"/>
                </w:tcPr>
                <w:p w14:paraId="1C1AC777">
                  <w:pPr>
                    <w:adjustRightInd w:val="0"/>
                    <w:snapToGrid w:val="0"/>
                    <w:spacing w:line="240" w:lineRule="exact"/>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序号</w:t>
                  </w:r>
                </w:p>
              </w:tc>
              <w:tc>
                <w:tcPr>
                  <w:tcW w:w="632" w:type="pct"/>
                  <w:tcBorders>
                    <w:tl2br w:val="nil"/>
                    <w:tr2bl w:val="nil"/>
                  </w:tcBorders>
                  <w:noWrap w:val="0"/>
                  <w:vAlign w:val="center"/>
                </w:tcPr>
                <w:p w14:paraId="075FC2EE">
                  <w:pPr>
                    <w:adjustRightInd w:val="0"/>
                    <w:snapToGrid w:val="0"/>
                    <w:spacing w:line="240" w:lineRule="exact"/>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产生源</w:t>
                  </w:r>
                </w:p>
              </w:tc>
              <w:tc>
                <w:tcPr>
                  <w:tcW w:w="653" w:type="pct"/>
                  <w:tcBorders>
                    <w:tl2br w:val="nil"/>
                    <w:tr2bl w:val="nil"/>
                  </w:tcBorders>
                  <w:noWrap w:val="0"/>
                  <w:vAlign w:val="center"/>
                </w:tcPr>
                <w:p w14:paraId="3BEB1460">
                  <w:pPr>
                    <w:adjustRightInd w:val="0"/>
                    <w:snapToGrid w:val="0"/>
                    <w:spacing w:line="240" w:lineRule="exact"/>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固废名称</w:t>
                  </w:r>
                </w:p>
              </w:tc>
              <w:tc>
                <w:tcPr>
                  <w:tcW w:w="494" w:type="pct"/>
                  <w:tcBorders>
                    <w:tl2br w:val="nil"/>
                    <w:tr2bl w:val="nil"/>
                  </w:tcBorders>
                  <w:noWrap w:val="0"/>
                  <w:vAlign w:val="center"/>
                </w:tcPr>
                <w:p w14:paraId="77EABB10">
                  <w:pPr>
                    <w:adjustRightInd w:val="0"/>
                    <w:snapToGrid w:val="0"/>
                    <w:spacing w:line="240" w:lineRule="exact"/>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产生量（t/a）</w:t>
                  </w:r>
                </w:p>
              </w:tc>
              <w:tc>
                <w:tcPr>
                  <w:tcW w:w="1490" w:type="pct"/>
                  <w:tcBorders>
                    <w:tl2br w:val="nil"/>
                    <w:tr2bl w:val="nil"/>
                  </w:tcBorders>
                  <w:noWrap w:val="0"/>
                  <w:vAlign w:val="center"/>
                </w:tcPr>
                <w:p w14:paraId="1D597A3D">
                  <w:pPr>
                    <w:adjustRightInd w:val="0"/>
                    <w:snapToGrid w:val="0"/>
                    <w:spacing w:line="240" w:lineRule="exact"/>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类别</w:t>
                  </w:r>
                </w:p>
              </w:tc>
              <w:tc>
                <w:tcPr>
                  <w:tcW w:w="603" w:type="pct"/>
                  <w:tcBorders>
                    <w:tl2br w:val="nil"/>
                    <w:tr2bl w:val="nil"/>
                  </w:tcBorders>
                  <w:noWrap w:val="0"/>
                  <w:vAlign w:val="center"/>
                </w:tcPr>
                <w:p w14:paraId="3E08C538">
                  <w:pPr>
                    <w:adjustRightInd w:val="0"/>
                    <w:snapToGrid w:val="0"/>
                    <w:spacing w:line="240" w:lineRule="exact"/>
                    <w:jc w:val="center"/>
                    <w:rPr>
                      <w:rFonts w:hint="default" w:ascii="Times New Roman" w:hAnsi="Times New Roman" w:eastAsia="宋体" w:cs="Times New Roman"/>
                      <w:b/>
                      <w:bCs/>
                      <w:color w:val="auto"/>
                      <w:highlight w:val="none"/>
                      <w:u w:val="none" w:color="auto"/>
                      <w:lang w:val="en-US" w:eastAsia="zh-CN"/>
                    </w:rPr>
                  </w:pPr>
                  <w:r>
                    <w:rPr>
                      <w:rFonts w:hint="eastAsia" w:cs="Times New Roman"/>
                      <w:b/>
                      <w:bCs/>
                      <w:color w:val="auto"/>
                      <w:highlight w:val="none"/>
                      <w:u w:val="none" w:color="auto"/>
                      <w:lang w:val="en-US" w:eastAsia="zh-CN"/>
                    </w:rPr>
                    <w:t>储存方式</w:t>
                  </w:r>
                </w:p>
              </w:tc>
              <w:tc>
                <w:tcPr>
                  <w:tcW w:w="876" w:type="pct"/>
                  <w:tcBorders>
                    <w:tl2br w:val="nil"/>
                    <w:tr2bl w:val="nil"/>
                  </w:tcBorders>
                  <w:noWrap w:val="0"/>
                  <w:vAlign w:val="center"/>
                </w:tcPr>
                <w:p w14:paraId="1F5F2938">
                  <w:pPr>
                    <w:adjustRightInd w:val="0"/>
                    <w:snapToGrid w:val="0"/>
                    <w:spacing w:line="240" w:lineRule="exact"/>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去向</w:t>
                  </w:r>
                </w:p>
              </w:tc>
            </w:tr>
            <w:tr w14:paraId="277CF3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8" w:hRule="atLeast"/>
                <w:jc w:val="center"/>
              </w:trPr>
              <w:tc>
                <w:tcPr>
                  <w:tcW w:w="249" w:type="pct"/>
                  <w:tcBorders>
                    <w:tl2br w:val="nil"/>
                    <w:tr2bl w:val="nil"/>
                  </w:tcBorders>
                  <w:noWrap w:val="0"/>
                  <w:vAlign w:val="center"/>
                </w:tcPr>
                <w:p w14:paraId="352D92D8">
                  <w:pPr>
                    <w:adjustRightInd w:val="0"/>
                    <w:snapToGrid w:val="0"/>
                    <w:spacing w:line="240" w:lineRule="exact"/>
                    <w:jc w:val="center"/>
                    <w:rPr>
                      <w:rFonts w:hint="default" w:ascii="Times New Roman" w:hAnsi="Times New Roman" w:cs="Times New Roman"/>
                      <w:color w:val="auto"/>
                      <w:highlight w:val="none"/>
                      <w:u w:val="none" w:color="auto"/>
                    </w:rPr>
                  </w:pPr>
                  <w:bookmarkStart w:id="29" w:name="OLE_LINK136" w:colFirst="2" w:colLast="2"/>
                  <w:r>
                    <w:rPr>
                      <w:rFonts w:hint="default" w:ascii="Times New Roman" w:hAnsi="Times New Roman" w:cs="Times New Roman"/>
                      <w:color w:val="auto"/>
                      <w:highlight w:val="none"/>
                      <w:u w:val="none" w:color="auto"/>
                    </w:rPr>
                    <w:t>1</w:t>
                  </w:r>
                </w:p>
              </w:tc>
              <w:tc>
                <w:tcPr>
                  <w:tcW w:w="632" w:type="pct"/>
                  <w:tcBorders>
                    <w:tl2br w:val="nil"/>
                    <w:tr2bl w:val="nil"/>
                  </w:tcBorders>
                  <w:noWrap w:val="0"/>
                  <w:vAlign w:val="center"/>
                </w:tcPr>
                <w:p w14:paraId="5D210F80">
                  <w:pPr>
                    <w:adjustRightInd w:val="0"/>
                    <w:snapToGrid w:val="0"/>
                    <w:spacing w:line="240" w:lineRule="exact"/>
                    <w:jc w:val="center"/>
                    <w:rPr>
                      <w:rFonts w:hint="default" w:ascii="Times New Roman" w:hAnsi="Times New Roman" w:cs="Times New Roman"/>
                      <w:color w:val="auto"/>
                      <w:highlight w:val="none"/>
                      <w:u w:val="none" w:color="auto"/>
                      <w:lang w:val="en-US" w:eastAsia="zh-CN"/>
                    </w:rPr>
                  </w:pPr>
                  <w:r>
                    <w:rPr>
                      <w:rFonts w:hint="eastAsia" w:cs="Times New Roman"/>
                      <w:color w:val="auto"/>
                      <w:highlight w:val="none"/>
                      <w:u w:val="none" w:color="auto"/>
                      <w:lang w:val="en-US" w:eastAsia="zh-CN"/>
                    </w:rPr>
                    <w:t>拆卸瓶阀</w:t>
                  </w:r>
                </w:p>
              </w:tc>
              <w:tc>
                <w:tcPr>
                  <w:tcW w:w="653" w:type="pct"/>
                  <w:tcBorders>
                    <w:tl2br w:val="nil"/>
                    <w:tr2bl w:val="nil"/>
                  </w:tcBorders>
                  <w:shd w:val="clear" w:color="auto" w:fill="auto"/>
                  <w:noWrap w:val="0"/>
                  <w:vAlign w:val="center"/>
                </w:tcPr>
                <w:p w14:paraId="7904DE1D">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废角阀</w:t>
                  </w:r>
                </w:p>
              </w:tc>
              <w:tc>
                <w:tcPr>
                  <w:tcW w:w="494" w:type="pct"/>
                  <w:tcBorders>
                    <w:tl2br w:val="nil"/>
                    <w:tr2bl w:val="nil"/>
                  </w:tcBorders>
                  <w:noWrap w:val="0"/>
                  <w:vAlign w:val="center"/>
                </w:tcPr>
                <w:p w14:paraId="3CEB1513">
                  <w:pPr>
                    <w:adjustRightInd w:val="0"/>
                    <w:snapToGrid w:val="0"/>
                    <w:spacing w:line="240" w:lineRule="exact"/>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12万只/a</w:t>
                  </w:r>
                </w:p>
              </w:tc>
              <w:tc>
                <w:tcPr>
                  <w:tcW w:w="1490" w:type="pct"/>
                  <w:tcBorders>
                    <w:tl2br w:val="nil"/>
                    <w:tr2bl w:val="nil"/>
                  </w:tcBorders>
                  <w:noWrap w:val="0"/>
                  <w:vAlign w:val="center"/>
                </w:tcPr>
                <w:p w14:paraId="369E1CD7">
                  <w:pPr>
                    <w:adjustRightInd w:val="0"/>
                    <w:snapToGrid w:val="0"/>
                    <w:spacing w:line="240" w:lineRule="exact"/>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cs="Times New Roman"/>
                      <w:color w:val="auto"/>
                      <w:highlight w:val="none"/>
                      <w:u w:val="none" w:color="auto"/>
                    </w:rPr>
                    <w:t>一般固废</w:t>
                  </w:r>
                  <w:r>
                    <w:rPr>
                      <w:rFonts w:hint="eastAsia"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lang w:val="en-US" w:eastAsia="zh-CN"/>
                    </w:rPr>
                    <w:t>废物代码：SW17</w:t>
                  </w:r>
                  <w:r>
                    <w:rPr>
                      <w:rFonts w:hint="eastAsia" w:cs="Times New Roman"/>
                      <w:color w:val="auto"/>
                      <w:highlight w:val="none"/>
                      <w:u w:val="none" w:color="auto"/>
                      <w:lang w:val="en-US" w:eastAsia="zh-CN"/>
                    </w:rPr>
                    <w:t>，</w:t>
                  </w:r>
                  <w:r>
                    <w:rPr>
                      <w:rFonts w:hint="default" w:ascii="Times New Roman" w:hAnsi="Times New Roman" w:cs="Times New Roman"/>
                      <w:color w:val="auto"/>
                      <w:highlight w:val="none"/>
                      <w:u w:val="none" w:color="auto"/>
                      <w:lang w:val="en-US" w:eastAsia="zh-CN"/>
                    </w:rPr>
                    <w:t>900-001-S17</w:t>
                  </w:r>
                </w:p>
              </w:tc>
              <w:tc>
                <w:tcPr>
                  <w:tcW w:w="603" w:type="pct"/>
                  <w:tcBorders>
                    <w:tl2br w:val="nil"/>
                    <w:tr2bl w:val="nil"/>
                  </w:tcBorders>
                  <w:noWrap w:val="0"/>
                  <w:vAlign w:val="center"/>
                </w:tcPr>
                <w:p w14:paraId="38A1C93A">
                  <w:pPr>
                    <w:adjustRightInd w:val="0"/>
                    <w:snapToGrid w:val="0"/>
                    <w:spacing w:line="240" w:lineRule="exact"/>
                    <w:jc w:val="center"/>
                    <w:rPr>
                      <w:rFonts w:hint="eastAsia"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袋装</w:t>
                  </w:r>
                </w:p>
              </w:tc>
              <w:tc>
                <w:tcPr>
                  <w:tcW w:w="876" w:type="pct"/>
                  <w:vMerge w:val="restart"/>
                  <w:tcBorders>
                    <w:tl2br w:val="nil"/>
                    <w:tr2bl w:val="nil"/>
                  </w:tcBorders>
                  <w:noWrap w:val="0"/>
                  <w:vAlign w:val="center"/>
                </w:tcPr>
                <w:p w14:paraId="24717D19">
                  <w:pPr>
                    <w:adjustRightInd w:val="0"/>
                    <w:snapToGrid w:val="0"/>
                    <w:spacing w:line="240" w:lineRule="exact"/>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lang w:val="en-US" w:eastAsia="zh-CN"/>
                    </w:rPr>
                    <w:t>统一收集后外售综合回收利用</w:t>
                  </w:r>
                </w:p>
              </w:tc>
            </w:tr>
            <w:tr w14:paraId="326C6B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8" w:hRule="atLeast"/>
                <w:jc w:val="center"/>
              </w:trPr>
              <w:tc>
                <w:tcPr>
                  <w:tcW w:w="249" w:type="pct"/>
                  <w:tcBorders>
                    <w:tl2br w:val="nil"/>
                    <w:tr2bl w:val="nil"/>
                  </w:tcBorders>
                  <w:shd w:val="clear" w:color="auto" w:fill="auto"/>
                  <w:noWrap w:val="0"/>
                  <w:vAlign w:val="center"/>
                </w:tcPr>
                <w:p w14:paraId="0CA55E57">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2</w:t>
                  </w:r>
                </w:p>
              </w:tc>
              <w:tc>
                <w:tcPr>
                  <w:tcW w:w="632" w:type="pct"/>
                  <w:tcBorders>
                    <w:tl2br w:val="nil"/>
                    <w:tr2bl w:val="nil"/>
                  </w:tcBorders>
                  <w:shd w:val="clear" w:color="auto" w:fill="auto"/>
                  <w:noWrap w:val="0"/>
                  <w:vAlign w:val="center"/>
                </w:tcPr>
                <w:p w14:paraId="020BC9F5">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kern w:val="2"/>
                      <w:sz w:val="21"/>
                      <w:szCs w:val="24"/>
                      <w:highlight w:val="none"/>
                      <w:u w:val="none" w:color="auto"/>
                      <w:lang w:val="en-US" w:eastAsia="zh-CN" w:bidi="ar-SA"/>
                    </w:rPr>
                    <w:t>除尘装置</w:t>
                  </w:r>
                </w:p>
              </w:tc>
              <w:tc>
                <w:tcPr>
                  <w:tcW w:w="653" w:type="pct"/>
                  <w:tcBorders>
                    <w:tl2br w:val="nil"/>
                    <w:tr2bl w:val="nil"/>
                  </w:tcBorders>
                  <w:shd w:val="clear" w:color="auto" w:fill="auto"/>
                  <w:noWrap w:val="0"/>
                  <w:vAlign w:val="center"/>
                </w:tcPr>
                <w:p w14:paraId="22FAD442">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eastAsia="宋体" w:cs="Times New Roman"/>
                      <w:color w:val="auto"/>
                      <w:kern w:val="2"/>
                      <w:sz w:val="21"/>
                      <w:szCs w:val="24"/>
                      <w:highlight w:val="none"/>
                      <w:u w:val="none" w:color="auto"/>
                      <w:lang w:val="en-US" w:eastAsia="zh-CN" w:bidi="ar-SA"/>
                    </w:rPr>
                    <w:t>收集粉尘</w:t>
                  </w:r>
                </w:p>
              </w:tc>
              <w:tc>
                <w:tcPr>
                  <w:tcW w:w="494" w:type="pct"/>
                  <w:tcBorders>
                    <w:tl2br w:val="nil"/>
                    <w:tr2bl w:val="nil"/>
                  </w:tcBorders>
                  <w:shd w:val="clear" w:color="auto" w:fill="auto"/>
                  <w:noWrap w:val="0"/>
                  <w:vAlign w:val="center"/>
                </w:tcPr>
                <w:p w14:paraId="4DECEBDA">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1.9</w:t>
                  </w:r>
                </w:p>
              </w:tc>
              <w:tc>
                <w:tcPr>
                  <w:tcW w:w="1490" w:type="pct"/>
                  <w:tcBorders>
                    <w:tl2br w:val="nil"/>
                    <w:tr2bl w:val="nil"/>
                  </w:tcBorders>
                  <w:shd w:val="clear" w:color="auto" w:fill="auto"/>
                  <w:noWrap w:val="0"/>
                  <w:vAlign w:val="center"/>
                </w:tcPr>
                <w:p w14:paraId="26C1A9EF">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一般固废</w:t>
                  </w:r>
                  <w:r>
                    <w:rPr>
                      <w:rFonts w:hint="eastAsia" w:cs="Times New Roman"/>
                      <w:color w:val="auto"/>
                      <w:highlight w:val="none"/>
                      <w:u w:val="none" w:color="auto"/>
                      <w:lang w:eastAsia="zh-CN"/>
                    </w:rPr>
                    <w:t>，</w:t>
                  </w:r>
                  <w:r>
                    <w:rPr>
                      <w:rFonts w:hint="default" w:ascii="Times New Roman" w:hAnsi="Times New Roman" w:cs="Times New Roman"/>
                      <w:color w:val="auto"/>
                      <w:highlight w:val="none"/>
                      <w:u w:val="none" w:color="auto"/>
                      <w:lang w:val="en-US" w:eastAsia="zh-CN"/>
                    </w:rPr>
                    <w:t>废物</w:t>
                  </w:r>
                  <w:r>
                    <w:rPr>
                      <w:rFonts w:hint="eastAsia" w:cs="Times New Roman"/>
                      <w:color w:val="auto"/>
                      <w:highlight w:val="none"/>
                      <w:u w:val="none" w:color="auto"/>
                      <w:lang w:val="en-US" w:eastAsia="zh-CN"/>
                    </w:rPr>
                    <w:t>代码：</w:t>
                  </w:r>
                  <w:r>
                    <w:rPr>
                      <w:rFonts w:hint="eastAsia" w:cs="Times New Roman"/>
                      <w:color w:val="auto"/>
                      <w:highlight w:val="none"/>
                      <w:u w:val="none" w:color="auto"/>
                      <w:lang w:eastAsia="zh-CN"/>
                    </w:rPr>
                    <w:t>SW</w:t>
                  </w:r>
                  <w:r>
                    <w:rPr>
                      <w:rFonts w:hint="eastAsia" w:cs="Times New Roman"/>
                      <w:color w:val="auto"/>
                      <w:highlight w:val="none"/>
                      <w:u w:val="none" w:color="auto"/>
                      <w:lang w:val="en-US" w:eastAsia="zh-CN"/>
                    </w:rPr>
                    <w:t>59，900-099-S59</w:t>
                  </w:r>
                </w:p>
              </w:tc>
              <w:tc>
                <w:tcPr>
                  <w:tcW w:w="603" w:type="pct"/>
                  <w:tcBorders>
                    <w:tl2br w:val="nil"/>
                    <w:tr2bl w:val="nil"/>
                  </w:tcBorders>
                  <w:shd w:val="clear" w:color="auto" w:fill="auto"/>
                  <w:noWrap w:val="0"/>
                  <w:vAlign w:val="center"/>
                </w:tcPr>
                <w:p w14:paraId="163F3D26">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袋装</w:t>
                  </w:r>
                </w:p>
              </w:tc>
              <w:tc>
                <w:tcPr>
                  <w:tcW w:w="876" w:type="pct"/>
                  <w:vMerge w:val="continue"/>
                  <w:tcBorders>
                    <w:tl2br w:val="nil"/>
                    <w:tr2bl w:val="nil"/>
                  </w:tcBorders>
                  <w:noWrap w:val="0"/>
                  <w:vAlign w:val="center"/>
                </w:tcPr>
                <w:p w14:paraId="11AF8080">
                  <w:pPr>
                    <w:adjustRightInd w:val="0"/>
                    <w:snapToGrid w:val="0"/>
                    <w:spacing w:line="240" w:lineRule="exact"/>
                    <w:jc w:val="center"/>
                    <w:rPr>
                      <w:rFonts w:hint="default" w:ascii="Times New Roman" w:hAnsi="Times New Roman" w:cs="Times New Roman"/>
                      <w:color w:val="auto"/>
                      <w:sz w:val="21"/>
                      <w:szCs w:val="21"/>
                      <w:highlight w:val="none"/>
                      <w:u w:val="none" w:color="auto"/>
                      <w:lang w:val="en-US" w:eastAsia="zh-CN"/>
                    </w:rPr>
                  </w:pPr>
                </w:p>
              </w:tc>
            </w:tr>
            <w:tr w14:paraId="30D413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8" w:hRule="atLeast"/>
                <w:jc w:val="center"/>
              </w:trPr>
              <w:tc>
                <w:tcPr>
                  <w:tcW w:w="249" w:type="pct"/>
                  <w:tcBorders>
                    <w:tl2br w:val="nil"/>
                    <w:tr2bl w:val="nil"/>
                  </w:tcBorders>
                  <w:shd w:val="clear" w:color="auto" w:fill="auto"/>
                  <w:noWrap w:val="0"/>
                  <w:vAlign w:val="center"/>
                </w:tcPr>
                <w:p w14:paraId="50DB3C30">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cs="Times New Roman"/>
                      <w:color w:val="auto"/>
                      <w:highlight w:val="none"/>
                      <w:u w:val="none" w:color="auto"/>
                      <w:lang w:val="en-US" w:eastAsia="zh-CN"/>
                    </w:rPr>
                    <w:t>3</w:t>
                  </w:r>
                </w:p>
              </w:tc>
              <w:tc>
                <w:tcPr>
                  <w:tcW w:w="632" w:type="pct"/>
                  <w:tcBorders>
                    <w:tl2br w:val="nil"/>
                    <w:tr2bl w:val="nil"/>
                  </w:tcBorders>
                  <w:shd w:val="clear" w:color="auto" w:fill="auto"/>
                  <w:noWrap w:val="0"/>
                  <w:vAlign w:val="center"/>
                </w:tcPr>
                <w:p w14:paraId="1BFEC518">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4"/>
                      <w:highlight w:val="none"/>
                      <w:u w:val="none" w:color="auto"/>
                      <w:lang w:val="en-US" w:eastAsia="zh-CN" w:bidi="ar-SA"/>
                    </w:rPr>
                    <w:t>除尘装置</w:t>
                  </w:r>
                </w:p>
              </w:tc>
              <w:tc>
                <w:tcPr>
                  <w:tcW w:w="653" w:type="pct"/>
                  <w:tcBorders>
                    <w:tl2br w:val="nil"/>
                    <w:tr2bl w:val="nil"/>
                  </w:tcBorders>
                  <w:shd w:val="clear" w:color="auto" w:fill="auto"/>
                  <w:noWrap w:val="0"/>
                  <w:vAlign w:val="center"/>
                </w:tcPr>
                <w:p w14:paraId="729437C0">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kern w:val="2"/>
                      <w:sz w:val="21"/>
                      <w:szCs w:val="21"/>
                      <w:highlight w:val="none"/>
                      <w:u w:val="none" w:color="auto"/>
                      <w:lang w:val="en-US" w:eastAsia="zh-CN" w:bidi="ar-SA"/>
                    </w:rPr>
                    <w:t>废布袋</w:t>
                  </w:r>
                </w:p>
              </w:tc>
              <w:tc>
                <w:tcPr>
                  <w:tcW w:w="494" w:type="pct"/>
                  <w:tcBorders>
                    <w:tl2br w:val="nil"/>
                    <w:tr2bl w:val="nil"/>
                  </w:tcBorders>
                  <w:shd w:val="clear" w:color="auto" w:fill="auto"/>
                  <w:noWrap w:val="0"/>
                  <w:vAlign w:val="center"/>
                </w:tcPr>
                <w:p w14:paraId="5F71F04A">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sz w:val="21"/>
                      <w:szCs w:val="21"/>
                      <w:highlight w:val="none"/>
                      <w:u w:val="none" w:color="auto"/>
                      <w:lang w:val="en-US" w:eastAsia="zh-CN"/>
                    </w:rPr>
                    <w:t>0.</w:t>
                  </w:r>
                  <w:r>
                    <w:rPr>
                      <w:rFonts w:hint="eastAsia" w:cs="Times New Roman"/>
                      <w:color w:val="auto"/>
                      <w:sz w:val="21"/>
                      <w:szCs w:val="21"/>
                      <w:highlight w:val="none"/>
                      <w:u w:val="none" w:color="auto"/>
                      <w:lang w:val="en-US" w:eastAsia="zh-CN"/>
                    </w:rPr>
                    <w:t>2</w:t>
                  </w:r>
                </w:p>
              </w:tc>
              <w:tc>
                <w:tcPr>
                  <w:tcW w:w="1490" w:type="pct"/>
                  <w:tcBorders>
                    <w:tl2br w:val="nil"/>
                    <w:tr2bl w:val="nil"/>
                  </w:tcBorders>
                  <w:shd w:val="clear" w:color="auto" w:fill="auto"/>
                  <w:noWrap w:val="0"/>
                  <w:vAlign w:val="center"/>
                </w:tcPr>
                <w:p w14:paraId="433FC8DE">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highlight w:val="none"/>
                      <w:u w:val="none" w:color="auto"/>
                    </w:rPr>
                    <w:t>一般固废</w:t>
                  </w:r>
                  <w:r>
                    <w:rPr>
                      <w:rFonts w:hint="eastAsia"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lang w:val="en-US" w:eastAsia="zh-CN"/>
                    </w:rPr>
                    <w:t>废物代码：SW59，900-009-S59</w:t>
                  </w:r>
                </w:p>
              </w:tc>
              <w:tc>
                <w:tcPr>
                  <w:tcW w:w="603" w:type="pct"/>
                  <w:tcBorders>
                    <w:tl2br w:val="nil"/>
                    <w:tr2bl w:val="nil"/>
                  </w:tcBorders>
                  <w:shd w:val="clear" w:color="auto" w:fill="auto"/>
                  <w:noWrap w:val="0"/>
                  <w:vAlign w:val="center"/>
                </w:tcPr>
                <w:p w14:paraId="40F328A6">
                  <w:pPr>
                    <w:adjustRightInd w:val="0"/>
                    <w:snapToGrid w:val="0"/>
                    <w:spacing w:line="240" w:lineRule="exact"/>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袋装</w:t>
                  </w:r>
                </w:p>
              </w:tc>
              <w:tc>
                <w:tcPr>
                  <w:tcW w:w="876" w:type="pct"/>
                  <w:vMerge w:val="continue"/>
                  <w:tcBorders>
                    <w:bottom w:val="single" w:color="auto" w:sz="4" w:space="0"/>
                    <w:tl2br w:val="nil"/>
                    <w:tr2bl w:val="nil"/>
                  </w:tcBorders>
                  <w:noWrap w:val="0"/>
                  <w:vAlign w:val="center"/>
                </w:tcPr>
                <w:p w14:paraId="39785180">
                  <w:pPr>
                    <w:adjustRightInd w:val="0"/>
                    <w:snapToGrid w:val="0"/>
                    <w:spacing w:line="240" w:lineRule="exact"/>
                    <w:jc w:val="center"/>
                    <w:rPr>
                      <w:rFonts w:hint="default" w:ascii="Times New Roman" w:hAnsi="Times New Roman" w:cs="Times New Roman"/>
                      <w:color w:val="auto"/>
                      <w:sz w:val="21"/>
                      <w:szCs w:val="21"/>
                      <w:highlight w:val="none"/>
                      <w:u w:val="none" w:color="auto"/>
                      <w:lang w:val="en-US" w:eastAsia="zh-CN"/>
                    </w:rPr>
                  </w:pPr>
                </w:p>
              </w:tc>
            </w:tr>
            <w:tr w14:paraId="4EF152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8" w:hRule="atLeast"/>
                <w:jc w:val="center"/>
              </w:trPr>
              <w:tc>
                <w:tcPr>
                  <w:tcW w:w="249" w:type="pct"/>
                  <w:tcBorders>
                    <w:tl2br w:val="nil"/>
                    <w:tr2bl w:val="nil"/>
                  </w:tcBorders>
                  <w:shd w:val="clear" w:color="auto" w:fill="auto"/>
                  <w:noWrap w:val="0"/>
                  <w:vAlign w:val="center"/>
                </w:tcPr>
                <w:p w14:paraId="4314EC2F">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cs="Times New Roman"/>
                      <w:color w:val="auto"/>
                      <w:highlight w:val="none"/>
                      <w:u w:val="none" w:color="auto"/>
                      <w:lang w:val="en-US" w:eastAsia="zh-CN"/>
                    </w:rPr>
                    <w:t>4</w:t>
                  </w:r>
                </w:p>
              </w:tc>
              <w:tc>
                <w:tcPr>
                  <w:tcW w:w="632" w:type="pct"/>
                  <w:tcBorders>
                    <w:tl2br w:val="nil"/>
                    <w:tr2bl w:val="nil"/>
                  </w:tcBorders>
                  <w:shd w:val="clear" w:color="auto" w:fill="auto"/>
                  <w:noWrap w:val="0"/>
                  <w:vAlign w:val="center"/>
                </w:tcPr>
                <w:p w14:paraId="56919B7E">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焚烧炉</w:t>
                  </w:r>
                  <w:r>
                    <w:rPr>
                      <w:rFonts w:hint="eastAsia" w:cs="Times New Roman"/>
                      <w:color w:val="auto"/>
                      <w:kern w:val="2"/>
                      <w:sz w:val="21"/>
                      <w:szCs w:val="21"/>
                      <w:highlight w:val="none"/>
                      <w:u w:val="none" w:color="auto"/>
                      <w:lang w:val="en-US" w:eastAsia="zh-CN" w:bidi="ar-SA"/>
                    </w:rPr>
                    <w:t>燃烧</w:t>
                  </w:r>
                </w:p>
              </w:tc>
              <w:tc>
                <w:tcPr>
                  <w:tcW w:w="653" w:type="pct"/>
                  <w:tcBorders>
                    <w:tl2br w:val="nil"/>
                    <w:tr2bl w:val="nil"/>
                  </w:tcBorders>
                  <w:shd w:val="clear" w:color="auto" w:fill="auto"/>
                  <w:noWrap w:val="0"/>
                  <w:vAlign w:val="center"/>
                </w:tcPr>
                <w:p w14:paraId="372B2BC8">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灰</w:t>
                  </w:r>
                  <w:r>
                    <w:rPr>
                      <w:rFonts w:hint="default" w:ascii="Times New Roman" w:hAnsi="Times New Roman" w:eastAsia="宋体" w:cs="Times New Roman"/>
                      <w:color w:val="auto"/>
                      <w:kern w:val="2"/>
                      <w:sz w:val="21"/>
                      <w:szCs w:val="21"/>
                      <w:highlight w:val="none"/>
                      <w:u w:val="none" w:color="auto"/>
                      <w:lang w:val="en-US" w:eastAsia="zh-CN" w:bidi="ar-SA"/>
                    </w:rPr>
                    <w:t>渣</w:t>
                  </w:r>
                </w:p>
              </w:tc>
              <w:tc>
                <w:tcPr>
                  <w:tcW w:w="494" w:type="pct"/>
                  <w:tcBorders>
                    <w:tl2br w:val="nil"/>
                    <w:tr2bl w:val="nil"/>
                  </w:tcBorders>
                  <w:shd w:val="clear" w:color="auto" w:fill="auto"/>
                  <w:noWrap w:val="0"/>
                  <w:vAlign w:val="center"/>
                </w:tcPr>
                <w:p w14:paraId="7E19C22E">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6.93</w:t>
                  </w:r>
                </w:p>
              </w:tc>
              <w:tc>
                <w:tcPr>
                  <w:tcW w:w="1490" w:type="pct"/>
                  <w:tcBorders>
                    <w:tl2br w:val="nil"/>
                    <w:tr2bl w:val="nil"/>
                  </w:tcBorders>
                  <w:shd w:val="clear" w:color="auto" w:fill="auto"/>
                  <w:noWrap w:val="0"/>
                  <w:vAlign w:val="center"/>
                </w:tcPr>
                <w:p w14:paraId="36E207AA">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highlight w:val="none"/>
                      <w:u w:val="none" w:color="auto"/>
                    </w:rPr>
                    <w:t>一般固废</w:t>
                  </w:r>
                  <w:r>
                    <w:rPr>
                      <w:rFonts w:hint="eastAsia"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lang w:val="en-US" w:eastAsia="zh-CN"/>
                    </w:rPr>
                    <w:t>废物代码：SW</w:t>
                  </w:r>
                  <w:r>
                    <w:rPr>
                      <w:rFonts w:hint="eastAsia" w:cs="Times New Roman"/>
                      <w:color w:val="auto"/>
                      <w:highlight w:val="none"/>
                      <w:u w:val="none" w:color="auto"/>
                      <w:lang w:val="en-US" w:eastAsia="zh-CN"/>
                    </w:rPr>
                    <w:t>03</w:t>
                  </w:r>
                  <w:r>
                    <w:rPr>
                      <w:rFonts w:hint="default" w:ascii="Times New Roman" w:hAnsi="Times New Roman" w:cs="Times New Roman"/>
                      <w:color w:val="auto"/>
                      <w:highlight w:val="none"/>
                      <w:u w:val="none" w:color="auto"/>
                      <w:lang w:val="en-US" w:eastAsia="zh-CN"/>
                    </w:rPr>
                    <w:t>，900-00</w:t>
                  </w:r>
                  <w:r>
                    <w:rPr>
                      <w:rFonts w:hint="eastAsia" w:cs="Times New Roman"/>
                      <w:color w:val="auto"/>
                      <w:highlight w:val="none"/>
                      <w:u w:val="none" w:color="auto"/>
                      <w:lang w:val="en-US" w:eastAsia="zh-CN"/>
                    </w:rPr>
                    <w:t>1</w:t>
                  </w:r>
                  <w:r>
                    <w:rPr>
                      <w:rFonts w:hint="default" w:ascii="Times New Roman" w:hAnsi="Times New Roman" w:cs="Times New Roman"/>
                      <w:color w:val="auto"/>
                      <w:highlight w:val="none"/>
                      <w:u w:val="none" w:color="auto"/>
                      <w:lang w:val="en-US" w:eastAsia="zh-CN"/>
                    </w:rPr>
                    <w:t>-S</w:t>
                  </w:r>
                  <w:r>
                    <w:rPr>
                      <w:rFonts w:hint="eastAsia" w:cs="Times New Roman"/>
                      <w:color w:val="auto"/>
                      <w:highlight w:val="none"/>
                      <w:u w:val="none" w:color="auto"/>
                      <w:lang w:val="en-US" w:eastAsia="zh-CN"/>
                    </w:rPr>
                    <w:t>03</w:t>
                  </w:r>
                </w:p>
              </w:tc>
              <w:tc>
                <w:tcPr>
                  <w:tcW w:w="603" w:type="pct"/>
                  <w:tcBorders>
                    <w:tl2br w:val="nil"/>
                    <w:tr2bl w:val="nil"/>
                  </w:tcBorders>
                  <w:shd w:val="clear" w:color="auto" w:fill="auto"/>
                  <w:noWrap w:val="0"/>
                  <w:vAlign w:val="center"/>
                </w:tcPr>
                <w:p w14:paraId="222337AC">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highlight w:val="none"/>
                      <w:u w:val="none" w:color="auto"/>
                      <w:lang w:val="en-US" w:eastAsia="zh-CN"/>
                    </w:rPr>
                    <w:t>袋装</w:t>
                  </w:r>
                </w:p>
              </w:tc>
              <w:tc>
                <w:tcPr>
                  <w:tcW w:w="876" w:type="pct"/>
                  <w:tcBorders>
                    <w:top w:val="single" w:color="auto" w:sz="4" w:space="0"/>
                    <w:bottom w:val="single" w:color="auto" w:sz="4" w:space="0"/>
                    <w:tl2br w:val="nil"/>
                    <w:tr2bl w:val="nil"/>
                  </w:tcBorders>
                  <w:noWrap w:val="0"/>
                  <w:vAlign w:val="center"/>
                </w:tcPr>
                <w:p w14:paraId="7DFFF29B">
                  <w:pPr>
                    <w:adjustRightInd w:val="0"/>
                    <w:snapToGrid w:val="0"/>
                    <w:spacing w:line="240" w:lineRule="exact"/>
                    <w:jc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用作周边道路路基垫层、回填材料</w:t>
                  </w:r>
                </w:p>
              </w:tc>
            </w:tr>
            <w:tr w14:paraId="1AB1D9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8" w:hRule="atLeast"/>
                <w:jc w:val="center"/>
              </w:trPr>
              <w:tc>
                <w:tcPr>
                  <w:tcW w:w="249" w:type="pct"/>
                  <w:tcBorders>
                    <w:tl2br w:val="nil"/>
                    <w:tr2bl w:val="nil"/>
                  </w:tcBorders>
                  <w:shd w:val="clear" w:color="auto" w:fill="auto"/>
                  <w:noWrap w:val="0"/>
                  <w:vAlign w:val="center"/>
                </w:tcPr>
                <w:p w14:paraId="1653C187">
                  <w:pPr>
                    <w:adjustRightInd w:val="0"/>
                    <w:snapToGrid w:val="0"/>
                    <w:spacing w:line="240" w:lineRule="exact"/>
                    <w:jc w:val="center"/>
                    <w:rPr>
                      <w:rFonts w:hint="default" w:ascii="Times New Roman" w:hAnsi="Times New Roman" w:cs="Times New Roman"/>
                      <w:color w:val="auto"/>
                      <w:highlight w:val="none"/>
                      <w:u w:val="none" w:color="auto"/>
                      <w:lang w:val="en-US" w:eastAsia="zh-CN"/>
                    </w:rPr>
                  </w:pPr>
                  <w:r>
                    <w:rPr>
                      <w:rFonts w:hint="eastAsia" w:cs="Times New Roman"/>
                      <w:color w:val="auto"/>
                      <w:highlight w:val="none"/>
                      <w:u w:val="none" w:color="auto"/>
                      <w:lang w:val="en-US" w:eastAsia="zh-CN"/>
                    </w:rPr>
                    <w:t>5</w:t>
                  </w:r>
                </w:p>
              </w:tc>
              <w:tc>
                <w:tcPr>
                  <w:tcW w:w="632" w:type="pct"/>
                  <w:tcBorders>
                    <w:tl2br w:val="nil"/>
                    <w:tr2bl w:val="nil"/>
                  </w:tcBorders>
                  <w:shd w:val="clear" w:color="auto" w:fill="auto"/>
                  <w:noWrap w:val="0"/>
                  <w:vAlign w:val="center"/>
                </w:tcPr>
                <w:p w14:paraId="2C94D2CD">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辅料使用</w:t>
                  </w:r>
                </w:p>
              </w:tc>
              <w:tc>
                <w:tcPr>
                  <w:tcW w:w="653" w:type="pct"/>
                  <w:tcBorders>
                    <w:tl2br w:val="nil"/>
                    <w:tr2bl w:val="nil"/>
                  </w:tcBorders>
                  <w:shd w:val="clear" w:color="auto" w:fill="auto"/>
                  <w:noWrap w:val="0"/>
                  <w:vAlign w:val="center"/>
                </w:tcPr>
                <w:p w14:paraId="0DCA39D3">
                  <w:pPr>
                    <w:adjustRightInd w:val="0"/>
                    <w:snapToGrid w:val="0"/>
                    <w:spacing w:line="240" w:lineRule="exact"/>
                    <w:jc w:val="center"/>
                    <w:rPr>
                      <w:rFonts w:hint="eastAsia"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废包装材料</w:t>
                  </w:r>
                </w:p>
              </w:tc>
              <w:tc>
                <w:tcPr>
                  <w:tcW w:w="494" w:type="pct"/>
                  <w:tcBorders>
                    <w:tl2br w:val="nil"/>
                    <w:tr2bl w:val="nil"/>
                  </w:tcBorders>
                  <w:shd w:val="clear" w:color="auto" w:fill="auto"/>
                  <w:noWrap w:val="0"/>
                  <w:vAlign w:val="center"/>
                </w:tcPr>
                <w:p w14:paraId="66BD986E">
                  <w:pPr>
                    <w:adjustRightInd w:val="0"/>
                    <w:snapToGrid w:val="0"/>
                    <w:spacing w:line="240" w:lineRule="exact"/>
                    <w:jc w:val="center"/>
                    <w:rPr>
                      <w:rFonts w:hint="default"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0.3</w:t>
                  </w:r>
                </w:p>
              </w:tc>
              <w:tc>
                <w:tcPr>
                  <w:tcW w:w="1490" w:type="pct"/>
                  <w:tcBorders>
                    <w:tl2br w:val="nil"/>
                    <w:tr2bl w:val="nil"/>
                  </w:tcBorders>
                  <w:shd w:val="clear" w:color="auto" w:fill="auto"/>
                  <w:noWrap w:val="0"/>
                  <w:vAlign w:val="center"/>
                </w:tcPr>
                <w:p w14:paraId="0F96F8E0">
                  <w:pPr>
                    <w:adjustRightInd w:val="0"/>
                    <w:snapToGrid w:val="0"/>
                    <w:spacing w:line="240" w:lineRule="exact"/>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一般固废</w:t>
                  </w:r>
                  <w:r>
                    <w:rPr>
                      <w:rFonts w:hint="eastAsia" w:ascii="Times New Roman" w:hAnsi="Times New Roman" w:cs="Times New Roman"/>
                      <w:color w:val="auto"/>
                      <w:highlight w:val="none"/>
                      <w:u w:val="none" w:color="auto"/>
                      <w:lang w:eastAsia="zh-CN"/>
                    </w:rPr>
                    <w:t>，</w:t>
                  </w:r>
                  <w:r>
                    <w:rPr>
                      <w:rFonts w:hint="default" w:ascii="Times New Roman" w:hAnsi="Times New Roman" w:cs="Times New Roman"/>
                      <w:color w:val="auto"/>
                      <w:highlight w:val="none"/>
                      <w:u w:val="none" w:color="auto"/>
                      <w:lang w:val="en-US" w:eastAsia="zh-CN"/>
                    </w:rPr>
                    <w:t>废物代码：</w:t>
                  </w:r>
                  <w:r>
                    <w:rPr>
                      <w:rFonts w:hint="default" w:ascii="Times New Roman" w:hAnsi="Times New Roman" w:cs="Times New Roman"/>
                      <w:color w:val="auto"/>
                      <w:highlight w:val="none"/>
                      <w:u w:val="none" w:color="auto"/>
                    </w:rPr>
                    <w:t>SW</w:t>
                  </w:r>
                  <w:r>
                    <w:rPr>
                      <w:rFonts w:hint="default" w:ascii="Times New Roman" w:hAnsi="Times New Roman" w:cs="Times New Roman"/>
                      <w:color w:val="auto"/>
                      <w:highlight w:val="none"/>
                      <w:u w:val="none" w:color="auto"/>
                      <w:lang w:val="en-US" w:eastAsia="zh-CN"/>
                    </w:rPr>
                    <w:t>17</w:t>
                  </w:r>
                  <w:r>
                    <w:rPr>
                      <w:rFonts w:hint="default" w:ascii="Times New Roman" w:hAnsi="Times New Roman" w:cs="Times New Roman"/>
                      <w:color w:val="auto"/>
                      <w:highlight w:val="none"/>
                      <w:u w:val="none" w:color="auto"/>
                    </w:rPr>
                    <w:t>，900-00</w:t>
                  </w:r>
                  <w:r>
                    <w:rPr>
                      <w:rFonts w:hint="default" w:ascii="Times New Roman" w:hAnsi="Times New Roman" w:cs="Times New Roman"/>
                      <w:color w:val="auto"/>
                      <w:highlight w:val="none"/>
                      <w:u w:val="none" w:color="auto"/>
                      <w:lang w:val="en-US" w:eastAsia="zh-CN"/>
                    </w:rPr>
                    <w:t>3</w:t>
                  </w:r>
                  <w:r>
                    <w:rPr>
                      <w:rFonts w:hint="default" w:ascii="Times New Roman" w:hAnsi="Times New Roman" w:cs="Times New Roman"/>
                      <w:color w:val="auto"/>
                      <w:highlight w:val="none"/>
                      <w:u w:val="none" w:color="auto"/>
                    </w:rPr>
                    <w:t>-S</w:t>
                  </w:r>
                  <w:r>
                    <w:rPr>
                      <w:rFonts w:hint="default" w:ascii="Times New Roman" w:hAnsi="Times New Roman" w:cs="Times New Roman"/>
                      <w:color w:val="auto"/>
                      <w:highlight w:val="none"/>
                      <w:u w:val="none" w:color="auto"/>
                      <w:lang w:val="en-US" w:eastAsia="zh-CN"/>
                    </w:rPr>
                    <w:t>17</w:t>
                  </w:r>
                </w:p>
              </w:tc>
              <w:tc>
                <w:tcPr>
                  <w:tcW w:w="603" w:type="pct"/>
                  <w:tcBorders>
                    <w:tl2br w:val="nil"/>
                    <w:tr2bl w:val="nil"/>
                  </w:tcBorders>
                  <w:shd w:val="clear" w:color="auto" w:fill="auto"/>
                  <w:noWrap w:val="0"/>
                  <w:vAlign w:val="center"/>
                </w:tcPr>
                <w:p w14:paraId="5D1F2DD9">
                  <w:pPr>
                    <w:adjustRightInd w:val="0"/>
                    <w:snapToGrid w:val="0"/>
                    <w:spacing w:line="240" w:lineRule="exact"/>
                    <w:jc w:val="center"/>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袋装</w:t>
                  </w:r>
                </w:p>
              </w:tc>
              <w:tc>
                <w:tcPr>
                  <w:tcW w:w="876" w:type="pct"/>
                  <w:tcBorders>
                    <w:top w:val="single" w:color="auto" w:sz="4" w:space="0"/>
                    <w:bottom w:val="single" w:color="auto" w:sz="4" w:space="0"/>
                    <w:tl2br w:val="nil"/>
                    <w:tr2bl w:val="nil"/>
                  </w:tcBorders>
                  <w:noWrap w:val="0"/>
                  <w:vAlign w:val="center"/>
                </w:tcPr>
                <w:p w14:paraId="7944CF50">
                  <w:pPr>
                    <w:adjustRightInd w:val="0"/>
                    <w:snapToGrid w:val="0"/>
                    <w:spacing w:line="240" w:lineRule="exact"/>
                    <w:jc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统一收集后外售综合回收利用</w:t>
                  </w:r>
                </w:p>
              </w:tc>
            </w:tr>
            <w:bookmarkEnd w:id="29"/>
            <w:tr w14:paraId="1C238E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8" w:hRule="atLeast"/>
                <w:jc w:val="center"/>
              </w:trPr>
              <w:tc>
                <w:tcPr>
                  <w:tcW w:w="249" w:type="pct"/>
                  <w:tcBorders>
                    <w:tl2br w:val="nil"/>
                    <w:tr2bl w:val="nil"/>
                  </w:tcBorders>
                  <w:shd w:val="clear" w:color="auto" w:fill="auto"/>
                  <w:noWrap w:val="0"/>
                  <w:vAlign w:val="center"/>
                </w:tcPr>
                <w:p w14:paraId="36074EBE">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cs="Times New Roman"/>
                      <w:color w:val="auto"/>
                      <w:highlight w:val="none"/>
                      <w:u w:val="none" w:color="auto"/>
                      <w:lang w:val="en-US" w:eastAsia="zh-CN"/>
                    </w:rPr>
                    <w:t>6</w:t>
                  </w:r>
                </w:p>
              </w:tc>
              <w:tc>
                <w:tcPr>
                  <w:tcW w:w="632" w:type="pct"/>
                  <w:tcBorders>
                    <w:tl2br w:val="nil"/>
                    <w:tr2bl w:val="nil"/>
                  </w:tcBorders>
                  <w:shd w:val="clear" w:color="auto" w:fill="auto"/>
                  <w:noWrap w:val="0"/>
                  <w:vAlign w:val="center"/>
                </w:tcPr>
                <w:p w14:paraId="57A7DA00">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设备维修</w:t>
                  </w:r>
                </w:p>
              </w:tc>
              <w:tc>
                <w:tcPr>
                  <w:tcW w:w="653" w:type="pct"/>
                  <w:tcBorders>
                    <w:tl2br w:val="nil"/>
                    <w:tr2bl w:val="nil"/>
                  </w:tcBorders>
                  <w:shd w:val="clear" w:color="auto" w:fill="auto"/>
                  <w:noWrap w:val="0"/>
                  <w:vAlign w:val="center"/>
                </w:tcPr>
                <w:p w14:paraId="36A317BB">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废机油</w:t>
                  </w:r>
                </w:p>
              </w:tc>
              <w:tc>
                <w:tcPr>
                  <w:tcW w:w="494" w:type="pct"/>
                  <w:tcBorders>
                    <w:tl2br w:val="nil"/>
                    <w:tr2bl w:val="nil"/>
                  </w:tcBorders>
                  <w:shd w:val="clear" w:color="auto" w:fill="auto"/>
                  <w:noWrap w:val="0"/>
                  <w:vAlign w:val="center"/>
                </w:tcPr>
                <w:p w14:paraId="7ACA68F3">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0.0</w:t>
                  </w:r>
                  <w:r>
                    <w:rPr>
                      <w:rFonts w:hint="eastAsia" w:ascii="Times New Roman" w:hAnsi="Times New Roman" w:eastAsia="宋体" w:cs="Times New Roman"/>
                      <w:color w:val="auto"/>
                      <w:kern w:val="2"/>
                      <w:sz w:val="21"/>
                      <w:szCs w:val="21"/>
                      <w:highlight w:val="none"/>
                      <w:u w:val="none" w:color="auto"/>
                      <w:lang w:val="en-US" w:eastAsia="zh-CN" w:bidi="ar-SA"/>
                    </w:rPr>
                    <w:t>1</w:t>
                  </w:r>
                </w:p>
              </w:tc>
              <w:tc>
                <w:tcPr>
                  <w:tcW w:w="1490" w:type="pct"/>
                  <w:tcBorders>
                    <w:tl2br w:val="nil"/>
                    <w:tr2bl w:val="nil"/>
                  </w:tcBorders>
                  <w:shd w:val="clear" w:color="auto" w:fill="auto"/>
                  <w:noWrap w:val="0"/>
                  <w:vAlign w:val="center"/>
                </w:tcPr>
                <w:p w14:paraId="5B85B3FE">
                  <w:pPr>
                    <w:adjustRightInd w:val="0"/>
                    <w:snapToGrid w:val="0"/>
                    <w:spacing w:line="240" w:lineRule="exact"/>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危废</w:t>
                  </w:r>
                  <w:r>
                    <w:rPr>
                      <w:rFonts w:hint="eastAsia" w:cs="Times New Roman"/>
                      <w:color w:val="auto"/>
                      <w:highlight w:val="none"/>
                      <w:u w:val="none" w:color="auto"/>
                      <w:lang w:eastAsia="zh-CN"/>
                    </w:rPr>
                    <w:t>，</w:t>
                  </w:r>
                  <w:r>
                    <w:rPr>
                      <w:rFonts w:hint="default" w:ascii="Times New Roman" w:hAnsi="Times New Roman" w:cs="Times New Roman"/>
                      <w:color w:val="auto"/>
                      <w:highlight w:val="none"/>
                      <w:u w:val="none" w:color="auto"/>
                    </w:rPr>
                    <w:t>代码HW08</w:t>
                  </w:r>
                </w:p>
                <w:p w14:paraId="112C41E7">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900-2</w:t>
                  </w:r>
                  <w:r>
                    <w:rPr>
                      <w:rFonts w:hint="eastAsia" w:ascii="Times New Roman" w:hAnsi="Times New Roman" w:cs="Times New Roman"/>
                      <w:color w:val="auto"/>
                      <w:highlight w:val="none"/>
                      <w:u w:val="none" w:color="auto"/>
                      <w:lang w:val="en-US" w:eastAsia="zh-CN"/>
                    </w:rPr>
                    <w:t>14</w:t>
                  </w:r>
                  <w:r>
                    <w:rPr>
                      <w:rFonts w:hint="default" w:ascii="Times New Roman" w:hAnsi="Times New Roman" w:cs="Times New Roman"/>
                      <w:color w:val="auto"/>
                      <w:highlight w:val="none"/>
                      <w:u w:val="none" w:color="auto"/>
                    </w:rPr>
                    <w:t>-08</w:t>
                  </w:r>
                </w:p>
              </w:tc>
              <w:tc>
                <w:tcPr>
                  <w:tcW w:w="603" w:type="pct"/>
                  <w:tcBorders>
                    <w:tl2br w:val="nil"/>
                    <w:tr2bl w:val="nil"/>
                  </w:tcBorders>
                  <w:shd w:val="clear" w:color="auto" w:fill="auto"/>
                  <w:noWrap w:val="0"/>
                  <w:vAlign w:val="center"/>
                </w:tcPr>
                <w:p w14:paraId="143A6EDB">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桶装</w:t>
                  </w:r>
                </w:p>
              </w:tc>
              <w:tc>
                <w:tcPr>
                  <w:tcW w:w="876" w:type="pct"/>
                  <w:vMerge w:val="restart"/>
                  <w:tcBorders>
                    <w:tl2br w:val="nil"/>
                    <w:tr2bl w:val="nil"/>
                  </w:tcBorders>
                  <w:noWrap w:val="0"/>
                  <w:vAlign w:val="center"/>
                </w:tcPr>
                <w:p w14:paraId="2450A00E">
                  <w:pPr>
                    <w:adjustRightInd w:val="0"/>
                    <w:snapToGrid w:val="0"/>
                    <w:spacing w:line="240" w:lineRule="exact"/>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交有资质单位处理</w:t>
                  </w:r>
                </w:p>
              </w:tc>
            </w:tr>
            <w:tr w14:paraId="45B8A7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8" w:hRule="atLeast"/>
                <w:jc w:val="center"/>
              </w:trPr>
              <w:tc>
                <w:tcPr>
                  <w:tcW w:w="249" w:type="pct"/>
                  <w:tcBorders>
                    <w:tl2br w:val="nil"/>
                    <w:tr2bl w:val="nil"/>
                  </w:tcBorders>
                  <w:shd w:val="clear" w:color="auto" w:fill="auto"/>
                  <w:noWrap w:val="0"/>
                  <w:vAlign w:val="center"/>
                </w:tcPr>
                <w:p w14:paraId="5615D8B0">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7</w:t>
                  </w:r>
                </w:p>
              </w:tc>
              <w:tc>
                <w:tcPr>
                  <w:tcW w:w="632" w:type="pct"/>
                  <w:tcBorders>
                    <w:tl2br w:val="nil"/>
                    <w:tr2bl w:val="nil"/>
                  </w:tcBorders>
                  <w:shd w:val="clear" w:color="auto" w:fill="auto"/>
                  <w:noWrap w:val="0"/>
                  <w:vAlign w:val="center"/>
                </w:tcPr>
                <w:p w14:paraId="7B65133D">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设备维修</w:t>
                  </w:r>
                </w:p>
              </w:tc>
              <w:tc>
                <w:tcPr>
                  <w:tcW w:w="653" w:type="pct"/>
                  <w:tcBorders>
                    <w:tl2br w:val="nil"/>
                    <w:tr2bl w:val="nil"/>
                  </w:tcBorders>
                  <w:shd w:val="clear" w:color="auto" w:fill="auto"/>
                  <w:noWrap w:val="0"/>
                  <w:vAlign w:val="center"/>
                </w:tcPr>
                <w:p w14:paraId="6A62ECFD">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kern w:val="2"/>
                      <w:sz w:val="21"/>
                      <w:szCs w:val="24"/>
                      <w:highlight w:val="none"/>
                      <w:u w:val="none" w:color="auto"/>
                      <w:lang w:val="en-US" w:eastAsia="zh-CN" w:bidi="ar-SA"/>
                    </w:rPr>
                    <w:t>废机油桶</w:t>
                  </w:r>
                </w:p>
              </w:tc>
              <w:tc>
                <w:tcPr>
                  <w:tcW w:w="494" w:type="pct"/>
                  <w:tcBorders>
                    <w:tl2br w:val="nil"/>
                    <w:tr2bl w:val="nil"/>
                  </w:tcBorders>
                  <w:shd w:val="clear" w:color="auto" w:fill="auto"/>
                  <w:noWrap w:val="0"/>
                  <w:vAlign w:val="center"/>
                </w:tcPr>
                <w:p w14:paraId="2C791523">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eastAsia="宋体" w:cs="Times New Roman"/>
                      <w:color w:val="auto"/>
                      <w:kern w:val="2"/>
                      <w:sz w:val="21"/>
                      <w:szCs w:val="24"/>
                      <w:highlight w:val="none"/>
                      <w:u w:val="none" w:color="auto"/>
                      <w:lang w:val="en-US" w:eastAsia="zh-CN" w:bidi="ar-SA"/>
                    </w:rPr>
                    <w:t>0.</w:t>
                  </w:r>
                  <w:r>
                    <w:rPr>
                      <w:rFonts w:hint="eastAsia" w:cs="Times New Roman"/>
                      <w:color w:val="auto"/>
                      <w:kern w:val="2"/>
                      <w:sz w:val="21"/>
                      <w:szCs w:val="24"/>
                      <w:highlight w:val="none"/>
                      <w:u w:val="none" w:color="auto"/>
                      <w:lang w:val="en-US" w:eastAsia="zh-CN" w:bidi="ar-SA"/>
                    </w:rPr>
                    <w:t>05</w:t>
                  </w:r>
                </w:p>
              </w:tc>
              <w:tc>
                <w:tcPr>
                  <w:tcW w:w="1490" w:type="pct"/>
                  <w:tcBorders>
                    <w:tl2br w:val="nil"/>
                    <w:tr2bl w:val="nil"/>
                  </w:tcBorders>
                  <w:shd w:val="clear" w:color="auto" w:fill="auto"/>
                  <w:noWrap w:val="0"/>
                  <w:vAlign w:val="center"/>
                </w:tcPr>
                <w:p w14:paraId="4B2EE8FD">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cs="Times New Roman"/>
                      <w:color w:val="auto"/>
                      <w:highlight w:val="none"/>
                      <w:u w:val="none" w:color="auto"/>
                    </w:rPr>
                    <w:t>危废</w:t>
                  </w:r>
                  <w:r>
                    <w:rPr>
                      <w:rFonts w:hint="eastAsia" w:cs="Times New Roman"/>
                      <w:color w:val="auto"/>
                      <w:highlight w:val="none"/>
                      <w:u w:val="none" w:color="auto"/>
                      <w:lang w:eastAsia="zh-CN"/>
                    </w:rPr>
                    <w:t>，</w:t>
                  </w:r>
                  <w:r>
                    <w:rPr>
                      <w:rFonts w:hint="default" w:ascii="Times New Roman" w:hAnsi="Times New Roman" w:cs="Times New Roman"/>
                      <w:color w:val="auto"/>
                      <w:highlight w:val="none"/>
                      <w:u w:val="none" w:color="auto"/>
                    </w:rPr>
                    <w:t>代码</w:t>
                  </w:r>
                  <w:r>
                    <w:rPr>
                      <w:rFonts w:hint="default" w:ascii="Times New Roman" w:hAnsi="Times New Roman" w:eastAsia="宋体" w:cs="Times New Roman"/>
                      <w:color w:val="auto"/>
                      <w:kern w:val="2"/>
                      <w:sz w:val="21"/>
                      <w:szCs w:val="24"/>
                      <w:highlight w:val="none"/>
                      <w:u w:val="none" w:color="auto"/>
                      <w:lang w:val="en-US" w:eastAsia="zh-CN" w:bidi="ar-SA"/>
                    </w:rPr>
                    <w:t>HW49</w:t>
                  </w:r>
                  <w:r>
                    <w:rPr>
                      <w:rFonts w:hint="eastAsia" w:cs="Times New Roman"/>
                      <w:color w:val="auto"/>
                      <w:kern w:val="2"/>
                      <w:sz w:val="21"/>
                      <w:szCs w:val="24"/>
                      <w:highlight w:val="none"/>
                      <w:u w:val="none" w:color="auto"/>
                      <w:lang w:val="en-US" w:eastAsia="zh-CN" w:bidi="ar-SA"/>
                    </w:rPr>
                    <w:t>，</w:t>
                  </w:r>
                  <w:r>
                    <w:rPr>
                      <w:rFonts w:hint="default" w:ascii="Times New Roman" w:hAnsi="Times New Roman" w:eastAsia="宋体" w:cs="Times New Roman"/>
                      <w:color w:val="auto"/>
                      <w:kern w:val="2"/>
                      <w:sz w:val="21"/>
                      <w:szCs w:val="24"/>
                      <w:highlight w:val="none"/>
                      <w:u w:val="none" w:color="auto"/>
                      <w:lang w:val="en-US" w:eastAsia="zh-CN" w:bidi="ar-SA"/>
                    </w:rPr>
                    <w:t>900-041-49</w:t>
                  </w:r>
                </w:p>
              </w:tc>
              <w:tc>
                <w:tcPr>
                  <w:tcW w:w="603" w:type="pct"/>
                  <w:tcBorders>
                    <w:tl2br w:val="nil"/>
                    <w:tr2bl w:val="nil"/>
                  </w:tcBorders>
                  <w:shd w:val="clear" w:color="auto" w:fill="auto"/>
                  <w:noWrap w:val="0"/>
                  <w:vAlign w:val="center"/>
                </w:tcPr>
                <w:p w14:paraId="4E08DB4A">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sz w:val="21"/>
                      <w:szCs w:val="21"/>
                      <w:highlight w:val="none"/>
                      <w:u w:val="none" w:color="auto"/>
                      <w:lang w:val="en-US" w:eastAsia="zh-CN"/>
                    </w:rPr>
                    <w:t>堆存</w:t>
                  </w:r>
                </w:p>
              </w:tc>
              <w:tc>
                <w:tcPr>
                  <w:tcW w:w="876" w:type="pct"/>
                  <w:vMerge w:val="continue"/>
                  <w:tcBorders>
                    <w:top w:val="single" w:color="000000" w:sz="8" w:space="0"/>
                    <w:bottom w:val="single" w:color="000000" w:sz="8" w:space="0"/>
                    <w:tl2br w:val="nil"/>
                    <w:tr2bl w:val="nil"/>
                  </w:tcBorders>
                  <w:noWrap w:val="0"/>
                  <w:vAlign w:val="center"/>
                </w:tcPr>
                <w:p w14:paraId="22FF6265">
                  <w:pPr>
                    <w:adjustRightInd w:val="0"/>
                    <w:snapToGrid w:val="0"/>
                    <w:spacing w:line="240" w:lineRule="exact"/>
                    <w:jc w:val="center"/>
                    <w:rPr>
                      <w:rFonts w:hint="default" w:ascii="Times New Roman" w:hAnsi="Times New Roman" w:cs="Times New Roman"/>
                      <w:color w:val="auto"/>
                      <w:highlight w:val="none"/>
                      <w:u w:val="none" w:color="auto"/>
                    </w:rPr>
                  </w:pPr>
                </w:p>
              </w:tc>
            </w:tr>
            <w:tr w14:paraId="2E71D3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34" w:hRule="atLeast"/>
                <w:jc w:val="center"/>
              </w:trPr>
              <w:tc>
                <w:tcPr>
                  <w:tcW w:w="249" w:type="pct"/>
                  <w:tcBorders>
                    <w:tl2br w:val="nil"/>
                    <w:tr2bl w:val="nil"/>
                  </w:tcBorders>
                  <w:shd w:val="clear" w:color="auto" w:fill="auto"/>
                  <w:noWrap w:val="0"/>
                  <w:vAlign w:val="center"/>
                </w:tcPr>
                <w:p w14:paraId="5651B38F">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8</w:t>
                  </w:r>
                </w:p>
              </w:tc>
              <w:tc>
                <w:tcPr>
                  <w:tcW w:w="632" w:type="pct"/>
                  <w:tcBorders>
                    <w:tl2br w:val="nil"/>
                    <w:tr2bl w:val="nil"/>
                  </w:tcBorders>
                  <w:noWrap w:val="0"/>
                  <w:vAlign w:val="center"/>
                </w:tcPr>
                <w:p w14:paraId="659966F6">
                  <w:pPr>
                    <w:adjustRightInd w:val="0"/>
                    <w:snapToGrid w:val="0"/>
                    <w:spacing w:line="240" w:lineRule="exact"/>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员工</w:t>
                  </w:r>
                </w:p>
              </w:tc>
              <w:tc>
                <w:tcPr>
                  <w:tcW w:w="653" w:type="pct"/>
                  <w:tcBorders>
                    <w:tl2br w:val="nil"/>
                    <w:tr2bl w:val="nil"/>
                  </w:tcBorders>
                  <w:noWrap w:val="0"/>
                  <w:vAlign w:val="center"/>
                </w:tcPr>
                <w:p w14:paraId="4AE8087B">
                  <w:pPr>
                    <w:adjustRightInd w:val="0"/>
                    <w:snapToGrid w:val="0"/>
                    <w:spacing w:line="240" w:lineRule="exact"/>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生活垃圾</w:t>
                  </w:r>
                </w:p>
              </w:tc>
              <w:tc>
                <w:tcPr>
                  <w:tcW w:w="494" w:type="pct"/>
                  <w:tcBorders>
                    <w:tl2br w:val="nil"/>
                    <w:tr2bl w:val="nil"/>
                  </w:tcBorders>
                  <w:noWrap w:val="0"/>
                  <w:vAlign w:val="center"/>
                </w:tcPr>
                <w:p w14:paraId="465786E8">
                  <w:pPr>
                    <w:adjustRightInd w:val="0"/>
                    <w:snapToGrid w:val="0"/>
                    <w:spacing w:line="240" w:lineRule="exact"/>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1.5</w:t>
                  </w:r>
                </w:p>
              </w:tc>
              <w:tc>
                <w:tcPr>
                  <w:tcW w:w="1490" w:type="pct"/>
                  <w:tcBorders>
                    <w:tl2br w:val="nil"/>
                    <w:tr2bl w:val="nil"/>
                  </w:tcBorders>
                  <w:noWrap w:val="0"/>
                  <w:vAlign w:val="center"/>
                </w:tcPr>
                <w:p w14:paraId="0B08D88C">
                  <w:pPr>
                    <w:adjustRightInd w:val="0"/>
                    <w:snapToGrid w:val="0"/>
                    <w:spacing w:line="240" w:lineRule="exact"/>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生活垃圾</w:t>
                  </w:r>
                </w:p>
              </w:tc>
              <w:tc>
                <w:tcPr>
                  <w:tcW w:w="603" w:type="pct"/>
                  <w:tcBorders>
                    <w:tl2br w:val="nil"/>
                    <w:tr2bl w:val="nil"/>
                  </w:tcBorders>
                  <w:noWrap w:val="0"/>
                  <w:vAlign w:val="center"/>
                </w:tcPr>
                <w:p w14:paraId="2ADE3C2E">
                  <w:pPr>
                    <w:adjustRightInd w:val="0"/>
                    <w:snapToGrid w:val="0"/>
                    <w:spacing w:line="240" w:lineRule="exact"/>
                    <w:jc w:val="center"/>
                    <w:rPr>
                      <w:rFonts w:hint="eastAsia"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垃圾桶</w:t>
                  </w:r>
                </w:p>
              </w:tc>
              <w:tc>
                <w:tcPr>
                  <w:tcW w:w="876" w:type="pct"/>
                  <w:tcBorders>
                    <w:top w:val="single" w:color="000000" w:sz="8" w:space="0"/>
                    <w:tl2br w:val="nil"/>
                    <w:tr2bl w:val="nil"/>
                  </w:tcBorders>
                  <w:noWrap w:val="0"/>
                  <w:vAlign w:val="center"/>
                </w:tcPr>
                <w:p w14:paraId="7798F750">
                  <w:pPr>
                    <w:adjustRightInd w:val="0"/>
                    <w:snapToGrid w:val="0"/>
                    <w:spacing w:line="240" w:lineRule="exact"/>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交由环卫部门处置</w:t>
                  </w:r>
                </w:p>
              </w:tc>
            </w:tr>
          </w:tbl>
          <w:p w14:paraId="300B160C">
            <w:pPr>
              <w:ind w:firstLine="422" w:firstLineChars="20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表4-</w:t>
            </w:r>
            <w:r>
              <w:rPr>
                <w:rFonts w:hint="eastAsia" w:cs="Times New Roman"/>
                <w:b/>
                <w:color w:val="auto"/>
                <w:sz w:val="21"/>
                <w:szCs w:val="21"/>
                <w:highlight w:val="none"/>
                <w:lang w:val="en-US" w:eastAsia="zh-CN"/>
              </w:rPr>
              <w:t xml:space="preserve">14  </w:t>
            </w:r>
            <w:r>
              <w:rPr>
                <w:rFonts w:hint="default" w:ascii="Times New Roman" w:hAnsi="Times New Roman" w:cs="Times New Roman"/>
                <w:b/>
                <w:color w:val="auto"/>
                <w:sz w:val="21"/>
                <w:szCs w:val="21"/>
                <w:highlight w:val="none"/>
              </w:rPr>
              <w:t>危险废物产生情况一览表</w:t>
            </w:r>
          </w:p>
          <w:tbl>
            <w:tblPr>
              <w:tblStyle w:val="33"/>
              <w:tblW w:w="4997"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483"/>
              <w:gridCol w:w="984"/>
              <w:gridCol w:w="797"/>
              <w:gridCol w:w="554"/>
              <w:gridCol w:w="1032"/>
              <w:gridCol w:w="864"/>
              <w:gridCol w:w="797"/>
              <w:gridCol w:w="901"/>
              <w:gridCol w:w="795"/>
              <w:gridCol w:w="787"/>
            </w:tblGrid>
            <w:tr w14:paraId="5AD58B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1" w:hRule="atLeast"/>
                <w:jc w:val="center"/>
              </w:trPr>
              <w:tc>
                <w:tcPr>
                  <w:tcW w:w="302" w:type="pct"/>
                  <w:noWrap w:val="0"/>
                  <w:vAlign w:val="center"/>
                </w:tcPr>
                <w:p w14:paraId="630859C1">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615" w:type="pct"/>
                  <w:noWrap w:val="0"/>
                  <w:vAlign w:val="center"/>
                </w:tcPr>
                <w:p w14:paraId="385D6E03">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类别</w:t>
                  </w:r>
                </w:p>
              </w:tc>
              <w:tc>
                <w:tcPr>
                  <w:tcW w:w="498" w:type="pct"/>
                  <w:noWrap w:val="0"/>
                  <w:vAlign w:val="center"/>
                </w:tcPr>
                <w:p w14:paraId="2A4B10F6">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产生工序</w:t>
                  </w:r>
                </w:p>
              </w:tc>
              <w:tc>
                <w:tcPr>
                  <w:tcW w:w="346" w:type="pct"/>
                  <w:noWrap w:val="0"/>
                  <w:vAlign w:val="center"/>
                </w:tcPr>
                <w:p w14:paraId="686AC8E7">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形态</w:t>
                  </w:r>
                </w:p>
              </w:tc>
              <w:tc>
                <w:tcPr>
                  <w:tcW w:w="645" w:type="pct"/>
                  <w:noWrap w:val="0"/>
                  <w:vAlign w:val="center"/>
                </w:tcPr>
                <w:p w14:paraId="77EC199F">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主要成分</w:t>
                  </w:r>
                </w:p>
              </w:tc>
              <w:tc>
                <w:tcPr>
                  <w:tcW w:w="540" w:type="pct"/>
                  <w:noWrap w:val="0"/>
                  <w:vAlign w:val="center"/>
                </w:tcPr>
                <w:p w14:paraId="324CFDE2">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有害成分</w:t>
                  </w:r>
                </w:p>
              </w:tc>
              <w:tc>
                <w:tcPr>
                  <w:tcW w:w="498" w:type="pct"/>
                  <w:noWrap w:val="0"/>
                  <w:vAlign w:val="center"/>
                </w:tcPr>
                <w:p w14:paraId="4F26BA1B">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危废类别</w:t>
                  </w:r>
                </w:p>
              </w:tc>
              <w:tc>
                <w:tcPr>
                  <w:tcW w:w="563" w:type="pct"/>
                  <w:noWrap w:val="0"/>
                  <w:vAlign w:val="center"/>
                </w:tcPr>
                <w:p w14:paraId="5840CBA7">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产生量</w:t>
                  </w:r>
                </w:p>
              </w:tc>
              <w:tc>
                <w:tcPr>
                  <w:tcW w:w="497" w:type="pct"/>
                  <w:noWrap w:val="0"/>
                  <w:vAlign w:val="center"/>
                </w:tcPr>
                <w:p w14:paraId="5B265701">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危险特性</w:t>
                  </w:r>
                </w:p>
              </w:tc>
              <w:tc>
                <w:tcPr>
                  <w:tcW w:w="491" w:type="pct"/>
                  <w:noWrap w:val="0"/>
                  <w:vAlign w:val="center"/>
                </w:tcPr>
                <w:p w14:paraId="5EFE7AF4">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产生周期</w:t>
                  </w:r>
                </w:p>
              </w:tc>
            </w:tr>
            <w:tr w14:paraId="621A689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1" w:hRule="atLeast"/>
                <w:jc w:val="center"/>
              </w:trPr>
              <w:tc>
                <w:tcPr>
                  <w:tcW w:w="302" w:type="pct"/>
                  <w:noWrap w:val="0"/>
                  <w:vAlign w:val="center"/>
                </w:tcPr>
                <w:p w14:paraId="04835153">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615" w:type="pct"/>
                  <w:shd w:val="clear" w:color="auto" w:fill="auto"/>
                  <w:noWrap w:val="0"/>
                  <w:vAlign w:val="center"/>
                </w:tcPr>
                <w:p w14:paraId="2B138A1E">
                  <w:pPr>
                    <w:pStyle w:val="28"/>
                    <w:spacing w:before="0" w:beforeAutospacing="0" w:after="0" w:afterAutospacing="0"/>
                    <w:jc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废机油</w:t>
                  </w:r>
                </w:p>
              </w:tc>
              <w:tc>
                <w:tcPr>
                  <w:tcW w:w="498" w:type="pct"/>
                  <w:shd w:val="clear" w:color="auto" w:fill="auto"/>
                  <w:noWrap w:val="0"/>
                  <w:vAlign w:val="center"/>
                </w:tcPr>
                <w:p w14:paraId="5FD448C1">
                  <w:pPr>
                    <w:pStyle w:val="28"/>
                    <w:spacing w:before="0" w:beforeAutospacing="0" w:after="0" w:afterAutospacing="0"/>
                    <w:jc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机修</w:t>
                  </w:r>
                </w:p>
              </w:tc>
              <w:tc>
                <w:tcPr>
                  <w:tcW w:w="346" w:type="pct"/>
                  <w:shd w:val="clear" w:color="auto" w:fill="auto"/>
                  <w:noWrap w:val="0"/>
                  <w:vAlign w:val="center"/>
                </w:tcPr>
                <w:p w14:paraId="0BC7A34C">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废液</w:t>
                  </w:r>
                </w:p>
              </w:tc>
              <w:tc>
                <w:tcPr>
                  <w:tcW w:w="645" w:type="pct"/>
                  <w:shd w:val="clear" w:color="auto" w:fill="auto"/>
                  <w:noWrap w:val="0"/>
                  <w:vAlign w:val="center"/>
                </w:tcPr>
                <w:p w14:paraId="4AB7A885">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含有机废物</w:t>
                  </w:r>
                </w:p>
              </w:tc>
              <w:tc>
                <w:tcPr>
                  <w:tcW w:w="540" w:type="pct"/>
                  <w:shd w:val="clear" w:color="auto" w:fill="auto"/>
                  <w:noWrap w:val="0"/>
                  <w:vAlign w:val="center"/>
                </w:tcPr>
                <w:p w14:paraId="6413C0D4">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含有机废物</w:t>
                  </w:r>
                </w:p>
              </w:tc>
              <w:tc>
                <w:tcPr>
                  <w:tcW w:w="498" w:type="pct"/>
                  <w:shd w:val="clear" w:color="auto" w:fill="auto"/>
                  <w:noWrap w:val="0"/>
                  <w:vAlign w:val="center"/>
                </w:tcPr>
                <w:p w14:paraId="0E329DAB">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HW08</w:t>
                  </w:r>
                </w:p>
              </w:tc>
              <w:tc>
                <w:tcPr>
                  <w:tcW w:w="563" w:type="pct"/>
                  <w:shd w:val="clear" w:color="auto" w:fill="auto"/>
                  <w:noWrap w:val="0"/>
                  <w:vAlign w:val="center"/>
                </w:tcPr>
                <w:p w14:paraId="67193BA8">
                  <w:pPr>
                    <w:adjustRightInd w:val="0"/>
                    <w:snapToGrid w:val="0"/>
                    <w:spacing w:line="24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u w:val="none"/>
                    </w:rPr>
                    <w:t>0.0</w:t>
                  </w:r>
                  <w:r>
                    <w:rPr>
                      <w:rFonts w:hint="eastAsia" w:ascii="Times New Roman" w:hAnsi="Times New Roman" w:cs="Times New Roman"/>
                      <w:color w:val="auto"/>
                      <w:sz w:val="21"/>
                      <w:szCs w:val="21"/>
                      <w:highlight w:val="none"/>
                      <w:u w:val="none"/>
                      <w:lang w:val="en-US" w:eastAsia="zh-CN"/>
                    </w:rPr>
                    <w:t>1</w:t>
                  </w:r>
                  <w:r>
                    <w:rPr>
                      <w:rFonts w:hint="eastAsia" w:cs="Times New Roman"/>
                      <w:color w:val="auto"/>
                      <w:sz w:val="21"/>
                      <w:szCs w:val="21"/>
                      <w:highlight w:val="none"/>
                      <w:u w:val="none"/>
                      <w:lang w:val="en-US" w:eastAsia="zh-CN"/>
                    </w:rPr>
                    <w:t>t/a</w:t>
                  </w:r>
                </w:p>
              </w:tc>
              <w:tc>
                <w:tcPr>
                  <w:tcW w:w="497" w:type="pct"/>
                  <w:shd w:val="clear" w:color="auto" w:fill="auto"/>
                  <w:noWrap w:val="0"/>
                  <w:vAlign w:val="center"/>
                </w:tcPr>
                <w:p w14:paraId="6A54FDEC">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T/Tn</w:t>
                  </w:r>
                </w:p>
              </w:tc>
              <w:tc>
                <w:tcPr>
                  <w:tcW w:w="491" w:type="pct"/>
                  <w:shd w:val="clear" w:color="auto" w:fill="auto"/>
                  <w:noWrap w:val="0"/>
                  <w:vAlign w:val="center"/>
                </w:tcPr>
                <w:p w14:paraId="18F5B918">
                  <w:pPr>
                    <w:pStyle w:val="28"/>
                    <w:spacing w:before="0" w:beforeAutospacing="0" w:after="0" w:afterAutospacing="0"/>
                    <w:jc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1次/30天</w:t>
                  </w:r>
                </w:p>
              </w:tc>
            </w:tr>
            <w:tr w14:paraId="4CA1F68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1" w:hRule="atLeast"/>
                <w:jc w:val="center"/>
              </w:trPr>
              <w:tc>
                <w:tcPr>
                  <w:tcW w:w="302" w:type="pct"/>
                  <w:noWrap w:val="0"/>
                  <w:vAlign w:val="center"/>
                </w:tcPr>
                <w:p w14:paraId="10C75543">
                  <w:pPr>
                    <w:pStyle w:val="28"/>
                    <w:spacing w:before="0" w:beforeAutospacing="0" w:after="0" w:afterAutospacing="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p>
              </w:tc>
              <w:tc>
                <w:tcPr>
                  <w:tcW w:w="615" w:type="pct"/>
                  <w:shd w:val="clear" w:color="auto" w:fill="auto"/>
                  <w:noWrap w:val="0"/>
                  <w:vAlign w:val="center"/>
                </w:tcPr>
                <w:p w14:paraId="034BF309">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2"/>
                      <w:sz w:val="21"/>
                      <w:szCs w:val="24"/>
                      <w:highlight w:val="none"/>
                      <w:u w:val="none"/>
                      <w:lang w:val="en-US" w:eastAsia="zh-CN" w:bidi="ar-SA"/>
                    </w:rPr>
                    <w:t>废机油桶</w:t>
                  </w:r>
                </w:p>
              </w:tc>
              <w:tc>
                <w:tcPr>
                  <w:tcW w:w="498" w:type="pct"/>
                  <w:shd w:val="clear" w:color="auto" w:fill="auto"/>
                  <w:noWrap w:val="0"/>
                  <w:vAlign w:val="center"/>
                </w:tcPr>
                <w:p w14:paraId="15FC086A">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机修</w:t>
                  </w:r>
                </w:p>
              </w:tc>
              <w:tc>
                <w:tcPr>
                  <w:tcW w:w="346" w:type="pct"/>
                  <w:shd w:val="clear" w:color="auto" w:fill="auto"/>
                  <w:noWrap w:val="0"/>
                  <w:vAlign w:val="center"/>
                </w:tcPr>
                <w:p w14:paraId="3516E3E7">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固态</w:t>
                  </w:r>
                </w:p>
              </w:tc>
              <w:tc>
                <w:tcPr>
                  <w:tcW w:w="645" w:type="pct"/>
                  <w:shd w:val="clear" w:color="auto" w:fill="auto"/>
                  <w:noWrap w:val="0"/>
                  <w:vAlign w:val="center"/>
                </w:tcPr>
                <w:p w14:paraId="347F294B">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含有机废物</w:t>
                  </w:r>
                </w:p>
              </w:tc>
              <w:tc>
                <w:tcPr>
                  <w:tcW w:w="540" w:type="pct"/>
                  <w:shd w:val="clear" w:color="auto" w:fill="auto"/>
                  <w:noWrap w:val="0"/>
                  <w:vAlign w:val="center"/>
                </w:tcPr>
                <w:p w14:paraId="0150ECF3">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含有机废物</w:t>
                  </w:r>
                </w:p>
              </w:tc>
              <w:tc>
                <w:tcPr>
                  <w:tcW w:w="498" w:type="pct"/>
                  <w:shd w:val="clear" w:color="auto" w:fill="auto"/>
                  <w:noWrap w:val="0"/>
                  <w:vAlign w:val="center"/>
                </w:tcPr>
                <w:p w14:paraId="62E8AC43">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HW</w:t>
                  </w:r>
                  <w:r>
                    <w:rPr>
                      <w:rFonts w:hint="eastAsia" w:cs="Times New Roman"/>
                      <w:color w:val="auto"/>
                      <w:sz w:val="21"/>
                      <w:szCs w:val="21"/>
                      <w:highlight w:val="none"/>
                      <w:lang w:val="en-US" w:eastAsia="zh-CN"/>
                    </w:rPr>
                    <w:t>49</w:t>
                  </w:r>
                </w:p>
              </w:tc>
              <w:tc>
                <w:tcPr>
                  <w:tcW w:w="563" w:type="pct"/>
                  <w:shd w:val="clear" w:color="auto" w:fill="auto"/>
                  <w:noWrap w:val="0"/>
                  <w:vAlign w:val="center"/>
                </w:tcPr>
                <w:p w14:paraId="3EA44EC1">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cs="Times New Roman"/>
                      <w:color w:val="auto"/>
                      <w:sz w:val="21"/>
                      <w:szCs w:val="21"/>
                      <w:highlight w:val="none"/>
                      <w:u w:val="none"/>
                      <w:lang w:val="en-US" w:eastAsia="zh-CN"/>
                    </w:rPr>
                    <w:t>0.05t/a</w:t>
                  </w:r>
                </w:p>
              </w:tc>
              <w:tc>
                <w:tcPr>
                  <w:tcW w:w="497" w:type="pct"/>
                  <w:shd w:val="clear" w:color="auto" w:fill="auto"/>
                  <w:noWrap w:val="0"/>
                  <w:vAlign w:val="center"/>
                </w:tcPr>
                <w:p w14:paraId="2EA460C5">
                  <w:pPr>
                    <w:pStyle w:val="28"/>
                    <w:spacing w:before="0" w:beforeAutospacing="0" w:after="0" w:afterAutospacing="0"/>
                    <w:jc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T/</w:t>
                  </w:r>
                  <w:r>
                    <w:rPr>
                      <w:rFonts w:hint="eastAsia" w:ascii="Times New Roman" w:hAnsi="Times New Roman" w:cs="Times New Roman"/>
                      <w:color w:val="auto"/>
                      <w:sz w:val="21"/>
                      <w:szCs w:val="21"/>
                      <w:highlight w:val="none"/>
                      <w:lang w:val="en-US" w:eastAsia="zh-CN"/>
                    </w:rPr>
                    <w:t>I</w:t>
                  </w:r>
                </w:p>
              </w:tc>
              <w:tc>
                <w:tcPr>
                  <w:tcW w:w="491" w:type="pct"/>
                  <w:shd w:val="clear" w:color="auto" w:fill="auto"/>
                  <w:noWrap w:val="0"/>
                  <w:vAlign w:val="center"/>
                </w:tcPr>
                <w:p w14:paraId="535A9237">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1次/30天</w:t>
                  </w:r>
                </w:p>
              </w:tc>
            </w:tr>
          </w:tbl>
          <w:p w14:paraId="3A940ABF">
            <w:pPr>
              <w:ind w:firstLine="422" w:firstLineChars="20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表4-</w:t>
            </w:r>
            <w:r>
              <w:rPr>
                <w:rFonts w:hint="eastAsia" w:cs="Times New Roman"/>
                <w:b/>
                <w:color w:val="auto"/>
                <w:sz w:val="21"/>
                <w:szCs w:val="21"/>
                <w:highlight w:val="none"/>
                <w:lang w:val="en-US" w:eastAsia="zh-CN"/>
              </w:rPr>
              <w:t xml:space="preserve">15  </w:t>
            </w:r>
            <w:r>
              <w:rPr>
                <w:rFonts w:hint="default" w:ascii="Times New Roman" w:hAnsi="Times New Roman" w:cs="Times New Roman"/>
                <w:b/>
                <w:color w:val="auto"/>
                <w:sz w:val="21"/>
                <w:szCs w:val="21"/>
                <w:highlight w:val="none"/>
              </w:rPr>
              <w:t>建设项目危险废物贮存场所（设施）基本情况表</w:t>
            </w:r>
          </w:p>
          <w:tbl>
            <w:tblPr>
              <w:tblStyle w:val="33"/>
              <w:tblW w:w="4997"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454"/>
              <w:gridCol w:w="1116"/>
              <w:gridCol w:w="814"/>
              <w:gridCol w:w="776"/>
              <w:gridCol w:w="1197"/>
              <w:gridCol w:w="740"/>
              <w:gridCol w:w="805"/>
              <w:gridCol w:w="701"/>
              <w:gridCol w:w="626"/>
              <w:gridCol w:w="765"/>
            </w:tblGrid>
            <w:tr w14:paraId="586012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4" w:hRule="atLeast"/>
                <w:jc w:val="center"/>
              </w:trPr>
              <w:tc>
                <w:tcPr>
                  <w:tcW w:w="290" w:type="pct"/>
                  <w:tcBorders>
                    <w:tl2br w:val="nil"/>
                    <w:tr2bl w:val="nil"/>
                  </w:tcBorders>
                  <w:noWrap w:val="0"/>
                  <w:vAlign w:val="center"/>
                </w:tcPr>
                <w:p w14:paraId="2C40D3E3">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704" w:type="pct"/>
                  <w:tcBorders>
                    <w:tl2br w:val="nil"/>
                    <w:tr2bl w:val="nil"/>
                  </w:tcBorders>
                  <w:noWrap w:val="0"/>
                  <w:vAlign w:val="center"/>
                </w:tcPr>
                <w:p w14:paraId="00F51180">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贮存场所（设施）名称</w:t>
                  </w:r>
                </w:p>
              </w:tc>
              <w:tc>
                <w:tcPr>
                  <w:tcW w:w="515" w:type="pct"/>
                  <w:tcBorders>
                    <w:tl2br w:val="nil"/>
                    <w:tr2bl w:val="nil"/>
                  </w:tcBorders>
                  <w:noWrap w:val="0"/>
                  <w:vAlign w:val="center"/>
                </w:tcPr>
                <w:p w14:paraId="2619A006">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危险废物名称</w:t>
                  </w:r>
                </w:p>
              </w:tc>
              <w:tc>
                <w:tcPr>
                  <w:tcW w:w="480" w:type="pct"/>
                  <w:tcBorders>
                    <w:tl2br w:val="nil"/>
                    <w:tr2bl w:val="nil"/>
                  </w:tcBorders>
                  <w:noWrap w:val="0"/>
                  <w:vAlign w:val="center"/>
                </w:tcPr>
                <w:p w14:paraId="00099087">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危废类别</w:t>
                  </w:r>
                </w:p>
              </w:tc>
              <w:tc>
                <w:tcPr>
                  <w:tcW w:w="705" w:type="pct"/>
                  <w:tcBorders>
                    <w:tl2br w:val="nil"/>
                    <w:tr2bl w:val="nil"/>
                  </w:tcBorders>
                  <w:noWrap w:val="0"/>
                  <w:vAlign w:val="center"/>
                </w:tcPr>
                <w:p w14:paraId="25E483AA">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危废代码</w:t>
                  </w:r>
                </w:p>
              </w:tc>
              <w:tc>
                <w:tcPr>
                  <w:tcW w:w="468" w:type="pct"/>
                  <w:tcBorders>
                    <w:tl2br w:val="nil"/>
                    <w:tr2bl w:val="nil"/>
                  </w:tcBorders>
                  <w:noWrap w:val="0"/>
                  <w:vAlign w:val="center"/>
                </w:tcPr>
                <w:p w14:paraId="1BDEB48F">
                  <w:pPr>
                    <w:adjustRightInd w:val="0"/>
                    <w:snapToGrid w:val="0"/>
                    <w:spacing w:line="240" w:lineRule="exact"/>
                    <w:jc w:val="center"/>
                    <w:rPr>
                      <w:rFonts w:hint="default" w:ascii="Times New Roman" w:hAnsi="Times New Roman" w:cs="Times New Roman"/>
                      <w:color w:val="auto"/>
                      <w:sz w:val="21"/>
                      <w:szCs w:val="21"/>
                      <w:highlight w:val="none"/>
                    </w:rPr>
                  </w:pPr>
                  <w:bookmarkStart w:id="30" w:name="OLE_LINK64"/>
                  <w:r>
                    <w:rPr>
                      <w:rFonts w:hint="default" w:ascii="Times New Roman" w:hAnsi="Times New Roman" w:cs="Times New Roman"/>
                      <w:color w:val="auto"/>
                      <w:sz w:val="21"/>
                      <w:szCs w:val="21"/>
                      <w:highlight w:val="none"/>
                    </w:rPr>
                    <w:t>贮存方式</w:t>
                  </w:r>
                  <w:bookmarkEnd w:id="30"/>
                </w:p>
              </w:tc>
              <w:tc>
                <w:tcPr>
                  <w:tcW w:w="509" w:type="pct"/>
                  <w:tcBorders>
                    <w:tl2br w:val="nil"/>
                    <w:tr2bl w:val="nil"/>
                  </w:tcBorders>
                  <w:noWrap w:val="0"/>
                  <w:vAlign w:val="center"/>
                </w:tcPr>
                <w:p w14:paraId="08B73AA3">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位置</w:t>
                  </w:r>
                </w:p>
              </w:tc>
              <w:tc>
                <w:tcPr>
                  <w:tcW w:w="444" w:type="pct"/>
                  <w:tcBorders>
                    <w:tl2br w:val="nil"/>
                    <w:tr2bl w:val="nil"/>
                  </w:tcBorders>
                  <w:noWrap w:val="0"/>
                  <w:vAlign w:val="center"/>
                </w:tcPr>
                <w:p w14:paraId="028AD68F">
                  <w:pPr>
                    <w:pStyle w:val="28"/>
                    <w:spacing w:before="0" w:beforeAutospacing="0" w:after="0" w:afterAutospacing="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建筑面积</w:t>
                  </w:r>
                </w:p>
              </w:tc>
              <w:tc>
                <w:tcPr>
                  <w:tcW w:w="397" w:type="pct"/>
                  <w:tcBorders>
                    <w:tl2br w:val="nil"/>
                    <w:tr2bl w:val="nil"/>
                  </w:tcBorders>
                  <w:noWrap w:val="0"/>
                  <w:vAlign w:val="center"/>
                </w:tcPr>
                <w:p w14:paraId="5B325361">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贮存能力</w:t>
                  </w:r>
                </w:p>
              </w:tc>
              <w:tc>
                <w:tcPr>
                  <w:tcW w:w="484" w:type="pct"/>
                  <w:tcBorders>
                    <w:tl2br w:val="nil"/>
                    <w:tr2bl w:val="nil"/>
                  </w:tcBorders>
                  <w:noWrap w:val="0"/>
                  <w:vAlign w:val="center"/>
                </w:tcPr>
                <w:p w14:paraId="49D5B00B">
                  <w:pPr>
                    <w:pStyle w:val="28"/>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贮存周期</w:t>
                  </w:r>
                </w:p>
              </w:tc>
            </w:tr>
            <w:tr w14:paraId="74DFDC9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4" w:hRule="atLeast"/>
                <w:jc w:val="center"/>
              </w:trPr>
              <w:tc>
                <w:tcPr>
                  <w:tcW w:w="290" w:type="pct"/>
                  <w:tcBorders>
                    <w:tl2br w:val="nil"/>
                    <w:tr2bl w:val="nil"/>
                  </w:tcBorders>
                  <w:shd w:val="clear" w:color="auto" w:fill="auto"/>
                  <w:noWrap w:val="0"/>
                  <w:vAlign w:val="center"/>
                </w:tcPr>
                <w:p w14:paraId="14B66F26">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1</w:t>
                  </w:r>
                </w:p>
              </w:tc>
              <w:tc>
                <w:tcPr>
                  <w:tcW w:w="704" w:type="pct"/>
                  <w:tcBorders>
                    <w:tl2br w:val="nil"/>
                    <w:tr2bl w:val="nil"/>
                  </w:tcBorders>
                  <w:shd w:val="clear" w:color="auto" w:fill="auto"/>
                  <w:noWrap w:val="0"/>
                  <w:vAlign w:val="center"/>
                </w:tcPr>
                <w:p w14:paraId="428FFF4E">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危废暂存间</w:t>
                  </w:r>
                </w:p>
              </w:tc>
              <w:tc>
                <w:tcPr>
                  <w:tcW w:w="515" w:type="pct"/>
                  <w:tcBorders>
                    <w:tl2br w:val="nil"/>
                    <w:tr2bl w:val="nil"/>
                  </w:tcBorders>
                  <w:shd w:val="clear" w:color="auto" w:fill="auto"/>
                  <w:noWrap w:val="0"/>
                  <w:vAlign w:val="center"/>
                </w:tcPr>
                <w:p w14:paraId="61F6ACD0">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u w:val="none"/>
                      <w:lang w:val="en-US" w:eastAsia="zh-CN"/>
                    </w:rPr>
                    <w:t>废机油桶</w:t>
                  </w:r>
                </w:p>
              </w:tc>
              <w:tc>
                <w:tcPr>
                  <w:tcW w:w="480" w:type="pct"/>
                  <w:tcBorders>
                    <w:tl2br w:val="nil"/>
                    <w:tr2bl w:val="nil"/>
                  </w:tcBorders>
                  <w:shd w:val="clear" w:color="auto" w:fill="auto"/>
                  <w:noWrap w:val="0"/>
                  <w:vAlign w:val="center"/>
                </w:tcPr>
                <w:p w14:paraId="08482546">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HW</w:t>
                  </w:r>
                  <w:r>
                    <w:rPr>
                      <w:rFonts w:hint="eastAsia" w:cs="Times New Roman"/>
                      <w:color w:val="auto"/>
                      <w:sz w:val="21"/>
                      <w:szCs w:val="21"/>
                      <w:highlight w:val="none"/>
                      <w:lang w:val="en-US" w:eastAsia="zh-CN"/>
                    </w:rPr>
                    <w:t>49</w:t>
                  </w:r>
                </w:p>
              </w:tc>
              <w:tc>
                <w:tcPr>
                  <w:tcW w:w="705" w:type="pct"/>
                  <w:tcBorders>
                    <w:tl2br w:val="nil"/>
                    <w:tr2bl w:val="nil"/>
                  </w:tcBorders>
                  <w:shd w:val="clear" w:color="auto" w:fill="auto"/>
                  <w:noWrap w:val="0"/>
                  <w:vAlign w:val="center"/>
                </w:tcPr>
                <w:p w14:paraId="0E4E9FA4">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900-0</w:t>
                  </w:r>
                  <w:r>
                    <w:rPr>
                      <w:rFonts w:hint="default" w:ascii="Times New Roman" w:hAnsi="Times New Roman" w:cs="Times New Roman"/>
                      <w:color w:val="auto"/>
                      <w:sz w:val="21"/>
                      <w:szCs w:val="21"/>
                      <w:highlight w:val="none"/>
                      <w:lang w:val="en-US" w:eastAsia="zh-CN"/>
                    </w:rPr>
                    <w:t>41</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49</w:t>
                  </w:r>
                </w:p>
              </w:tc>
              <w:tc>
                <w:tcPr>
                  <w:tcW w:w="468" w:type="pct"/>
                  <w:tcBorders>
                    <w:tl2br w:val="nil"/>
                    <w:tr2bl w:val="nil"/>
                  </w:tcBorders>
                  <w:shd w:val="clear" w:color="auto" w:fill="auto"/>
                  <w:noWrap w:val="0"/>
                  <w:vAlign w:val="center"/>
                </w:tcPr>
                <w:p w14:paraId="31A91BE6">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zh-CN" w:eastAsia="zh-CN" w:bidi="ar-SA"/>
                    </w:rPr>
                  </w:pPr>
                  <w:r>
                    <w:rPr>
                      <w:rFonts w:hint="eastAsia" w:ascii="Times New Roman" w:hAnsi="Times New Roman" w:cs="Times New Roman"/>
                      <w:color w:val="auto"/>
                      <w:szCs w:val="21"/>
                      <w:highlight w:val="none"/>
                      <w:lang w:val="en-US" w:eastAsia="zh-CN"/>
                    </w:rPr>
                    <w:t>堆存</w:t>
                  </w:r>
                </w:p>
              </w:tc>
              <w:tc>
                <w:tcPr>
                  <w:tcW w:w="509" w:type="pct"/>
                  <w:tcBorders>
                    <w:tl2br w:val="nil"/>
                    <w:tr2bl w:val="nil"/>
                  </w:tcBorders>
                  <w:shd w:val="clear" w:color="auto" w:fill="auto"/>
                  <w:noWrap w:val="0"/>
                  <w:vAlign w:val="center"/>
                </w:tcPr>
                <w:p w14:paraId="46150147">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bidi="ar-SA"/>
                    </w:rPr>
                    <w:t>厂区北</w:t>
                  </w:r>
                </w:p>
              </w:tc>
              <w:tc>
                <w:tcPr>
                  <w:tcW w:w="444" w:type="pct"/>
                  <w:tcBorders>
                    <w:tl2br w:val="nil"/>
                    <w:tr2bl w:val="nil"/>
                  </w:tcBorders>
                  <w:shd w:val="clear" w:color="auto" w:fill="auto"/>
                  <w:noWrap w:val="0"/>
                  <w:vAlign w:val="center"/>
                </w:tcPr>
                <w:p w14:paraId="56664BA3">
                  <w:pPr>
                    <w:pStyle w:val="28"/>
                    <w:spacing w:before="0" w:beforeAutospacing="0" w:after="0" w:afterAutospacing="0"/>
                    <w:jc w:val="center"/>
                    <w:rPr>
                      <w:rFonts w:hint="eastAsia" w:ascii="Times New Roman" w:hAnsi="Times New Roman" w:eastAsia="宋体" w:cs="Times New Roman"/>
                      <w:color w:val="auto"/>
                      <w:kern w:val="0"/>
                      <w:sz w:val="21"/>
                      <w:szCs w:val="16"/>
                      <w:highlight w:val="none"/>
                      <w:lang w:val="en-US" w:eastAsia="zh-CN" w:bidi="ar-SA"/>
                    </w:rPr>
                  </w:pPr>
                  <w:r>
                    <w:rPr>
                      <w:rFonts w:hint="eastAsia" w:ascii="Times New Roman" w:hAnsi="Times New Roman" w:cs="Times New Roman"/>
                      <w:color w:val="auto"/>
                      <w:sz w:val="21"/>
                      <w:szCs w:val="16"/>
                      <w:highlight w:val="none"/>
                      <w:lang w:val="en-US" w:eastAsia="zh-CN"/>
                    </w:rPr>
                    <w:t>5</w:t>
                  </w:r>
                  <w:r>
                    <w:rPr>
                      <w:rFonts w:hint="default" w:ascii="Times New Roman" w:hAnsi="Times New Roman" w:cs="Times New Roman"/>
                      <w:color w:val="auto"/>
                      <w:sz w:val="21"/>
                      <w:szCs w:val="16"/>
                      <w:highlight w:val="none"/>
                    </w:rPr>
                    <w:t>m</w:t>
                  </w:r>
                  <w:r>
                    <w:rPr>
                      <w:rFonts w:hint="default" w:ascii="Times New Roman" w:hAnsi="Times New Roman" w:cs="Times New Roman"/>
                      <w:color w:val="auto"/>
                      <w:sz w:val="21"/>
                      <w:szCs w:val="16"/>
                      <w:highlight w:val="none"/>
                      <w:vertAlign w:val="superscript"/>
                    </w:rPr>
                    <w:t>2</w:t>
                  </w:r>
                </w:p>
              </w:tc>
              <w:tc>
                <w:tcPr>
                  <w:tcW w:w="397" w:type="pct"/>
                  <w:tcBorders>
                    <w:tl2br w:val="nil"/>
                    <w:tr2bl w:val="nil"/>
                  </w:tcBorders>
                  <w:shd w:val="clear" w:color="auto" w:fill="auto"/>
                  <w:noWrap w:val="0"/>
                  <w:vAlign w:val="center"/>
                </w:tcPr>
                <w:p w14:paraId="6FD0C4CE">
                  <w:pPr>
                    <w:pStyle w:val="28"/>
                    <w:tabs>
                      <w:tab w:val="left" w:pos="428"/>
                    </w:tabs>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t</w:t>
                  </w:r>
                </w:p>
              </w:tc>
              <w:tc>
                <w:tcPr>
                  <w:tcW w:w="484" w:type="pct"/>
                  <w:tcBorders>
                    <w:tl2br w:val="nil"/>
                    <w:tr2bl w:val="nil"/>
                  </w:tcBorders>
                  <w:shd w:val="clear" w:color="auto" w:fill="auto"/>
                  <w:noWrap w:val="0"/>
                  <w:vAlign w:val="center"/>
                </w:tcPr>
                <w:p w14:paraId="3F10A7B6">
                  <w:pPr>
                    <w:pStyle w:val="28"/>
                    <w:spacing w:before="0" w:beforeAutospacing="0" w:after="0" w:afterAutospacing="0"/>
                    <w:jc w:val="center"/>
                    <w:rPr>
                      <w:rFonts w:hint="default" w:ascii="Times New Roman" w:hAnsi="Times New Roman" w:eastAsia="宋体" w:cs="Times New Roman"/>
                      <w:color w:val="auto"/>
                      <w:kern w:val="0"/>
                      <w:sz w:val="21"/>
                      <w:szCs w:val="16"/>
                      <w:highlight w:val="none"/>
                      <w:lang w:val="en-US" w:eastAsia="zh-CN" w:bidi="ar-SA"/>
                    </w:rPr>
                  </w:pPr>
                  <w:r>
                    <w:rPr>
                      <w:rFonts w:hint="default" w:ascii="Times New Roman" w:hAnsi="Times New Roman" w:cs="Times New Roman"/>
                      <w:color w:val="auto"/>
                      <w:sz w:val="21"/>
                      <w:szCs w:val="16"/>
                      <w:highlight w:val="none"/>
                    </w:rPr>
                    <w:t>1次/30天</w:t>
                  </w:r>
                </w:p>
              </w:tc>
            </w:tr>
            <w:tr w14:paraId="61D8AF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29" w:hRule="atLeast"/>
                <w:jc w:val="center"/>
              </w:trPr>
              <w:tc>
                <w:tcPr>
                  <w:tcW w:w="290" w:type="pct"/>
                  <w:tcBorders>
                    <w:tl2br w:val="nil"/>
                    <w:tr2bl w:val="nil"/>
                  </w:tcBorders>
                  <w:shd w:val="clear" w:color="auto" w:fill="auto"/>
                  <w:noWrap w:val="0"/>
                  <w:vAlign w:val="center"/>
                </w:tcPr>
                <w:p w14:paraId="4E2B66DB">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2</w:t>
                  </w:r>
                </w:p>
              </w:tc>
              <w:tc>
                <w:tcPr>
                  <w:tcW w:w="704" w:type="pct"/>
                  <w:tcBorders>
                    <w:tl2br w:val="nil"/>
                    <w:tr2bl w:val="nil"/>
                  </w:tcBorders>
                  <w:shd w:val="clear" w:color="auto" w:fill="auto"/>
                  <w:noWrap w:val="0"/>
                  <w:vAlign w:val="center"/>
                </w:tcPr>
                <w:p w14:paraId="2B1E2636">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危废暂存间</w:t>
                  </w:r>
                </w:p>
              </w:tc>
              <w:tc>
                <w:tcPr>
                  <w:tcW w:w="515" w:type="pct"/>
                  <w:tcBorders>
                    <w:tl2br w:val="nil"/>
                    <w:tr2bl w:val="nil"/>
                  </w:tcBorders>
                  <w:shd w:val="clear" w:color="auto" w:fill="auto"/>
                  <w:noWrap w:val="0"/>
                  <w:vAlign w:val="center"/>
                </w:tcPr>
                <w:p w14:paraId="11017B64">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废机油</w:t>
                  </w:r>
                </w:p>
              </w:tc>
              <w:tc>
                <w:tcPr>
                  <w:tcW w:w="480" w:type="pct"/>
                  <w:tcBorders>
                    <w:tl2br w:val="nil"/>
                    <w:tr2bl w:val="nil"/>
                  </w:tcBorders>
                  <w:shd w:val="clear" w:color="auto" w:fill="auto"/>
                  <w:noWrap w:val="0"/>
                  <w:vAlign w:val="center"/>
                </w:tcPr>
                <w:p w14:paraId="79E096BE">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HW08</w:t>
                  </w:r>
                </w:p>
              </w:tc>
              <w:tc>
                <w:tcPr>
                  <w:tcW w:w="705" w:type="pct"/>
                  <w:tcBorders>
                    <w:tl2br w:val="nil"/>
                    <w:tr2bl w:val="nil"/>
                  </w:tcBorders>
                  <w:shd w:val="clear" w:color="auto" w:fill="auto"/>
                  <w:noWrap w:val="0"/>
                  <w:vAlign w:val="center"/>
                </w:tcPr>
                <w:p w14:paraId="21CE8CDA">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900-2</w:t>
                  </w:r>
                  <w:r>
                    <w:rPr>
                      <w:rFonts w:hint="default" w:ascii="Times New Roman" w:hAnsi="Times New Roman" w:cs="Times New Roman"/>
                      <w:color w:val="auto"/>
                      <w:sz w:val="21"/>
                      <w:szCs w:val="21"/>
                      <w:highlight w:val="none"/>
                      <w:lang w:val="en-US" w:eastAsia="zh-CN"/>
                    </w:rPr>
                    <w:t>14</w:t>
                  </w:r>
                  <w:r>
                    <w:rPr>
                      <w:rFonts w:hint="default" w:ascii="Times New Roman" w:hAnsi="Times New Roman" w:cs="Times New Roman"/>
                      <w:color w:val="auto"/>
                      <w:sz w:val="21"/>
                      <w:szCs w:val="21"/>
                      <w:highlight w:val="none"/>
                    </w:rPr>
                    <w:t>-08</w:t>
                  </w:r>
                </w:p>
              </w:tc>
              <w:tc>
                <w:tcPr>
                  <w:tcW w:w="468" w:type="pct"/>
                  <w:tcBorders>
                    <w:tl2br w:val="nil"/>
                    <w:tr2bl w:val="nil"/>
                  </w:tcBorders>
                  <w:shd w:val="clear" w:color="auto" w:fill="auto"/>
                  <w:noWrap w:val="0"/>
                  <w:vAlign w:val="center"/>
                </w:tcPr>
                <w:p w14:paraId="1F89ED2F">
                  <w:pPr>
                    <w:pStyle w:val="96"/>
                    <w:spacing w:before="130"/>
                    <w:ind w:left="40" w:leftChars="0" w:right="95" w:rightChars="0"/>
                    <w:jc w:val="center"/>
                    <w:rPr>
                      <w:rFonts w:hint="default" w:ascii="Times New Roman" w:hAnsi="Times New Roman" w:eastAsia="宋体" w:cs="Times New Roman"/>
                      <w:color w:val="auto"/>
                      <w:kern w:val="2"/>
                      <w:sz w:val="21"/>
                      <w:szCs w:val="21"/>
                      <w:highlight w:val="none"/>
                      <w:lang w:val="zh-CN" w:eastAsia="zh-CN" w:bidi="zh-CN"/>
                    </w:rPr>
                  </w:pPr>
                  <w:r>
                    <w:rPr>
                      <w:rFonts w:hint="eastAsia" w:ascii="Times New Roman" w:hAnsi="Times New Roman" w:cs="Times New Roman"/>
                      <w:color w:val="auto"/>
                      <w:kern w:val="2"/>
                      <w:sz w:val="21"/>
                      <w:szCs w:val="21"/>
                      <w:highlight w:val="none"/>
                      <w:lang w:val="en-US" w:eastAsia="zh-CN" w:bidi="zh-CN"/>
                    </w:rPr>
                    <w:t>桶装</w:t>
                  </w:r>
                </w:p>
              </w:tc>
              <w:tc>
                <w:tcPr>
                  <w:tcW w:w="509" w:type="pct"/>
                  <w:tcBorders>
                    <w:tl2br w:val="nil"/>
                    <w:tr2bl w:val="nil"/>
                  </w:tcBorders>
                  <w:shd w:val="clear" w:color="auto" w:fill="auto"/>
                  <w:noWrap w:val="0"/>
                  <w:vAlign w:val="center"/>
                </w:tcPr>
                <w:p w14:paraId="1E3B6634">
                  <w:pPr>
                    <w:pStyle w:val="28"/>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厂区</w:t>
                  </w:r>
                  <w:r>
                    <w:rPr>
                      <w:rFonts w:hint="eastAsia" w:ascii="Times New Roman" w:hAnsi="Times New Roman" w:cs="Times New Roman"/>
                      <w:color w:val="auto"/>
                      <w:kern w:val="0"/>
                      <w:sz w:val="21"/>
                      <w:szCs w:val="21"/>
                      <w:highlight w:val="none"/>
                      <w:lang w:val="en-US" w:eastAsia="zh-CN" w:bidi="ar-SA"/>
                    </w:rPr>
                    <w:t>北</w:t>
                  </w:r>
                </w:p>
              </w:tc>
              <w:tc>
                <w:tcPr>
                  <w:tcW w:w="444" w:type="pct"/>
                  <w:tcBorders>
                    <w:tl2br w:val="nil"/>
                    <w:tr2bl w:val="nil"/>
                  </w:tcBorders>
                  <w:shd w:val="clear" w:color="auto" w:fill="auto"/>
                  <w:noWrap w:val="0"/>
                  <w:vAlign w:val="center"/>
                </w:tcPr>
                <w:p w14:paraId="08AC07D8">
                  <w:pPr>
                    <w:pStyle w:val="28"/>
                    <w:spacing w:before="0" w:beforeAutospacing="0" w:after="0" w:afterAutospacing="0"/>
                    <w:jc w:val="center"/>
                    <w:rPr>
                      <w:rFonts w:hint="default" w:ascii="Times New Roman" w:hAnsi="Times New Roman" w:eastAsia="宋体" w:cs="Times New Roman"/>
                      <w:color w:val="auto"/>
                      <w:kern w:val="0"/>
                      <w:sz w:val="21"/>
                      <w:szCs w:val="16"/>
                      <w:highlight w:val="none"/>
                      <w:lang w:val="en-US" w:eastAsia="zh-CN" w:bidi="ar-SA"/>
                    </w:rPr>
                  </w:pPr>
                  <w:r>
                    <w:rPr>
                      <w:rFonts w:hint="eastAsia" w:ascii="Times New Roman" w:hAnsi="Times New Roman" w:cs="Times New Roman"/>
                      <w:color w:val="auto"/>
                      <w:sz w:val="21"/>
                      <w:szCs w:val="16"/>
                      <w:highlight w:val="none"/>
                      <w:lang w:val="en-US" w:eastAsia="zh-CN"/>
                    </w:rPr>
                    <w:t>5</w:t>
                  </w:r>
                  <w:r>
                    <w:rPr>
                      <w:rFonts w:hint="default" w:ascii="Times New Roman" w:hAnsi="Times New Roman" w:cs="Times New Roman"/>
                      <w:color w:val="auto"/>
                      <w:sz w:val="21"/>
                      <w:szCs w:val="16"/>
                      <w:highlight w:val="none"/>
                    </w:rPr>
                    <w:t>m</w:t>
                  </w:r>
                  <w:r>
                    <w:rPr>
                      <w:rFonts w:hint="default" w:ascii="Times New Roman" w:hAnsi="Times New Roman" w:cs="Times New Roman"/>
                      <w:color w:val="auto"/>
                      <w:sz w:val="21"/>
                      <w:szCs w:val="16"/>
                      <w:highlight w:val="none"/>
                      <w:vertAlign w:val="superscript"/>
                    </w:rPr>
                    <w:t>2</w:t>
                  </w:r>
                </w:p>
              </w:tc>
              <w:tc>
                <w:tcPr>
                  <w:tcW w:w="397" w:type="pct"/>
                  <w:tcBorders>
                    <w:tl2br w:val="nil"/>
                    <w:tr2bl w:val="nil"/>
                  </w:tcBorders>
                  <w:shd w:val="clear" w:color="auto" w:fill="auto"/>
                  <w:noWrap w:val="0"/>
                  <w:vAlign w:val="center"/>
                </w:tcPr>
                <w:p w14:paraId="37B44760">
                  <w:pPr>
                    <w:pStyle w:val="28"/>
                    <w:tabs>
                      <w:tab w:val="left" w:pos="428"/>
                    </w:tabs>
                    <w:spacing w:before="0" w:beforeAutospacing="0" w:after="0" w:afterAutospacing="0"/>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t</w:t>
                  </w:r>
                </w:p>
              </w:tc>
              <w:tc>
                <w:tcPr>
                  <w:tcW w:w="484" w:type="pct"/>
                  <w:tcBorders>
                    <w:tl2br w:val="nil"/>
                    <w:tr2bl w:val="nil"/>
                  </w:tcBorders>
                  <w:shd w:val="clear" w:color="auto" w:fill="auto"/>
                  <w:noWrap w:val="0"/>
                  <w:vAlign w:val="center"/>
                </w:tcPr>
                <w:p w14:paraId="546B4DF6">
                  <w:pPr>
                    <w:pStyle w:val="28"/>
                    <w:spacing w:before="0" w:beforeAutospacing="0" w:after="0" w:afterAutospacing="0"/>
                    <w:jc w:val="center"/>
                    <w:rPr>
                      <w:rFonts w:hint="default" w:ascii="Times New Roman" w:hAnsi="Times New Roman" w:eastAsia="宋体" w:cs="Times New Roman"/>
                      <w:color w:val="auto"/>
                      <w:kern w:val="0"/>
                      <w:sz w:val="21"/>
                      <w:szCs w:val="16"/>
                      <w:highlight w:val="none"/>
                      <w:lang w:val="en-US" w:eastAsia="zh-CN" w:bidi="ar-SA"/>
                    </w:rPr>
                  </w:pPr>
                  <w:r>
                    <w:rPr>
                      <w:rFonts w:hint="default" w:ascii="Times New Roman" w:hAnsi="Times New Roman" w:cs="Times New Roman"/>
                      <w:color w:val="auto"/>
                      <w:sz w:val="21"/>
                      <w:szCs w:val="16"/>
                      <w:highlight w:val="none"/>
                    </w:rPr>
                    <w:t>1次/30天</w:t>
                  </w:r>
                </w:p>
              </w:tc>
            </w:tr>
          </w:tbl>
          <w:p w14:paraId="1F035F48">
            <w:pPr>
              <w:spacing w:line="360" w:lineRule="auto"/>
              <w:ind w:firstLine="480"/>
              <w:rPr>
                <w:rFonts w:hint="default" w:cs="Times New Roman"/>
                <w:color w:val="auto"/>
                <w:sz w:val="24"/>
                <w:highlight w:val="none"/>
                <w:u w:val="none"/>
                <w:lang w:val="en-US" w:eastAsia="zh-CN"/>
              </w:rPr>
            </w:pPr>
            <w:r>
              <w:rPr>
                <w:rFonts w:hint="eastAsia" w:cs="Times New Roman"/>
                <w:color w:val="auto"/>
                <w:sz w:val="24"/>
                <w:highlight w:val="none"/>
                <w:u w:val="none"/>
                <w:lang w:val="en-US" w:eastAsia="zh-CN"/>
              </w:rPr>
              <w:t>本次搬迁后建设单位拟在厂区北侧建设一般固废暂存间及危废暂存间，面积分别为5m</w:t>
            </w:r>
            <w:r>
              <w:rPr>
                <w:rFonts w:hint="eastAsia" w:cs="Times New Roman"/>
                <w:color w:val="auto"/>
                <w:sz w:val="24"/>
                <w:highlight w:val="none"/>
                <w:u w:val="none"/>
                <w:vertAlign w:val="superscript"/>
                <w:lang w:val="en-US" w:eastAsia="zh-CN"/>
              </w:rPr>
              <w:t>2</w:t>
            </w:r>
            <w:r>
              <w:rPr>
                <w:rFonts w:hint="eastAsia" w:cs="Times New Roman"/>
                <w:color w:val="auto"/>
                <w:sz w:val="24"/>
                <w:highlight w:val="none"/>
                <w:u w:val="none"/>
                <w:vertAlign w:val="baseline"/>
                <w:lang w:val="en-US" w:eastAsia="zh-CN"/>
              </w:rPr>
              <w:t>。</w:t>
            </w:r>
          </w:p>
          <w:p w14:paraId="2BC826D6">
            <w:pPr>
              <w:spacing w:line="360" w:lineRule="auto"/>
              <w:ind w:firstLine="480"/>
              <w:jc w:val="both"/>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一般工业固体废物污染防控技术要求：</w:t>
            </w:r>
          </w:p>
          <w:p w14:paraId="174BFCCD">
            <w:pPr>
              <w:spacing w:line="360" w:lineRule="auto"/>
              <w:ind w:firstLine="48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委托贮存/利用/处置环节：排污单位委托他人运输、利用、处置一般工业固体废物的，应落实《中华人民共和国固体废物污染环境防治法》等法律法规要求，对受托方的主体资格和技术能力进行核实，依法签订书面合同，在合同中约定污染防治要求等。</w:t>
            </w:r>
          </w:p>
          <w:p w14:paraId="33BBDA7D">
            <w:pPr>
              <w:spacing w:line="360" w:lineRule="auto"/>
              <w:ind w:firstLine="48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自行贮存设施：采用库房、包装工具（罐、桶、包装袋等）贮存一般工业固体废物的，贮存过程应满足相应防渗漏、防雨淋、防扬尘等环境保护要求；危险废物和生活垃圾不得进入一般工业固体废物贮存场及填埋场；排污单位生产运营期间一般工业固体废物自行贮存/利用/处置设施的环境管理和相关设施运行维护要求还应符合GB 15562.2、GB 18599、GB 30485 和HJ 2035等相关标准规范要求。</w:t>
            </w:r>
          </w:p>
          <w:p w14:paraId="35E2D8A8">
            <w:pPr>
              <w:spacing w:line="360" w:lineRule="auto"/>
              <w:ind w:firstLine="480"/>
              <w:jc w:val="both"/>
              <w:rPr>
                <w:rFonts w:hint="eastAsia" w:ascii="Times New Roman" w:hAnsi="Times New Roman" w:eastAsia="宋体" w:cs="Times New Roman"/>
                <w:b/>
                <w:bCs/>
                <w:color w:val="auto"/>
                <w:sz w:val="24"/>
                <w:highlight w:val="none"/>
                <w:u w:val="none"/>
                <w:lang w:eastAsia="zh-CN"/>
              </w:rPr>
            </w:pPr>
            <w:bookmarkStart w:id="31" w:name="OLE_LINK104"/>
            <w:r>
              <w:rPr>
                <w:rFonts w:hint="default" w:ascii="Times New Roman" w:hAnsi="Times New Roman" w:cs="Times New Roman"/>
                <w:b/>
                <w:bCs/>
                <w:color w:val="auto"/>
                <w:sz w:val="24"/>
                <w:highlight w:val="none"/>
                <w:u w:val="none"/>
              </w:rPr>
              <w:t>危险废物贮存污染控制标准</w:t>
            </w:r>
            <w:r>
              <w:rPr>
                <w:rFonts w:hint="eastAsia" w:cs="Times New Roman"/>
                <w:b/>
                <w:bCs/>
                <w:color w:val="auto"/>
                <w:sz w:val="24"/>
                <w:highlight w:val="none"/>
                <w:u w:val="none"/>
                <w:lang w:eastAsia="zh-CN"/>
              </w:rPr>
              <w:t>：</w:t>
            </w:r>
          </w:p>
          <w:p w14:paraId="76E182FE">
            <w:pPr>
              <w:spacing w:line="360" w:lineRule="auto"/>
              <w:ind w:firstLine="480"/>
              <w:jc w:val="both"/>
              <w:rPr>
                <w:rFonts w:hint="default" w:ascii="Times New Roman" w:hAnsi="Times New Roman" w:cs="Times New Roman"/>
                <w:color w:val="auto"/>
                <w:sz w:val="24"/>
                <w:highlight w:val="none"/>
                <w:u w:val="none"/>
              </w:rPr>
            </w:pPr>
            <w:r>
              <w:rPr>
                <w:rFonts w:hint="default" w:ascii="Times New Roman" w:hAnsi="Times New Roman" w:cs="Times New Roman"/>
                <w:b w:val="0"/>
                <w:bCs w:val="0"/>
                <w:color w:val="auto"/>
                <w:sz w:val="24"/>
                <w:highlight w:val="none"/>
                <w:u w:val="none"/>
              </w:rPr>
              <w:t>危险废物贮存设施污染控制要求</w:t>
            </w:r>
            <w:bookmarkEnd w:id="31"/>
            <w:r>
              <w:rPr>
                <w:rFonts w:hint="default" w:ascii="Times New Roman" w:hAnsi="Times New Roman" w:cs="Times New Roman"/>
                <w:b w:val="0"/>
                <w:bCs w:val="0"/>
                <w:color w:val="auto"/>
                <w:sz w:val="24"/>
                <w:highlight w:val="none"/>
                <w:u w:val="none"/>
              </w:rPr>
              <w:t>：</w:t>
            </w:r>
            <w:r>
              <w:rPr>
                <w:rFonts w:hint="default" w:ascii="Times New Roman" w:hAnsi="Times New Roman" w:cs="Times New Roman"/>
                <w:color w:val="auto"/>
                <w:sz w:val="24"/>
                <w:highlight w:val="none"/>
                <w:u w:val="none"/>
              </w:rPr>
              <w:t>1.1、贮存设施应根据危险废物的形态、物理化学性质、包装形式和污染物迁移途径，采取必要的防风、防晒、防雨、防漏、防渗、防腐以及其他环境污染防治措施，不应露天堆放危险废物</w:t>
            </w:r>
            <w:r>
              <w:rPr>
                <w:rFonts w:hint="eastAsia" w:cs="Times New Roman"/>
                <w:color w:val="auto"/>
                <w:sz w:val="24"/>
                <w:highlight w:val="none"/>
                <w:u w:val="none"/>
                <w:lang w:val="en-US" w:eastAsia="zh-CN"/>
              </w:rPr>
              <w:t>；</w:t>
            </w:r>
            <w:r>
              <w:rPr>
                <w:rFonts w:hint="default" w:ascii="Times New Roman" w:hAnsi="Times New Roman" w:cs="Times New Roman"/>
                <w:color w:val="auto"/>
                <w:sz w:val="24"/>
                <w:highlight w:val="none"/>
                <w:u w:val="none"/>
              </w:rPr>
              <w:t>1.2、贮存设施应根据危险废物的类别、数量、形态、物理化学性质和污染防治等要求设置必要的贮GB18597—2023存分区，避免不相容的危险废物接触、混合</w:t>
            </w:r>
            <w:r>
              <w:rPr>
                <w:rFonts w:hint="eastAsia" w:cs="Times New Roman"/>
                <w:color w:val="auto"/>
                <w:sz w:val="24"/>
                <w:highlight w:val="none"/>
                <w:u w:val="none"/>
                <w:lang w:eastAsia="zh-CN"/>
              </w:rPr>
              <w:t>；</w:t>
            </w:r>
            <w:r>
              <w:rPr>
                <w:rFonts w:hint="default" w:ascii="Times New Roman" w:hAnsi="Times New Roman" w:cs="Times New Roman"/>
                <w:color w:val="auto"/>
                <w:sz w:val="24"/>
                <w:highlight w:val="none"/>
                <w:u w:val="none"/>
              </w:rPr>
              <w:t>1.3、贮存设施或贮存分区内地面、墙面裙脚、堵截泄漏的围堰、接触危险废物的隔板和墙体等应采用坚固的材料建造，表面无裂缝</w:t>
            </w:r>
            <w:r>
              <w:rPr>
                <w:rFonts w:hint="eastAsia" w:cs="Times New Roman"/>
                <w:color w:val="auto"/>
                <w:sz w:val="24"/>
                <w:highlight w:val="none"/>
                <w:u w:val="none"/>
                <w:lang w:eastAsia="zh-CN"/>
              </w:rPr>
              <w:t>；</w:t>
            </w:r>
            <w:r>
              <w:rPr>
                <w:rFonts w:hint="eastAsia" w:cs="Times New Roman"/>
                <w:color w:val="auto"/>
                <w:sz w:val="24"/>
                <w:highlight w:val="none"/>
                <w:u w:val="none"/>
                <w:lang w:val="en-US" w:eastAsia="zh-CN"/>
              </w:rPr>
              <w:t>1.4、</w:t>
            </w:r>
            <w:r>
              <w:rPr>
                <w:rFonts w:hint="default" w:ascii="Times New Roman" w:hAnsi="Times New Roman" w:cs="Times New Roman"/>
                <w:color w:val="auto"/>
                <w:sz w:val="24"/>
                <w:highlight w:val="none"/>
                <w:u w:val="none"/>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default" w:ascii="Times New Roman" w:hAnsi="Times New Roman" w:cs="Times New Roman"/>
                <w:color w:val="auto"/>
                <w:sz w:val="24"/>
                <w:highlight w:val="none"/>
                <w:u w:val="none"/>
                <w:vertAlign w:val="superscript"/>
              </w:rPr>
              <w:t>-7</w:t>
            </w:r>
            <w:r>
              <w:rPr>
                <w:rFonts w:hint="default" w:ascii="Times New Roman" w:hAnsi="Times New Roman" w:cs="Times New Roman"/>
                <w:color w:val="auto"/>
                <w:sz w:val="24"/>
                <w:highlight w:val="none"/>
                <w:u w:val="none"/>
              </w:rPr>
              <w:t>cm/s），或至少2mm厚高密度聚乙烯膜等人工防渗材料（渗透系数不大于10</w:t>
            </w:r>
            <w:r>
              <w:rPr>
                <w:rFonts w:hint="default" w:ascii="Times New Roman" w:hAnsi="Times New Roman" w:cs="Times New Roman"/>
                <w:color w:val="auto"/>
                <w:sz w:val="24"/>
                <w:highlight w:val="none"/>
                <w:u w:val="none"/>
                <w:vertAlign w:val="superscript"/>
              </w:rPr>
              <w:t>-10</w:t>
            </w:r>
            <w:r>
              <w:rPr>
                <w:rFonts w:hint="default" w:ascii="Times New Roman" w:hAnsi="Times New Roman" w:cs="Times New Roman"/>
                <w:color w:val="auto"/>
                <w:sz w:val="24"/>
                <w:highlight w:val="none"/>
                <w:u w:val="none"/>
              </w:rPr>
              <w:t>cm/s），或其他防渗性能等效的材料</w:t>
            </w:r>
            <w:r>
              <w:rPr>
                <w:rFonts w:hint="eastAsia" w:cs="Times New Roman"/>
                <w:color w:val="auto"/>
                <w:sz w:val="24"/>
                <w:highlight w:val="none"/>
                <w:u w:val="none"/>
                <w:lang w:eastAsia="zh-CN"/>
              </w:rPr>
              <w:t>；</w:t>
            </w:r>
            <w:r>
              <w:rPr>
                <w:rFonts w:hint="eastAsia" w:cs="Times New Roman"/>
                <w:color w:val="auto"/>
                <w:sz w:val="24"/>
                <w:highlight w:val="none"/>
                <w:u w:val="none"/>
                <w:lang w:val="en-US" w:eastAsia="zh-CN"/>
              </w:rPr>
              <w:t>1.5、</w:t>
            </w:r>
            <w:r>
              <w:rPr>
                <w:rFonts w:hint="default" w:ascii="Times New Roman" w:hAnsi="Times New Roman" w:cs="Times New Roman"/>
                <w:color w:val="auto"/>
                <w:sz w:val="24"/>
                <w:highlight w:val="none"/>
                <w:u w:val="none"/>
              </w:rPr>
              <w:t>同一贮存设施宜采用相同的防渗、防腐工艺（包括防渗、防腐结构或材料），防渗、防腐材料应覆盖所有可能与废物及其渗滤液、渗漏液等接触的构筑物表面；采用不同防渗、防腐工艺应分别建设贮存分区</w:t>
            </w:r>
            <w:r>
              <w:rPr>
                <w:rFonts w:hint="eastAsia" w:cs="Times New Roman"/>
                <w:color w:val="auto"/>
                <w:sz w:val="24"/>
                <w:highlight w:val="none"/>
                <w:u w:val="none"/>
                <w:lang w:eastAsia="zh-CN"/>
              </w:rPr>
              <w:t>；</w:t>
            </w:r>
            <w:r>
              <w:rPr>
                <w:rFonts w:hint="default" w:ascii="Times New Roman" w:hAnsi="Times New Roman" w:cs="Times New Roman"/>
                <w:color w:val="auto"/>
                <w:sz w:val="24"/>
                <w:highlight w:val="none"/>
                <w:u w:val="none"/>
              </w:rPr>
              <w:t>1.6</w:t>
            </w:r>
            <w:r>
              <w:rPr>
                <w:rFonts w:hint="eastAsia" w:cs="Times New Roman"/>
                <w:color w:val="auto"/>
                <w:sz w:val="24"/>
                <w:highlight w:val="none"/>
                <w:u w:val="none"/>
                <w:lang w:eastAsia="zh-CN"/>
              </w:rPr>
              <w:t>、</w:t>
            </w:r>
            <w:r>
              <w:rPr>
                <w:rFonts w:hint="default" w:ascii="Times New Roman" w:hAnsi="Times New Roman" w:cs="Times New Roman"/>
                <w:color w:val="auto"/>
                <w:sz w:val="24"/>
                <w:highlight w:val="none"/>
                <w:u w:val="none"/>
              </w:rPr>
              <w:t>贮存设施应采取技术和管理措施防止无关人员进入。</w:t>
            </w:r>
          </w:p>
          <w:p w14:paraId="0CF6270A">
            <w:pPr>
              <w:spacing w:line="360" w:lineRule="auto"/>
              <w:ind w:firstLine="480" w:firstLineChars="200"/>
              <w:jc w:val="both"/>
              <w:rPr>
                <w:rFonts w:hint="default" w:ascii="Times New Roman" w:hAnsi="Times New Roman" w:cs="Times New Roman"/>
                <w:b w:val="0"/>
                <w:bCs w:val="0"/>
                <w:color w:val="auto"/>
                <w:sz w:val="24"/>
                <w:highlight w:val="none"/>
                <w:u w:val="none"/>
              </w:rPr>
            </w:pPr>
            <w:r>
              <w:rPr>
                <w:rFonts w:hint="default" w:ascii="Times New Roman" w:hAnsi="Times New Roman" w:cs="Times New Roman"/>
                <w:b w:val="0"/>
                <w:bCs w:val="0"/>
                <w:color w:val="auto"/>
                <w:sz w:val="24"/>
                <w:highlight w:val="none"/>
                <w:u w:val="none"/>
              </w:rPr>
              <w:t>容器和包装物污染控制要求：</w:t>
            </w:r>
            <w:r>
              <w:rPr>
                <w:rFonts w:hint="eastAsia" w:cs="Times New Roman"/>
                <w:b w:val="0"/>
                <w:bCs w:val="0"/>
                <w:color w:val="auto"/>
                <w:sz w:val="24"/>
                <w:highlight w:val="none"/>
                <w:u w:val="none"/>
                <w:lang w:val="en-US" w:eastAsia="zh-CN"/>
              </w:rPr>
              <w:t>1.1、</w:t>
            </w:r>
            <w:r>
              <w:rPr>
                <w:rFonts w:hint="default" w:ascii="Times New Roman" w:hAnsi="Times New Roman" w:cs="Times New Roman"/>
                <w:b w:val="0"/>
                <w:bCs w:val="0"/>
                <w:color w:val="auto"/>
                <w:sz w:val="24"/>
                <w:highlight w:val="none"/>
                <w:u w:val="none"/>
              </w:rPr>
              <w:t>容器和包装物材质、内衬应与盛装的危险废物相容</w:t>
            </w:r>
            <w:r>
              <w:rPr>
                <w:rFonts w:hint="eastAsia" w:cs="Times New Roman"/>
                <w:b w:val="0"/>
                <w:bCs w:val="0"/>
                <w:color w:val="auto"/>
                <w:sz w:val="24"/>
                <w:highlight w:val="none"/>
                <w:u w:val="none"/>
                <w:lang w:eastAsia="zh-CN"/>
              </w:rPr>
              <w:t>；</w:t>
            </w:r>
            <w:r>
              <w:rPr>
                <w:rFonts w:hint="eastAsia" w:cs="Times New Roman"/>
                <w:b w:val="0"/>
                <w:bCs w:val="0"/>
                <w:color w:val="auto"/>
                <w:sz w:val="24"/>
                <w:highlight w:val="none"/>
                <w:u w:val="none"/>
                <w:lang w:val="en-US" w:eastAsia="zh-CN"/>
              </w:rPr>
              <w:t>1.2、</w:t>
            </w:r>
            <w:r>
              <w:rPr>
                <w:rFonts w:hint="default" w:ascii="Times New Roman" w:hAnsi="Times New Roman" w:cs="Times New Roman"/>
                <w:b w:val="0"/>
                <w:bCs w:val="0"/>
                <w:color w:val="auto"/>
                <w:sz w:val="24"/>
                <w:highlight w:val="none"/>
                <w:u w:val="none"/>
              </w:rPr>
              <w:t>针对不同类别、形态、物理化学性质的危险废物，其容器和包装物应满足相应的防渗、防漏、防腐和强度等要求</w:t>
            </w:r>
            <w:r>
              <w:rPr>
                <w:rFonts w:hint="eastAsia" w:cs="Times New Roman"/>
                <w:b w:val="0"/>
                <w:bCs w:val="0"/>
                <w:color w:val="auto"/>
                <w:sz w:val="24"/>
                <w:highlight w:val="none"/>
                <w:u w:val="none"/>
                <w:lang w:eastAsia="zh-CN"/>
              </w:rPr>
              <w:t>；</w:t>
            </w:r>
            <w:r>
              <w:rPr>
                <w:rFonts w:hint="eastAsia" w:cs="Times New Roman"/>
                <w:b w:val="0"/>
                <w:bCs w:val="0"/>
                <w:color w:val="auto"/>
                <w:sz w:val="24"/>
                <w:highlight w:val="none"/>
                <w:u w:val="none"/>
                <w:lang w:val="en-US" w:eastAsia="zh-CN"/>
              </w:rPr>
              <w:t>1.3、</w:t>
            </w:r>
            <w:r>
              <w:rPr>
                <w:rFonts w:hint="default" w:ascii="Times New Roman" w:hAnsi="Times New Roman" w:cs="Times New Roman"/>
                <w:b w:val="0"/>
                <w:bCs w:val="0"/>
                <w:color w:val="auto"/>
                <w:sz w:val="24"/>
                <w:highlight w:val="none"/>
                <w:u w:val="none"/>
              </w:rPr>
              <w:t>硬质容器和包装物及其支护结构堆叠码放时不应有明显变形，无破损泄漏</w:t>
            </w:r>
            <w:r>
              <w:rPr>
                <w:rFonts w:hint="eastAsia" w:cs="Times New Roman"/>
                <w:b w:val="0"/>
                <w:bCs w:val="0"/>
                <w:color w:val="auto"/>
                <w:sz w:val="24"/>
                <w:highlight w:val="none"/>
                <w:u w:val="none"/>
                <w:lang w:eastAsia="zh-CN"/>
              </w:rPr>
              <w:t>；</w:t>
            </w:r>
            <w:r>
              <w:rPr>
                <w:rFonts w:hint="eastAsia" w:cs="Times New Roman"/>
                <w:b w:val="0"/>
                <w:bCs w:val="0"/>
                <w:color w:val="auto"/>
                <w:sz w:val="24"/>
                <w:highlight w:val="none"/>
                <w:u w:val="none"/>
                <w:lang w:val="en-US" w:eastAsia="zh-CN"/>
              </w:rPr>
              <w:t>1.4、</w:t>
            </w:r>
            <w:r>
              <w:rPr>
                <w:rFonts w:hint="default" w:ascii="Times New Roman" w:hAnsi="Times New Roman" w:cs="Times New Roman"/>
                <w:b w:val="0"/>
                <w:bCs w:val="0"/>
                <w:color w:val="auto"/>
                <w:sz w:val="24"/>
                <w:highlight w:val="none"/>
                <w:u w:val="none"/>
              </w:rPr>
              <w:t>柔性容器和包装物堆叠码放时应封口严密，无破损泄漏</w:t>
            </w:r>
            <w:r>
              <w:rPr>
                <w:rFonts w:hint="eastAsia" w:cs="Times New Roman"/>
                <w:b w:val="0"/>
                <w:bCs w:val="0"/>
                <w:color w:val="auto"/>
                <w:sz w:val="24"/>
                <w:highlight w:val="none"/>
                <w:u w:val="none"/>
                <w:lang w:eastAsia="zh-CN"/>
              </w:rPr>
              <w:t>；</w:t>
            </w:r>
            <w:r>
              <w:rPr>
                <w:rFonts w:hint="eastAsia" w:cs="Times New Roman"/>
                <w:b w:val="0"/>
                <w:bCs w:val="0"/>
                <w:color w:val="auto"/>
                <w:sz w:val="24"/>
                <w:highlight w:val="none"/>
                <w:u w:val="none"/>
                <w:lang w:val="en-US" w:eastAsia="zh-CN"/>
              </w:rPr>
              <w:t>1.5、</w:t>
            </w:r>
            <w:r>
              <w:rPr>
                <w:rFonts w:hint="default" w:ascii="Times New Roman" w:hAnsi="Times New Roman" w:cs="Times New Roman"/>
                <w:b w:val="0"/>
                <w:bCs w:val="0"/>
                <w:color w:val="auto"/>
                <w:sz w:val="24"/>
                <w:highlight w:val="none"/>
                <w:u w:val="none"/>
              </w:rPr>
              <w:t>使用容器盛装液态、半固态危险废物时，容器内部应留有适当的空间，以适应因温度变化等可能</w:t>
            </w:r>
            <w:r>
              <w:rPr>
                <w:rFonts w:hint="eastAsia" w:cs="Times New Roman"/>
                <w:b w:val="0"/>
                <w:bCs w:val="0"/>
                <w:color w:val="auto"/>
                <w:sz w:val="24"/>
                <w:highlight w:val="none"/>
                <w:u w:val="none"/>
                <w:lang w:eastAsia="zh-CN"/>
              </w:rPr>
              <w:t>；</w:t>
            </w:r>
            <w:r>
              <w:rPr>
                <w:rFonts w:hint="default" w:ascii="Times New Roman" w:hAnsi="Times New Roman" w:cs="Times New Roman"/>
                <w:b w:val="0"/>
                <w:bCs w:val="0"/>
                <w:color w:val="auto"/>
                <w:sz w:val="24"/>
                <w:highlight w:val="none"/>
                <w:u w:val="none"/>
              </w:rPr>
              <w:t>引发的收缩和膨胀，防止其导致容器渗漏或永久变形</w:t>
            </w:r>
            <w:r>
              <w:rPr>
                <w:rFonts w:hint="eastAsia" w:cs="Times New Roman"/>
                <w:b w:val="0"/>
                <w:bCs w:val="0"/>
                <w:color w:val="auto"/>
                <w:sz w:val="24"/>
                <w:highlight w:val="none"/>
                <w:u w:val="none"/>
                <w:lang w:eastAsia="zh-CN"/>
              </w:rPr>
              <w:t>；</w:t>
            </w:r>
            <w:r>
              <w:rPr>
                <w:rFonts w:hint="eastAsia" w:cs="Times New Roman"/>
                <w:b w:val="0"/>
                <w:bCs w:val="0"/>
                <w:color w:val="auto"/>
                <w:sz w:val="24"/>
                <w:highlight w:val="none"/>
                <w:u w:val="none"/>
                <w:lang w:val="en-US" w:eastAsia="zh-CN"/>
              </w:rPr>
              <w:t>1.6、</w:t>
            </w:r>
            <w:r>
              <w:rPr>
                <w:rFonts w:hint="default" w:ascii="Times New Roman" w:hAnsi="Times New Roman" w:cs="Times New Roman"/>
                <w:b w:val="0"/>
                <w:bCs w:val="0"/>
                <w:color w:val="auto"/>
                <w:sz w:val="24"/>
                <w:highlight w:val="none"/>
                <w:u w:val="none"/>
              </w:rPr>
              <w:t>容器和包装物外表面应保持清洁。</w:t>
            </w:r>
          </w:p>
          <w:p w14:paraId="07098AA6">
            <w:pPr>
              <w:spacing w:line="360" w:lineRule="auto"/>
              <w:ind w:firstLine="480"/>
              <w:jc w:val="both"/>
              <w:rPr>
                <w:ins w:id="0" w:author="环保加菲猫" w:date="2021-09-28T16:21:00Z"/>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综上所述，本项目固体废物处理处置符合国家《中华人民共和国固体废物污染环境防治法》规定的原则，符合</w:t>
            </w: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HYPERLINK "https://www.so.com/link?m=bMbw+CrH/nUr3S4dzqqRRzVUGCCRb7hSeAkrSqA6/yQsZYFrVljGzEsOsIAK/ZnU6u/h1F+7qOrFcaOehbiU0qnylLeuHM1YO/Q738OmdnxGFw5J5rLH1lWRxQ9LNnDxgZbQqAQ==" \t "https://www.so.com/_blank" </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t>《一般工业固体废物贮存和填埋污染控制标准》</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（GB18599-2020）和《</w:t>
            </w:r>
            <w:bookmarkStart w:id="32" w:name="OLE_LINK105"/>
            <w:r>
              <w:rPr>
                <w:rFonts w:hint="default" w:ascii="Times New Roman" w:hAnsi="Times New Roman" w:cs="Times New Roman"/>
                <w:color w:val="auto"/>
                <w:sz w:val="24"/>
                <w:highlight w:val="none"/>
              </w:rPr>
              <w:t>危险废物贮存污染控制标准</w:t>
            </w:r>
            <w:bookmarkEnd w:id="32"/>
            <w:r>
              <w:rPr>
                <w:rFonts w:hint="default" w:ascii="Times New Roman" w:hAnsi="Times New Roman" w:cs="Times New Roman"/>
                <w:color w:val="auto"/>
                <w:sz w:val="24"/>
                <w:highlight w:val="none"/>
              </w:rPr>
              <w:t>》（GB18597-2023）规定，采取上述措施后，本工程固体废物可得到妥善的处理，对周围环境造成的影响很小。</w:t>
            </w:r>
          </w:p>
          <w:p w14:paraId="2FC1C69A">
            <w:pPr>
              <w:spacing w:line="360" w:lineRule="auto"/>
              <w:jc w:val="both"/>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5、地下水、土壤环境影响分析</w:t>
            </w:r>
          </w:p>
          <w:p w14:paraId="113354BB">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本项目生产</w:t>
            </w:r>
            <w:r>
              <w:rPr>
                <w:rFonts w:hint="eastAsia" w:cs="Times New Roman"/>
                <w:color w:val="auto"/>
                <w:sz w:val="24"/>
                <w:highlight w:val="none"/>
                <w:lang w:val="en-US" w:eastAsia="zh-CN"/>
              </w:rPr>
              <w:t>区</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原</w:t>
            </w:r>
            <w:r>
              <w:rPr>
                <w:rFonts w:hint="eastAsia" w:cs="Times New Roman"/>
                <w:color w:val="auto"/>
                <w:sz w:val="24"/>
                <w:highlight w:val="none"/>
                <w:lang w:val="en-US" w:eastAsia="zh-CN"/>
              </w:rPr>
              <w:t>料堆放区、</w:t>
            </w:r>
            <w:r>
              <w:rPr>
                <w:rFonts w:hint="eastAsia" w:ascii="Times New Roman" w:hAnsi="Times New Roman" w:cs="Times New Roman"/>
                <w:color w:val="auto"/>
                <w:sz w:val="24"/>
                <w:highlight w:val="none"/>
                <w:lang w:val="en-US" w:eastAsia="zh-CN"/>
              </w:rPr>
              <w:t>成品</w:t>
            </w:r>
            <w:r>
              <w:rPr>
                <w:rFonts w:hint="eastAsia" w:cs="Times New Roman"/>
                <w:color w:val="auto"/>
                <w:sz w:val="24"/>
                <w:highlight w:val="none"/>
                <w:lang w:val="en-US" w:eastAsia="zh-CN"/>
              </w:rPr>
              <w:t>堆放区</w:t>
            </w:r>
            <w:r>
              <w:rPr>
                <w:rFonts w:hint="default" w:ascii="Times New Roman" w:hAnsi="Times New Roman" w:cs="Times New Roman"/>
                <w:color w:val="auto"/>
                <w:sz w:val="24"/>
                <w:highlight w:val="none"/>
              </w:rPr>
              <w:t>均做防渗处理，物料直接渗入地下水、土壤</w:t>
            </w:r>
            <w:r>
              <w:rPr>
                <w:rFonts w:hint="eastAsia" w:cs="Times New Roman"/>
                <w:color w:val="auto"/>
                <w:sz w:val="24"/>
                <w:highlight w:val="none"/>
                <w:lang w:eastAsia="zh-CN"/>
              </w:rPr>
              <w:t>概率</w:t>
            </w:r>
            <w:r>
              <w:rPr>
                <w:rFonts w:hint="default" w:ascii="Times New Roman" w:hAnsi="Times New Roman" w:cs="Times New Roman"/>
                <w:color w:val="auto"/>
                <w:sz w:val="24"/>
                <w:highlight w:val="none"/>
              </w:rPr>
              <w:t>极小。为防止项目实施对区域地下水和土壤环境造成污染，本评价要求项目从原料和产品储存、生产过程、污染处理等全过程控制各种有毒有害原辅材料、中间材料、产品泄漏（含跑、冒、滴、漏），同时对有害物质可能泄漏到地面的区域采取防渗措施，阻止其渗入土壤和地下水中，即从源头到末端全方位采取控制措施。</w:t>
            </w:r>
          </w:p>
          <w:p w14:paraId="3B85C998">
            <w:pPr>
              <w:spacing w:line="360" w:lineRule="auto"/>
              <w:ind w:firstLine="482" w:firstLineChars="200"/>
              <w:jc w:val="both"/>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5.1、防治原则</w:t>
            </w:r>
          </w:p>
          <w:p w14:paraId="6E4A5A42">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地下水和土壤污染防治措施坚持“源头控制、末端防治、污染监控、应急响应相结合”的原则，即采取主动控制和被动控制相结合的措施。</w:t>
            </w:r>
          </w:p>
          <w:p w14:paraId="4813DAC4">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①主动控制，即从源头控制措施，主要包括在工艺、管道、设备、污水储存及处理构筑物采取相应措施，防止和降低污染物跑、冒、滴、漏，将污染物泄漏的环境风险事故降到最低程度。</w:t>
            </w:r>
          </w:p>
          <w:p w14:paraId="3BC469F7">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被动控制，即末端控制措施，主要包括厂内污染区地面的防渗措施和泄漏、渗漏污染物收集措施，即在污染区地面进行防渗处理，防止洒落地面的污染物渗入地下，并把滞留在地面的污染物收集起来，集中委托处理或综合利用。</w:t>
            </w:r>
          </w:p>
          <w:p w14:paraId="3B5C28FD">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③应急响应措施，包括一旦发现地下水和土壤污染事故，立即启动应急预案、采取应急措施控制地下水和土壤污染，并使污染得到治理。</w:t>
            </w:r>
          </w:p>
          <w:p w14:paraId="79EDE5F7">
            <w:pPr>
              <w:spacing w:line="360" w:lineRule="auto"/>
              <w:ind w:firstLine="482" w:firstLineChars="200"/>
              <w:jc w:val="both"/>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5.2、防治措施</w:t>
            </w:r>
          </w:p>
          <w:p w14:paraId="5EDC7BD9">
            <w:pPr>
              <w:spacing w:line="360" w:lineRule="auto"/>
              <w:ind w:firstLine="480" w:firstLineChars="200"/>
              <w:jc w:val="both"/>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rPr>
              <w:t>针对可能污染土壤和地下水的渗漏、泄漏风险点，如</w:t>
            </w:r>
            <w:r>
              <w:rPr>
                <w:rFonts w:hint="eastAsia" w:cs="Times New Roman"/>
                <w:color w:val="auto"/>
                <w:sz w:val="24"/>
                <w:highlight w:val="none"/>
                <w:lang w:val="en-US" w:eastAsia="zh-CN"/>
              </w:rPr>
              <w:t>机油</w:t>
            </w:r>
            <w:r>
              <w:rPr>
                <w:rFonts w:hint="eastAsia" w:ascii="Times New Roman" w:hAnsi="Times New Roman" w:cs="Times New Roman"/>
                <w:color w:val="auto"/>
                <w:sz w:val="24"/>
                <w:highlight w:val="none"/>
              </w:rPr>
              <w:t>等辅料储存点以及沾有</w:t>
            </w:r>
            <w:r>
              <w:rPr>
                <w:rFonts w:hint="eastAsia" w:cs="Times New Roman"/>
                <w:color w:val="auto"/>
                <w:sz w:val="24"/>
                <w:highlight w:val="none"/>
                <w:lang w:val="en-US" w:eastAsia="zh-CN"/>
              </w:rPr>
              <w:t>机油</w:t>
            </w:r>
            <w:r>
              <w:rPr>
                <w:rFonts w:hint="eastAsia" w:ascii="Times New Roman" w:hAnsi="Times New Roman" w:cs="Times New Roman"/>
                <w:color w:val="auto"/>
                <w:sz w:val="24"/>
                <w:highlight w:val="none"/>
              </w:rPr>
              <w:t>的包装桶等废物贮存点，采取相应防治措施，包括：</w:t>
            </w:r>
          </w:p>
          <w:p w14:paraId="5112AE3A">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①源头控制</w:t>
            </w:r>
          </w:p>
          <w:p w14:paraId="4AD81A91">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企业可通过优化工艺、确保废水稳定处理、强化地面防渗防漏措施等手段，从源头减少水体污染物排放；同时落实废水处理设施日常管理和维护工作</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确保废水可达标排放；工业固体废物及时处置，确保固废能够得以妥善处置，从源头减少污染物的排放。</w:t>
            </w:r>
          </w:p>
          <w:p w14:paraId="4C7BA6CD">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②分区</w:t>
            </w:r>
            <w:r>
              <w:rPr>
                <w:rFonts w:hint="default" w:ascii="Times New Roman" w:hAnsi="Times New Roman" w:cs="Times New Roman"/>
                <w:color w:val="auto"/>
                <w:sz w:val="24"/>
                <w:highlight w:val="none"/>
                <w:lang w:val="en-US" w:eastAsia="zh-CN"/>
              </w:rPr>
              <w:t>防渗</w:t>
            </w:r>
            <w:r>
              <w:rPr>
                <w:rFonts w:hint="default" w:ascii="Times New Roman" w:hAnsi="Times New Roman" w:cs="Times New Roman"/>
                <w:color w:val="auto"/>
                <w:sz w:val="24"/>
                <w:highlight w:val="none"/>
              </w:rPr>
              <w:t>措施</w:t>
            </w:r>
          </w:p>
          <w:p w14:paraId="58AFA0E1">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主要包括项目易污染区地面的防渗措施和</w:t>
            </w:r>
            <w:r>
              <w:rPr>
                <w:rFonts w:hint="eastAsia" w:cs="Times New Roman"/>
                <w:color w:val="auto"/>
                <w:sz w:val="24"/>
                <w:highlight w:val="none"/>
                <w:lang w:eastAsia="zh-CN"/>
              </w:rPr>
              <w:t>泄漏</w:t>
            </w:r>
            <w:r>
              <w:rPr>
                <w:rFonts w:hint="default" w:ascii="Times New Roman" w:hAnsi="Times New Roman" w:cs="Times New Roman"/>
                <w:color w:val="auto"/>
                <w:sz w:val="24"/>
                <w:highlight w:val="none"/>
              </w:rPr>
              <w:t>、渗漏污染物收集措施，即对污染区地面进行防渗处理，防止洒落地面的污染物渗入地下。采用国际国内先进的防渗材料、技术和实施手段，确保工程建设对区域内地下水影响较小，地下水现有水体功能不发生明显改变。坚持分区管理和控制原则，根据场址所在地的工程地质、水文地质条件和全厂可能发生泄漏的物料性质、排放量，参照相应标准要求有针对性</w:t>
            </w:r>
            <w:r>
              <w:rPr>
                <w:rFonts w:hint="eastAsia" w:cs="Times New Roman"/>
                <w:color w:val="auto"/>
                <w:sz w:val="24"/>
                <w:highlight w:val="none"/>
                <w:lang w:eastAsia="zh-CN"/>
              </w:rPr>
              <w:t>地</w:t>
            </w:r>
            <w:r>
              <w:rPr>
                <w:rFonts w:hint="default" w:ascii="Times New Roman" w:hAnsi="Times New Roman" w:cs="Times New Roman"/>
                <w:color w:val="auto"/>
                <w:sz w:val="24"/>
                <w:highlight w:val="none"/>
              </w:rPr>
              <w:t>分区，并分别设计地面防渗层结构。</w:t>
            </w:r>
          </w:p>
          <w:p w14:paraId="6F5002C3">
            <w:pPr>
              <w:spacing w:line="360" w:lineRule="auto"/>
              <w:ind w:firstLine="480" w:firstLineChars="20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坚持“可视化”原则，在满足工程和防渗层结构标准要求的前提下，尽量在地表面实施防渗措施，便于泄漏物质的收集和及时发现破损的防渗层。结合项目总平面布置情况，将项目区分为一般防渗区和重点防渗区，根据不同的分区采取不同的防渗措施。</w:t>
            </w:r>
            <w:r>
              <w:rPr>
                <w:rFonts w:hint="eastAsia" w:cs="Times New Roman"/>
                <w:color w:val="auto"/>
                <w:sz w:val="24"/>
                <w:highlight w:val="none"/>
                <w:lang w:val="en-US" w:eastAsia="zh-CN"/>
              </w:rPr>
              <w:t>具体如下：</w:t>
            </w:r>
          </w:p>
          <w:p w14:paraId="19FE7462">
            <w:pPr>
              <w:pStyle w:val="151"/>
              <w:adjustRightInd w:val="0"/>
              <w:snapToGrid w:val="0"/>
              <w:spacing w:line="240" w:lineRule="auto"/>
              <w:rPr>
                <w:rFonts w:ascii="Times New Roman" w:hAnsi="Times New Roman" w:eastAsia="宋体"/>
                <w:color w:val="auto"/>
                <w:sz w:val="21"/>
                <w:szCs w:val="21"/>
                <w:lang w:val="zh-CN"/>
              </w:rPr>
            </w:pPr>
            <w:r>
              <w:rPr>
                <w:rFonts w:ascii="Times New Roman" w:hAnsi="Times New Roman" w:eastAsia="宋体"/>
                <w:color w:val="auto"/>
                <w:sz w:val="21"/>
                <w:szCs w:val="21"/>
                <w:lang w:val="zh-CN"/>
              </w:rPr>
              <w:t>表4-</w:t>
            </w:r>
            <w:r>
              <w:rPr>
                <w:rFonts w:hint="eastAsia" w:ascii="Times New Roman" w:hAnsi="Times New Roman" w:eastAsia="宋体"/>
                <w:color w:val="auto"/>
                <w:sz w:val="21"/>
                <w:szCs w:val="21"/>
                <w:lang w:val="en-US" w:eastAsia="zh-CN"/>
              </w:rPr>
              <w:t>16</w:t>
            </w:r>
            <w:r>
              <w:rPr>
                <w:rFonts w:ascii="Times New Roman" w:hAnsi="Times New Roman" w:eastAsia="宋体"/>
                <w:color w:val="auto"/>
                <w:sz w:val="21"/>
                <w:szCs w:val="21"/>
                <w:lang w:val="zh-CN"/>
              </w:rPr>
              <w:t xml:space="preserve">  污染防渗分区参照表</w:t>
            </w:r>
          </w:p>
          <w:tbl>
            <w:tblPr>
              <w:tblStyle w:val="33"/>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1670"/>
              <w:gridCol w:w="1065"/>
              <w:gridCol w:w="1979"/>
              <w:gridCol w:w="2411"/>
            </w:tblGrid>
            <w:tr w14:paraId="6F195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noWrap w:val="0"/>
                  <w:vAlign w:val="center"/>
                </w:tcPr>
                <w:p w14:paraId="7EA9635D">
                  <w:pPr>
                    <w:pStyle w:val="152"/>
                    <w:adjustRightInd w:val="0"/>
                    <w:snapToGrid w:val="0"/>
                    <w:spacing w:line="240" w:lineRule="auto"/>
                    <w:ind w:firstLine="0"/>
                    <w:jc w:val="center"/>
                    <w:rPr>
                      <w:rFonts w:ascii="Times New Roman" w:hAnsi="Times New Roman"/>
                      <w:b/>
                      <w:bCs/>
                      <w:color w:val="auto"/>
                      <w:sz w:val="21"/>
                      <w:szCs w:val="21"/>
                    </w:rPr>
                  </w:pPr>
                  <w:r>
                    <w:rPr>
                      <w:rFonts w:ascii="Times New Roman" w:hAnsi="Times New Roman"/>
                      <w:b/>
                      <w:bCs/>
                      <w:color w:val="auto"/>
                      <w:sz w:val="21"/>
                      <w:szCs w:val="21"/>
                    </w:rPr>
                    <w:t>防渗</w:t>
                  </w:r>
                </w:p>
                <w:p w14:paraId="78DA5914">
                  <w:pPr>
                    <w:pStyle w:val="152"/>
                    <w:adjustRightInd w:val="0"/>
                    <w:snapToGrid w:val="0"/>
                    <w:spacing w:line="240" w:lineRule="auto"/>
                    <w:ind w:firstLine="0"/>
                    <w:jc w:val="center"/>
                    <w:rPr>
                      <w:rFonts w:ascii="Times New Roman" w:hAnsi="Times New Roman"/>
                      <w:b/>
                      <w:bCs/>
                      <w:color w:val="auto"/>
                      <w:sz w:val="21"/>
                      <w:szCs w:val="21"/>
                    </w:rPr>
                  </w:pPr>
                  <w:r>
                    <w:rPr>
                      <w:rFonts w:ascii="Times New Roman" w:hAnsi="Times New Roman"/>
                      <w:b/>
                      <w:bCs/>
                      <w:color w:val="auto"/>
                      <w:sz w:val="21"/>
                      <w:szCs w:val="21"/>
                    </w:rPr>
                    <w:t>分区</w:t>
                  </w:r>
                </w:p>
              </w:tc>
              <w:tc>
                <w:tcPr>
                  <w:tcW w:w="1044" w:type="pct"/>
                  <w:noWrap w:val="0"/>
                  <w:vAlign w:val="center"/>
                </w:tcPr>
                <w:p w14:paraId="4DC532A3">
                  <w:pPr>
                    <w:pStyle w:val="152"/>
                    <w:adjustRightInd w:val="0"/>
                    <w:snapToGrid w:val="0"/>
                    <w:spacing w:line="240" w:lineRule="auto"/>
                    <w:ind w:firstLine="0"/>
                    <w:jc w:val="center"/>
                    <w:rPr>
                      <w:rFonts w:ascii="Times New Roman" w:hAnsi="Times New Roman"/>
                      <w:b/>
                      <w:bCs/>
                      <w:color w:val="auto"/>
                      <w:sz w:val="21"/>
                      <w:szCs w:val="21"/>
                    </w:rPr>
                  </w:pPr>
                  <w:r>
                    <w:rPr>
                      <w:rFonts w:ascii="Times New Roman" w:hAnsi="Times New Roman"/>
                      <w:b/>
                      <w:bCs/>
                      <w:color w:val="auto"/>
                      <w:sz w:val="21"/>
                      <w:szCs w:val="21"/>
                    </w:rPr>
                    <w:t>污染单元</w:t>
                  </w:r>
                </w:p>
              </w:tc>
              <w:tc>
                <w:tcPr>
                  <w:tcW w:w="666" w:type="pct"/>
                  <w:noWrap w:val="0"/>
                  <w:vAlign w:val="center"/>
                </w:tcPr>
                <w:p w14:paraId="29D5CFB0">
                  <w:pPr>
                    <w:pStyle w:val="152"/>
                    <w:adjustRightInd w:val="0"/>
                    <w:snapToGrid w:val="0"/>
                    <w:spacing w:line="240" w:lineRule="auto"/>
                    <w:ind w:firstLine="0"/>
                    <w:jc w:val="center"/>
                    <w:rPr>
                      <w:rFonts w:ascii="Times New Roman" w:hAnsi="Times New Roman"/>
                      <w:b/>
                      <w:bCs/>
                      <w:color w:val="auto"/>
                      <w:sz w:val="21"/>
                      <w:szCs w:val="21"/>
                    </w:rPr>
                  </w:pPr>
                  <w:r>
                    <w:rPr>
                      <w:rFonts w:ascii="Times New Roman" w:hAnsi="Times New Roman"/>
                      <w:b/>
                      <w:bCs/>
                      <w:color w:val="auto"/>
                      <w:sz w:val="21"/>
                      <w:szCs w:val="21"/>
                    </w:rPr>
                    <w:t>污染控制难易程度</w:t>
                  </w:r>
                </w:p>
              </w:tc>
              <w:tc>
                <w:tcPr>
                  <w:tcW w:w="1237" w:type="pct"/>
                  <w:noWrap w:val="0"/>
                  <w:vAlign w:val="center"/>
                </w:tcPr>
                <w:p w14:paraId="4B8E9FBA">
                  <w:pPr>
                    <w:pStyle w:val="152"/>
                    <w:adjustRightInd w:val="0"/>
                    <w:snapToGrid w:val="0"/>
                    <w:spacing w:line="240" w:lineRule="auto"/>
                    <w:ind w:firstLine="0"/>
                    <w:jc w:val="center"/>
                    <w:rPr>
                      <w:rFonts w:ascii="Times New Roman" w:hAnsi="Times New Roman"/>
                      <w:b/>
                      <w:bCs/>
                      <w:color w:val="auto"/>
                      <w:sz w:val="21"/>
                      <w:szCs w:val="21"/>
                    </w:rPr>
                  </w:pPr>
                  <w:r>
                    <w:rPr>
                      <w:rFonts w:ascii="Times New Roman" w:hAnsi="Times New Roman"/>
                      <w:b/>
                      <w:bCs/>
                      <w:color w:val="auto"/>
                      <w:sz w:val="21"/>
                      <w:szCs w:val="21"/>
                    </w:rPr>
                    <w:t>污染物类型</w:t>
                  </w:r>
                </w:p>
              </w:tc>
              <w:tc>
                <w:tcPr>
                  <w:tcW w:w="1507" w:type="pct"/>
                  <w:noWrap w:val="0"/>
                  <w:vAlign w:val="center"/>
                </w:tcPr>
                <w:p w14:paraId="08254C86">
                  <w:pPr>
                    <w:pStyle w:val="152"/>
                    <w:adjustRightInd w:val="0"/>
                    <w:snapToGrid w:val="0"/>
                    <w:spacing w:line="240" w:lineRule="auto"/>
                    <w:ind w:firstLine="0"/>
                    <w:jc w:val="center"/>
                    <w:rPr>
                      <w:rFonts w:ascii="Times New Roman" w:hAnsi="Times New Roman"/>
                      <w:b/>
                      <w:bCs/>
                      <w:color w:val="auto"/>
                      <w:sz w:val="21"/>
                      <w:szCs w:val="21"/>
                    </w:rPr>
                  </w:pPr>
                  <w:r>
                    <w:rPr>
                      <w:rFonts w:ascii="Times New Roman" w:hAnsi="Times New Roman"/>
                      <w:b/>
                      <w:bCs/>
                      <w:color w:val="auto"/>
                      <w:sz w:val="21"/>
                      <w:szCs w:val="21"/>
                    </w:rPr>
                    <w:t>防渗技术要求</w:t>
                  </w:r>
                </w:p>
              </w:tc>
            </w:tr>
            <w:tr w14:paraId="34D2B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43" w:type="pct"/>
                  <w:noWrap w:val="0"/>
                  <w:vAlign w:val="center"/>
                </w:tcPr>
                <w:p w14:paraId="508FF468">
                  <w:pPr>
                    <w:pStyle w:val="152"/>
                    <w:adjustRightInd w:val="0"/>
                    <w:snapToGrid w:val="0"/>
                    <w:spacing w:line="240" w:lineRule="auto"/>
                    <w:ind w:firstLine="0"/>
                    <w:jc w:val="center"/>
                    <w:rPr>
                      <w:rFonts w:hint="eastAsia" w:ascii="Times New Roman" w:hAnsi="Times New Roman"/>
                      <w:color w:val="auto"/>
                      <w:sz w:val="21"/>
                      <w:szCs w:val="21"/>
                    </w:rPr>
                  </w:pPr>
                  <w:r>
                    <w:rPr>
                      <w:rFonts w:hint="eastAsia" w:ascii="Times New Roman" w:hAnsi="Times New Roman"/>
                      <w:color w:val="auto"/>
                      <w:sz w:val="21"/>
                      <w:szCs w:val="21"/>
                    </w:rPr>
                    <w:t>重点</w:t>
                  </w:r>
                  <w:r>
                    <w:rPr>
                      <w:rFonts w:ascii="Times New Roman" w:hAnsi="Times New Roman"/>
                      <w:color w:val="auto"/>
                      <w:sz w:val="21"/>
                      <w:szCs w:val="21"/>
                    </w:rPr>
                    <w:t>防渗区</w:t>
                  </w:r>
                </w:p>
              </w:tc>
              <w:tc>
                <w:tcPr>
                  <w:tcW w:w="1044" w:type="pct"/>
                  <w:noWrap w:val="0"/>
                  <w:vAlign w:val="center"/>
                </w:tcPr>
                <w:p w14:paraId="2CB75E4B">
                  <w:pPr>
                    <w:pStyle w:val="152"/>
                    <w:adjustRightInd w:val="0"/>
                    <w:snapToGrid w:val="0"/>
                    <w:spacing w:line="240" w:lineRule="auto"/>
                    <w:ind w:firstLine="0"/>
                    <w:jc w:val="center"/>
                    <w:rPr>
                      <w:rFonts w:ascii="Times New Roman" w:hAnsi="Times New Roman"/>
                      <w:color w:val="auto"/>
                      <w:sz w:val="21"/>
                      <w:szCs w:val="21"/>
                    </w:rPr>
                  </w:pPr>
                  <w:r>
                    <w:rPr>
                      <w:rFonts w:ascii="Times New Roman" w:hAnsi="Times New Roman"/>
                      <w:color w:val="auto"/>
                      <w:sz w:val="21"/>
                      <w:szCs w:val="21"/>
                      <w:lang w:bidi="ar"/>
                    </w:rPr>
                    <w:t>危废暂存间</w:t>
                  </w:r>
                </w:p>
              </w:tc>
              <w:tc>
                <w:tcPr>
                  <w:tcW w:w="666" w:type="pct"/>
                  <w:noWrap w:val="0"/>
                  <w:vAlign w:val="center"/>
                </w:tcPr>
                <w:p w14:paraId="1270E21E">
                  <w:pPr>
                    <w:pStyle w:val="152"/>
                    <w:adjustRightInd w:val="0"/>
                    <w:snapToGrid w:val="0"/>
                    <w:spacing w:line="240" w:lineRule="auto"/>
                    <w:ind w:firstLine="0"/>
                    <w:jc w:val="center"/>
                    <w:rPr>
                      <w:rFonts w:ascii="Times New Roman" w:hAnsi="Times New Roman"/>
                      <w:color w:val="auto"/>
                      <w:sz w:val="21"/>
                      <w:szCs w:val="21"/>
                    </w:rPr>
                  </w:pPr>
                  <w:r>
                    <w:rPr>
                      <w:rFonts w:hint="eastAsia" w:ascii="Times New Roman" w:hAnsi="Times New Roman"/>
                      <w:color w:val="auto"/>
                      <w:sz w:val="21"/>
                      <w:szCs w:val="21"/>
                    </w:rPr>
                    <w:t>难</w:t>
                  </w:r>
                </w:p>
              </w:tc>
              <w:tc>
                <w:tcPr>
                  <w:tcW w:w="1237" w:type="pct"/>
                  <w:noWrap w:val="0"/>
                  <w:vAlign w:val="center"/>
                </w:tcPr>
                <w:p w14:paraId="70EC7B87">
                  <w:pPr>
                    <w:adjustRightInd w:val="0"/>
                    <w:snapToGrid w:val="0"/>
                    <w:jc w:val="center"/>
                    <w:rPr>
                      <w:color w:val="auto"/>
                      <w:szCs w:val="21"/>
                    </w:rPr>
                  </w:pPr>
                  <w:r>
                    <w:rPr>
                      <w:color w:val="auto"/>
                      <w:szCs w:val="21"/>
                      <w:lang w:bidi="ar"/>
                    </w:rPr>
                    <w:t>油类</w:t>
                  </w:r>
                  <w:r>
                    <w:rPr>
                      <w:rFonts w:hint="eastAsia"/>
                      <w:color w:val="auto"/>
                      <w:szCs w:val="21"/>
                      <w:lang w:bidi="ar"/>
                    </w:rPr>
                    <w:t>及</w:t>
                  </w:r>
                  <w:r>
                    <w:rPr>
                      <w:color w:val="auto"/>
                      <w:szCs w:val="21"/>
                    </w:rPr>
                    <w:t>其他类型</w:t>
                  </w:r>
                </w:p>
              </w:tc>
              <w:tc>
                <w:tcPr>
                  <w:tcW w:w="1507" w:type="pct"/>
                  <w:noWrap w:val="0"/>
                  <w:vAlign w:val="center"/>
                </w:tcPr>
                <w:p w14:paraId="47A1BB6E">
                  <w:pPr>
                    <w:pStyle w:val="152"/>
                    <w:adjustRightInd w:val="0"/>
                    <w:snapToGrid w:val="0"/>
                    <w:spacing w:line="240" w:lineRule="auto"/>
                    <w:ind w:firstLine="0"/>
                    <w:jc w:val="center"/>
                    <w:rPr>
                      <w:rFonts w:ascii="Times New Roman" w:hAnsi="Times New Roman"/>
                      <w:color w:val="auto"/>
                      <w:sz w:val="21"/>
                      <w:szCs w:val="21"/>
                    </w:rPr>
                  </w:pPr>
                  <w:r>
                    <w:rPr>
                      <w:rFonts w:ascii="Times New Roman" w:hAnsi="Times New Roman"/>
                      <w:color w:val="auto"/>
                      <w:sz w:val="21"/>
                      <w:szCs w:val="21"/>
                    </w:rPr>
                    <w:t>等效黏土防渗层Mb≥6.0m，K≤1×10</w:t>
                  </w:r>
                  <w:r>
                    <w:rPr>
                      <w:rFonts w:ascii="Times New Roman" w:hAnsi="Times New Roman"/>
                      <w:color w:val="auto"/>
                      <w:sz w:val="21"/>
                      <w:szCs w:val="21"/>
                      <w:vertAlign w:val="superscript"/>
                    </w:rPr>
                    <w:t>-7</w:t>
                  </w:r>
                  <w:r>
                    <w:rPr>
                      <w:rFonts w:ascii="Times New Roman" w:hAnsi="Times New Roman"/>
                      <w:color w:val="auto"/>
                      <w:sz w:val="21"/>
                      <w:szCs w:val="21"/>
                    </w:rPr>
                    <w:t>cm/s</w:t>
                  </w:r>
                </w:p>
              </w:tc>
            </w:tr>
            <w:tr w14:paraId="35B3A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vMerge w:val="restart"/>
                  <w:noWrap w:val="0"/>
                  <w:vAlign w:val="center"/>
                </w:tcPr>
                <w:p w14:paraId="7946545A">
                  <w:pPr>
                    <w:pStyle w:val="152"/>
                    <w:adjustRightInd w:val="0"/>
                    <w:snapToGrid w:val="0"/>
                    <w:spacing w:line="240" w:lineRule="auto"/>
                    <w:ind w:firstLine="0"/>
                    <w:jc w:val="center"/>
                    <w:rPr>
                      <w:rFonts w:ascii="Times New Roman" w:hAnsi="Times New Roman"/>
                      <w:color w:val="auto"/>
                      <w:sz w:val="21"/>
                      <w:szCs w:val="21"/>
                    </w:rPr>
                  </w:pPr>
                  <w:r>
                    <w:rPr>
                      <w:rFonts w:ascii="Times New Roman" w:hAnsi="Times New Roman"/>
                      <w:color w:val="auto"/>
                      <w:sz w:val="21"/>
                      <w:szCs w:val="21"/>
                    </w:rPr>
                    <w:t>一般</w:t>
                  </w:r>
                </w:p>
                <w:p w14:paraId="486218EF">
                  <w:pPr>
                    <w:pStyle w:val="152"/>
                    <w:adjustRightInd w:val="0"/>
                    <w:snapToGrid w:val="0"/>
                    <w:spacing w:line="240" w:lineRule="auto"/>
                    <w:ind w:firstLine="0"/>
                    <w:jc w:val="center"/>
                    <w:rPr>
                      <w:rFonts w:ascii="Times New Roman" w:hAnsi="Times New Roman"/>
                      <w:color w:val="auto"/>
                      <w:sz w:val="21"/>
                      <w:szCs w:val="21"/>
                    </w:rPr>
                  </w:pPr>
                  <w:r>
                    <w:rPr>
                      <w:rFonts w:ascii="Times New Roman" w:hAnsi="Times New Roman"/>
                      <w:color w:val="auto"/>
                      <w:sz w:val="21"/>
                      <w:szCs w:val="21"/>
                    </w:rPr>
                    <w:t>防渗区</w:t>
                  </w:r>
                </w:p>
              </w:tc>
              <w:tc>
                <w:tcPr>
                  <w:tcW w:w="1044" w:type="pct"/>
                  <w:noWrap w:val="0"/>
                  <w:vAlign w:val="center"/>
                </w:tcPr>
                <w:p w14:paraId="576954C4">
                  <w:pPr>
                    <w:pStyle w:val="152"/>
                    <w:adjustRightInd w:val="0"/>
                    <w:snapToGrid w:val="0"/>
                    <w:spacing w:line="240" w:lineRule="auto"/>
                    <w:ind w:firstLine="0"/>
                    <w:jc w:val="center"/>
                    <w:rPr>
                      <w:rFonts w:ascii="Times New Roman" w:hAnsi="Times New Roman"/>
                      <w:color w:val="auto"/>
                      <w:sz w:val="21"/>
                      <w:szCs w:val="21"/>
                      <w:lang w:bidi="ar"/>
                    </w:rPr>
                  </w:pPr>
                  <w:r>
                    <w:rPr>
                      <w:rFonts w:ascii="Times New Roman" w:hAnsi="Times New Roman"/>
                      <w:color w:val="auto"/>
                      <w:sz w:val="21"/>
                      <w:szCs w:val="21"/>
                      <w:lang w:bidi="ar"/>
                    </w:rPr>
                    <w:t>一般固废暂存间</w:t>
                  </w:r>
                </w:p>
              </w:tc>
              <w:tc>
                <w:tcPr>
                  <w:tcW w:w="666" w:type="pct"/>
                  <w:noWrap w:val="0"/>
                  <w:vAlign w:val="center"/>
                </w:tcPr>
                <w:p w14:paraId="3606FF71">
                  <w:pPr>
                    <w:pStyle w:val="152"/>
                    <w:adjustRightInd w:val="0"/>
                    <w:snapToGrid w:val="0"/>
                    <w:spacing w:line="240" w:lineRule="auto"/>
                    <w:ind w:firstLine="0"/>
                    <w:jc w:val="center"/>
                    <w:rPr>
                      <w:rFonts w:ascii="Times New Roman" w:hAnsi="Times New Roman"/>
                      <w:color w:val="auto"/>
                      <w:sz w:val="21"/>
                      <w:szCs w:val="21"/>
                      <w:lang w:bidi="ar"/>
                    </w:rPr>
                  </w:pPr>
                  <w:r>
                    <w:rPr>
                      <w:rFonts w:ascii="Times New Roman" w:hAnsi="Times New Roman"/>
                      <w:color w:val="auto"/>
                      <w:sz w:val="21"/>
                      <w:szCs w:val="21"/>
                      <w:lang w:bidi="ar"/>
                    </w:rPr>
                    <w:t>一般</w:t>
                  </w:r>
                </w:p>
              </w:tc>
              <w:tc>
                <w:tcPr>
                  <w:tcW w:w="1237" w:type="pct"/>
                  <w:noWrap w:val="0"/>
                  <w:vAlign w:val="center"/>
                </w:tcPr>
                <w:p w14:paraId="7600D397">
                  <w:pPr>
                    <w:pStyle w:val="152"/>
                    <w:adjustRightInd w:val="0"/>
                    <w:snapToGrid w:val="0"/>
                    <w:spacing w:line="240" w:lineRule="auto"/>
                    <w:ind w:firstLine="0"/>
                    <w:jc w:val="center"/>
                    <w:rPr>
                      <w:rFonts w:ascii="Times New Roman" w:hAnsi="Times New Roman"/>
                      <w:color w:val="auto"/>
                      <w:sz w:val="21"/>
                      <w:szCs w:val="21"/>
                      <w:lang w:bidi="ar"/>
                    </w:rPr>
                  </w:pPr>
                  <w:r>
                    <w:rPr>
                      <w:rFonts w:ascii="Times New Roman" w:hAnsi="Times New Roman"/>
                      <w:color w:val="auto"/>
                      <w:sz w:val="21"/>
                      <w:szCs w:val="21"/>
                      <w:lang w:bidi="ar"/>
                    </w:rPr>
                    <w:t>其他类型</w:t>
                  </w:r>
                </w:p>
              </w:tc>
              <w:tc>
                <w:tcPr>
                  <w:tcW w:w="1507" w:type="pct"/>
                  <w:vMerge w:val="restart"/>
                  <w:noWrap w:val="0"/>
                  <w:vAlign w:val="center"/>
                </w:tcPr>
                <w:p w14:paraId="5E5A94C2">
                  <w:pPr>
                    <w:pStyle w:val="152"/>
                    <w:adjustRightInd w:val="0"/>
                    <w:snapToGrid w:val="0"/>
                    <w:spacing w:line="240" w:lineRule="auto"/>
                    <w:ind w:firstLine="0"/>
                    <w:jc w:val="center"/>
                    <w:rPr>
                      <w:rFonts w:ascii="Times New Roman" w:hAnsi="Times New Roman"/>
                      <w:color w:val="auto"/>
                      <w:sz w:val="21"/>
                      <w:szCs w:val="21"/>
                    </w:rPr>
                  </w:pPr>
                  <w:r>
                    <w:rPr>
                      <w:rFonts w:ascii="Times New Roman" w:hAnsi="Times New Roman"/>
                      <w:color w:val="auto"/>
                      <w:sz w:val="21"/>
                      <w:szCs w:val="21"/>
                    </w:rPr>
                    <w:t>等效黏土防渗层Mb≥1.5m，K≤1×10</w:t>
                  </w:r>
                  <w:r>
                    <w:rPr>
                      <w:rFonts w:ascii="Times New Roman" w:hAnsi="Times New Roman"/>
                      <w:color w:val="auto"/>
                      <w:sz w:val="21"/>
                      <w:szCs w:val="21"/>
                      <w:vertAlign w:val="superscript"/>
                    </w:rPr>
                    <w:t>-7</w:t>
                  </w:r>
                  <w:r>
                    <w:rPr>
                      <w:rFonts w:ascii="Times New Roman" w:hAnsi="Times New Roman"/>
                      <w:color w:val="auto"/>
                      <w:sz w:val="21"/>
                      <w:szCs w:val="21"/>
                    </w:rPr>
                    <w:t>cm/s；或参照GB16889执行</w:t>
                  </w:r>
                </w:p>
              </w:tc>
            </w:tr>
            <w:tr w14:paraId="24EA4C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vMerge w:val="continue"/>
                  <w:noWrap w:val="0"/>
                  <w:vAlign w:val="center"/>
                </w:tcPr>
                <w:p w14:paraId="141AA0EE">
                  <w:pPr>
                    <w:pStyle w:val="152"/>
                    <w:adjustRightInd w:val="0"/>
                    <w:snapToGrid w:val="0"/>
                    <w:spacing w:line="240" w:lineRule="auto"/>
                    <w:ind w:firstLine="0"/>
                    <w:jc w:val="center"/>
                    <w:rPr>
                      <w:rFonts w:ascii="Times New Roman" w:hAnsi="Times New Roman"/>
                      <w:color w:val="auto"/>
                      <w:sz w:val="21"/>
                      <w:szCs w:val="21"/>
                    </w:rPr>
                  </w:pPr>
                </w:p>
              </w:tc>
              <w:tc>
                <w:tcPr>
                  <w:tcW w:w="1044" w:type="pct"/>
                  <w:noWrap w:val="0"/>
                  <w:vAlign w:val="center"/>
                </w:tcPr>
                <w:p w14:paraId="7081F0AE">
                  <w:pPr>
                    <w:pStyle w:val="152"/>
                    <w:adjustRightInd w:val="0"/>
                    <w:snapToGrid w:val="0"/>
                    <w:spacing w:line="240" w:lineRule="auto"/>
                    <w:ind w:firstLine="0"/>
                    <w:jc w:val="center"/>
                    <w:rPr>
                      <w:rFonts w:ascii="Times New Roman" w:hAnsi="Times New Roman"/>
                      <w:color w:val="auto"/>
                      <w:sz w:val="21"/>
                      <w:szCs w:val="21"/>
                      <w:lang w:bidi="ar"/>
                    </w:rPr>
                  </w:pPr>
                  <w:r>
                    <w:rPr>
                      <w:rFonts w:hint="eastAsia" w:ascii="Times New Roman" w:hAnsi="Times New Roman"/>
                      <w:color w:val="auto"/>
                      <w:sz w:val="21"/>
                      <w:szCs w:val="21"/>
                      <w:lang w:bidi="ar"/>
                    </w:rPr>
                    <w:t>生产区</w:t>
                  </w:r>
                </w:p>
              </w:tc>
              <w:tc>
                <w:tcPr>
                  <w:tcW w:w="666" w:type="pct"/>
                  <w:noWrap w:val="0"/>
                  <w:vAlign w:val="center"/>
                </w:tcPr>
                <w:p w14:paraId="31ACA42F">
                  <w:pPr>
                    <w:pStyle w:val="152"/>
                    <w:adjustRightInd w:val="0"/>
                    <w:snapToGrid w:val="0"/>
                    <w:spacing w:line="240" w:lineRule="auto"/>
                    <w:ind w:firstLine="0"/>
                    <w:jc w:val="center"/>
                    <w:rPr>
                      <w:rFonts w:ascii="Times New Roman" w:hAnsi="Times New Roman"/>
                      <w:color w:val="auto"/>
                      <w:sz w:val="21"/>
                      <w:szCs w:val="21"/>
                      <w:lang w:bidi="ar"/>
                    </w:rPr>
                  </w:pPr>
                  <w:r>
                    <w:rPr>
                      <w:rFonts w:ascii="Times New Roman" w:hAnsi="Times New Roman"/>
                      <w:color w:val="auto"/>
                      <w:sz w:val="21"/>
                      <w:szCs w:val="21"/>
                      <w:lang w:bidi="ar"/>
                    </w:rPr>
                    <w:t>一般</w:t>
                  </w:r>
                </w:p>
              </w:tc>
              <w:tc>
                <w:tcPr>
                  <w:tcW w:w="1237" w:type="pct"/>
                  <w:noWrap w:val="0"/>
                  <w:vAlign w:val="center"/>
                </w:tcPr>
                <w:p w14:paraId="694BAC7A">
                  <w:pPr>
                    <w:pStyle w:val="152"/>
                    <w:adjustRightInd w:val="0"/>
                    <w:snapToGrid w:val="0"/>
                    <w:spacing w:line="240" w:lineRule="auto"/>
                    <w:ind w:firstLine="0"/>
                    <w:jc w:val="center"/>
                    <w:rPr>
                      <w:rFonts w:ascii="Times New Roman" w:hAnsi="Times New Roman"/>
                      <w:color w:val="auto"/>
                      <w:sz w:val="21"/>
                      <w:szCs w:val="21"/>
                      <w:lang w:bidi="ar"/>
                    </w:rPr>
                  </w:pPr>
                  <w:r>
                    <w:rPr>
                      <w:rFonts w:ascii="Times New Roman" w:hAnsi="Times New Roman"/>
                      <w:color w:val="auto"/>
                      <w:sz w:val="21"/>
                      <w:szCs w:val="21"/>
                      <w:lang w:bidi="ar"/>
                    </w:rPr>
                    <w:t>其他类型</w:t>
                  </w:r>
                </w:p>
              </w:tc>
              <w:tc>
                <w:tcPr>
                  <w:tcW w:w="1507" w:type="pct"/>
                  <w:vMerge w:val="continue"/>
                  <w:noWrap w:val="0"/>
                  <w:vAlign w:val="center"/>
                </w:tcPr>
                <w:p w14:paraId="2397A464">
                  <w:pPr>
                    <w:pStyle w:val="152"/>
                    <w:adjustRightInd w:val="0"/>
                    <w:snapToGrid w:val="0"/>
                    <w:spacing w:line="240" w:lineRule="auto"/>
                    <w:ind w:firstLine="0"/>
                    <w:jc w:val="center"/>
                    <w:rPr>
                      <w:rFonts w:ascii="Times New Roman" w:hAnsi="Times New Roman"/>
                      <w:color w:val="auto"/>
                      <w:sz w:val="21"/>
                      <w:szCs w:val="21"/>
                    </w:rPr>
                  </w:pPr>
                </w:p>
              </w:tc>
            </w:tr>
            <w:tr w14:paraId="39151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43" w:type="pct"/>
                  <w:vMerge w:val="continue"/>
                  <w:noWrap w:val="0"/>
                  <w:vAlign w:val="center"/>
                </w:tcPr>
                <w:p w14:paraId="4F757B0C">
                  <w:pPr>
                    <w:pStyle w:val="152"/>
                    <w:adjustRightInd w:val="0"/>
                    <w:snapToGrid w:val="0"/>
                    <w:spacing w:line="240" w:lineRule="auto"/>
                    <w:ind w:firstLine="0"/>
                    <w:jc w:val="center"/>
                    <w:rPr>
                      <w:rFonts w:ascii="Times New Roman" w:hAnsi="Times New Roman"/>
                      <w:color w:val="auto"/>
                      <w:sz w:val="21"/>
                      <w:szCs w:val="21"/>
                    </w:rPr>
                  </w:pPr>
                </w:p>
              </w:tc>
              <w:tc>
                <w:tcPr>
                  <w:tcW w:w="1044" w:type="pct"/>
                  <w:noWrap w:val="0"/>
                  <w:vAlign w:val="center"/>
                </w:tcPr>
                <w:p w14:paraId="44B4331D">
                  <w:pPr>
                    <w:pStyle w:val="152"/>
                    <w:adjustRightInd w:val="0"/>
                    <w:snapToGrid w:val="0"/>
                    <w:spacing w:line="240" w:lineRule="auto"/>
                    <w:ind w:firstLine="0"/>
                    <w:jc w:val="center"/>
                    <w:rPr>
                      <w:rFonts w:hint="eastAsia" w:ascii="Times New Roman" w:hAnsi="Times New Roman" w:eastAsia="宋体"/>
                      <w:color w:val="auto"/>
                      <w:sz w:val="21"/>
                      <w:szCs w:val="21"/>
                      <w:lang w:val="en-US" w:eastAsia="zh-CN" w:bidi="ar"/>
                    </w:rPr>
                  </w:pPr>
                  <w:r>
                    <w:rPr>
                      <w:rFonts w:hint="eastAsia" w:ascii="Times New Roman" w:hAnsi="Times New Roman"/>
                      <w:color w:val="auto"/>
                      <w:sz w:val="21"/>
                      <w:szCs w:val="21"/>
                      <w:lang w:val="en-US" w:eastAsia="zh-CN" w:bidi="ar"/>
                    </w:rPr>
                    <w:t>原料、</w:t>
                  </w:r>
                  <w:r>
                    <w:rPr>
                      <w:rFonts w:hint="eastAsia" w:ascii="Times New Roman" w:hAnsi="Times New Roman"/>
                      <w:color w:val="auto"/>
                      <w:sz w:val="21"/>
                      <w:szCs w:val="21"/>
                      <w:lang w:bidi="ar"/>
                    </w:rPr>
                    <w:t>产品</w:t>
                  </w:r>
                  <w:r>
                    <w:rPr>
                      <w:rFonts w:hint="eastAsia" w:ascii="Times New Roman" w:hAnsi="Times New Roman"/>
                      <w:color w:val="auto"/>
                      <w:sz w:val="21"/>
                      <w:szCs w:val="21"/>
                      <w:lang w:val="en-US" w:eastAsia="zh-CN" w:bidi="ar"/>
                    </w:rPr>
                    <w:t>堆放区</w:t>
                  </w:r>
                </w:p>
              </w:tc>
              <w:tc>
                <w:tcPr>
                  <w:tcW w:w="666" w:type="pct"/>
                  <w:noWrap w:val="0"/>
                  <w:vAlign w:val="center"/>
                </w:tcPr>
                <w:p w14:paraId="6FC0DA03">
                  <w:pPr>
                    <w:pStyle w:val="152"/>
                    <w:adjustRightInd w:val="0"/>
                    <w:snapToGrid w:val="0"/>
                    <w:spacing w:line="240" w:lineRule="auto"/>
                    <w:ind w:firstLine="0"/>
                    <w:jc w:val="center"/>
                    <w:rPr>
                      <w:rFonts w:ascii="Times New Roman" w:hAnsi="Times New Roman"/>
                      <w:color w:val="auto"/>
                      <w:sz w:val="21"/>
                      <w:szCs w:val="21"/>
                      <w:lang w:bidi="ar"/>
                    </w:rPr>
                  </w:pPr>
                  <w:r>
                    <w:rPr>
                      <w:rFonts w:ascii="Times New Roman" w:hAnsi="Times New Roman"/>
                      <w:color w:val="auto"/>
                      <w:sz w:val="21"/>
                      <w:szCs w:val="21"/>
                      <w:lang w:bidi="ar"/>
                    </w:rPr>
                    <w:t>一般</w:t>
                  </w:r>
                </w:p>
              </w:tc>
              <w:tc>
                <w:tcPr>
                  <w:tcW w:w="1237" w:type="pct"/>
                  <w:noWrap w:val="0"/>
                  <w:vAlign w:val="center"/>
                </w:tcPr>
                <w:p w14:paraId="1AD5EF68">
                  <w:pPr>
                    <w:pStyle w:val="152"/>
                    <w:adjustRightInd w:val="0"/>
                    <w:snapToGrid w:val="0"/>
                    <w:spacing w:line="240" w:lineRule="auto"/>
                    <w:ind w:firstLine="0"/>
                    <w:jc w:val="center"/>
                    <w:rPr>
                      <w:rFonts w:ascii="Times New Roman" w:hAnsi="Times New Roman"/>
                      <w:color w:val="auto"/>
                      <w:sz w:val="21"/>
                      <w:szCs w:val="21"/>
                      <w:lang w:bidi="ar"/>
                    </w:rPr>
                  </w:pPr>
                  <w:r>
                    <w:rPr>
                      <w:rFonts w:ascii="Times New Roman" w:hAnsi="Times New Roman"/>
                      <w:color w:val="auto"/>
                      <w:sz w:val="21"/>
                      <w:szCs w:val="21"/>
                      <w:lang w:bidi="ar"/>
                    </w:rPr>
                    <w:t>其他类型</w:t>
                  </w:r>
                </w:p>
              </w:tc>
              <w:tc>
                <w:tcPr>
                  <w:tcW w:w="1507" w:type="pct"/>
                  <w:vMerge w:val="continue"/>
                  <w:noWrap w:val="0"/>
                  <w:vAlign w:val="center"/>
                </w:tcPr>
                <w:p w14:paraId="7D54EBE5">
                  <w:pPr>
                    <w:pStyle w:val="152"/>
                    <w:adjustRightInd w:val="0"/>
                    <w:snapToGrid w:val="0"/>
                    <w:spacing w:line="240" w:lineRule="auto"/>
                    <w:ind w:firstLine="0"/>
                    <w:jc w:val="center"/>
                    <w:rPr>
                      <w:rFonts w:ascii="Times New Roman" w:hAnsi="Times New Roman"/>
                      <w:color w:val="auto"/>
                      <w:sz w:val="21"/>
                      <w:szCs w:val="21"/>
                    </w:rPr>
                  </w:pPr>
                </w:p>
              </w:tc>
            </w:tr>
            <w:tr w14:paraId="35E6DB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vMerge w:val="continue"/>
                  <w:noWrap w:val="0"/>
                  <w:vAlign w:val="center"/>
                </w:tcPr>
                <w:p w14:paraId="6EF69B7C">
                  <w:pPr>
                    <w:pStyle w:val="152"/>
                    <w:adjustRightInd w:val="0"/>
                    <w:snapToGrid w:val="0"/>
                    <w:spacing w:line="240" w:lineRule="auto"/>
                    <w:ind w:firstLine="0"/>
                    <w:jc w:val="center"/>
                    <w:rPr>
                      <w:rFonts w:ascii="Times New Roman" w:hAnsi="Times New Roman"/>
                      <w:color w:val="auto"/>
                      <w:sz w:val="21"/>
                      <w:szCs w:val="21"/>
                    </w:rPr>
                  </w:pPr>
                </w:p>
              </w:tc>
              <w:tc>
                <w:tcPr>
                  <w:tcW w:w="1044" w:type="pct"/>
                  <w:noWrap w:val="0"/>
                  <w:vAlign w:val="center"/>
                </w:tcPr>
                <w:p w14:paraId="5D81A0C3">
                  <w:pPr>
                    <w:pStyle w:val="152"/>
                    <w:adjustRightInd w:val="0"/>
                    <w:snapToGrid w:val="0"/>
                    <w:spacing w:line="240" w:lineRule="auto"/>
                    <w:ind w:firstLine="0"/>
                    <w:jc w:val="center"/>
                    <w:rPr>
                      <w:rFonts w:ascii="Times New Roman" w:hAnsi="Times New Roman"/>
                      <w:color w:val="auto"/>
                      <w:sz w:val="21"/>
                      <w:szCs w:val="21"/>
                      <w:lang w:bidi="ar"/>
                    </w:rPr>
                  </w:pPr>
                  <w:r>
                    <w:rPr>
                      <w:rFonts w:ascii="Times New Roman" w:hAnsi="Times New Roman"/>
                      <w:color w:val="auto"/>
                      <w:sz w:val="21"/>
                      <w:szCs w:val="21"/>
                      <w:lang w:bidi="ar"/>
                    </w:rPr>
                    <w:t>厂区道路</w:t>
                  </w:r>
                </w:p>
              </w:tc>
              <w:tc>
                <w:tcPr>
                  <w:tcW w:w="666" w:type="pct"/>
                  <w:noWrap w:val="0"/>
                  <w:vAlign w:val="center"/>
                </w:tcPr>
                <w:p w14:paraId="4E521518">
                  <w:pPr>
                    <w:pStyle w:val="152"/>
                    <w:adjustRightInd w:val="0"/>
                    <w:snapToGrid w:val="0"/>
                    <w:spacing w:line="240" w:lineRule="auto"/>
                    <w:ind w:firstLine="0"/>
                    <w:jc w:val="center"/>
                    <w:rPr>
                      <w:rFonts w:ascii="Times New Roman" w:hAnsi="Times New Roman"/>
                      <w:color w:val="auto"/>
                      <w:sz w:val="21"/>
                      <w:szCs w:val="21"/>
                      <w:lang w:bidi="ar"/>
                    </w:rPr>
                  </w:pPr>
                  <w:r>
                    <w:rPr>
                      <w:rFonts w:ascii="Times New Roman" w:hAnsi="Times New Roman"/>
                      <w:color w:val="auto"/>
                      <w:sz w:val="21"/>
                      <w:szCs w:val="21"/>
                      <w:lang w:bidi="ar"/>
                    </w:rPr>
                    <w:t>一般</w:t>
                  </w:r>
                </w:p>
              </w:tc>
              <w:tc>
                <w:tcPr>
                  <w:tcW w:w="1237" w:type="pct"/>
                  <w:noWrap w:val="0"/>
                  <w:vAlign w:val="center"/>
                </w:tcPr>
                <w:p w14:paraId="295E417F">
                  <w:pPr>
                    <w:pStyle w:val="152"/>
                    <w:adjustRightInd w:val="0"/>
                    <w:snapToGrid w:val="0"/>
                    <w:spacing w:line="240" w:lineRule="auto"/>
                    <w:ind w:firstLine="0"/>
                    <w:jc w:val="center"/>
                    <w:rPr>
                      <w:rFonts w:ascii="Times New Roman" w:hAnsi="Times New Roman"/>
                      <w:color w:val="auto"/>
                      <w:sz w:val="21"/>
                      <w:szCs w:val="21"/>
                      <w:lang w:bidi="ar"/>
                    </w:rPr>
                  </w:pPr>
                  <w:r>
                    <w:rPr>
                      <w:rFonts w:ascii="Times New Roman" w:hAnsi="Times New Roman"/>
                      <w:color w:val="auto"/>
                      <w:sz w:val="21"/>
                      <w:szCs w:val="21"/>
                      <w:lang w:bidi="ar"/>
                    </w:rPr>
                    <w:t>其他类型</w:t>
                  </w:r>
                </w:p>
              </w:tc>
              <w:tc>
                <w:tcPr>
                  <w:tcW w:w="1507" w:type="pct"/>
                  <w:vMerge w:val="continue"/>
                  <w:noWrap w:val="0"/>
                  <w:vAlign w:val="center"/>
                </w:tcPr>
                <w:p w14:paraId="7148D6CE">
                  <w:pPr>
                    <w:pStyle w:val="152"/>
                    <w:adjustRightInd w:val="0"/>
                    <w:snapToGrid w:val="0"/>
                    <w:spacing w:line="240" w:lineRule="auto"/>
                    <w:ind w:firstLine="0"/>
                    <w:jc w:val="center"/>
                    <w:rPr>
                      <w:rFonts w:ascii="Times New Roman" w:hAnsi="Times New Roman"/>
                      <w:color w:val="auto"/>
                      <w:sz w:val="21"/>
                      <w:szCs w:val="21"/>
                    </w:rPr>
                  </w:pPr>
                </w:p>
              </w:tc>
            </w:tr>
            <w:tr w14:paraId="641D7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noWrap w:val="0"/>
                  <w:vAlign w:val="center"/>
                </w:tcPr>
                <w:p w14:paraId="5FDC733E">
                  <w:pPr>
                    <w:pStyle w:val="152"/>
                    <w:adjustRightInd w:val="0"/>
                    <w:snapToGrid w:val="0"/>
                    <w:spacing w:line="240" w:lineRule="auto"/>
                    <w:ind w:firstLine="0"/>
                    <w:jc w:val="center"/>
                    <w:rPr>
                      <w:rFonts w:ascii="Times New Roman" w:hAnsi="Times New Roman"/>
                      <w:color w:val="auto"/>
                      <w:sz w:val="21"/>
                      <w:szCs w:val="21"/>
                    </w:rPr>
                  </w:pPr>
                  <w:r>
                    <w:rPr>
                      <w:rFonts w:ascii="Times New Roman" w:hAnsi="Times New Roman"/>
                      <w:color w:val="auto"/>
                      <w:sz w:val="21"/>
                      <w:szCs w:val="21"/>
                    </w:rPr>
                    <w:t>简单</w:t>
                  </w:r>
                </w:p>
                <w:p w14:paraId="0B2F43DB">
                  <w:pPr>
                    <w:pStyle w:val="152"/>
                    <w:adjustRightInd w:val="0"/>
                    <w:snapToGrid w:val="0"/>
                    <w:spacing w:line="240" w:lineRule="auto"/>
                    <w:ind w:firstLine="0"/>
                    <w:jc w:val="center"/>
                    <w:rPr>
                      <w:rFonts w:ascii="Times New Roman" w:hAnsi="Times New Roman"/>
                      <w:color w:val="auto"/>
                      <w:sz w:val="21"/>
                      <w:szCs w:val="21"/>
                    </w:rPr>
                  </w:pPr>
                  <w:r>
                    <w:rPr>
                      <w:rFonts w:ascii="Times New Roman" w:hAnsi="Times New Roman"/>
                      <w:color w:val="auto"/>
                      <w:sz w:val="21"/>
                      <w:szCs w:val="21"/>
                    </w:rPr>
                    <w:t>防渗区</w:t>
                  </w:r>
                </w:p>
              </w:tc>
              <w:tc>
                <w:tcPr>
                  <w:tcW w:w="1044" w:type="pct"/>
                  <w:noWrap w:val="0"/>
                  <w:vAlign w:val="center"/>
                </w:tcPr>
                <w:p w14:paraId="72EDE4DF">
                  <w:pPr>
                    <w:pStyle w:val="152"/>
                    <w:adjustRightInd w:val="0"/>
                    <w:snapToGrid w:val="0"/>
                    <w:spacing w:line="240" w:lineRule="auto"/>
                    <w:ind w:firstLine="0"/>
                    <w:jc w:val="center"/>
                    <w:rPr>
                      <w:rFonts w:ascii="Times New Roman" w:hAnsi="Times New Roman"/>
                      <w:color w:val="auto"/>
                      <w:sz w:val="21"/>
                      <w:szCs w:val="21"/>
                      <w:lang w:bidi="ar"/>
                    </w:rPr>
                  </w:pPr>
                  <w:r>
                    <w:rPr>
                      <w:rFonts w:hint="eastAsia" w:ascii="Times New Roman" w:hAnsi="Times New Roman"/>
                      <w:color w:val="auto"/>
                      <w:sz w:val="21"/>
                      <w:szCs w:val="21"/>
                      <w:lang w:bidi="ar"/>
                    </w:rPr>
                    <w:t>办公区</w:t>
                  </w:r>
                </w:p>
              </w:tc>
              <w:tc>
                <w:tcPr>
                  <w:tcW w:w="666" w:type="pct"/>
                  <w:noWrap w:val="0"/>
                  <w:vAlign w:val="center"/>
                </w:tcPr>
                <w:p w14:paraId="3ADC0BA0">
                  <w:pPr>
                    <w:pStyle w:val="152"/>
                    <w:adjustRightInd w:val="0"/>
                    <w:snapToGrid w:val="0"/>
                    <w:spacing w:line="240" w:lineRule="auto"/>
                    <w:ind w:firstLine="0"/>
                    <w:jc w:val="center"/>
                    <w:rPr>
                      <w:rFonts w:ascii="Times New Roman" w:hAnsi="Times New Roman"/>
                      <w:color w:val="auto"/>
                      <w:sz w:val="21"/>
                      <w:szCs w:val="21"/>
                      <w:lang w:bidi="ar"/>
                    </w:rPr>
                  </w:pPr>
                  <w:r>
                    <w:rPr>
                      <w:rFonts w:ascii="Times New Roman" w:hAnsi="Times New Roman"/>
                      <w:color w:val="auto"/>
                      <w:sz w:val="21"/>
                      <w:szCs w:val="21"/>
                      <w:lang w:bidi="ar"/>
                    </w:rPr>
                    <w:t>易</w:t>
                  </w:r>
                </w:p>
              </w:tc>
              <w:tc>
                <w:tcPr>
                  <w:tcW w:w="1237" w:type="pct"/>
                  <w:noWrap w:val="0"/>
                  <w:vAlign w:val="center"/>
                </w:tcPr>
                <w:p w14:paraId="1CB6E128">
                  <w:pPr>
                    <w:pStyle w:val="152"/>
                    <w:adjustRightInd w:val="0"/>
                    <w:snapToGrid w:val="0"/>
                    <w:spacing w:line="240" w:lineRule="auto"/>
                    <w:ind w:firstLine="0"/>
                    <w:jc w:val="center"/>
                    <w:rPr>
                      <w:rFonts w:ascii="Times New Roman" w:hAnsi="Times New Roman"/>
                      <w:color w:val="auto"/>
                      <w:sz w:val="21"/>
                      <w:szCs w:val="21"/>
                      <w:lang w:bidi="ar"/>
                    </w:rPr>
                  </w:pPr>
                  <w:r>
                    <w:rPr>
                      <w:rFonts w:ascii="Times New Roman" w:hAnsi="Times New Roman"/>
                      <w:color w:val="auto"/>
                      <w:sz w:val="21"/>
                      <w:szCs w:val="21"/>
                      <w:lang w:bidi="ar"/>
                    </w:rPr>
                    <w:t>其他类型</w:t>
                  </w:r>
                </w:p>
              </w:tc>
              <w:tc>
                <w:tcPr>
                  <w:tcW w:w="1507" w:type="pct"/>
                  <w:noWrap w:val="0"/>
                  <w:vAlign w:val="center"/>
                </w:tcPr>
                <w:p w14:paraId="1A644C34">
                  <w:pPr>
                    <w:pStyle w:val="152"/>
                    <w:adjustRightInd w:val="0"/>
                    <w:snapToGrid w:val="0"/>
                    <w:spacing w:line="240" w:lineRule="auto"/>
                    <w:ind w:firstLine="0"/>
                    <w:jc w:val="center"/>
                    <w:rPr>
                      <w:rFonts w:ascii="Times New Roman" w:hAnsi="Times New Roman"/>
                      <w:color w:val="auto"/>
                      <w:sz w:val="21"/>
                      <w:szCs w:val="21"/>
                    </w:rPr>
                  </w:pPr>
                  <w:r>
                    <w:rPr>
                      <w:rFonts w:ascii="Times New Roman" w:hAnsi="Times New Roman"/>
                      <w:color w:val="auto"/>
                      <w:sz w:val="21"/>
                      <w:szCs w:val="21"/>
                    </w:rPr>
                    <w:t>一般地面硬化</w:t>
                  </w:r>
                </w:p>
              </w:tc>
            </w:tr>
          </w:tbl>
          <w:p w14:paraId="517378ED">
            <w:pPr>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采取以上防渗措施后，在正常状态下，厂区地面与地下的水力联系基本被切断，污染物不会规模性渗入地下水，</w:t>
            </w:r>
            <w:r>
              <w:rPr>
                <w:rFonts w:hint="default" w:ascii="Times New Roman" w:hAnsi="Times New Roman" w:cs="Times New Roman"/>
                <w:color w:val="auto"/>
                <w:kern w:val="0"/>
                <w:sz w:val="24"/>
                <w:highlight w:val="none"/>
              </w:rPr>
              <w:t>本项目不会对区域地下水环境产生明显影响。</w:t>
            </w:r>
          </w:p>
          <w:p w14:paraId="1659CE98">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6、生态环境影响分析</w:t>
            </w:r>
          </w:p>
          <w:p w14:paraId="3FAD94C6">
            <w:pPr>
              <w:spacing w:line="360" w:lineRule="auto"/>
              <w:ind w:firstLine="480" w:firstLineChars="200"/>
              <w:rPr>
                <w:bCs/>
                <w:color w:val="auto"/>
                <w:sz w:val="24"/>
              </w:rPr>
            </w:pPr>
            <w:r>
              <w:rPr>
                <w:bCs/>
                <w:color w:val="auto"/>
                <w:sz w:val="24"/>
              </w:rPr>
              <w:t>本项目位于</w:t>
            </w:r>
            <w:r>
              <w:rPr>
                <w:rFonts w:hint="eastAsia" w:cs="Times New Roman"/>
                <w:color w:val="auto"/>
                <w:sz w:val="24"/>
                <w:highlight w:val="none"/>
                <w:lang w:eastAsia="zh-CN"/>
              </w:rPr>
              <w:t>岳阳县新墙镇燎原村沙河片二组</w:t>
            </w:r>
            <w:r>
              <w:rPr>
                <w:color w:val="auto"/>
                <w:sz w:val="24"/>
              </w:rPr>
              <w:t>，</w:t>
            </w:r>
            <w:r>
              <w:rPr>
                <w:rFonts w:hint="eastAsia"/>
                <w:bCs/>
                <w:color w:val="auto"/>
                <w:sz w:val="24"/>
                <w:lang w:val="en-US" w:eastAsia="zh-CN"/>
              </w:rPr>
              <w:t>厂区内将做到</w:t>
            </w:r>
            <w:r>
              <w:rPr>
                <w:bCs/>
                <w:color w:val="auto"/>
                <w:sz w:val="24"/>
              </w:rPr>
              <w:t>三通四平，</w:t>
            </w:r>
            <w:r>
              <w:rPr>
                <w:rFonts w:hint="eastAsia"/>
                <w:bCs/>
                <w:color w:val="auto"/>
                <w:sz w:val="24"/>
                <w:lang w:val="en-US" w:eastAsia="zh-CN"/>
              </w:rPr>
              <w:t>并且全面积防渗处理，厂区范围内</w:t>
            </w:r>
            <w:r>
              <w:rPr>
                <w:bCs/>
                <w:color w:val="auto"/>
                <w:sz w:val="24"/>
              </w:rPr>
              <w:t>无植被覆盖，无生态环境保护目标，</w:t>
            </w:r>
            <w:r>
              <w:rPr>
                <w:rFonts w:hint="eastAsia"/>
                <w:bCs/>
                <w:color w:val="auto"/>
                <w:sz w:val="24"/>
                <w:lang w:val="en-US" w:eastAsia="zh-CN"/>
              </w:rPr>
              <w:t>项目</w:t>
            </w:r>
            <w:r>
              <w:rPr>
                <w:bCs/>
                <w:color w:val="auto"/>
                <w:sz w:val="24"/>
                <w:lang w:val="en-US" w:eastAsia="zh-CN"/>
              </w:rPr>
              <w:t>运营期基本无生态负面影响，不会改变区域原有生态结构、生态功能及生物多样性水平，不会对区域生态环境造成持续性、累积性、不可逆的不利影响，</w:t>
            </w:r>
            <w:r>
              <w:rPr>
                <w:bCs/>
                <w:color w:val="auto"/>
                <w:sz w:val="24"/>
              </w:rPr>
              <w:t>项目的建设对周边生态环境影响不大。</w:t>
            </w:r>
          </w:p>
          <w:p w14:paraId="601F7EEF">
            <w:pPr>
              <w:spacing w:line="360" w:lineRule="auto"/>
              <w:rPr>
                <w:rStyle w:val="76"/>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7、</w:t>
            </w:r>
            <w:r>
              <w:rPr>
                <w:rStyle w:val="76"/>
                <w:rFonts w:hint="default" w:ascii="Times New Roman" w:hAnsi="Times New Roman" w:cs="Times New Roman"/>
                <w:b/>
                <w:color w:val="auto"/>
                <w:sz w:val="24"/>
                <w:highlight w:val="none"/>
              </w:rPr>
              <w:t>环境管理、监测计划</w:t>
            </w:r>
          </w:p>
          <w:p w14:paraId="29724A0A">
            <w:pPr>
              <w:adjustRightInd w:val="0"/>
              <w:snapToGrid w:val="0"/>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7.1环境管理</w:t>
            </w:r>
          </w:p>
          <w:p w14:paraId="318601B6">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建设项目环境保护管理是指工程在施工期、运行期执行和遵守国家、省、市有关环境保护法律、法规、政策和标准，接受生态环境部门的环境监督，调整和制定环境保护规划和目标，把不利影响减免到最低限度，加强项目环境管理，及时调整工程运行方式和环境保护措施，最终达到保护环境的目的，取得更好的综合效益。</w:t>
            </w:r>
          </w:p>
          <w:p w14:paraId="2696EA34">
            <w:pPr>
              <w:spacing w:line="360" w:lineRule="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7.1.1管理机构组成</w:t>
            </w:r>
          </w:p>
          <w:p w14:paraId="68D3350E">
            <w:pPr>
              <w:pStyle w:val="101"/>
              <w:ind w:firstLine="480"/>
              <w:rPr>
                <w:rFonts w:hint="default" w:ascii="Times New Roman" w:hAnsi="Times New Roman" w:cs="Times New Roman"/>
                <w:color w:val="auto"/>
                <w:highlight w:val="none"/>
              </w:rPr>
            </w:pPr>
            <w:r>
              <w:rPr>
                <w:rFonts w:hint="eastAsia" w:cs="Times New Roman"/>
                <w:color w:val="auto"/>
                <w:highlight w:val="none"/>
                <w:lang w:val="en-US" w:eastAsia="zh-CN"/>
              </w:rPr>
              <w:t>根据调查，目前建设单位已设置专门的环保管理人员，主要</w:t>
            </w:r>
            <w:r>
              <w:rPr>
                <w:rFonts w:hint="default" w:ascii="Times New Roman" w:hAnsi="Times New Roman" w:cs="Times New Roman"/>
                <w:color w:val="auto"/>
                <w:highlight w:val="none"/>
              </w:rPr>
              <w:t>负责组织、协调和监督项目运营的环境保护工作，负责环境保护宣传和教育以及有关环境保护对外协调工作，加强与生态环境主管部门的联系。</w:t>
            </w:r>
          </w:p>
          <w:p w14:paraId="2DF158C8">
            <w:pPr>
              <w:spacing w:line="360" w:lineRule="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7.1.2环境管理机构职责</w:t>
            </w:r>
          </w:p>
          <w:p w14:paraId="241CED30">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环境管理机构负责项目施工期与运行期的环境管理与环境监测工作，主要职责：</w:t>
            </w:r>
          </w:p>
          <w:p w14:paraId="5F97087E">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①编制、提出项目施工期、运行期的短期环境保护计划，以及项目的长远环境保护规划；</w:t>
            </w:r>
          </w:p>
          <w:p w14:paraId="0C65DC45">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②贯彻落实国家和地方的环境保护法律、法规、政策和标准，直接接受环保主管部门的监督、领导，配合生态环境部门做好环保工作；</w:t>
            </w:r>
          </w:p>
          <w:p w14:paraId="56005CF8">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③领导并组织环境监测工作，制定和实施环境监测方案，整理和处理监测数据，建立污染源与监测档案，定期向主管部门及生态环境部门上报；</w:t>
            </w:r>
          </w:p>
          <w:p w14:paraId="624BAB7D">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④负责监督环保设施的施工、安装、调试等，落实“三同时”制度；</w:t>
            </w:r>
          </w:p>
          <w:p w14:paraId="0ACE18F8">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⑤制定和实施职工的环境保护培训方案，</w:t>
            </w:r>
            <w:r>
              <w:rPr>
                <w:rFonts w:hint="eastAsia" w:cs="Times New Roman"/>
                <w:color w:val="auto"/>
                <w:highlight w:val="none"/>
                <w:lang w:eastAsia="zh-CN"/>
              </w:rPr>
              <w:t>增强</w:t>
            </w:r>
            <w:r>
              <w:rPr>
                <w:rFonts w:hint="default" w:ascii="Times New Roman" w:hAnsi="Times New Roman" w:cs="Times New Roman"/>
                <w:color w:val="auto"/>
                <w:highlight w:val="none"/>
              </w:rPr>
              <w:t>职工的环境保护意识。</w:t>
            </w:r>
          </w:p>
          <w:p w14:paraId="7BE22BF5">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⑥在项目运营期负责监督环保设施的施工、安装、调试等，落实“三同时”制度；</w:t>
            </w:r>
          </w:p>
          <w:p w14:paraId="693C37F5">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⑦负责全区的环境管理工作。</w:t>
            </w:r>
          </w:p>
          <w:p w14:paraId="4A395388">
            <w:pPr>
              <w:pStyle w:val="101"/>
              <w:ind w:left="0" w:leftChars="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7.1.3运营期环境保护管理</w:t>
            </w:r>
          </w:p>
          <w:p w14:paraId="0357420C">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①工程建设应高度重视环境保护工作，切实贯彻“预防为主、全面规划、综合防治、因地制宜、加强管理、注重实效”方针和“谁开发谁保护、谁破坏谁恢复、谁利用谁补偿”的政策，把“三同时”制度</w:t>
            </w:r>
            <w:r>
              <w:rPr>
                <w:rFonts w:hint="eastAsia" w:cs="Times New Roman"/>
                <w:color w:val="auto"/>
                <w:highlight w:val="none"/>
                <w:lang w:eastAsia="zh-CN"/>
              </w:rPr>
              <w:t>落到实处</w:t>
            </w:r>
            <w:r>
              <w:rPr>
                <w:rFonts w:hint="default" w:ascii="Times New Roman" w:hAnsi="Times New Roman" w:cs="Times New Roman"/>
                <w:color w:val="auto"/>
                <w:highlight w:val="none"/>
              </w:rPr>
              <w:t>，治理好“三废”污染；</w:t>
            </w:r>
          </w:p>
          <w:p w14:paraId="5E29ECA2">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②加强对环保设施的管理，定期检查厂区废气处理系统设备及管道，确保废气处理设施的正常运行；</w:t>
            </w:r>
          </w:p>
          <w:p w14:paraId="22D12F91">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③制定管理制度，定期检查降噪设备，并定期对设备进行维修，做好维修记录，确保设备的正常运行，控制噪声声值；</w:t>
            </w:r>
          </w:p>
          <w:p w14:paraId="7DAECB59">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④生活垃圾用垃圾袋袋装后储存在专用垃圾桶内，密闭存放，每日由环卫部门统一及时清运处理；</w:t>
            </w:r>
          </w:p>
          <w:p w14:paraId="67B42350">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⑤根据国家环保政策、标准及环境监测要求，制定项目运行期环保管理规章制度、各种污染物排放控制指标；</w:t>
            </w:r>
          </w:p>
          <w:p w14:paraId="13E334CC">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⑥负责所有环保设施的日常运行管理，保障各环保设施的正常运行，并对环保设施的改进提出积极的建议；</w:t>
            </w:r>
          </w:p>
          <w:p w14:paraId="12A10944">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⑦负责运行期环境监测工作，及时掌握污染状况，整理监测数据，建立污染源档案；</w:t>
            </w:r>
          </w:p>
          <w:p w14:paraId="1689D74F">
            <w:pPr>
              <w:pStyle w:val="101"/>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⑧项目运行期的环境管理由项目业主承担，并接受生态环境部门的指导和监督；</w:t>
            </w:r>
          </w:p>
          <w:p w14:paraId="3009DFF6">
            <w:pPr>
              <w:adjustRightInd w:val="0"/>
              <w:snapToGrid w:val="0"/>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7.2</w:t>
            </w:r>
            <w:r>
              <w:rPr>
                <w:rFonts w:hint="default" w:ascii="Times New Roman" w:hAnsi="Times New Roman" w:cs="Times New Roman"/>
                <w:b/>
                <w:color w:val="auto"/>
                <w:sz w:val="24"/>
                <w:highlight w:val="none"/>
              </w:rPr>
              <w:t>监测计划</w:t>
            </w:r>
          </w:p>
          <w:p w14:paraId="06B54248">
            <w:pPr>
              <w:adjustRightInd w:val="0"/>
              <w:snapToGrid w:val="0"/>
              <w:spacing w:line="360" w:lineRule="auto"/>
              <w:ind w:firstLine="480" w:firstLineChars="200"/>
              <w:rPr>
                <w:rFonts w:hint="default" w:ascii="Times New Roman" w:hAnsi="Times New Roman" w:cs="Times New Roman"/>
                <w:color w:val="auto"/>
                <w:sz w:val="24"/>
                <w:highlight w:val="none"/>
                <w:u w:val="none"/>
              </w:rPr>
            </w:pPr>
            <w:r>
              <w:rPr>
                <w:rFonts w:hint="default" w:ascii="Times New Roman" w:hAnsi="Times New Roman" w:cs="Times New Roman"/>
                <w:bCs/>
                <w:color w:val="auto"/>
                <w:sz w:val="24"/>
                <w:highlight w:val="none"/>
                <w:u w:val="none"/>
              </w:rPr>
              <w:t>项目实施后，企业应按照</w:t>
            </w:r>
            <w:r>
              <w:rPr>
                <w:rFonts w:hint="eastAsia" w:cs="Times New Roman"/>
                <w:bCs/>
                <w:color w:val="auto"/>
                <w:sz w:val="24"/>
                <w:highlight w:val="none"/>
                <w:u w:val="none"/>
                <w:lang w:eastAsia="zh-CN"/>
              </w:rPr>
              <w:t>《</w:t>
            </w:r>
            <w:r>
              <w:rPr>
                <w:rFonts w:hint="eastAsia" w:cs="Times New Roman"/>
                <w:bCs/>
                <w:color w:val="auto"/>
                <w:sz w:val="24"/>
                <w:highlight w:val="none"/>
                <w:u w:val="none"/>
                <w:lang w:val="en-US" w:eastAsia="zh-CN"/>
              </w:rPr>
              <w:t>排污许可证申请与核发技术规范 工业炉窑</w:t>
            </w:r>
            <w:r>
              <w:rPr>
                <w:rFonts w:hint="eastAsia" w:cs="Times New Roman"/>
                <w:bCs/>
                <w:color w:val="auto"/>
                <w:sz w:val="24"/>
                <w:highlight w:val="none"/>
                <w:u w:val="none"/>
                <w:lang w:eastAsia="zh-CN"/>
              </w:rPr>
              <w:t>》</w:t>
            </w:r>
            <w:r>
              <w:rPr>
                <w:rFonts w:hint="default" w:ascii="Times New Roman" w:hAnsi="Times New Roman" w:cs="Times New Roman"/>
                <w:bCs/>
                <w:color w:val="auto"/>
                <w:sz w:val="24"/>
                <w:highlight w:val="none"/>
                <w:u w:val="none"/>
              </w:rPr>
              <w:t>(H</w:t>
            </w:r>
            <w:r>
              <w:rPr>
                <w:rFonts w:hint="eastAsia" w:cs="Times New Roman"/>
                <w:bCs/>
                <w:color w:val="auto"/>
                <w:sz w:val="24"/>
                <w:highlight w:val="none"/>
                <w:u w:val="none"/>
                <w:lang w:val="en-US" w:eastAsia="zh-CN"/>
              </w:rPr>
              <w:t>J1121-2020</w:t>
            </w:r>
            <w:r>
              <w:rPr>
                <w:rFonts w:hint="default" w:ascii="Times New Roman" w:hAnsi="Times New Roman" w:cs="Times New Roman"/>
                <w:bCs/>
                <w:color w:val="auto"/>
                <w:sz w:val="24"/>
                <w:highlight w:val="none"/>
                <w:u w:val="none"/>
              </w:rPr>
              <w:t>)</w:t>
            </w:r>
            <w:r>
              <w:rPr>
                <w:rFonts w:hint="eastAsia" w:cs="Times New Roman"/>
                <w:bCs/>
                <w:color w:val="auto"/>
                <w:sz w:val="24"/>
                <w:highlight w:val="none"/>
                <w:u w:val="none"/>
                <w:lang w:val="en-US" w:eastAsia="zh-CN"/>
              </w:rPr>
              <w:t>、</w:t>
            </w:r>
            <w:r>
              <w:rPr>
                <w:rFonts w:hint="eastAsia" w:cs="Times New Roman"/>
                <w:bCs/>
                <w:color w:val="auto"/>
                <w:sz w:val="24"/>
                <w:highlight w:val="none"/>
                <w:u w:val="none"/>
                <w:lang w:eastAsia="zh-CN"/>
              </w:rPr>
              <w:t>《</w:t>
            </w:r>
            <w:r>
              <w:rPr>
                <w:rFonts w:hint="eastAsia" w:cs="Times New Roman"/>
                <w:bCs/>
                <w:color w:val="auto"/>
                <w:sz w:val="24"/>
                <w:highlight w:val="none"/>
                <w:u w:val="none"/>
                <w:lang w:val="en-US" w:eastAsia="zh-CN"/>
              </w:rPr>
              <w:t>排污许可证申请与核发技术规范 废弃资源加工工业</w:t>
            </w:r>
            <w:r>
              <w:rPr>
                <w:rFonts w:hint="eastAsia" w:cs="Times New Roman"/>
                <w:bCs/>
                <w:color w:val="auto"/>
                <w:sz w:val="24"/>
                <w:highlight w:val="none"/>
                <w:u w:val="none"/>
                <w:lang w:eastAsia="zh-CN"/>
              </w:rPr>
              <w:t>》</w:t>
            </w:r>
            <w:r>
              <w:rPr>
                <w:rFonts w:hint="default" w:ascii="Times New Roman" w:hAnsi="Times New Roman" w:cs="Times New Roman"/>
                <w:bCs/>
                <w:color w:val="auto"/>
                <w:sz w:val="24"/>
                <w:highlight w:val="none"/>
                <w:u w:val="none"/>
              </w:rPr>
              <w:t>(H</w:t>
            </w:r>
            <w:r>
              <w:rPr>
                <w:rFonts w:hint="eastAsia" w:cs="Times New Roman"/>
                <w:bCs/>
                <w:color w:val="auto"/>
                <w:sz w:val="24"/>
                <w:highlight w:val="none"/>
                <w:u w:val="none"/>
                <w:lang w:val="en-US" w:eastAsia="zh-CN"/>
              </w:rPr>
              <w:t>J1121-2020</w:t>
            </w:r>
            <w:r>
              <w:rPr>
                <w:rFonts w:hint="default" w:ascii="Times New Roman" w:hAnsi="Times New Roman" w:cs="Times New Roman"/>
                <w:bCs/>
                <w:color w:val="auto"/>
                <w:sz w:val="24"/>
                <w:highlight w:val="none"/>
                <w:u w:val="none"/>
              </w:rPr>
              <w:t>)</w:t>
            </w:r>
            <w:r>
              <w:rPr>
                <w:rFonts w:hint="eastAsia" w:cs="Times New Roman"/>
                <w:bCs/>
                <w:color w:val="auto"/>
                <w:sz w:val="24"/>
                <w:highlight w:val="none"/>
                <w:u w:val="none"/>
                <w:lang w:val="en-US" w:eastAsia="zh-CN"/>
              </w:rPr>
              <w:t>、</w:t>
            </w:r>
            <w:r>
              <w:rPr>
                <w:rFonts w:hint="default" w:ascii="Times New Roman" w:hAnsi="Times New Roman" w:cs="Times New Roman"/>
                <w:bCs/>
                <w:color w:val="auto"/>
                <w:sz w:val="24"/>
                <w:highlight w:val="none"/>
                <w:u w:val="none"/>
              </w:rPr>
              <w:t>《排污单位自行监测技术指南</w:t>
            </w:r>
            <w:r>
              <w:rPr>
                <w:rFonts w:hint="eastAsia" w:cs="Times New Roman"/>
                <w:bCs/>
                <w:color w:val="auto"/>
                <w:sz w:val="24"/>
                <w:highlight w:val="none"/>
                <w:u w:val="none"/>
                <w:lang w:val="en-US" w:eastAsia="zh-CN"/>
              </w:rPr>
              <w:t xml:space="preserve"> </w:t>
            </w:r>
            <w:r>
              <w:rPr>
                <w:rFonts w:hint="default" w:ascii="Times New Roman" w:hAnsi="Times New Roman" w:cs="Times New Roman"/>
                <w:bCs/>
                <w:color w:val="auto"/>
                <w:sz w:val="24"/>
                <w:highlight w:val="none"/>
                <w:u w:val="none"/>
              </w:rPr>
              <w:t>总则》(H819</w:t>
            </w:r>
            <w:r>
              <w:rPr>
                <w:rFonts w:hint="eastAsia" w:cs="Times New Roman"/>
                <w:bCs/>
                <w:color w:val="auto"/>
                <w:sz w:val="24"/>
                <w:highlight w:val="none"/>
                <w:u w:val="none"/>
                <w:lang w:val="en-US" w:eastAsia="zh-CN"/>
              </w:rPr>
              <w:t>-</w:t>
            </w:r>
            <w:r>
              <w:rPr>
                <w:rFonts w:hint="default" w:ascii="Times New Roman" w:hAnsi="Times New Roman" w:cs="Times New Roman"/>
                <w:bCs/>
                <w:color w:val="auto"/>
                <w:sz w:val="24"/>
                <w:highlight w:val="none"/>
                <w:u w:val="none"/>
              </w:rPr>
              <w:t>2017)标准和技术规范的要求编制监测方案，自行或者委托有资质监测机构对污染源及环保设施运行情况进行常规监测。</w:t>
            </w:r>
            <w:r>
              <w:rPr>
                <w:rFonts w:hint="default" w:ascii="Times New Roman" w:hAnsi="Times New Roman" w:cs="Times New Roman"/>
                <w:color w:val="auto"/>
                <w:sz w:val="24"/>
                <w:highlight w:val="none"/>
                <w:u w:val="none"/>
              </w:rPr>
              <w:t>本项目污染物推荐的监测内容、点位和频次如下表所示：</w:t>
            </w:r>
          </w:p>
          <w:p w14:paraId="4CCC4D2A">
            <w:pPr>
              <w:jc w:val="center"/>
              <w:rPr>
                <w:rFonts w:hint="default" w:ascii="Times New Roman" w:hAnsi="Times New Roman" w:cs="Times New Roman"/>
                <w:b/>
                <w:color w:val="auto"/>
                <w:sz w:val="21"/>
                <w:szCs w:val="21"/>
                <w:highlight w:val="none"/>
                <w:u w:val="none"/>
                <w:lang w:val="en-GB"/>
              </w:rPr>
            </w:pPr>
            <w:r>
              <w:rPr>
                <w:rFonts w:hint="default" w:ascii="Times New Roman" w:hAnsi="Times New Roman" w:cs="Times New Roman"/>
                <w:b/>
                <w:color w:val="auto"/>
                <w:sz w:val="21"/>
                <w:szCs w:val="21"/>
                <w:highlight w:val="none"/>
                <w:u w:val="none"/>
                <w:lang w:val="en-GB"/>
              </w:rPr>
              <w:t>表</w:t>
            </w:r>
            <w:r>
              <w:rPr>
                <w:rFonts w:hint="default" w:ascii="Times New Roman" w:hAnsi="Times New Roman" w:cs="Times New Roman"/>
                <w:b/>
                <w:color w:val="auto"/>
                <w:sz w:val="21"/>
                <w:szCs w:val="21"/>
                <w:highlight w:val="none"/>
                <w:u w:val="none"/>
              </w:rPr>
              <w:t>4</w:t>
            </w:r>
            <w:r>
              <w:rPr>
                <w:rFonts w:hint="eastAsia" w:cs="Times New Roman"/>
                <w:b/>
                <w:color w:val="auto"/>
                <w:sz w:val="21"/>
                <w:szCs w:val="21"/>
                <w:highlight w:val="none"/>
                <w:u w:val="none"/>
                <w:lang w:val="en-US" w:eastAsia="zh-CN"/>
              </w:rPr>
              <w:t xml:space="preserve">-17  </w:t>
            </w:r>
            <w:r>
              <w:rPr>
                <w:rFonts w:hint="default" w:ascii="Times New Roman" w:hAnsi="Times New Roman" w:cs="Times New Roman"/>
                <w:b/>
                <w:color w:val="auto"/>
                <w:sz w:val="21"/>
                <w:szCs w:val="21"/>
                <w:highlight w:val="none"/>
                <w:u w:val="none"/>
                <w:lang w:val="en-GB"/>
              </w:rPr>
              <w:t>环境监测计划表</w:t>
            </w:r>
          </w:p>
          <w:tbl>
            <w:tblPr>
              <w:tblStyle w:val="33"/>
              <w:tblW w:w="4997"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0" w:type="dxa"/>
                <w:bottom w:w="0" w:type="dxa"/>
                <w:right w:w="0" w:type="dxa"/>
              </w:tblCellMar>
            </w:tblPr>
            <w:tblGrid>
              <w:gridCol w:w="667"/>
              <w:gridCol w:w="728"/>
              <w:gridCol w:w="1978"/>
              <w:gridCol w:w="1292"/>
              <w:gridCol w:w="1239"/>
              <w:gridCol w:w="2090"/>
            </w:tblGrid>
            <w:tr w14:paraId="7F9FB9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872" w:type="pct"/>
                  <w:gridSpan w:val="2"/>
                  <w:tcBorders>
                    <w:tl2br w:val="nil"/>
                    <w:tr2bl w:val="nil"/>
                  </w:tcBorders>
                  <w:noWrap w:val="0"/>
                  <w:vAlign w:val="center"/>
                </w:tcPr>
                <w:p w14:paraId="260E4216">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监测项目</w:t>
                  </w:r>
                </w:p>
              </w:tc>
              <w:tc>
                <w:tcPr>
                  <w:tcW w:w="1237" w:type="pct"/>
                  <w:tcBorders>
                    <w:tl2br w:val="nil"/>
                    <w:tr2bl w:val="nil"/>
                  </w:tcBorders>
                  <w:noWrap w:val="0"/>
                  <w:vAlign w:val="center"/>
                </w:tcPr>
                <w:p w14:paraId="6AC519C4">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监测内容</w:t>
                  </w:r>
                </w:p>
              </w:tc>
              <w:tc>
                <w:tcPr>
                  <w:tcW w:w="808" w:type="pct"/>
                  <w:tcBorders>
                    <w:tl2br w:val="nil"/>
                    <w:tr2bl w:val="nil"/>
                  </w:tcBorders>
                  <w:noWrap w:val="0"/>
                  <w:vAlign w:val="center"/>
                </w:tcPr>
                <w:p w14:paraId="244414AE">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监测负责单位</w:t>
                  </w:r>
                </w:p>
              </w:tc>
              <w:tc>
                <w:tcPr>
                  <w:tcW w:w="775" w:type="pct"/>
                  <w:tcBorders>
                    <w:tl2br w:val="nil"/>
                    <w:tr2bl w:val="nil"/>
                  </w:tcBorders>
                  <w:noWrap w:val="0"/>
                  <w:vAlign w:val="center"/>
                </w:tcPr>
                <w:p w14:paraId="72F6481C">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监测频次</w:t>
                  </w:r>
                </w:p>
              </w:tc>
              <w:tc>
                <w:tcPr>
                  <w:tcW w:w="1307" w:type="pct"/>
                  <w:tcBorders>
                    <w:tl2br w:val="nil"/>
                    <w:tr2bl w:val="nil"/>
                  </w:tcBorders>
                  <w:noWrap w:val="0"/>
                  <w:vAlign w:val="center"/>
                </w:tcPr>
                <w:p w14:paraId="40D48BC8">
                  <w:pPr>
                    <w:jc w:val="center"/>
                    <w:rPr>
                      <w:rFonts w:hint="default" w:ascii="Times New Roman" w:hAnsi="Times New Roman" w:cs="Times New Roman"/>
                      <w:b/>
                      <w:bCs/>
                      <w:color w:val="auto"/>
                      <w:szCs w:val="21"/>
                      <w:highlight w:val="none"/>
                      <w:u w:val="none"/>
                    </w:rPr>
                  </w:pPr>
                  <w:r>
                    <w:rPr>
                      <w:rFonts w:hint="default" w:ascii="Times New Roman" w:hAnsi="Times New Roman" w:cs="Times New Roman"/>
                      <w:b/>
                      <w:bCs/>
                      <w:color w:val="auto"/>
                      <w:szCs w:val="21"/>
                      <w:highlight w:val="none"/>
                      <w:u w:val="none"/>
                    </w:rPr>
                    <w:t>监测点</w:t>
                  </w:r>
                </w:p>
              </w:tc>
            </w:tr>
            <w:tr w14:paraId="66627A6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74" w:hRule="atLeast"/>
                <w:jc w:val="center"/>
              </w:trPr>
              <w:tc>
                <w:tcPr>
                  <w:tcW w:w="872" w:type="pct"/>
                  <w:gridSpan w:val="2"/>
                  <w:tcBorders>
                    <w:tl2br w:val="nil"/>
                    <w:tr2bl w:val="nil"/>
                  </w:tcBorders>
                  <w:noWrap w:val="0"/>
                  <w:vAlign w:val="center"/>
                </w:tcPr>
                <w:p w14:paraId="118B51A2">
                  <w:pPr>
                    <w:jc w:val="center"/>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有组织废气</w:t>
                  </w:r>
                </w:p>
              </w:tc>
              <w:tc>
                <w:tcPr>
                  <w:tcW w:w="1237" w:type="pct"/>
                  <w:tcBorders>
                    <w:tl2br w:val="nil"/>
                    <w:tr2bl w:val="nil"/>
                  </w:tcBorders>
                  <w:noWrap w:val="0"/>
                  <w:vAlign w:val="center"/>
                </w:tcPr>
                <w:p w14:paraId="4DBFA0CE">
                  <w:pPr>
                    <w:jc w:val="center"/>
                    <w:rPr>
                      <w:rFonts w:hint="default" w:ascii="Times New Roman" w:hAnsi="Times New Roman" w:eastAsia="宋体" w:cs="Times New Roman"/>
                      <w:color w:val="auto"/>
                      <w:kern w:val="0"/>
                      <w:szCs w:val="21"/>
                      <w:highlight w:val="none"/>
                      <w:u w:val="none"/>
                      <w:lang w:val="en-US" w:eastAsia="zh-CN"/>
                    </w:rPr>
                  </w:pPr>
                  <w:r>
                    <w:rPr>
                      <w:rFonts w:hint="eastAsia" w:cs="Times New Roman"/>
                      <w:color w:val="auto"/>
                      <w:kern w:val="0"/>
                      <w:szCs w:val="21"/>
                      <w:highlight w:val="none"/>
                      <w:u w:val="none"/>
                      <w:lang w:val="en-US" w:eastAsia="zh-CN"/>
                    </w:rPr>
                    <w:t>颗粒物</w:t>
                  </w:r>
                  <w:r>
                    <w:rPr>
                      <w:rFonts w:hint="eastAsia" w:ascii="Times New Roman" w:hAnsi="Times New Roman" w:cs="Times New Roman"/>
                      <w:color w:val="auto"/>
                      <w:spacing w:val="7"/>
                      <w:sz w:val="21"/>
                      <w:szCs w:val="21"/>
                      <w:highlight w:val="none"/>
                      <w:u w:val="none" w:color="auto"/>
                      <w:lang w:val="en-US" w:eastAsia="zh-CN"/>
                    </w:rPr>
                    <w:t>、SO</w:t>
                  </w:r>
                  <w:r>
                    <w:rPr>
                      <w:rFonts w:hint="eastAsia" w:ascii="Times New Roman" w:hAnsi="Times New Roman" w:cs="Times New Roman"/>
                      <w:color w:val="auto"/>
                      <w:spacing w:val="7"/>
                      <w:sz w:val="21"/>
                      <w:szCs w:val="21"/>
                      <w:highlight w:val="none"/>
                      <w:u w:val="none" w:color="auto"/>
                      <w:vertAlign w:val="subscript"/>
                      <w:lang w:val="en-US" w:eastAsia="zh-CN"/>
                    </w:rPr>
                    <w:t>2</w:t>
                  </w:r>
                  <w:r>
                    <w:rPr>
                      <w:rFonts w:hint="eastAsia" w:ascii="Times New Roman" w:hAnsi="Times New Roman" w:cs="Times New Roman"/>
                      <w:color w:val="auto"/>
                      <w:spacing w:val="7"/>
                      <w:sz w:val="21"/>
                      <w:szCs w:val="21"/>
                      <w:highlight w:val="none"/>
                      <w:u w:val="none" w:color="auto"/>
                      <w:lang w:val="en-US" w:eastAsia="zh-CN"/>
                    </w:rPr>
                    <w:t>、NO</w:t>
                  </w:r>
                  <w:r>
                    <w:rPr>
                      <w:rFonts w:hint="eastAsia" w:ascii="Times New Roman" w:hAnsi="Times New Roman" w:cs="Times New Roman"/>
                      <w:color w:val="auto"/>
                      <w:spacing w:val="7"/>
                      <w:sz w:val="21"/>
                      <w:szCs w:val="21"/>
                      <w:highlight w:val="none"/>
                      <w:u w:val="none" w:color="auto"/>
                      <w:vertAlign w:val="subscript"/>
                      <w:lang w:val="en-US" w:eastAsia="zh-CN"/>
                    </w:rPr>
                    <w:t>X</w:t>
                  </w:r>
                </w:p>
              </w:tc>
              <w:tc>
                <w:tcPr>
                  <w:tcW w:w="808" w:type="pct"/>
                  <w:vMerge w:val="restart"/>
                  <w:tcBorders>
                    <w:tl2br w:val="nil"/>
                    <w:tr2bl w:val="nil"/>
                  </w:tcBorders>
                  <w:noWrap w:val="0"/>
                  <w:vAlign w:val="center"/>
                </w:tcPr>
                <w:p w14:paraId="58FE2443">
                  <w:pPr>
                    <w:jc w:val="center"/>
                    <w:rPr>
                      <w:rFonts w:hint="default" w:ascii="Times New Roman" w:hAnsi="Times New Roman" w:cs="Times New Roman"/>
                      <w:color w:val="auto"/>
                      <w:szCs w:val="21"/>
                      <w:highlight w:val="none"/>
                      <w:u w:val="none"/>
                    </w:rPr>
                  </w:pPr>
                  <w:r>
                    <w:rPr>
                      <w:rFonts w:hint="eastAsia" w:cs="Times New Roman"/>
                      <w:color w:val="auto"/>
                      <w:szCs w:val="21"/>
                      <w:highlight w:val="none"/>
                      <w:u w:val="none"/>
                      <w:lang w:val="en-US" w:eastAsia="zh-CN"/>
                    </w:rPr>
                    <w:t>委托</w:t>
                  </w:r>
                  <w:r>
                    <w:rPr>
                      <w:rFonts w:hint="default" w:ascii="Times New Roman" w:hAnsi="Times New Roman" w:cs="Times New Roman"/>
                      <w:color w:val="auto"/>
                      <w:szCs w:val="21"/>
                      <w:highlight w:val="none"/>
                      <w:u w:val="none"/>
                    </w:rPr>
                    <w:t>第三方监测单位</w:t>
                  </w:r>
                </w:p>
              </w:tc>
              <w:tc>
                <w:tcPr>
                  <w:tcW w:w="775" w:type="pct"/>
                  <w:tcBorders>
                    <w:tl2br w:val="nil"/>
                    <w:tr2bl w:val="nil"/>
                  </w:tcBorders>
                  <w:noWrap w:val="0"/>
                  <w:vAlign w:val="center"/>
                </w:tcPr>
                <w:p w14:paraId="6978F55C">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1次/年</w:t>
                  </w:r>
                </w:p>
              </w:tc>
              <w:tc>
                <w:tcPr>
                  <w:tcW w:w="1307" w:type="pct"/>
                  <w:tcBorders>
                    <w:tl2br w:val="nil"/>
                    <w:tr2bl w:val="nil"/>
                  </w:tcBorders>
                  <w:noWrap w:val="0"/>
                  <w:vAlign w:val="center"/>
                </w:tcPr>
                <w:p w14:paraId="54669FDC">
                  <w:pPr>
                    <w:jc w:val="center"/>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DA001排气筒</w:t>
                  </w:r>
                </w:p>
              </w:tc>
            </w:tr>
            <w:tr w14:paraId="4E2018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417" w:type="pct"/>
                  <w:vMerge w:val="restart"/>
                  <w:tcBorders>
                    <w:right w:val="single" w:color="auto" w:sz="4" w:space="0"/>
                    <w:tl2br w:val="nil"/>
                    <w:tr2bl w:val="nil"/>
                  </w:tcBorders>
                  <w:noWrap w:val="0"/>
                  <w:vAlign w:val="center"/>
                </w:tcPr>
                <w:p w14:paraId="1C6D6D65">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无组织废气</w:t>
                  </w:r>
                </w:p>
              </w:tc>
              <w:tc>
                <w:tcPr>
                  <w:tcW w:w="454" w:type="pct"/>
                  <w:tcBorders>
                    <w:left w:val="single" w:color="auto" w:sz="4" w:space="0"/>
                    <w:bottom w:val="single" w:color="auto" w:sz="4" w:space="0"/>
                    <w:tl2br w:val="nil"/>
                    <w:tr2bl w:val="nil"/>
                  </w:tcBorders>
                  <w:noWrap w:val="0"/>
                  <w:vAlign w:val="center"/>
                </w:tcPr>
                <w:p w14:paraId="485082E4">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Cs w:val="21"/>
                      <w:highlight w:val="none"/>
                      <w:u w:val="none"/>
                    </w:rPr>
                  </w:pPr>
                  <w:r>
                    <w:rPr>
                      <w:rFonts w:hint="default" w:ascii="Times New Roman" w:hAnsi="Times New Roman" w:eastAsia="宋体" w:cs="Times New Roman"/>
                      <w:color w:val="auto"/>
                      <w:spacing w:val="3"/>
                      <w:sz w:val="21"/>
                      <w:szCs w:val="21"/>
                      <w:highlight w:val="none"/>
                      <w:u w:val="none" w:color="auto"/>
                    </w:rPr>
                    <w:t>厂界</w:t>
                  </w:r>
                </w:p>
              </w:tc>
              <w:tc>
                <w:tcPr>
                  <w:tcW w:w="1237" w:type="pct"/>
                  <w:tcBorders>
                    <w:bottom w:val="single" w:color="000000" w:sz="8" w:space="0"/>
                    <w:tl2br w:val="nil"/>
                    <w:tr2bl w:val="nil"/>
                  </w:tcBorders>
                  <w:noWrap w:val="0"/>
                  <w:vAlign w:val="center"/>
                </w:tcPr>
                <w:p w14:paraId="470D41E8">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kern w:val="0"/>
                      <w:szCs w:val="21"/>
                      <w:highlight w:val="none"/>
                      <w:u w:val="none"/>
                    </w:rPr>
                  </w:pPr>
                  <w:r>
                    <w:rPr>
                      <w:rFonts w:hint="eastAsia" w:ascii="Times New Roman" w:hAnsi="Times New Roman" w:cs="Times New Roman"/>
                      <w:color w:val="auto"/>
                      <w:spacing w:val="7"/>
                      <w:sz w:val="21"/>
                      <w:szCs w:val="21"/>
                      <w:highlight w:val="none"/>
                      <w:u w:val="none" w:color="auto"/>
                      <w:lang w:val="en-US" w:eastAsia="zh-CN"/>
                    </w:rPr>
                    <w:t>非甲烷总烃、臭气浓度</w:t>
                  </w:r>
                </w:p>
              </w:tc>
              <w:tc>
                <w:tcPr>
                  <w:tcW w:w="808" w:type="pct"/>
                  <w:vMerge w:val="continue"/>
                  <w:tcBorders>
                    <w:tl2br w:val="nil"/>
                    <w:tr2bl w:val="nil"/>
                  </w:tcBorders>
                  <w:noWrap w:val="0"/>
                  <w:vAlign w:val="center"/>
                </w:tcPr>
                <w:p w14:paraId="46C61461">
                  <w:pPr>
                    <w:jc w:val="center"/>
                    <w:rPr>
                      <w:rFonts w:hint="default" w:ascii="Times New Roman" w:hAnsi="Times New Roman" w:cs="Times New Roman"/>
                      <w:color w:val="auto"/>
                      <w:szCs w:val="21"/>
                      <w:highlight w:val="none"/>
                      <w:u w:val="none"/>
                    </w:rPr>
                  </w:pPr>
                </w:p>
              </w:tc>
              <w:tc>
                <w:tcPr>
                  <w:tcW w:w="775" w:type="pct"/>
                  <w:tcBorders>
                    <w:bottom w:val="single" w:color="000000" w:sz="8" w:space="0"/>
                    <w:tl2br w:val="nil"/>
                    <w:tr2bl w:val="nil"/>
                  </w:tcBorders>
                  <w:noWrap w:val="0"/>
                  <w:vAlign w:val="center"/>
                </w:tcPr>
                <w:p w14:paraId="64A4B182">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1次/年</w:t>
                  </w:r>
                </w:p>
              </w:tc>
              <w:tc>
                <w:tcPr>
                  <w:tcW w:w="1307" w:type="pct"/>
                  <w:tcBorders>
                    <w:bottom w:val="single" w:color="000000" w:sz="8" w:space="0"/>
                    <w:tl2br w:val="nil"/>
                    <w:tr2bl w:val="nil"/>
                  </w:tcBorders>
                  <w:noWrap w:val="0"/>
                  <w:vAlign w:val="center"/>
                </w:tcPr>
                <w:p w14:paraId="1A852A88">
                  <w:pPr>
                    <w:jc w:val="center"/>
                    <w:rPr>
                      <w:rFonts w:hint="default" w:ascii="Times New Roman" w:hAnsi="Times New Roman" w:eastAsia="宋体" w:cs="Times New Roman"/>
                      <w:color w:val="auto"/>
                      <w:szCs w:val="21"/>
                      <w:highlight w:val="none"/>
                      <w:u w:val="none"/>
                      <w:lang w:val="en-US" w:eastAsia="zh-CN"/>
                    </w:rPr>
                  </w:pPr>
                  <w:r>
                    <w:rPr>
                      <w:rFonts w:hint="default" w:ascii="Times New Roman" w:hAnsi="Times New Roman" w:cs="Times New Roman"/>
                      <w:color w:val="auto"/>
                      <w:szCs w:val="21"/>
                      <w:highlight w:val="none"/>
                      <w:u w:val="none"/>
                    </w:rPr>
                    <w:t>厂界上风向一个点，下风向两个点</w:t>
                  </w:r>
                </w:p>
              </w:tc>
            </w:tr>
            <w:tr w14:paraId="7EE7AA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417" w:type="pct"/>
                  <w:vMerge w:val="continue"/>
                  <w:tcBorders>
                    <w:right w:val="single" w:color="auto" w:sz="4" w:space="0"/>
                    <w:tl2br w:val="nil"/>
                    <w:tr2bl w:val="nil"/>
                  </w:tcBorders>
                  <w:noWrap w:val="0"/>
                  <w:vAlign w:val="center"/>
                </w:tcPr>
                <w:p w14:paraId="7C7FD7F5">
                  <w:pPr>
                    <w:jc w:val="center"/>
                    <w:rPr>
                      <w:rFonts w:hint="default" w:ascii="Times New Roman" w:hAnsi="Times New Roman" w:cs="Times New Roman"/>
                      <w:color w:val="auto"/>
                      <w:szCs w:val="21"/>
                      <w:highlight w:val="none"/>
                      <w:u w:val="none"/>
                    </w:rPr>
                  </w:pPr>
                </w:p>
              </w:tc>
              <w:tc>
                <w:tcPr>
                  <w:tcW w:w="454" w:type="pct"/>
                  <w:tcBorders>
                    <w:top w:val="single" w:color="auto" w:sz="4" w:space="0"/>
                    <w:left w:val="single" w:color="auto" w:sz="4" w:space="0"/>
                    <w:tl2br w:val="nil"/>
                    <w:tr2bl w:val="nil"/>
                  </w:tcBorders>
                  <w:noWrap w:val="0"/>
                  <w:vAlign w:val="center"/>
                </w:tcPr>
                <w:p w14:paraId="00B26DAF">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Cs w:val="21"/>
                      <w:highlight w:val="none"/>
                      <w:u w:val="none"/>
                    </w:rPr>
                  </w:pPr>
                  <w:r>
                    <w:rPr>
                      <w:rFonts w:hint="eastAsia" w:ascii="Times New Roman" w:hAnsi="Times New Roman" w:cs="Times New Roman"/>
                      <w:color w:val="auto"/>
                      <w:spacing w:val="3"/>
                      <w:sz w:val="21"/>
                      <w:szCs w:val="21"/>
                      <w:highlight w:val="none"/>
                      <w:u w:val="none" w:color="auto"/>
                      <w:lang w:val="en-US" w:eastAsia="zh-CN"/>
                    </w:rPr>
                    <w:t>厂区内</w:t>
                  </w:r>
                </w:p>
              </w:tc>
              <w:tc>
                <w:tcPr>
                  <w:tcW w:w="1237" w:type="pct"/>
                  <w:tcBorders>
                    <w:bottom w:val="single" w:color="000000" w:sz="8" w:space="0"/>
                    <w:tl2br w:val="nil"/>
                    <w:tr2bl w:val="nil"/>
                  </w:tcBorders>
                  <w:noWrap w:val="0"/>
                  <w:vAlign w:val="center"/>
                </w:tcPr>
                <w:p w14:paraId="7DA84370">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Cs w:val="21"/>
                      <w:highlight w:val="none"/>
                      <w:u w:val="none"/>
                      <w:lang w:val="en-US" w:eastAsia="zh-CN"/>
                    </w:rPr>
                  </w:pPr>
                  <w:r>
                    <w:rPr>
                      <w:rFonts w:hint="eastAsia" w:ascii="Times New Roman" w:hAnsi="Times New Roman" w:cs="Times New Roman"/>
                      <w:color w:val="auto"/>
                      <w:spacing w:val="7"/>
                      <w:sz w:val="21"/>
                      <w:szCs w:val="21"/>
                      <w:highlight w:val="none"/>
                      <w:u w:val="none" w:color="auto"/>
                      <w:lang w:val="en-US" w:eastAsia="zh-CN"/>
                    </w:rPr>
                    <w:t>非甲烷总烃</w:t>
                  </w:r>
                </w:p>
              </w:tc>
              <w:tc>
                <w:tcPr>
                  <w:tcW w:w="808" w:type="pct"/>
                  <w:vMerge w:val="continue"/>
                  <w:tcBorders>
                    <w:tl2br w:val="nil"/>
                    <w:tr2bl w:val="nil"/>
                  </w:tcBorders>
                  <w:noWrap w:val="0"/>
                  <w:vAlign w:val="center"/>
                </w:tcPr>
                <w:p w14:paraId="62A10ED8">
                  <w:pPr>
                    <w:jc w:val="center"/>
                    <w:rPr>
                      <w:rFonts w:hint="default" w:ascii="Times New Roman" w:hAnsi="Times New Roman" w:cs="Times New Roman"/>
                      <w:color w:val="auto"/>
                      <w:szCs w:val="21"/>
                      <w:highlight w:val="none"/>
                      <w:u w:val="none"/>
                    </w:rPr>
                  </w:pPr>
                </w:p>
              </w:tc>
              <w:tc>
                <w:tcPr>
                  <w:tcW w:w="775" w:type="pct"/>
                  <w:tcBorders>
                    <w:bottom w:val="single" w:color="000000" w:sz="8" w:space="0"/>
                    <w:tl2br w:val="nil"/>
                    <w:tr2bl w:val="nil"/>
                  </w:tcBorders>
                  <w:noWrap w:val="0"/>
                  <w:vAlign w:val="center"/>
                </w:tcPr>
                <w:p w14:paraId="56167583">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1次/年</w:t>
                  </w:r>
                </w:p>
              </w:tc>
              <w:tc>
                <w:tcPr>
                  <w:tcW w:w="1307" w:type="pct"/>
                  <w:tcBorders>
                    <w:bottom w:val="single" w:color="000000" w:sz="8" w:space="0"/>
                    <w:tl2br w:val="nil"/>
                    <w:tr2bl w:val="nil"/>
                  </w:tcBorders>
                  <w:noWrap w:val="0"/>
                  <w:vAlign w:val="center"/>
                </w:tcPr>
                <w:p w14:paraId="0C1716D0">
                  <w:pPr>
                    <w:jc w:val="center"/>
                    <w:rPr>
                      <w:rFonts w:hint="eastAsia"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厂区内</w:t>
                  </w:r>
                </w:p>
              </w:tc>
            </w:tr>
            <w:tr w14:paraId="3D7AF8F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872" w:type="pct"/>
                  <w:gridSpan w:val="2"/>
                  <w:tcBorders>
                    <w:tl2br w:val="nil"/>
                    <w:tr2bl w:val="nil"/>
                  </w:tcBorders>
                  <w:noWrap w:val="0"/>
                  <w:vAlign w:val="center"/>
                </w:tcPr>
                <w:p w14:paraId="322748AE">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噪声</w:t>
                  </w:r>
                </w:p>
              </w:tc>
              <w:tc>
                <w:tcPr>
                  <w:tcW w:w="1237" w:type="pct"/>
                  <w:tcBorders>
                    <w:tl2br w:val="nil"/>
                    <w:tr2bl w:val="nil"/>
                  </w:tcBorders>
                  <w:noWrap w:val="0"/>
                  <w:vAlign w:val="center"/>
                </w:tcPr>
                <w:p w14:paraId="17AFDE87">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等效连续A声级</w:t>
                  </w:r>
                </w:p>
              </w:tc>
              <w:tc>
                <w:tcPr>
                  <w:tcW w:w="808" w:type="pct"/>
                  <w:vMerge w:val="continue"/>
                  <w:tcBorders>
                    <w:tl2br w:val="nil"/>
                    <w:tr2bl w:val="nil"/>
                  </w:tcBorders>
                  <w:noWrap w:val="0"/>
                  <w:vAlign w:val="center"/>
                </w:tcPr>
                <w:p w14:paraId="7F018363">
                  <w:pPr>
                    <w:jc w:val="center"/>
                    <w:rPr>
                      <w:rFonts w:hint="default" w:ascii="Times New Roman" w:hAnsi="Times New Roman" w:cs="Times New Roman"/>
                      <w:color w:val="auto"/>
                      <w:szCs w:val="21"/>
                      <w:highlight w:val="none"/>
                      <w:u w:val="none"/>
                    </w:rPr>
                  </w:pPr>
                </w:p>
              </w:tc>
              <w:tc>
                <w:tcPr>
                  <w:tcW w:w="775" w:type="pct"/>
                  <w:tcBorders>
                    <w:tl2br w:val="nil"/>
                    <w:tr2bl w:val="nil"/>
                  </w:tcBorders>
                  <w:noWrap w:val="0"/>
                  <w:vAlign w:val="center"/>
                </w:tcPr>
                <w:p w14:paraId="05AB3415">
                  <w:pPr>
                    <w:jc w:val="center"/>
                    <w:rPr>
                      <w:rFonts w:hint="eastAsia" w:ascii="Times New Roman" w:hAnsi="Times New Roman" w:eastAsia="宋体" w:cs="Times New Roman"/>
                      <w:color w:val="auto"/>
                      <w:szCs w:val="21"/>
                      <w:highlight w:val="none"/>
                      <w:u w:val="none"/>
                      <w:lang w:eastAsia="zh-CN"/>
                    </w:rPr>
                  </w:pPr>
                  <w:r>
                    <w:rPr>
                      <w:rFonts w:hint="default" w:ascii="Times New Roman" w:hAnsi="Times New Roman" w:cs="Times New Roman"/>
                      <w:color w:val="auto"/>
                      <w:szCs w:val="21"/>
                      <w:highlight w:val="none"/>
                      <w:u w:val="none"/>
                    </w:rPr>
                    <w:t>1次/1</w:t>
                  </w:r>
                  <w:r>
                    <w:rPr>
                      <w:rFonts w:hint="eastAsia" w:ascii="Times New Roman" w:hAnsi="Times New Roman" w:cs="Times New Roman"/>
                      <w:color w:val="auto"/>
                      <w:szCs w:val="21"/>
                      <w:highlight w:val="none"/>
                      <w:u w:val="none"/>
                      <w:lang w:val="en-US" w:eastAsia="zh-CN"/>
                    </w:rPr>
                    <w:t>季度</w:t>
                  </w:r>
                </w:p>
              </w:tc>
              <w:tc>
                <w:tcPr>
                  <w:tcW w:w="1307" w:type="pct"/>
                  <w:tcBorders>
                    <w:tl2br w:val="nil"/>
                    <w:tr2bl w:val="nil"/>
                  </w:tcBorders>
                  <w:noWrap w:val="0"/>
                  <w:vAlign w:val="center"/>
                </w:tcPr>
                <w:p w14:paraId="264837D0">
                  <w:pPr>
                    <w:jc w:val="center"/>
                    <w:rPr>
                      <w:rFonts w:hint="eastAsia" w:ascii="Times New Roman" w:hAnsi="Times New Roman" w:eastAsia="宋体" w:cs="Times New Roman"/>
                      <w:color w:val="auto"/>
                      <w:szCs w:val="21"/>
                      <w:highlight w:val="none"/>
                      <w:u w:val="none"/>
                      <w:lang w:val="en-US" w:eastAsia="zh-CN"/>
                    </w:rPr>
                  </w:pPr>
                  <w:r>
                    <w:rPr>
                      <w:rFonts w:hint="default" w:ascii="Times New Roman" w:hAnsi="Times New Roman" w:cs="Times New Roman"/>
                      <w:color w:val="auto"/>
                      <w:szCs w:val="21"/>
                      <w:highlight w:val="none"/>
                      <w:u w:val="none"/>
                    </w:rPr>
                    <w:t>厂界</w:t>
                  </w:r>
                  <w:r>
                    <w:rPr>
                      <w:rFonts w:hint="eastAsia" w:cs="Times New Roman"/>
                      <w:color w:val="auto"/>
                      <w:szCs w:val="21"/>
                      <w:highlight w:val="none"/>
                      <w:u w:val="none"/>
                      <w:lang w:val="en-US" w:eastAsia="zh-CN"/>
                    </w:rPr>
                    <w:t>四周</w:t>
                  </w:r>
                </w:p>
              </w:tc>
            </w:tr>
          </w:tbl>
          <w:p w14:paraId="33A314B7">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8、环境风险评价</w:t>
            </w:r>
          </w:p>
          <w:p w14:paraId="29F211BA">
            <w:pPr>
              <w:spacing w:line="360" w:lineRule="auto"/>
              <w:rPr>
                <w:rFonts w:hint="default" w:ascii="Times New Roman" w:hAnsi="Times New Roman" w:cs="Times New Roman"/>
                <w:b/>
                <w:bCs/>
                <w:color w:val="auto"/>
                <w:sz w:val="24"/>
                <w:highlight w:val="none"/>
              </w:rPr>
            </w:pPr>
            <w:bookmarkStart w:id="33" w:name="_Toc339981794"/>
            <w:bookmarkStart w:id="34" w:name="_Toc246399303"/>
            <w:bookmarkStart w:id="35" w:name="_Toc3886021"/>
            <w:r>
              <w:rPr>
                <w:rFonts w:hint="default" w:ascii="Times New Roman" w:hAnsi="Times New Roman" w:cs="Times New Roman"/>
                <w:b/>
                <w:bCs/>
                <w:color w:val="auto"/>
                <w:sz w:val="24"/>
                <w:highlight w:val="none"/>
              </w:rPr>
              <w:t>8.1评价目的与重点</w:t>
            </w:r>
            <w:bookmarkEnd w:id="33"/>
            <w:bookmarkEnd w:id="34"/>
          </w:p>
          <w:p w14:paraId="45B8CC2E">
            <w:pPr>
              <w:spacing w:line="360" w:lineRule="auto"/>
              <w:ind w:firstLine="480" w:firstLineChars="200"/>
              <w:rPr>
                <w:rFonts w:hint="default" w:ascii="Times New Roman" w:hAnsi="Times New Roman" w:cs="Times New Roman"/>
                <w:color w:val="auto"/>
                <w:sz w:val="24"/>
                <w:highlight w:val="none"/>
              </w:rPr>
            </w:pPr>
            <w:bookmarkStart w:id="36" w:name="_Toc230587575"/>
            <w:bookmarkStart w:id="37" w:name="_Toc352329352"/>
            <w:bookmarkStart w:id="38" w:name="_Toc339981795"/>
            <w:bookmarkStart w:id="39" w:name="_Toc246399304"/>
            <w:r>
              <w:rPr>
                <w:rFonts w:hint="default" w:ascii="Times New Roman" w:hAnsi="Times New Roman" w:cs="Times New Roman"/>
                <w:color w:val="auto"/>
                <w:sz w:val="24"/>
                <w:highlight w:val="none"/>
              </w:rPr>
              <w:t>环境风险评价是分析和预测建设项目存在的潜在风险，提出防范、应急与减缓措施的工作，环境风险评价能使项目事故率、损失和环境影响降低到可接受水平，确保职工及周边影响区内人群生物的健康和安全。</w:t>
            </w:r>
          </w:p>
          <w:p w14:paraId="6A2251BE">
            <w:pPr>
              <w:spacing w:line="360" w:lineRule="auto"/>
              <w:rPr>
                <w:rFonts w:hint="default" w:ascii="Times New Roman" w:hAnsi="Times New Roman" w:cs="Times New Roman"/>
                <w:b/>
                <w:bCs/>
                <w:color w:val="auto"/>
                <w:sz w:val="24"/>
                <w:highlight w:val="none"/>
              </w:rPr>
            </w:pPr>
            <w:bookmarkStart w:id="40" w:name="_Toc24153"/>
            <w:r>
              <w:rPr>
                <w:rFonts w:hint="default" w:ascii="Times New Roman" w:hAnsi="Times New Roman" w:cs="Times New Roman"/>
                <w:b/>
                <w:bCs/>
                <w:color w:val="auto"/>
                <w:sz w:val="24"/>
                <w:highlight w:val="none"/>
              </w:rPr>
              <w:t>8.2</w:t>
            </w:r>
            <w:bookmarkEnd w:id="40"/>
            <w:r>
              <w:rPr>
                <w:rFonts w:hint="default" w:ascii="Times New Roman" w:hAnsi="Times New Roman" w:cs="Times New Roman"/>
                <w:b/>
                <w:bCs/>
                <w:color w:val="auto"/>
                <w:sz w:val="24"/>
                <w:highlight w:val="none"/>
              </w:rPr>
              <w:t>、风险评价等级判定</w:t>
            </w:r>
          </w:p>
          <w:p w14:paraId="7C803DED">
            <w:pPr>
              <w:spacing w:line="360" w:lineRule="auto"/>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（1）危险物质数量与临界量比值（Q）</w:t>
            </w:r>
          </w:p>
          <w:p w14:paraId="1263E7D3">
            <w:pPr>
              <w:spacing w:line="360" w:lineRule="auto"/>
              <w:ind w:firstLine="480"/>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根据《建设项目环境风险评价技术导则》（HJ169-2018）附录C及本项目主要原辅材料消耗及产品情况，确定项目Q值如下：</w:t>
            </w:r>
          </w:p>
          <w:p w14:paraId="4906318C">
            <w:pPr>
              <w:spacing w:line="360" w:lineRule="auto"/>
              <w:ind w:firstLine="480" w:firstLineChars="200"/>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Q=q</w:t>
            </w:r>
            <w:r>
              <w:rPr>
                <w:rFonts w:hint="default" w:ascii="Times New Roman" w:hAnsi="Times New Roman" w:cs="Times New Roman"/>
                <w:color w:val="auto"/>
                <w:sz w:val="24"/>
                <w:highlight w:val="none"/>
                <w:u w:val="none"/>
                <w:vertAlign w:val="subscript"/>
              </w:rPr>
              <w:t>1</w:t>
            </w:r>
            <w:r>
              <w:rPr>
                <w:rFonts w:hint="default" w:ascii="Times New Roman" w:hAnsi="Times New Roman" w:cs="Times New Roman"/>
                <w:color w:val="auto"/>
                <w:sz w:val="24"/>
                <w:highlight w:val="none"/>
                <w:u w:val="none"/>
              </w:rPr>
              <w:t>/Q</w:t>
            </w:r>
            <w:r>
              <w:rPr>
                <w:rFonts w:hint="default" w:ascii="Times New Roman" w:hAnsi="Times New Roman" w:cs="Times New Roman"/>
                <w:color w:val="auto"/>
                <w:sz w:val="24"/>
                <w:highlight w:val="none"/>
                <w:u w:val="none"/>
                <w:vertAlign w:val="subscript"/>
              </w:rPr>
              <w:t>1</w:t>
            </w:r>
            <w:r>
              <w:rPr>
                <w:rFonts w:hint="default" w:ascii="Times New Roman" w:hAnsi="Times New Roman" w:cs="Times New Roman"/>
                <w:color w:val="auto"/>
                <w:sz w:val="24"/>
                <w:highlight w:val="none"/>
                <w:u w:val="none"/>
              </w:rPr>
              <w:t xml:space="preserve"> +q</w:t>
            </w:r>
            <w:r>
              <w:rPr>
                <w:rFonts w:hint="default" w:ascii="Times New Roman" w:hAnsi="Times New Roman" w:cs="Times New Roman"/>
                <w:color w:val="auto"/>
                <w:sz w:val="24"/>
                <w:highlight w:val="none"/>
                <w:u w:val="none"/>
                <w:vertAlign w:val="subscript"/>
              </w:rPr>
              <w:t>2</w:t>
            </w:r>
            <w:r>
              <w:rPr>
                <w:rFonts w:hint="default" w:ascii="Times New Roman" w:hAnsi="Times New Roman" w:cs="Times New Roman"/>
                <w:color w:val="auto"/>
                <w:sz w:val="24"/>
                <w:highlight w:val="none"/>
                <w:u w:val="none"/>
              </w:rPr>
              <w:t>/Q</w:t>
            </w:r>
            <w:r>
              <w:rPr>
                <w:rFonts w:hint="default" w:ascii="Times New Roman" w:hAnsi="Times New Roman" w:cs="Times New Roman"/>
                <w:color w:val="auto"/>
                <w:sz w:val="24"/>
                <w:highlight w:val="none"/>
                <w:u w:val="none"/>
                <w:vertAlign w:val="subscript"/>
              </w:rPr>
              <w:t>2</w:t>
            </w:r>
            <w:r>
              <w:rPr>
                <w:rFonts w:hint="default" w:ascii="Times New Roman" w:hAnsi="Times New Roman" w:cs="Times New Roman"/>
                <w:color w:val="auto"/>
                <w:sz w:val="24"/>
                <w:highlight w:val="none"/>
                <w:u w:val="none"/>
              </w:rPr>
              <w:t xml:space="preserve"> +…+q</w:t>
            </w:r>
            <w:r>
              <w:rPr>
                <w:rFonts w:hint="default" w:ascii="Times New Roman" w:hAnsi="Times New Roman" w:cs="Times New Roman"/>
                <w:color w:val="auto"/>
                <w:sz w:val="24"/>
                <w:highlight w:val="none"/>
                <w:u w:val="none"/>
                <w:vertAlign w:val="subscript"/>
              </w:rPr>
              <w:t>n</w:t>
            </w:r>
            <w:r>
              <w:rPr>
                <w:rFonts w:hint="default" w:ascii="Times New Roman" w:hAnsi="Times New Roman" w:cs="Times New Roman"/>
                <w:color w:val="auto"/>
                <w:sz w:val="24"/>
                <w:highlight w:val="none"/>
                <w:u w:val="none"/>
              </w:rPr>
              <w:t xml:space="preserve"> /Q</w:t>
            </w:r>
            <w:r>
              <w:rPr>
                <w:rFonts w:hint="default" w:ascii="Times New Roman" w:hAnsi="Times New Roman" w:cs="Times New Roman"/>
                <w:color w:val="auto"/>
                <w:sz w:val="24"/>
                <w:highlight w:val="none"/>
                <w:u w:val="none"/>
                <w:vertAlign w:val="subscript"/>
              </w:rPr>
              <w:t>n</w:t>
            </w:r>
          </w:p>
          <w:p w14:paraId="6BC5FADB">
            <w:pPr>
              <w:spacing w:line="360" w:lineRule="auto"/>
              <w:ind w:firstLine="480" w:firstLineChars="200"/>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式中：q</w:t>
            </w:r>
            <w:r>
              <w:rPr>
                <w:rFonts w:hint="default" w:ascii="Times New Roman" w:hAnsi="Times New Roman" w:cs="Times New Roman"/>
                <w:color w:val="auto"/>
                <w:sz w:val="24"/>
                <w:highlight w:val="none"/>
                <w:u w:val="none"/>
                <w:vertAlign w:val="subscript"/>
              </w:rPr>
              <w:t>1</w:t>
            </w:r>
            <w:r>
              <w:rPr>
                <w:rFonts w:hint="default" w:ascii="Times New Roman" w:hAnsi="Times New Roman" w:cs="Times New Roman"/>
                <w:color w:val="auto"/>
                <w:sz w:val="24"/>
                <w:highlight w:val="none"/>
                <w:u w:val="none"/>
              </w:rPr>
              <w:t>，q</w:t>
            </w:r>
            <w:r>
              <w:rPr>
                <w:rFonts w:hint="default" w:ascii="Times New Roman" w:hAnsi="Times New Roman" w:cs="Times New Roman"/>
                <w:color w:val="auto"/>
                <w:sz w:val="24"/>
                <w:highlight w:val="none"/>
                <w:u w:val="none"/>
                <w:vertAlign w:val="subscript"/>
              </w:rPr>
              <w:t>2</w:t>
            </w:r>
            <w:r>
              <w:rPr>
                <w:rFonts w:hint="default" w:ascii="Times New Roman" w:hAnsi="Times New Roman" w:cs="Times New Roman"/>
                <w:color w:val="auto"/>
                <w:sz w:val="24"/>
                <w:highlight w:val="none"/>
                <w:u w:val="none"/>
              </w:rPr>
              <w:t>，…，q</w:t>
            </w:r>
            <w:r>
              <w:rPr>
                <w:rFonts w:hint="default" w:ascii="Times New Roman" w:hAnsi="Times New Roman" w:cs="Times New Roman"/>
                <w:color w:val="auto"/>
                <w:sz w:val="24"/>
                <w:highlight w:val="none"/>
                <w:u w:val="none"/>
                <w:vertAlign w:val="subscript"/>
              </w:rPr>
              <w:t>n</w:t>
            </w:r>
            <w:r>
              <w:rPr>
                <w:rFonts w:hint="default" w:ascii="Times New Roman" w:hAnsi="Times New Roman" w:cs="Times New Roman"/>
                <w:color w:val="auto"/>
                <w:sz w:val="24"/>
                <w:highlight w:val="none"/>
                <w:u w:val="none"/>
              </w:rPr>
              <w:t xml:space="preserve"> ———每种危险物质的最大存在总量，t；</w:t>
            </w:r>
          </w:p>
          <w:p w14:paraId="73A8ABD9">
            <w:pPr>
              <w:spacing w:line="360" w:lineRule="auto"/>
              <w:ind w:firstLine="480" w:firstLineChars="200"/>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Q</w:t>
            </w:r>
            <w:r>
              <w:rPr>
                <w:rFonts w:hint="default" w:ascii="Times New Roman" w:hAnsi="Times New Roman" w:cs="Times New Roman"/>
                <w:color w:val="auto"/>
                <w:sz w:val="24"/>
                <w:highlight w:val="none"/>
                <w:u w:val="none"/>
                <w:vertAlign w:val="subscript"/>
              </w:rPr>
              <w:t>1</w:t>
            </w:r>
            <w:r>
              <w:rPr>
                <w:rFonts w:hint="default" w:ascii="Times New Roman" w:hAnsi="Times New Roman" w:cs="Times New Roman"/>
                <w:color w:val="auto"/>
                <w:sz w:val="24"/>
                <w:highlight w:val="none"/>
                <w:u w:val="none"/>
              </w:rPr>
              <w:t>，Q</w:t>
            </w:r>
            <w:r>
              <w:rPr>
                <w:rFonts w:hint="default" w:ascii="Times New Roman" w:hAnsi="Times New Roman" w:cs="Times New Roman"/>
                <w:color w:val="auto"/>
                <w:sz w:val="24"/>
                <w:highlight w:val="none"/>
                <w:u w:val="none"/>
                <w:vertAlign w:val="subscript"/>
              </w:rPr>
              <w:t>2</w:t>
            </w:r>
            <w:r>
              <w:rPr>
                <w:rFonts w:hint="default" w:ascii="Times New Roman" w:hAnsi="Times New Roman" w:cs="Times New Roman"/>
                <w:color w:val="auto"/>
                <w:sz w:val="24"/>
                <w:highlight w:val="none"/>
                <w:u w:val="none"/>
              </w:rPr>
              <w:t>，…，Q</w:t>
            </w:r>
            <w:r>
              <w:rPr>
                <w:rFonts w:hint="default" w:ascii="Times New Roman" w:hAnsi="Times New Roman" w:cs="Times New Roman"/>
                <w:color w:val="auto"/>
                <w:sz w:val="24"/>
                <w:highlight w:val="none"/>
                <w:u w:val="none"/>
                <w:vertAlign w:val="subscript"/>
              </w:rPr>
              <w:t>n</w:t>
            </w:r>
            <w:r>
              <w:rPr>
                <w:rFonts w:hint="default" w:ascii="Times New Roman" w:hAnsi="Times New Roman" w:cs="Times New Roman"/>
                <w:color w:val="auto"/>
                <w:sz w:val="24"/>
                <w:highlight w:val="none"/>
                <w:u w:val="none"/>
              </w:rPr>
              <w:t xml:space="preserve"> ———每种危险物质的临界量，t。</w:t>
            </w:r>
          </w:p>
          <w:p w14:paraId="2C51EC42">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color w:val="auto"/>
                <w:sz w:val="24"/>
                <w:highlight w:val="none"/>
                <w:u w:val="none" w:color="auto"/>
              </w:rPr>
              <w:t>根据</w:t>
            </w:r>
            <w:r>
              <w:rPr>
                <w:rFonts w:hint="eastAsia" w:ascii="Times New Roman" w:hAnsi="Times New Roman" w:cs="Times New Roman"/>
                <w:color w:val="auto"/>
                <w:sz w:val="24"/>
                <w:highlight w:val="none"/>
                <w:u w:val="none" w:color="auto"/>
                <w:lang w:val="en-US" w:eastAsia="zh-CN"/>
              </w:rPr>
              <w:t>查询</w:t>
            </w:r>
            <w:r>
              <w:rPr>
                <w:rFonts w:hint="default" w:ascii="Times New Roman" w:hAnsi="Times New Roman" w:cs="Times New Roman"/>
                <w:color w:val="auto"/>
                <w:sz w:val="24"/>
                <w:highlight w:val="none"/>
                <w:u w:val="none" w:color="auto"/>
              </w:rPr>
              <w:t>《</w:t>
            </w:r>
            <w:bookmarkStart w:id="41" w:name="OLE_LINK1"/>
            <w:r>
              <w:rPr>
                <w:rFonts w:hint="default" w:ascii="Times New Roman" w:hAnsi="Times New Roman" w:cs="Times New Roman"/>
                <w:color w:val="auto"/>
                <w:sz w:val="24"/>
                <w:highlight w:val="none"/>
                <w:u w:val="none" w:color="auto"/>
              </w:rPr>
              <w:t>建设项目环境风险评价技术导则</w:t>
            </w:r>
            <w:bookmarkEnd w:id="41"/>
            <w:r>
              <w:rPr>
                <w:rFonts w:hint="default" w:ascii="Times New Roman" w:hAnsi="Times New Roman" w:cs="Times New Roman"/>
                <w:color w:val="auto"/>
                <w:sz w:val="24"/>
                <w:highlight w:val="none"/>
                <w:u w:val="none" w:color="auto"/>
              </w:rPr>
              <w:t>》（HJ169-2018），本项目</w:t>
            </w:r>
            <w:r>
              <w:rPr>
                <w:rFonts w:hint="eastAsia" w:cs="Times New Roman"/>
                <w:color w:val="auto"/>
                <w:sz w:val="24"/>
                <w:highlight w:val="none"/>
                <w:u w:val="none" w:color="auto"/>
                <w:lang w:val="en-US" w:eastAsia="zh-CN"/>
              </w:rPr>
              <w:t>所使用的机油、生产产生的危废属于健康危险急性毒性物质</w:t>
            </w:r>
            <w:r>
              <w:rPr>
                <w:rFonts w:hint="default" w:ascii="Times New Roman" w:hAnsi="Times New Roman" w:cs="Times New Roman"/>
                <w:color w:val="auto"/>
                <w:sz w:val="24"/>
                <w:highlight w:val="none"/>
                <w:u w:val="none" w:color="auto"/>
              </w:rPr>
              <w:t>。</w:t>
            </w:r>
            <w:r>
              <w:rPr>
                <w:rFonts w:hint="default" w:ascii="Times New Roman" w:hAnsi="Times New Roman" w:cs="Times New Roman"/>
                <w:bCs/>
                <w:color w:val="auto"/>
                <w:sz w:val="24"/>
                <w:highlight w:val="none"/>
                <w:u w:val="none" w:color="auto"/>
              </w:rPr>
              <w:t>本项目Q值确定见下表：</w:t>
            </w:r>
          </w:p>
          <w:p w14:paraId="110743A4">
            <w:pPr>
              <w:ind w:firstLine="422" w:firstLineChars="200"/>
              <w:jc w:val="center"/>
              <w:rPr>
                <w:rFonts w:hint="default" w:ascii="Times New Roman" w:hAnsi="Times New Roman" w:cs="Times New Roman"/>
                <w:b/>
                <w:color w:val="auto"/>
                <w:sz w:val="21"/>
                <w:szCs w:val="21"/>
                <w:highlight w:val="none"/>
                <w:u w:val="none" w:color="auto"/>
              </w:rPr>
            </w:pPr>
            <w:r>
              <w:rPr>
                <w:rFonts w:hint="default" w:ascii="Times New Roman" w:hAnsi="Times New Roman" w:cs="Times New Roman"/>
                <w:b/>
                <w:color w:val="auto"/>
                <w:sz w:val="21"/>
                <w:szCs w:val="21"/>
                <w:highlight w:val="none"/>
                <w:u w:val="none" w:color="auto"/>
              </w:rPr>
              <w:t>表4-</w:t>
            </w:r>
            <w:r>
              <w:rPr>
                <w:rFonts w:hint="eastAsia" w:cs="Times New Roman"/>
                <w:b/>
                <w:color w:val="auto"/>
                <w:sz w:val="21"/>
                <w:szCs w:val="21"/>
                <w:highlight w:val="none"/>
                <w:u w:val="none" w:color="auto"/>
                <w:lang w:val="en-US" w:eastAsia="zh-CN"/>
              </w:rPr>
              <w:t xml:space="preserve">18  </w:t>
            </w:r>
            <w:r>
              <w:rPr>
                <w:rFonts w:hint="default" w:ascii="Times New Roman" w:hAnsi="Times New Roman" w:cs="Times New Roman"/>
                <w:b/>
                <w:color w:val="auto"/>
                <w:sz w:val="21"/>
                <w:szCs w:val="21"/>
                <w:highlight w:val="none"/>
                <w:u w:val="none" w:color="auto"/>
              </w:rPr>
              <w:t>项目环境风险潜势划分</w:t>
            </w:r>
          </w:p>
          <w:tbl>
            <w:tblPr>
              <w:tblStyle w:val="33"/>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7"/>
              <w:gridCol w:w="1041"/>
              <w:gridCol w:w="865"/>
              <w:gridCol w:w="1196"/>
              <w:gridCol w:w="1017"/>
              <w:gridCol w:w="2228"/>
              <w:gridCol w:w="1049"/>
            </w:tblGrid>
            <w:tr w14:paraId="41AE37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1" w:hRule="atLeast"/>
                <w:jc w:val="center"/>
              </w:trPr>
              <w:tc>
                <w:tcPr>
                  <w:tcW w:w="374" w:type="pct"/>
                  <w:noWrap w:val="0"/>
                  <w:vAlign w:val="center"/>
                </w:tcPr>
                <w:p w14:paraId="50E7C5B4">
                  <w:pPr>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序号</w:t>
                  </w:r>
                </w:p>
              </w:tc>
              <w:tc>
                <w:tcPr>
                  <w:tcW w:w="651" w:type="pct"/>
                  <w:noWrap w:val="0"/>
                  <w:vAlign w:val="center"/>
                </w:tcPr>
                <w:p w14:paraId="74E0F27C">
                  <w:pPr>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危险物质名称</w:t>
                  </w:r>
                </w:p>
              </w:tc>
              <w:tc>
                <w:tcPr>
                  <w:tcW w:w="541" w:type="pct"/>
                  <w:noWrap w:val="0"/>
                  <w:vAlign w:val="center"/>
                </w:tcPr>
                <w:p w14:paraId="00CF5B9C">
                  <w:pPr>
                    <w:jc w:val="center"/>
                    <w:rPr>
                      <w:rFonts w:hint="default" w:ascii="Times New Roman" w:hAnsi="Times New Roman" w:eastAsia="宋体" w:cs="Times New Roman"/>
                      <w:b/>
                      <w:bCs/>
                      <w:color w:val="auto"/>
                      <w:sz w:val="21"/>
                      <w:szCs w:val="21"/>
                      <w:highlight w:val="none"/>
                      <w:u w:val="none" w:color="auto"/>
                      <w:lang w:val="en-US" w:eastAsia="zh-CN"/>
                    </w:rPr>
                  </w:pPr>
                  <w:r>
                    <w:rPr>
                      <w:rFonts w:hint="eastAsia" w:cs="Times New Roman"/>
                      <w:b/>
                      <w:bCs/>
                      <w:color w:val="auto"/>
                      <w:sz w:val="21"/>
                      <w:szCs w:val="21"/>
                      <w:highlight w:val="none"/>
                      <w:u w:val="none" w:color="auto"/>
                      <w:lang w:val="en-US" w:eastAsia="zh-CN"/>
                    </w:rPr>
                    <w:t>最大使用量t/a</w:t>
                  </w:r>
                </w:p>
              </w:tc>
              <w:tc>
                <w:tcPr>
                  <w:tcW w:w="748" w:type="pct"/>
                  <w:noWrap w:val="0"/>
                  <w:vAlign w:val="center"/>
                </w:tcPr>
                <w:p w14:paraId="3BFC74FB">
                  <w:pPr>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cs="Times New Roman"/>
                      <w:b/>
                      <w:bCs/>
                      <w:color w:val="auto"/>
                      <w:sz w:val="21"/>
                      <w:szCs w:val="21"/>
                      <w:highlight w:val="none"/>
                      <w:u w:val="none" w:color="auto"/>
                    </w:rPr>
                    <w:t>最大储存量q（t</w:t>
                  </w:r>
                  <w:r>
                    <w:rPr>
                      <w:rFonts w:hint="default" w:ascii="Times New Roman" w:hAnsi="Times New Roman" w:cs="Times New Roman"/>
                      <w:b/>
                      <w:bCs/>
                      <w:color w:val="auto"/>
                      <w:sz w:val="21"/>
                      <w:szCs w:val="21"/>
                      <w:highlight w:val="none"/>
                      <w:u w:val="none" w:color="auto"/>
                      <w:lang w:val="en-US" w:eastAsia="zh-CN"/>
                    </w:rPr>
                    <w:t>|）</w:t>
                  </w:r>
                </w:p>
              </w:tc>
              <w:tc>
                <w:tcPr>
                  <w:tcW w:w="636" w:type="pct"/>
                  <w:noWrap w:val="0"/>
                  <w:vAlign w:val="center"/>
                </w:tcPr>
                <w:p w14:paraId="37850C68">
                  <w:pPr>
                    <w:jc w:val="center"/>
                    <w:rPr>
                      <w:rFonts w:hint="default" w:ascii="Times New Roman" w:hAnsi="Times New Roman" w:eastAsia="宋体" w:cs="Times New Roman"/>
                      <w:b/>
                      <w:bCs/>
                      <w:color w:val="auto"/>
                      <w:sz w:val="21"/>
                      <w:szCs w:val="21"/>
                      <w:highlight w:val="none"/>
                      <w:u w:val="none" w:color="auto"/>
                      <w:lang w:val="en-US" w:eastAsia="zh-CN"/>
                    </w:rPr>
                  </w:pPr>
                  <w:r>
                    <w:rPr>
                      <w:rFonts w:hint="eastAsia" w:ascii="Times New Roman" w:hAnsi="Times New Roman" w:cs="Times New Roman"/>
                      <w:b/>
                      <w:bCs/>
                      <w:color w:val="auto"/>
                      <w:sz w:val="21"/>
                      <w:szCs w:val="21"/>
                      <w:highlight w:val="none"/>
                      <w:u w:val="none" w:color="auto"/>
                      <w:lang w:val="en-US" w:eastAsia="zh-CN"/>
                    </w:rPr>
                    <w:t>CAS号</w:t>
                  </w:r>
                </w:p>
              </w:tc>
              <w:tc>
                <w:tcPr>
                  <w:tcW w:w="1391" w:type="pct"/>
                  <w:noWrap w:val="0"/>
                  <w:vAlign w:val="center"/>
                </w:tcPr>
                <w:p w14:paraId="5CE3B9C3">
                  <w:pPr>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临界量Q（t）</w:t>
                  </w:r>
                </w:p>
              </w:tc>
              <w:tc>
                <w:tcPr>
                  <w:tcW w:w="655" w:type="pct"/>
                  <w:noWrap w:val="0"/>
                  <w:vAlign w:val="center"/>
                </w:tcPr>
                <w:p w14:paraId="3DB2623A">
                  <w:pPr>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q/Q</w:t>
                  </w:r>
                </w:p>
              </w:tc>
            </w:tr>
            <w:tr w14:paraId="05F6FF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6" w:hRule="atLeast"/>
                <w:jc w:val="center"/>
              </w:trPr>
              <w:tc>
                <w:tcPr>
                  <w:tcW w:w="374" w:type="pct"/>
                  <w:shd w:val="clear" w:color="auto" w:fill="auto"/>
                  <w:noWrap w:val="0"/>
                  <w:vAlign w:val="center"/>
                </w:tcPr>
                <w:p w14:paraId="2A062FC9">
                  <w:pPr>
                    <w:jc w:val="center"/>
                    <w:rPr>
                      <w:rFonts w:hint="default" w:ascii="Times New Roman" w:hAnsi="Times New Roman" w:eastAsia="宋体" w:cs="Times New Roman"/>
                      <w:color w:val="auto"/>
                      <w:kern w:val="2"/>
                      <w:sz w:val="21"/>
                      <w:szCs w:val="21"/>
                      <w:highlight w:val="none"/>
                      <w:u w:val="single" w:color="auto"/>
                      <w:lang w:val="en-US" w:eastAsia="zh-CN" w:bidi="ar-SA"/>
                    </w:rPr>
                  </w:pPr>
                  <w:r>
                    <w:rPr>
                      <w:rFonts w:hint="eastAsia" w:cs="Times New Roman"/>
                      <w:color w:val="auto"/>
                      <w:kern w:val="2"/>
                      <w:sz w:val="21"/>
                      <w:szCs w:val="21"/>
                      <w:highlight w:val="none"/>
                      <w:u w:val="single" w:color="auto"/>
                      <w:lang w:val="en-US" w:eastAsia="zh-CN" w:bidi="ar-SA"/>
                    </w:rPr>
                    <w:t>1</w:t>
                  </w:r>
                </w:p>
              </w:tc>
              <w:tc>
                <w:tcPr>
                  <w:tcW w:w="651" w:type="pct"/>
                  <w:shd w:val="clear" w:color="auto" w:fill="auto"/>
                  <w:noWrap w:val="0"/>
                  <w:vAlign w:val="center"/>
                </w:tcPr>
                <w:p w14:paraId="55B1912C">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2"/>
                      <w:kern w:val="2"/>
                      <w:sz w:val="21"/>
                      <w:szCs w:val="21"/>
                      <w:highlight w:val="none"/>
                      <w:u w:val="single" w:color="auto"/>
                      <w:lang w:val="en-US" w:eastAsia="zh-CN" w:bidi="ar-SA"/>
                    </w:rPr>
                  </w:pPr>
                  <w:r>
                    <w:rPr>
                      <w:rFonts w:hint="eastAsia" w:ascii="Times New Roman" w:hAnsi="Times New Roman" w:cs="Times New Roman"/>
                      <w:color w:val="auto"/>
                      <w:spacing w:val="-2"/>
                      <w:sz w:val="21"/>
                      <w:szCs w:val="21"/>
                      <w:highlight w:val="none"/>
                      <w:u w:val="single" w:color="auto"/>
                      <w:lang w:val="en-US" w:eastAsia="zh-CN"/>
                    </w:rPr>
                    <w:t>液化石油气（残液）</w:t>
                  </w:r>
                </w:p>
              </w:tc>
              <w:tc>
                <w:tcPr>
                  <w:tcW w:w="541" w:type="pct"/>
                  <w:shd w:val="clear" w:color="auto" w:fill="auto"/>
                  <w:noWrap w:val="0"/>
                  <w:vAlign w:val="center"/>
                </w:tcPr>
                <w:p w14:paraId="5C182DAA">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pacing w:val="-2"/>
                      <w:sz w:val="21"/>
                      <w:szCs w:val="21"/>
                      <w:highlight w:val="none"/>
                      <w:u w:val="single" w:color="auto"/>
                      <w:lang w:val="en-US" w:eastAsia="zh-CN"/>
                    </w:rPr>
                  </w:pPr>
                  <w:r>
                    <w:rPr>
                      <w:rFonts w:hint="eastAsia" w:ascii="Times New Roman" w:hAnsi="Times New Roman" w:cs="Times New Roman"/>
                      <w:color w:val="auto"/>
                      <w:spacing w:val="-2"/>
                      <w:sz w:val="21"/>
                      <w:szCs w:val="21"/>
                      <w:highlight w:val="none"/>
                      <w:u w:val="single" w:color="auto"/>
                      <w:lang w:val="en-US" w:eastAsia="zh-CN"/>
                    </w:rPr>
                    <w:t>5.94</w:t>
                  </w:r>
                </w:p>
              </w:tc>
              <w:tc>
                <w:tcPr>
                  <w:tcW w:w="748" w:type="pct"/>
                  <w:tcBorders>
                    <w:bottom w:val="single" w:color="auto" w:sz="4" w:space="0"/>
                  </w:tcBorders>
                  <w:shd w:val="clear" w:color="auto" w:fill="auto"/>
                  <w:noWrap w:val="0"/>
                  <w:vAlign w:val="center"/>
                </w:tcPr>
                <w:p w14:paraId="0996C948">
                  <w:pPr>
                    <w:jc w:val="center"/>
                    <w:rPr>
                      <w:rFonts w:hint="default" w:ascii="Times New Roman" w:hAnsi="Times New Roman" w:eastAsia="宋体" w:cs="Times New Roman"/>
                      <w:color w:val="auto"/>
                      <w:kern w:val="2"/>
                      <w:sz w:val="21"/>
                      <w:szCs w:val="21"/>
                      <w:highlight w:val="none"/>
                      <w:u w:val="single" w:color="auto"/>
                      <w:lang w:val="en-US" w:eastAsia="zh-CN" w:bidi="ar-SA"/>
                    </w:rPr>
                  </w:pPr>
                  <w:r>
                    <w:rPr>
                      <w:rFonts w:hint="eastAsia" w:cs="Times New Roman"/>
                      <w:color w:val="auto"/>
                      <w:sz w:val="21"/>
                      <w:szCs w:val="21"/>
                      <w:highlight w:val="none"/>
                      <w:u w:val="single" w:color="auto"/>
                      <w:lang w:val="en-US" w:eastAsia="zh-CN"/>
                    </w:rPr>
                    <w:t>0.53</w:t>
                  </w:r>
                </w:p>
              </w:tc>
              <w:tc>
                <w:tcPr>
                  <w:tcW w:w="636" w:type="pct"/>
                  <w:tcBorders>
                    <w:bottom w:val="single" w:color="auto" w:sz="4" w:space="0"/>
                  </w:tcBorders>
                  <w:noWrap w:val="0"/>
                  <w:vAlign w:val="center"/>
                </w:tcPr>
                <w:p w14:paraId="24C2B853">
                  <w:pPr>
                    <w:jc w:val="center"/>
                    <w:rPr>
                      <w:rFonts w:hint="default" w:ascii="Times New Roman" w:hAnsi="Times New Roman"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74-98-6</w:t>
                  </w:r>
                </w:p>
              </w:tc>
              <w:tc>
                <w:tcPr>
                  <w:tcW w:w="1391" w:type="pct"/>
                  <w:shd w:val="clear" w:color="auto" w:fill="auto"/>
                  <w:noWrap w:val="0"/>
                  <w:vAlign w:val="center"/>
                </w:tcPr>
                <w:p w14:paraId="65DCC739">
                  <w:pPr>
                    <w:jc w:val="center"/>
                    <w:rPr>
                      <w:rFonts w:hint="default" w:ascii="Times New Roman" w:hAnsi="Times New Roman" w:eastAsia="宋体" w:cs="Times New Roman"/>
                      <w:color w:val="auto"/>
                      <w:kern w:val="2"/>
                      <w:sz w:val="21"/>
                      <w:szCs w:val="21"/>
                      <w:highlight w:val="none"/>
                      <w:u w:val="single" w:color="auto"/>
                      <w:lang w:val="en-US" w:eastAsia="zh-CN" w:bidi="ar-SA"/>
                    </w:rPr>
                  </w:pPr>
                  <w:r>
                    <w:rPr>
                      <w:rFonts w:hint="eastAsia" w:cs="Times New Roman"/>
                      <w:color w:val="auto"/>
                      <w:sz w:val="21"/>
                      <w:szCs w:val="21"/>
                      <w:highlight w:val="none"/>
                      <w:u w:val="single" w:color="auto"/>
                      <w:lang w:val="en-US" w:eastAsia="zh-CN"/>
                    </w:rPr>
                    <w:t>10</w:t>
                  </w:r>
                </w:p>
              </w:tc>
              <w:tc>
                <w:tcPr>
                  <w:tcW w:w="655" w:type="pct"/>
                  <w:shd w:val="clear" w:color="auto" w:fill="auto"/>
                  <w:noWrap w:val="0"/>
                  <w:vAlign w:val="center"/>
                </w:tcPr>
                <w:p w14:paraId="3F5ED4BD">
                  <w:pPr>
                    <w:jc w:val="center"/>
                    <w:rPr>
                      <w:rFonts w:hint="default" w:ascii="Times New Roman" w:hAnsi="Times New Roman" w:eastAsia="宋体" w:cs="Times New Roman"/>
                      <w:color w:val="auto"/>
                      <w:kern w:val="2"/>
                      <w:sz w:val="21"/>
                      <w:szCs w:val="21"/>
                      <w:highlight w:val="none"/>
                      <w:u w:val="single" w:color="auto"/>
                      <w:lang w:val="en-US" w:eastAsia="zh-CN" w:bidi="ar-SA"/>
                    </w:rPr>
                  </w:pPr>
                  <w:r>
                    <w:rPr>
                      <w:rFonts w:hint="default" w:ascii="Times New Roman" w:hAnsi="Times New Roman" w:cs="Times New Roman"/>
                      <w:color w:val="auto"/>
                      <w:sz w:val="21"/>
                      <w:szCs w:val="21"/>
                      <w:highlight w:val="none"/>
                      <w:u w:val="single" w:color="auto"/>
                    </w:rPr>
                    <w:t>0.</w:t>
                  </w:r>
                  <w:r>
                    <w:rPr>
                      <w:rFonts w:hint="eastAsia" w:cs="Times New Roman"/>
                      <w:color w:val="auto"/>
                      <w:sz w:val="21"/>
                      <w:szCs w:val="21"/>
                      <w:highlight w:val="none"/>
                      <w:u w:val="single" w:color="auto"/>
                      <w:lang w:val="en-US" w:eastAsia="zh-CN"/>
                    </w:rPr>
                    <w:t>053</w:t>
                  </w:r>
                </w:p>
              </w:tc>
            </w:tr>
            <w:tr w14:paraId="5D5CE2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6" w:hRule="atLeast"/>
                <w:jc w:val="center"/>
              </w:trPr>
              <w:tc>
                <w:tcPr>
                  <w:tcW w:w="374" w:type="pct"/>
                  <w:shd w:val="clear" w:color="auto" w:fill="auto"/>
                  <w:noWrap w:val="0"/>
                  <w:vAlign w:val="center"/>
                </w:tcPr>
                <w:p w14:paraId="650BEA36">
                  <w:pPr>
                    <w:jc w:val="center"/>
                    <w:rPr>
                      <w:rFonts w:hint="eastAsia" w:cs="Times New Roman"/>
                      <w:color w:val="auto"/>
                      <w:kern w:val="2"/>
                      <w:sz w:val="21"/>
                      <w:szCs w:val="21"/>
                      <w:highlight w:val="none"/>
                      <w:u w:val="single" w:color="auto"/>
                      <w:lang w:val="en-US" w:eastAsia="zh-CN" w:bidi="ar-SA"/>
                    </w:rPr>
                  </w:pPr>
                  <w:r>
                    <w:rPr>
                      <w:rFonts w:hint="eastAsia" w:cs="Times New Roman"/>
                      <w:color w:val="auto"/>
                      <w:kern w:val="2"/>
                      <w:sz w:val="21"/>
                      <w:szCs w:val="21"/>
                      <w:highlight w:val="none"/>
                      <w:u w:val="single" w:color="auto"/>
                      <w:lang w:val="en-US" w:eastAsia="zh-CN" w:bidi="ar-SA"/>
                    </w:rPr>
                    <w:t>2</w:t>
                  </w:r>
                </w:p>
              </w:tc>
              <w:tc>
                <w:tcPr>
                  <w:tcW w:w="651" w:type="pct"/>
                  <w:shd w:val="clear" w:color="auto" w:fill="auto"/>
                  <w:noWrap w:val="0"/>
                  <w:vAlign w:val="center"/>
                </w:tcPr>
                <w:p w14:paraId="3272A2C9">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pacing w:val="-2"/>
                      <w:sz w:val="21"/>
                      <w:szCs w:val="21"/>
                      <w:highlight w:val="none"/>
                      <w:u w:val="single" w:color="auto"/>
                      <w:lang w:val="en-US" w:eastAsia="zh-CN"/>
                    </w:rPr>
                  </w:pPr>
                  <w:r>
                    <w:rPr>
                      <w:rFonts w:hint="eastAsia" w:ascii="Times New Roman" w:hAnsi="Times New Roman" w:cs="Times New Roman"/>
                      <w:color w:val="auto"/>
                      <w:spacing w:val="-2"/>
                      <w:sz w:val="21"/>
                      <w:szCs w:val="21"/>
                      <w:highlight w:val="none"/>
                      <w:u w:val="single" w:color="auto"/>
                      <w:lang w:val="en-US" w:eastAsia="zh-CN"/>
                    </w:rPr>
                    <w:t>机油</w:t>
                  </w:r>
                </w:p>
              </w:tc>
              <w:tc>
                <w:tcPr>
                  <w:tcW w:w="541" w:type="pct"/>
                  <w:shd w:val="clear" w:color="auto" w:fill="auto"/>
                  <w:noWrap w:val="0"/>
                  <w:vAlign w:val="center"/>
                </w:tcPr>
                <w:p w14:paraId="014362D2">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pacing w:val="-2"/>
                      <w:sz w:val="21"/>
                      <w:szCs w:val="21"/>
                      <w:highlight w:val="none"/>
                      <w:u w:val="single" w:color="auto"/>
                      <w:lang w:val="en-US" w:eastAsia="zh-CN"/>
                    </w:rPr>
                  </w:pPr>
                  <w:r>
                    <w:rPr>
                      <w:rFonts w:hint="eastAsia" w:ascii="Times New Roman" w:hAnsi="Times New Roman" w:cs="Times New Roman"/>
                      <w:color w:val="auto"/>
                      <w:spacing w:val="-2"/>
                      <w:sz w:val="21"/>
                      <w:szCs w:val="21"/>
                      <w:highlight w:val="none"/>
                      <w:u w:val="single" w:color="auto"/>
                      <w:lang w:val="en-US" w:eastAsia="zh-CN"/>
                    </w:rPr>
                    <w:t>0.3</w:t>
                  </w:r>
                </w:p>
              </w:tc>
              <w:tc>
                <w:tcPr>
                  <w:tcW w:w="748" w:type="pct"/>
                  <w:tcBorders>
                    <w:top w:val="single" w:color="auto" w:sz="4" w:space="0"/>
                    <w:bottom w:val="single" w:color="auto" w:sz="4" w:space="0"/>
                  </w:tcBorders>
                  <w:shd w:val="clear" w:color="auto" w:fill="auto"/>
                  <w:noWrap w:val="0"/>
                  <w:vAlign w:val="center"/>
                </w:tcPr>
                <w:p w14:paraId="73CA94B7">
                  <w:pPr>
                    <w:jc w:val="center"/>
                    <w:rPr>
                      <w:rFonts w:hint="default"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0.1</w:t>
                  </w:r>
                </w:p>
              </w:tc>
              <w:tc>
                <w:tcPr>
                  <w:tcW w:w="636" w:type="pct"/>
                  <w:tcBorders>
                    <w:top w:val="single" w:color="auto" w:sz="4" w:space="0"/>
                    <w:bottom w:val="single" w:color="auto" w:sz="4" w:space="0"/>
                  </w:tcBorders>
                  <w:noWrap w:val="0"/>
                  <w:vAlign w:val="center"/>
                </w:tcPr>
                <w:p w14:paraId="4556E36B">
                  <w:pPr>
                    <w:jc w:val="center"/>
                    <w:rPr>
                      <w:rFonts w:hint="eastAsia" w:ascii="Times New Roman" w:hAnsi="Times New Roman" w:eastAsia="宋体" w:cs="Times New Roman"/>
                      <w:color w:val="auto"/>
                      <w:kern w:val="0"/>
                      <w:sz w:val="21"/>
                      <w:szCs w:val="21"/>
                      <w:highlight w:val="none"/>
                      <w:u w:val="single" w:color="auto"/>
                      <w:lang w:val="en-US" w:eastAsia="zh-CN"/>
                    </w:rPr>
                  </w:pPr>
                  <w:r>
                    <w:rPr>
                      <w:rFonts w:hint="eastAsia" w:cs="Times New Roman"/>
                      <w:color w:val="auto"/>
                      <w:kern w:val="0"/>
                      <w:sz w:val="21"/>
                      <w:szCs w:val="21"/>
                      <w:highlight w:val="none"/>
                      <w:u w:val="single" w:color="auto"/>
                      <w:lang w:val="en-US" w:eastAsia="zh-CN"/>
                    </w:rPr>
                    <w:t>/</w:t>
                  </w:r>
                </w:p>
              </w:tc>
              <w:tc>
                <w:tcPr>
                  <w:tcW w:w="1391" w:type="pct"/>
                  <w:shd w:val="clear" w:color="auto" w:fill="auto"/>
                  <w:noWrap w:val="0"/>
                  <w:vAlign w:val="center"/>
                </w:tcPr>
                <w:p w14:paraId="689C0058">
                  <w:pPr>
                    <w:jc w:val="center"/>
                    <w:rPr>
                      <w:rFonts w:hint="eastAsia" w:eastAsia="宋体" w:cs="Times New Roman"/>
                      <w:color w:val="auto"/>
                      <w:sz w:val="21"/>
                      <w:szCs w:val="21"/>
                      <w:highlight w:val="none"/>
                      <w:u w:val="single" w:color="auto"/>
                      <w:lang w:val="en-US" w:eastAsia="zh-CN"/>
                    </w:rPr>
                  </w:pPr>
                  <w:r>
                    <w:rPr>
                      <w:rFonts w:hint="default" w:ascii="Times New Roman" w:hAnsi="Times New Roman" w:cs="Times New Roman"/>
                      <w:color w:val="auto"/>
                      <w:szCs w:val="21"/>
                      <w:u w:val="single" w:color="auto"/>
                    </w:rPr>
                    <w:t>2500</w:t>
                  </w:r>
                  <w:r>
                    <w:rPr>
                      <w:rFonts w:hint="eastAsia" w:cs="Times New Roman"/>
                      <w:color w:val="auto"/>
                      <w:szCs w:val="21"/>
                      <w:u w:val="single" w:color="auto"/>
                      <w:lang w:eastAsia="zh-CN"/>
                    </w:rPr>
                    <w:t>（</w:t>
                  </w:r>
                  <w:r>
                    <w:rPr>
                      <w:rFonts w:hint="default" w:ascii="Times New Roman" w:hAnsi="Times New Roman" w:cs="Times New Roman"/>
                      <w:color w:val="auto"/>
                      <w:kern w:val="0"/>
                      <w:sz w:val="21"/>
                      <w:szCs w:val="21"/>
                      <w:highlight w:val="none"/>
                      <w:u w:val="single" w:color="auto"/>
                      <w:lang w:val="zh-CN"/>
                    </w:rPr>
                    <w:t>油类物质</w:t>
                  </w:r>
                  <w:r>
                    <w:rPr>
                      <w:rFonts w:hint="eastAsia" w:cs="Times New Roman"/>
                      <w:color w:val="auto"/>
                      <w:szCs w:val="21"/>
                      <w:u w:val="single" w:color="auto"/>
                      <w:lang w:eastAsia="zh-CN"/>
                    </w:rPr>
                    <w:t>）</w:t>
                  </w:r>
                </w:p>
              </w:tc>
              <w:tc>
                <w:tcPr>
                  <w:tcW w:w="655" w:type="pct"/>
                  <w:shd w:val="clear" w:color="auto" w:fill="auto"/>
                  <w:noWrap w:val="0"/>
                  <w:vAlign w:val="center"/>
                </w:tcPr>
                <w:p w14:paraId="1417DD28">
                  <w:pPr>
                    <w:jc w:val="center"/>
                    <w:rPr>
                      <w:rFonts w:hint="default" w:ascii="Times New Roman" w:hAnsi="Times New Roman" w:eastAsia="宋体"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0.00004</w:t>
                  </w:r>
                </w:p>
              </w:tc>
            </w:tr>
            <w:tr w14:paraId="7170AC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6" w:hRule="atLeast"/>
                <w:jc w:val="center"/>
              </w:trPr>
              <w:tc>
                <w:tcPr>
                  <w:tcW w:w="374" w:type="pct"/>
                  <w:shd w:val="clear" w:color="auto" w:fill="auto"/>
                  <w:noWrap w:val="0"/>
                  <w:vAlign w:val="center"/>
                </w:tcPr>
                <w:p w14:paraId="4F6F5516">
                  <w:pPr>
                    <w:jc w:val="center"/>
                    <w:rPr>
                      <w:rFonts w:hint="eastAsia" w:cs="Times New Roman"/>
                      <w:color w:val="auto"/>
                      <w:kern w:val="2"/>
                      <w:sz w:val="21"/>
                      <w:szCs w:val="21"/>
                      <w:highlight w:val="none"/>
                      <w:u w:val="single" w:color="auto"/>
                      <w:lang w:val="en-US" w:eastAsia="zh-CN" w:bidi="ar-SA"/>
                    </w:rPr>
                  </w:pPr>
                  <w:r>
                    <w:rPr>
                      <w:rFonts w:hint="eastAsia" w:cs="Times New Roman"/>
                      <w:color w:val="auto"/>
                      <w:kern w:val="2"/>
                      <w:sz w:val="21"/>
                      <w:szCs w:val="21"/>
                      <w:highlight w:val="none"/>
                      <w:u w:val="single" w:color="auto"/>
                      <w:lang w:val="en-US" w:eastAsia="zh-CN" w:bidi="ar-SA"/>
                    </w:rPr>
                    <w:t>3</w:t>
                  </w:r>
                </w:p>
              </w:tc>
              <w:tc>
                <w:tcPr>
                  <w:tcW w:w="651" w:type="pct"/>
                  <w:shd w:val="clear" w:color="auto" w:fill="auto"/>
                  <w:noWrap w:val="0"/>
                  <w:vAlign w:val="center"/>
                </w:tcPr>
                <w:p w14:paraId="7FCB8F2E">
                  <w:pPr>
                    <w:jc w:val="center"/>
                    <w:rPr>
                      <w:rFonts w:hint="eastAsia" w:ascii="Times New Roman" w:hAnsi="Times New Roman" w:eastAsia="宋体" w:cs="Times New Roman"/>
                      <w:color w:val="auto"/>
                      <w:kern w:val="2"/>
                      <w:sz w:val="21"/>
                      <w:szCs w:val="21"/>
                      <w:highlight w:val="none"/>
                      <w:u w:val="single" w:color="auto"/>
                      <w:lang w:val="en-US" w:eastAsia="zh-CN" w:bidi="ar-SA"/>
                    </w:rPr>
                  </w:pPr>
                  <w:r>
                    <w:rPr>
                      <w:rFonts w:hint="eastAsia" w:cs="Times New Roman"/>
                      <w:color w:val="auto"/>
                      <w:sz w:val="21"/>
                      <w:szCs w:val="21"/>
                      <w:highlight w:val="none"/>
                      <w:u w:val="single" w:color="auto"/>
                      <w:lang w:val="en-US" w:eastAsia="zh-CN"/>
                    </w:rPr>
                    <w:t>危废（废机油、废机油桶）</w:t>
                  </w:r>
                </w:p>
              </w:tc>
              <w:tc>
                <w:tcPr>
                  <w:tcW w:w="541" w:type="pct"/>
                  <w:shd w:val="clear" w:color="auto" w:fill="auto"/>
                  <w:noWrap w:val="0"/>
                  <w:vAlign w:val="center"/>
                </w:tcPr>
                <w:p w14:paraId="2B6FCC38">
                  <w:pPr>
                    <w:jc w:val="center"/>
                    <w:rPr>
                      <w:rFonts w:hint="default" w:ascii="Times New Roman" w:hAnsi="Times New Roman" w:eastAsia="宋体" w:cs="Times New Roman"/>
                      <w:color w:val="auto"/>
                      <w:kern w:val="2"/>
                      <w:sz w:val="21"/>
                      <w:szCs w:val="21"/>
                      <w:highlight w:val="none"/>
                      <w:u w:val="single" w:color="auto"/>
                      <w:lang w:val="en-US" w:eastAsia="zh-CN" w:bidi="ar-SA"/>
                    </w:rPr>
                  </w:pPr>
                  <w:r>
                    <w:rPr>
                      <w:rFonts w:hint="eastAsia" w:cs="Times New Roman"/>
                      <w:color w:val="auto"/>
                      <w:sz w:val="21"/>
                      <w:szCs w:val="21"/>
                      <w:highlight w:val="none"/>
                      <w:u w:val="single" w:color="auto"/>
                      <w:lang w:val="en-US" w:eastAsia="zh-CN"/>
                    </w:rPr>
                    <w:t>0.06</w:t>
                  </w:r>
                </w:p>
              </w:tc>
              <w:tc>
                <w:tcPr>
                  <w:tcW w:w="748" w:type="pct"/>
                  <w:tcBorders>
                    <w:top w:val="single" w:color="auto" w:sz="4" w:space="0"/>
                    <w:bottom w:val="single" w:color="auto" w:sz="4" w:space="0"/>
                  </w:tcBorders>
                  <w:shd w:val="clear" w:color="auto" w:fill="auto"/>
                  <w:noWrap w:val="0"/>
                  <w:vAlign w:val="center"/>
                </w:tcPr>
                <w:p w14:paraId="7765BF02">
                  <w:pPr>
                    <w:jc w:val="center"/>
                    <w:rPr>
                      <w:rFonts w:hint="default" w:ascii="Times New Roman" w:hAnsi="Times New Roman" w:eastAsia="宋体" w:cs="Times New Roman"/>
                      <w:color w:val="auto"/>
                      <w:kern w:val="2"/>
                      <w:sz w:val="21"/>
                      <w:szCs w:val="21"/>
                      <w:highlight w:val="none"/>
                      <w:u w:val="single" w:color="auto"/>
                      <w:lang w:val="en-US" w:eastAsia="zh-CN" w:bidi="ar-SA"/>
                    </w:rPr>
                  </w:pPr>
                  <w:r>
                    <w:rPr>
                      <w:rFonts w:hint="eastAsia" w:cs="Times New Roman"/>
                      <w:color w:val="auto"/>
                      <w:sz w:val="21"/>
                      <w:szCs w:val="21"/>
                      <w:highlight w:val="none"/>
                      <w:u w:val="single" w:color="auto"/>
                      <w:lang w:val="en-US" w:eastAsia="zh-CN"/>
                    </w:rPr>
                    <w:t>0.02</w:t>
                  </w:r>
                </w:p>
              </w:tc>
              <w:tc>
                <w:tcPr>
                  <w:tcW w:w="636" w:type="pct"/>
                  <w:tcBorders>
                    <w:top w:val="single" w:color="auto" w:sz="4" w:space="0"/>
                    <w:bottom w:val="single" w:color="auto" w:sz="4" w:space="0"/>
                  </w:tcBorders>
                  <w:shd w:val="clear" w:color="auto" w:fill="auto"/>
                  <w:noWrap w:val="0"/>
                  <w:vAlign w:val="center"/>
                </w:tcPr>
                <w:p w14:paraId="6953DE7C">
                  <w:pPr>
                    <w:jc w:val="center"/>
                    <w:rPr>
                      <w:rFonts w:hint="default" w:ascii="Times New Roman" w:hAnsi="Times New Roman" w:eastAsia="宋体" w:cs="Times New Roman"/>
                      <w:color w:val="auto"/>
                      <w:kern w:val="2"/>
                      <w:sz w:val="21"/>
                      <w:szCs w:val="21"/>
                      <w:highlight w:val="none"/>
                      <w:u w:val="single" w:color="auto"/>
                      <w:lang w:val="zh-CN" w:eastAsia="zh-CN" w:bidi="ar-SA"/>
                    </w:rPr>
                  </w:pPr>
                  <w:r>
                    <w:rPr>
                      <w:rFonts w:hint="eastAsia" w:cs="Times New Roman"/>
                      <w:color w:val="auto"/>
                      <w:sz w:val="21"/>
                      <w:szCs w:val="21"/>
                      <w:highlight w:val="none"/>
                      <w:u w:val="single" w:color="auto"/>
                      <w:lang w:val="en-US" w:eastAsia="zh-CN"/>
                    </w:rPr>
                    <w:t>/</w:t>
                  </w:r>
                </w:p>
              </w:tc>
              <w:tc>
                <w:tcPr>
                  <w:tcW w:w="1391" w:type="pct"/>
                  <w:shd w:val="clear" w:color="auto" w:fill="auto"/>
                  <w:noWrap w:val="0"/>
                  <w:vAlign w:val="center"/>
                </w:tcPr>
                <w:p w14:paraId="3D6DCB8C">
                  <w:pPr>
                    <w:jc w:val="center"/>
                    <w:rPr>
                      <w:rFonts w:hint="default" w:ascii="Times New Roman" w:hAnsi="Times New Roman" w:eastAsia="宋体" w:cs="Times New Roman"/>
                      <w:color w:val="auto"/>
                      <w:kern w:val="2"/>
                      <w:sz w:val="21"/>
                      <w:szCs w:val="21"/>
                      <w:highlight w:val="none"/>
                      <w:u w:val="single" w:color="auto"/>
                      <w:lang w:val="en-US" w:eastAsia="zh-CN" w:bidi="ar-SA"/>
                    </w:rPr>
                  </w:pPr>
                  <w:r>
                    <w:rPr>
                      <w:rFonts w:hint="eastAsia" w:cs="Times New Roman"/>
                      <w:color w:val="auto"/>
                      <w:sz w:val="21"/>
                      <w:szCs w:val="21"/>
                      <w:highlight w:val="none"/>
                      <w:u w:val="single" w:color="auto"/>
                      <w:lang w:val="en-US" w:eastAsia="zh-CN"/>
                    </w:rPr>
                    <w:t>50（</w:t>
                  </w:r>
                  <w:r>
                    <w:rPr>
                      <w:rFonts w:hint="default" w:ascii="Times New Roman" w:hAnsi="Times New Roman" w:cs="Times New Roman"/>
                      <w:color w:val="auto"/>
                      <w:kern w:val="0"/>
                      <w:sz w:val="21"/>
                      <w:szCs w:val="21"/>
                      <w:highlight w:val="none"/>
                      <w:u w:val="single" w:color="auto"/>
                      <w:lang w:val="zh-CN"/>
                    </w:rPr>
                    <w:t>健康危险急性毒性物质（类别2，类别3）</w:t>
                  </w:r>
                  <w:r>
                    <w:rPr>
                      <w:rFonts w:hint="eastAsia" w:cs="Times New Roman"/>
                      <w:color w:val="auto"/>
                      <w:sz w:val="21"/>
                      <w:szCs w:val="21"/>
                      <w:highlight w:val="none"/>
                      <w:u w:val="single" w:color="auto"/>
                      <w:lang w:val="en-US" w:eastAsia="zh-CN"/>
                    </w:rPr>
                    <w:t>）</w:t>
                  </w:r>
                </w:p>
              </w:tc>
              <w:tc>
                <w:tcPr>
                  <w:tcW w:w="655" w:type="pct"/>
                  <w:shd w:val="clear" w:color="auto" w:fill="auto"/>
                  <w:noWrap w:val="0"/>
                  <w:vAlign w:val="center"/>
                </w:tcPr>
                <w:p w14:paraId="3C48FB34">
                  <w:pPr>
                    <w:jc w:val="center"/>
                    <w:rPr>
                      <w:rFonts w:hint="default" w:ascii="Times New Roman" w:hAnsi="Times New Roman" w:eastAsia="宋体" w:cs="Times New Roman"/>
                      <w:color w:val="auto"/>
                      <w:kern w:val="2"/>
                      <w:sz w:val="21"/>
                      <w:szCs w:val="21"/>
                      <w:highlight w:val="none"/>
                      <w:u w:val="single" w:color="auto"/>
                      <w:lang w:val="en-US" w:eastAsia="zh-CN" w:bidi="ar-SA"/>
                    </w:rPr>
                  </w:pPr>
                  <w:r>
                    <w:rPr>
                      <w:rFonts w:hint="eastAsia" w:cs="Times New Roman"/>
                      <w:color w:val="auto"/>
                      <w:sz w:val="21"/>
                      <w:szCs w:val="21"/>
                      <w:highlight w:val="none"/>
                      <w:u w:val="single" w:color="auto"/>
                      <w:lang w:val="en-US" w:eastAsia="zh-CN"/>
                    </w:rPr>
                    <w:t>0.0004</w:t>
                  </w:r>
                </w:p>
              </w:tc>
            </w:tr>
            <w:tr w14:paraId="08FDF0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4344" w:type="pct"/>
                  <w:gridSpan w:val="6"/>
                  <w:noWrap w:val="0"/>
                  <w:vAlign w:val="center"/>
                </w:tcPr>
                <w:p w14:paraId="4BA85215">
                  <w:pPr>
                    <w:jc w:val="center"/>
                    <w:rPr>
                      <w:rFonts w:hint="default"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合计</w:t>
                  </w:r>
                </w:p>
              </w:tc>
              <w:tc>
                <w:tcPr>
                  <w:tcW w:w="655" w:type="pct"/>
                  <w:shd w:val="clear" w:color="auto" w:fill="auto"/>
                  <w:noWrap w:val="0"/>
                  <w:vAlign w:val="center"/>
                </w:tcPr>
                <w:p w14:paraId="580B4E75">
                  <w:pPr>
                    <w:jc w:val="center"/>
                    <w:rPr>
                      <w:rFonts w:hint="default"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0.05344</w:t>
                  </w:r>
                </w:p>
              </w:tc>
            </w:tr>
            <w:tr w14:paraId="40F8EA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5000" w:type="pct"/>
                  <w:gridSpan w:val="7"/>
                  <w:noWrap w:val="0"/>
                  <w:vAlign w:val="center"/>
                </w:tcPr>
                <w:p w14:paraId="367A0A99">
                  <w:pPr>
                    <w:pStyle w:val="114"/>
                    <w:keepNext w:val="0"/>
                    <w:keepLines w:val="0"/>
                    <w:pageBreakBefore w:val="0"/>
                    <w:widowControl/>
                    <w:kinsoku/>
                    <w:wordWrap w:val="0"/>
                    <w:overflowPunct/>
                    <w:topLinePunct/>
                    <w:autoSpaceDE/>
                    <w:autoSpaceDN/>
                    <w:bidi w:val="0"/>
                    <w:adjustRightInd/>
                    <w:snapToGrid/>
                    <w:spacing w:line="240" w:lineRule="auto"/>
                    <w:ind w:left="0" w:right="0" w:firstLine="0"/>
                    <w:jc w:val="left"/>
                    <w:textAlignment w:val="auto"/>
                    <w:rPr>
                      <w:rFonts w:hint="default" w:ascii="Times New Roman" w:hAnsi="Times New Roman" w:eastAsia="宋体" w:cs="Times New Roman"/>
                      <w:color w:val="auto"/>
                      <w:spacing w:val="2"/>
                      <w:sz w:val="21"/>
                      <w:szCs w:val="21"/>
                      <w:highlight w:val="none"/>
                      <w:u w:val="single" w:color="auto"/>
                    </w:rPr>
                  </w:pPr>
                  <w:r>
                    <w:rPr>
                      <w:rFonts w:hint="default" w:ascii="Times New Roman" w:hAnsi="Times New Roman" w:eastAsia="宋体" w:cs="Times New Roman"/>
                      <w:color w:val="auto"/>
                      <w:spacing w:val="8"/>
                      <w:sz w:val="21"/>
                      <w:szCs w:val="21"/>
                      <w:highlight w:val="none"/>
                      <w:u w:val="single" w:color="auto"/>
                    </w:rPr>
                    <w:t>注[1]：临界量</w:t>
                  </w:r>
                  <w:r>
                    <w:rPr>
                      <w:rFonts w:hint="default" w:ascii="Times New Roman" w:hAnsi="Times New Roman" w:eastAsia="宋体" w:cs="Times New Roman"/>
                      <w:color w:val="auto"/>
                      <w:sz w:val="21"/>
                      <w:szCs w:val="21"/>
                      <w:highlight w:val="none"/>
                      <w:u w:val="single" w:color="auto"/>
                    </w:rPr>
                    <w:t>Qi</w:t>
                  </w:r>
                  <w:r>
                    <w:rPr>
                      <w:rFonts w:hint="default" w:ascii="Times New Roman" w:hAnsi="Times New Roman" w:eastAsia="宋体" w:cs="Times New Roman"/>
                      <w:color w:val="auto"/>
                      <w:spacing w:val="8"/>
                      <w:sz w:val="21"/>
                      <w:szCs w:val="21"/>
                      <w:highlight w:val="none"/>
                      <w:u w:val="single" w:color="auto"/>
                    </w:rPr>
                    <w:t>参照《建设项目环境风险评价技术导则》（</w:t>
                  </w:r>
                  <w:r>
                    <w:rPr>
                      <w:rFonts w:hint="default" w:ascii="Times New Roman" w:hAnsi="Times New Roman" w:eastAsia="宋体" w:cs="Times New Roman"/>
                      <w:color w:val="auto"/>
                      <w:sz w:val="21"/>
                      <w:szCs w:val="21"/>
                      <w:highlight w:val="none"/>
                      <w:u w:val="single" w:color="auto"/>
                    </w:rPr>
                    <w:t>HJ</w:t>
                  </w:r>
                  <w:r>
                    <w:rPr>
                      <w:rFonts w:hint="default" w:ascii="Times New Roman" w:hAnsi="Times New Roman" w:eastAsia="宋体" w:cs="Times New Roman"/>
                      <w:color w:val="auto"/>
                      <w:spacing w:val="8"/>
                      <w:sz w:val="21"/>
                      <w:szCs w:val="21"/>
                      <w:highlight w:val="none"/>
                      <w:u w:val="single" w:color="auto"/>
                    </w:rPr>
                    <w:t>169-2018</w:t>
                  </w:r>
                  <w:r>
                    <w:rPr>
                      <w:rFonts w:hint="default" w:ascii="Times New Roman" w:hAnsi="Times New Roman" w:eastAsia="宋体" w:cs="Times New Roman"/>
                      <w:color w:val="auto"/>
                      <w:spacing w:val="2"/>
                      <w:sz w:val="21"/>
                      <w:szCs w:val="21"/>
                      <w:highlight w:val="none"/>
                      <w:u w:val="single" w:color="auto"/>
                    </w:rPr>
                    <w:t>）；</w:t>
                  </w:r>
                </w:p>
                <w:p w14:paraId="141F240D">
                  <w:pPr>
                    <w:jc w:val="left"/>
                    <w:rPr>
                      <w:rFonts w:hint="eastAsia" w:cs="Times New Roman"/>
                      <w:color w:val="auto"/>
                      <w:sz w:val="21"/>
                      <w:szCs w:val="21"/>
                      <w:highlight w:val="none"/>
                      <w:u w:val="single" w:color="auto"/>
                      <w:lang w:val="en-US" w:eastAsia="zh-CN"/>
                    </w:rPr>
                  </w:pPr>
                  <w:r>
                    <w:rPr>
                      <w:rFonts w:hint="eastAsia"/>
                      <w:color w:val="auto"/>
                      <w:u w:val="single" w:color="auto"/>
                      <w:lang w:val="en-US" w:eastAsia="zh-CN"/>
                    </w:rPr>
                    <w:t>注[2]：</w:t>
                  </w:r>
                  <w:r>
                    <w:rPr>
                      <w:color w:val="auto"/>
                      <w:u w:val="single" w:color="auto"/>
                    </w:rPr>
                    <w:t>液化石油气厂区残液储存罐容积为0.6m</w:t>
                  </w:r>
                  <w:r>
                    <w:rPr>
                      <w:rFonts w:hint="eastAsia" w:eastAsia="宋体"/>
                      <w:color w:val="auto"/>
                      <w:u w:val="single" w:color="auto"/>
                      <w:vertAlign w:val="superscript"/>
                      <w:lang w:val="en-US" w:eastAsia="zh-CN"/>
                    </w:rPr>
                    <w:t>3</w:t>
                  </w:r>
                  <w:r>
                    <w:rPr>
                      <w:color w:val="auto"/>
                      <w:u w:val="single" w:color="auto"/>
                    </w:rPr>
                    <w:t>，根据企业使用的液化石油气检测报告，液化石油气的密度为557kg/m</w:t>
                  </w:r>
                  <w:r>
                    <w:rPr>
                      <w:rFonts w:hint="eastAsia" w:eastAsia="宋体"/>
                      <w:color w:val="auto"/>
                      <w:u w:val="single" w:color="auto"/>
                      <w:vertAlign w:val="superscript"/>
                      <w:lang w:val="en-US" w:eastAsia="zh-CN"/>
                    </w:rPr>
                    <w:t>3</w:t>
                  </w:r>
                  <w:r>
                    <w:rPr>
                      <w:color w:val="auto"/>
                      <w:u w:val="single" w:color="auto"/>
                    </w:rPr>
                    <w:t>，残液罐最多暂存0.35t；按照本项目年处置12万只液化石油气钢瓶的生产能力及车间面积，本项目最多同时存放</w:t>
                  </w:r>
                  <w:r>
                    <w:rPr>
                      <w:rFonts w:hint="default"/>
                      <w:color w:val="auto"/>
                      <w:u w:val="single" w:color="auto"/>
                    </w:rPr>
                    <w:t>1800只待检液化石油气瓶（按YSP-15型钢瓶立放存放要求，0.2m²/只的安全存放密度估算，符合《气瓶安全技术规程》TSG 23-2021相关要求），按照平均每只液化气瓶0.1kg残液计算，瓶内残液最多0.18t，则液化石油气（残液）最大一次性储存量为0.35t（残液罐）+0.18t（瓶内残液）=0.53t</w:t>
                  </w:r>
                  <w:r>
                    <w:rPr>
                      <w:color w:val="auto"/>
                      <w:u w:val="single" w:color="auto"/>
                    </w:rPr>
                    <w:t>。</w:t>
                  </w:r>
                </w:p>
              </w:tc>
            </w:tr>
          </w:tbl>
          <w:p w14:paraId="05320BDC">
            <w:pPr>
              <w:spacing w:line="360" w:lineRule="auto"/>
              <w:ind w:firstLine="480"/>
              <w:rPr>
                <w:rFonts w:hint="default" w:cs="Times New Roman"/>
                <w:color w:val="auto"/>
                <w:sz w:val="24"/>
                <w:highlight w:val="none"/>
                <w:u w:val="none"/>
                <w:lang w:val="en-US" w:eastAsia="zh-CN"/>
              </w:rPr>
            </w:pPr>
            <w:r>
              <w:rPr>
                <w:rFonts w:hint="default" w:cs="Times New Roman"/>
                <w:color w:val="auto"/>
                <w:sz w:val="24"/>
                <w:highlight w:val="none"/>
                <w:u w:val="none"/>
                <w:lang w:val="en-US" w:eastAsia="zh-CN"/>
              </w:rPr>
              <w:t>根据《建设项目环境风险评价技术导则》（HJ169-2018）附录C可知，当q/Q＜1时，项目环境风险潜势为Ⅰ。由上表可知项目物质数量与临界量比值为q/Q=</w:t>
            </w:r>
            <w:r>
              <w:rPr>
                <w:rFonts w:hint="eastAsia" w:cs="Times New Roman"/>
                <w:color w:val="auto"/>
                <w:sz w:val="24"/>
                <w:highlight w:val="none"/>
                <w:u w:val="none"/>
                <w:lang w:val="en-US" w:eastAsia="zh-CN"/>
              </w:rPr>
              <w:t>0.05344</w:t>
            </w:r>
            <w:r>
              <w:rPr>
                <w:rFonts w:hint="default" w:cs="Times New Roman"/>
                <w:color w:val="auto"/>
                <w:sz w:val="24"/>
                <w:highlight w:val="none"/>
                <w:u w:val="none"/>
                <w:lang w:val="en-US" w:eastAsia="zh-CN"/>
              </w:rPr>
              <w:t>，本项目环境风险潜势为Ⅰ。</w:t>
            </w:r>
          </w:p>
          <w:p w14:paraId="373889AF">
            <w:pPr>
              <w:pStyle w:val="12"/>
              <w:spacing w:line="240" w:lineRule="auto"/>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（2）环境风险评价等级判定</w:t>
            </w:r>
          </w:p>
          <w:p w14:paraId="31D60D8A">
            <w:pPr>
              <w:autoSpaceDE w:val="0"/>
              <w:autoSpaceDN w:val="0"/>
              <w:adjustRightInd w:val="0"/>
              <w:snapToGrid w:val="0"/>
              <w:spacing w:line="360" w:lineRule="auto"/>
              <w:ind w:firstLine="480" w:firstLineChars="200"/>
              <w:jc w:val="left"/>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环境风险评价工作等级划分为一级、二级、三级。根据建设项目涉及的物质及工艺系统危险性和所在地的环境敏感性确定环境风险潜势，按照</w:t>
            </w:r>
            <w:r>
              <w:rPr>
                <w:rFonts w:hint="eastAsia" w:cs="Times New Roman"/>
                <w:color w:val="auto"/>
                <w:sz w:val="24"/>
                <w:highlight w:val="none"/>
                <w:u w:val="none"/>
                <w:lang w:val="en-US" w:eastAsia="zh-CN"/>
              </w:rPr>
              <w:t>下表</w:t>
            </w:r>
            <w:r>
              <w:rPr>
                <w:rFonts w:hint="default" w:ascii="Times New Roman" w:hAnsi="Times New Roman" w:cs="Times New Roman"/>
                <w:color w:val="auto"/>
                <w:sz w:val="24"/>
                <w:highlight w:val="none"/>
                <w:u w:val="none"/>
              </w:rPr>
              <w:t>确定评价工作等级。风险潜势为Ⅳ及以上，进行一级评价；风险潜势为Ⅲ，进行二级评价；风险潜势为Ⅱ，进行三级评价；风险潜势为Ⅰ，可开展简单分析。</w:t>
            </w:r>
          </w:p>
          <w:p w14:paraId="0C73E915">
            <w:pPr>
              <w:ind w:firstLine="422" w:firstLineChars="200"/>
              <w:jc w:val="center"/>
              <w:rPr>
                <w:rFonts w:hint="default" w:ascii="Times New Roman" w:hAnsi="Times New Roman" w:cs="Times New Roman"/>
                <w:b/>
                <w:color w:val="auto"/>
                <w:sz w:val="21"/>
                <w:szCs w:val="21"/>
                <w:highlight w:val="none"/>
                <w:u w:val="none"/>
              </w:rPr>
            </w:pPr>
            <w:r>
              <w:rPr>
                <w:rFonts w:hint="default" w:ascii="Times New Roman" w:hAnsi="Times New Roman" w:cs="Times New Roman"/>
                <w:b/>
                <w:color w:val="auto"/>
                <w:sz w:val="21"/>
                <w:szCs w:val="21"/>
                <w:highlight w:val="none"/>
                <w:u w:val="none"/>
              </w:rPr>
              <w:t>表4-</w:t>
            </w:r>
            <w:r>
              <w:rPr>
                <w:rFonts w:hint="eastAsia" w:cs="Times New Roman"/>
                <w:b/>
                <w:color w:val="auto"/>
                <w:sz w:val="21"/>
                <w:szCs w:val="21"/>
                <w:highlight w:val="none"/>
                <w:u w:val="none"/>
                <w:lang w:val="en-US" w:eastAsia="zh-CN"/>
              </w:rPr>
              <w:t xml:space="preserve">19  </w:t>
            </w:r>
            <w:r>
              <w:rPr>
                <w:rFonts w:hint="default" w:ascii="Times New Roman" w:hAnsi="Times New Roman" w:cs="Times New Roman"/>
                <w:b/>
                <w:color w:val="auto"/>
                <w:sz w:val="21"/>
                <w:szCs w:val="21"/>
                <w:highlight w:val="none"/>
                <w:u w:val="none"/>
              </w:rPr>
              <w:t>评价工作等级划分</w:t>
            </w:r>
          </w:p>
          <w:tbl>
            <w:tblPr>
              <w:tblStyle w:val="33"/>
              <w:tblW w:w="4998"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1632"/>
              <w:gridCol w:w="1636"/>
              <w:gridCol w:w="1633"/>
              <w:gridCol w:w="1638"/>
              <w:gridCol w:w="1457"/>
            </w:tblGrid>
            <w:tr w14:paraId="0DA39C2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1" w:hRule="atLeast"/>
                <w:jc w:val="center"/>
              </w:trPr>
              <w:tc>
                <w:tcPr>
                  <w:tcW w:w="1021" w:type="pct"/>
                  <w:noWrap w:val="0"/>
                  <w:vAlign w:val="top"/>
                </w:tcPr>
                <w:p w14:paraId="5D79A886">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环境风险潜势</w:t>
                  </w:r>
                </w:p>
              </w:tc>
              <w:tc>
                <w:tcPr>
                  <w:tcW w:w="1023" w:type="pct"/>
                  <w:noWrap w:val="0"/>
                  <w:vAlign w:val="top"/>
                </w:tcPr>
                <w:p w14:paraId="4643BD95">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Ⅳ、Ⅳ+</w:t>
                  </w:r>
                </w:p>
              </w:tc>
              <w:tc>
                <w:tcPr>
                  <w:tcW w:w="1021" w:type="pct"/>
                  <w:noWrap w:val="0"/>
                  <w:vAlign w:val="top"/>
                </w:tcPr>
                <w:p w14:paraId="1045A086">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Ⅲ</w:t>
                  </w:r>
                </w:p>
              </w:tc>
              <w:tc>
                <w:tcPr>
                  <w:tcW w:w="1024" w:type="pct"/>
                  <w:noWrap w:val="0"/>
                  <w:vAlign w:val="top"/>
                </w:tcPr>
                <w:p w14:paraId="639D508C">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Ⅱ</w:t>
                  </w:r>
                </w:p>
              </w:tc>
              <w:tc>
                <w:tcPr>
                  <w:tcW w:w="909" w:type="pct"/>
                  <w:noWrap w:val="0"/>
                  <w:vAlign w:val="top"/>
                </w:tcPr>
                <w:p w14:paraId="0A4577B9">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Ⅰ</w:t>
                  </w:r>
                </w:p>
              </w:tc>
            </w:tr>
            <w:tr w14:paraId="40253C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6" w:hRule="atLeast"/>
                <w:jc w:val="center"/>
              </w:trPr>
              <w:tc>
                <w:tcPr>
                  <w:tcW w:w="1021" w:type="pct"/>
                  <w:noWrap w:val="0"/>
                  <w:vAlign w:val="top"/>
                </w:tcPr>
                <w:p w14:paraId="04B14DF7">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 xml:space="preserve">评价工作等级  </w:t>
                  </w:r>
                </w:p>
              </w:tc>
              <w:tc>
                <w:tcPr>
                  <w:tcW w:w="1023" w:type="pct"/>
                  <w:noWrap w:val="0"/>
                  <w:vAlign w:val="top"/>
                </w:tcPr>
                <w:p w14:paraId="4021FEAE">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 xml:space="preserve">一    </w:t>
                  </w:r>
                </w:p>
              </w:tc>
              <w:tc>
                <w:tcPr>
                  <w:tcW w:w="1021" w:type="pct"/>
                  <w:noWrap w:val="0"/>
                  <w:vAlign w:val="top"/>
                </w:tcPr>
                <w:p w14:paraId="57EF7299">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二</w:t>
                  </w:r>
                </w:p>
              </w:tc>
              <w:tc>
                <w:tcPr>
                  <w:tcW w:w="1024" w:type="pct"/>
                  <w:noWrap w:val="0"/>
                  <w:vAlign w:val="top"/>
                </w:tcPr>
                <w:p w14:paraId="7133E930">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三</w:t>
                  </w:r>
                </w:p>
              </w:tc>
              <w:tc>
                <w:tcPr>
                  <w:tcW w:w="909" w:type="pct"/>
                  <w:noWrap w:val="0"/>
                  <w:vAlign w:val="top"/>
                </w:tcPr>
                <w:p w14:paraId="4C7C688E">
                  <w:pPr>
                    <w:jc w:val="cente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简单分析</w:t>
                  </w:r>
                </w:p>
              </w:tc>
            </w:tr>
            <w:tr w14:paraId="1788E8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000" w:type="pct"/>
                  <w:gridSpan w:val="5"/>
                  <w:noWrap w:val="0"/>
                  <w:vAlign w:val="top"/>
                </w:tcPr>
                <w:p w14:paraId="6142941B">
                  <w:pPr>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注：是相对于详细评价工作而言，在描述危险物质、环境影响途径、环境危害后果、风险防范措施等方面给出定性说明，详见导则附录 A</w:t>
                  </w:r>
                </w:p>
              </w:tc>
            </w:tr>
          </w:tbl>
          <w:p w14:paraId="4563818B">
            <w:pPr>
              <w:autoSpaceDE w:val="0"/>
              <w:autoSpaceDN w:val="0"/>
              <w:adjustRightInd w:val="0"/>
              <w:snapToGrid w:val="0"/>
              <w:spacing w:line="360" w:lineRule="auto"/>
              <w:ind w:firstLine="480" w:firstLineChars="200"/>
              <w:jc w:val="left"/>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由上表可知项目环境风险潜势为I，对照上表确定项目风险评价等级为简单分析。</w:t>
            </w:r>
          </w:p>
          <w:p w14:paraId="37D72E9F">
            <w:pPr>
              <w:spacing w:line="360" w:lineRule="auto"/>
              <w:rPr>
                <w:rFonts w:hint="default" w:ascii="Times New Roman" w:hAnsi="Times New Roman" w:cs="Times New Roman"/>
                <w:b/>
                <w:color w:val="auto"/>
                <w:sz w:val="24"/>
                <w:highlight w:val="none"/>
              </w:rPr>
            </w:pPr>
            <w:bookmarkStart w:id="42" w:name="_Toc3886020"/>
            <w:r>
              <w:rPr>
                <w:rFonts w:hint="default" w:ascii="Times New Roman" w:hAnsi="Times New Roman" w:cs="Times New Roman"/>
                <w:b/>
                <w:color w:val="auto"/>
                <w:sz w:val="24"/>
                <w:highlight w:val="none"/>
              </w:rPr>
              <w:t>8.3环境敏感目标概况</w:t>
            </w:r>
            <w:bookmarkEnd w:id="42"/>
          </w:p>
          <w:p w14:paraId="24FA23F6">
            <w:pPr>
              <w:spacing w:line="360" w:lineRule="auto"/>
              <w:ind w:firstLine="482"/>
              <w:rPr>
                <w:rFonts w:hint="default" w:ascii="Times New Roman" w:hAnsi="Times New Roman" w:cs="Times New Roman"/>
                <w:color w:val="auto"/>
                <w:highlight w:val="none"/>
                <w:u w:val="none"/>
              </w:rPr>
            </w:pPr>
            <w:r>
              <w:rPr>
                <w:rFonts w:hint="default" w:ascii="Times New Roman" w:hAnsi="Times New Roman" w:cs="Times New Roman"/>
                <w:color w:val="auto"/>
                <w:sz w:val="24"/>
                <w:highlight w:val="none"/>
                <w:u w:val="none"/>
                <w:lang w:val="zh-CN"/>
              </w:rPr>
              <w:t>环境风险保护目标：保护项目所在地周围居民的生活不受影响；保护附近的企业和居民生命、财产的安全。建设项目周围主要环境敏感目标分布情况见表3-</w:t>
            </w:r>
            <w:r>
              <w:rPr>
                <w:rFonts w:hint="eastAsia" w:cs="Times New Roman"/>
                <w:color w:val="auto"/>
                <w:sz w:val="24"/>
                <w:highlight w:val="none"/>
                <w:u w:val="none"/>
                <w:lang w:val="en-US" w:eastAsia="zh-CN"/>
              </w:rPr>
              <w:t>4</w:t>
            </w:r>
            <w:r>
              <w:rPr>
                <w:rFonts w:hint="default" w:ascii="Times New Roman" w:hAnsi="Times New Roman" w:cs="Times New Roman"/>
                <w:color w:val="auto"/>
                <w:sz w:val="24"/>
                <w:highlight w:val="none"/>
                <w:u w:val="none"/>
                <w:lang w:val="zh-CN"/>
              </w:rPr>
              <w:t>。</w:t>
            </w:r>
          </w:p>
          <w:bookmarkEnd w:id="36"/>
          <w:bookmarkEnd w:id="37"/>
          <w:bookmarkEnd w:id="38"/>
          <w:bookmarkEnd w:id="39"/>
          <w:p w14:paraId="574237E5">
            <w:pPr>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8.4环境风险识别</w:t>
            </w:r>
            <w:bookmarkEnd w:id="35"/>
          </w:p>
          <w:p w14:paraId="6A0A680A">
            <w:pPr>
              <w:spacing w:line="360" w:lineRule="auto"/>
              <w:ind w:firstLine="482"/>
              <w:rPr>
                <w:rFonts w:hint="default" w:ascii="Times New Roman" w:hAnsi="Times New Roman" w:cs="Times New Roman"/>
                <w:color w:val="auto"/>
                <w:sz w:val="24"/>
                <w:szCs w:val="20"/>
                <w:highlight w:val="none"/>
                <w:lang w:val="zh-CN"/>
              </w:rPr>
            </w:pPr>
            <w:r>
              <w:rPr>
                <w:rFonts w:hint="default" w:ascii="Times New Roman" w:hAnsi="Times New Roman" w:cs="Times New Roman"/>
                <w:color w:val="auto"/>
                <w:sz w:val="24"/>
                <w:highlight w:val="none"/>
                <w:lang w:val="zh-CN"/>
              </w:rPr>
              <w:t>风险识别范围包括生产过程中所涉及的物质风险识别和生产设施风险识别。</w:t>
            </w:r>
          </w:p>
          <w:p w14:paraId="225B224E">
            <w:pPr>
              <w:spacing w:line="360" w:lineRule="auto"/>
              <w:ind w:firstLine="482"/>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物质风险识别范围：主要原材料及辅助材料、燃料、中间产品、最终产品以及生产过</w:t>
            </w:r>
            <w:r>
              <w:rPr>
                <w:rFonts w:hint="eastAsia" w:cs="Times New Roman"/>
                <w:color w:val="auto"/>
                <w:sz w:val="24"/>
                <w:highlight w:val="none"/>
                <w:lang w:val="zh-CN"/>
              </w:rPr>
              <w:t>程中</w:t>
            </w:r>
            <w:r>
              <w:rPr>
                <w:rFonts w:hint="default" w:ascii="Times New Roman" w:hAnsi="Times New Roman" w:cs="Times New Roman"/>
                <w:color w:val="auto"/>
                <w:sz w:val="24"/>
                <w:highlight w:val="none"/>
                <w:lang w:val="zh-CN"/>
              </w:rPr>
              <w:t>排放的“三废”污染物等。</w:t>
            </w:r>
          </w:p>
          <w:p w14:paraId="29311659">
            <w:pPr>
              <w:spacing w:line="360" w:lineRule="auto"/>
              <w:ind w:firstLine="482"/>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生产设施风险识别范围：主要生产装置、贮运系统、公用工程系统、工程环保设施及辅助生产设施等。</w:t>
            </w:r>
          </w:p>
          <w:p w14:paraId="360E72BD">
            <w:pPr>
              <w:spacing w:line="360" w:lineRule="auto"/>
              <w:ind w:firstLine="482"/>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受影响的环境要素识别：应当根据有毒有害物质排放途径确定，如大气环境、水环境、土壤、生态环境等，明确受影响的环境保护目标。</w:t>
            </w:r>
          </w:p>
          <w:p w14:paraId="56C0E495">
            <w:pPr>
              <w:pStyle w:val="16"/>
              <w:tabs>
                <w:tab w:val="left" w:pos="3794"/>
              </w:tabs>
              <w:spacing w:line="360" w:lineRule="auto"/>
              <w:outlineLvl w:val="2"/>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8.4.1物质危险性识别</w:t>
            </w:r>
          </w:p>
          <w:p w14:paraId="12AE82FF">
            <w:pPr>
              <w:spacing w:line="360" w:lineRule="auto"/>
              <w:ind w:firstLine="482"/>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项目涉及的风险物质</w:t>
            </w:r>
            <w:r>
              <w:rPr>
                <w:rFonts w:hint="eastAsia"/>
                <w:color w:val="auto"/>
                <w:sz w:val="24"/>
                <w:szCs w:val="24"/>
                <w:highlight w:val="none"/>
                <w:lang w:val="en-US" w:eastAsia="zh-CN"/>
              </w:rPr>
              <w:t>机油、液化石油气</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zh-CN"/>
              </w:rPr>
              <w:t>其物理</w:t>
            </w:r>
            <w:r>
              <w:rPr>
                <w:rFonts w:hint="default" w:ascii="Times New Roman" w:hAnsi="Times New Roman" w:cs="Times New Roman"/>
                <w:color w:val="auto"/>
                <w:sz w:val="24"/>
                <w:highlight w:val="none"/>
                <w:lang w:val="zh-CN"/>
              </w:rPr>
              <w:t>化学性质及危险特征</w:t>
            </w:r>
            <w:r>
              <w:rPr>
                <w:rFonts w:hint="default" w:ascii="Times New Roman" w:hAnsi="Times New Roman" w:cs="Times New Roman"/>
                <w:color w:val="auto"/>
                <w:sz w:val="24"/>
                <w:highlight w:val="none"/>
              </w:rPr>
              <w:t>后续表格</w:t>
            </w:r>
            <w:r>
              <w:rPr>
                <w:rFonts w:hint="eastAsia" w:ascii="Times New Roman" w:hAnsi="Times New Roman" w:cs="Times New Roman"/>
                <w:color w:val="auto"/>
                <w:sz w:val="24"/>
                <w:highlight w:val="none"/>
                <w:lang w:val="zh-CN"/>
              </w:rPr>
              <w:t>：</w:t>
            </w:r>
          </w:p>
          <w:p w14:paraId="58796F0F">
            <w:pPr>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表4-</w:t>
            </w:r>
            <w:bookmarkStart w:id="43" w:name="OLE_LINK59"/>
            <w:r>
              <w:rPr>
                <w:rFonts w:hint="eastAsia" w:cs="Times New Roman"/>
                <w:b/>
                <w:color w:val="auto"/>
                <w:kern w:val="0"/>
                <w:sz w:val="21"/>
                <w:szCs w:val="21"/>
                <w:highlight w:val="none"/>
                <w:lang w:val="en-US" w:eastAsia="zh-CN"/>
              </w:rPr>
              <w:t xml:space="preserve">20   </w:t>
            </w:r>
            <w:bookmarkEnd w:id="43"/>
            <w:r>
              <w:rPr>
                <w:rFonts w:hint="default" w:ascii="Times New Roman" w:hAnsi="Times New Roman" w:cs="Times New Roman"/>
                <w:b/>
                <w:color w:val="auto"/>
                <w:kern w:val="0"/>
                <w:sz w:val="21"/>
                <w:szCs w:val="21"/>
                <w:highlight w:val="none"/>
              </w:rPr>
              <w:t>机油理化性质及危险特性表</w:t>
            </w:r>
          </w:p>
          <w:tbl>
            <w:tblPr>
              <w:tblStyle w:val="33"/>
              <w:tblW w:w="4999" w:type="pct"/>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107"/>
              <w:gridCol w:w="6890"/>
            </w:tblGrid>
            <w:tr w14:paraId="2CDDA07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25" w:hRule="atLeast"/>
              </w:trPr>
              <w:tc>
                <w:tcPr>
                  <w:tcW w:w="692" w:type="pct"/>
                  <w:shd w:val="clear" w:color="auto" w:fill="auto"/>
                  <w:noWrap w:val="0"/>
                  <w:vAlign w:val="center"/>
                </w:tcPr>
                <w:p w14:paraId="2A4E690C">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标识</w:t>
                  </w:r>
                </w:p>
              </w:tc>
              <w:tc>
                <w:tcPr>
                  <w:tcW w:w="4307" w:type="pct"/>
                  <w:noWrap w:val="0"/>
                  <w:vAlign w:val="center"/>
                </w:tcPr>
                <w:p w14:paraId="6E43DFCE">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中文名：机油（润滑油）</w:t>
                  </w:r>
                </w:p>
              </w:tc>
            </w:tr>
            <w:tr w14:paraId="778B755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03" w:hRule="atLeast"/>
              </w:trPr>
              <w:tc>
                <w:tcPr>
                  <w:tcW w:w="692" w:type="pct"/>
                  <w:vMerge w:val="restart"/>
                  <w:shd w:val="clear" w:color="auto" w:fill="auto"/>
                  <w:noWrap w:val="0"/>
                  <w:vAlign w:val="center"/>
                </w:tcPr>
                <w:p w14:paraId="6FC198F8">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理化性质</w:t>
                  </w:r>
                </w:p>
              </w:tc>
              <w:tc>
                <w:tcPr>
                  <w:tcW w:w="4307" w:type="pct"/>
                  <w:noWrap w:val="0"/>
                  <w:vAlign w:val="center"/>
                </w:tcPr>
                <w:p w14:paraId="31A1F409">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性状：油状液体，淡黄色至褐色，无气味或略带异味</w:t>
                  </w:r>
                </w:p>
              </w:tc>
            </w:tr>
            <w:tr w14:paraId="462DC9F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03" w:hRule="atLeast"/>
              </w:trPr>
              <w:tc>
                <w:tcPr>
                  <w:tcW w:w="692" w:type="pct"/>
                  <w:vMerge w:val="continue"/>
                  <w:noWrap w:val="0"/>
                  <w:vAlign w:val="center"/>
                </w:tcPr>
                <w:p w14:paraId="46D498FD">
                  <w:pPr>
                    <w:jc w:val="center"/>
                    <w:rPr>
                      <w:rFonts w:hint="eastAsia" w:ascii="Times New Roman" w:hAnsi="Times New Roman" w:cs="Times New Roman"/>
                      <w:color w:val="auto"/>
                      <w:szCs w:val="21"/>
                      <w:highlight w:val="none"/>
                      <w:lang w:val="en-US" w:eastAsia="zh-CN"/>
                    </w:rPr>
                  </w:pPr>
                </w:p>
              </w:tc>
              <w:tc>
                <w:tcPr>
                  <w:tcW w:w="4307" w:type="pct"/>
                  <w:noWrap w:val="0"/>
                  <w:vAlign w:val="center"/>
                </w:tcPr>
                <w:p w14:paraId="263857AA">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闪点：76℃</w:t>
                  </w:r>
                </w:p>
              </w:tc>
            </w:tr>
            <w:tr w14:paraId="699DF12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03" w:hRule="atLeast"/>
              </w:trPr>
              <w:tc>
                <w:tcPr>
                  <w:tcW w:w="692" w:type="pct"/>
                  <w:vMerge w:val="continue"/>
                  <w:noWrap w:val="0"/>
                  <w:vAlign w:val="center"/>
                </w:tcPr>
                <w:p w14:paraId="45967C7C">
                  <w:pPr>
                    <w:jc w:val="center"/>
                    <w:rPr>
                      <w:rFonts w:hint="eastAsia" w:ascii="Times New Roman" w:hAnsi="Times New Roman" w:cs="Times New Roman"/>
                      <w:color w:val="auto"/>
                      <w:szCs w:val="21"/>
                      <w:highlight w:val="none"/>
                      <w:lang w:val="en-US" w:eastAsia="zh-CN"/>
                    </w:rPr>
                  </w:pPr>
                </w:p>
              </w:tc>
              <w:tc>
                <w:tcPr>
                  <w:tcW w:w="4307" w:type="pct"/>
                  <w:noWrap w:val="0"/>
                  <w:vAlign w:val="center"/>
                </w:tcPr>
                <w:p w14:paraId="462EAF1D">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燃烧性：可燃，燃烧产物：一氧化碳，二氧化碳</w:t>
                  </w:r>
                </w:p>
              </w:tc>
            </w:tr>
            <w:tr w14:paraId="279D1C9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03" w:hRule="atLeast"/>
              </w:trPr>
              <w:tc>
                <w:tcPr>
                  <w:tcW w:w="692" w:type="pct"/>
                  <w:vMerge w:val="restart"/>
                  <w:noWrap w:val="0"/>
                  <w:vAlign w:val="center"/>
                </w:tcPr>
                <w:p w14:paraId="6E08DB43">
                  <w:pPr>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毒性及健</w:t>
                  </w:r>
                </w:p>
                <w:p w14:paraId="408C3382">
                  <w:pPr>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康危害</w:t>
                  </w:r>
                </w:p>
              </w:tc>
              <w:tc>
                <w:tcPr>
                  <w:tcW w:w="4307" w:type="pct"/>
                  <w:noWrap w:val="0"/>
                  <w:vAlign w:val="center"/>
                </w:tcPr>
                <w:p w14:paraId="42A19552">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侵入途径：吸入、食入</w:t>
                  </w:r>
                </w:p>
              </w:tc>
            </w:tr>
            <w:tr w14:paraId="5ADA46D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12" w:hRule="atLeast"/>
              </w:trPr>
              <w:tc>
                <w:tcPr>
                  <w:tcW w:w="692" w:type="pct"/>
                  <w:vMerge w:val="continue"/>
                  <w:noWrap w:val="0"/>
                  <w:vAlign w:val="center"/>
                </w:tcPr>
                <w:p w14:paraId="60856B3C">
                  <w:pPr>
                    <w:jc w:val="center"/>
                    <w:rPr>
                      <w:rFonts w:hint="eastAsia" w:ascii="Times New Roman" w:hAnsi="Times New Roman" w:cs="Times New Roman"/>
                      <w:color w:val="auto"/>
                      <w:szCs w:val="21"/>
                      <w:highlight w:val="none"/>
                      <w:lang w:val="en-US" w:eastAsia="zh-CN"/>
                    </w:rPr>
                  </w:pPr>
                </w:p>
              </w:tc>
              <w:tc>
                <w:tcPr>
                  <w:tcW w:w="4307" w:type="pct"/>
                  <w:noWrap w:val="0"/>
                  <w:vAlign w:val="center"/>
                </w:tcPr>
                <w:p w14:paraId="54AC72B1">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健康危害：急性吸入，可出现乏力、头晕、头痛、恶心，严重者可引起油脂性肺炎。慢接触者，暴露部位可发生油性痤疮和接触性皮炎。可引起神经衰弱综合征，呼吸道和眼刺激症状及慢性油脂性肺炎，有资料报道，接触石油润滑油类的工人，有致癌的病例报告。</w:t>
                  </w:r>
                </w:p>
              </w:tc>
            </w:tr>
            <w:tr w14:paraId="7E37420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692" w:type="pct"/>
                  <w:vMerge w:val="continue"/>
                  <w:noWrap w:val="0"/>
                  <w:vAlign w:val="center"/>
                </w:tcPr>
                <w:p w14:paraId="1600C843">
                  <w:pPr>
                    <w:jc w:val="center"/>
                    <w:rPr>
                      <w:rFonts w:hint="eastAsia" w:ascii="Times New Roman" w:hAnsi="Times New Roman" w:cs="Times New Roman"/>
                      <w:color w:val="auto"/>
                      <w:szCs w:val="21"/>
                      <w:highlight w:val="none"/>
                      <w:lang w:val="en-US" w:eastAsia="zh-CN"/>
                    </w:rPr>
                  </w:pPr>
                </w:p>
              </w:tc>
              <w:tc>
                <w:tcPr>
                  <w:tcW w:w="4307" w:type="pct"/>
                  <w:noWrap w:val="0"/>
                  <w:vAlign w:val="center"/>
                </w:tcPr>
                <w:p w14:paraId="4A0256CC">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急救方法：皮肤接触:立即脱去被污染的衣着，用大量清水冲洗；</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眼睛接触：立即提起眼睑，用大量流动清水或生理盐水冲洗，就医；</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吸入：迅速脱离现场至空气新鲜处，保持呼吸道通畅，如呼吸困难，给输氧:如呼吸停止，立即进行人工呼吸，就医；</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食入：饮足量温水，催吐，就医.</w:t>
                  </w:r>
                </w:p>
              </w:tc>
            </w:tr>
            <w:tr w14:paraId="16FFE17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89" w:hRule="atLeast"/>
              </w:trPr>
              <w:tc>
                <w:tcPr>
                  <w:tcW w:w="692" w:type="pct"/>
                  <w:noWrap w:val="0"/>
                  <w:vAlign w:val="center"/>
                </w:tcPr>
                <w:p w14:paraId="5E2C1A64">
                  <w:pPr>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防护</w:t>
                  </w:r>
                </w:p>
              </w:tc>
              <w:tc>
                <w:tcPr>
                  <w:tcW w:w="4307" w:type="pct"/>
                  <w:noWrap w:val="0"/>
                  <w:vAlign w:val="center"/>
                </w:tcPr>
                <w:p w14:paraId="17622E9C">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工程控制：密闭操作，注意通风:</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呼吸系统防护：空气中浓度超标时，建议佩戴自吸过滤式防毒面具(半面罩)。紧急事态抢救或撤离时，应该</w:t>
                  </w:r>
                  <w:r>
                    <w:rPr>
                      <w:rFonts w:hint="eastAsia" w:cs="Times New Roman"/>
                      <w:color w:val="auto"/>
                      <w:szCs w:val="21"/>
                      <w:highlight w:val="none"/>
                      <w:lang w:val="en-US" w:eastAsia="zh-CN"/>
                    </w:rPr>
                    <w:t>佩戴</w:t>
                  </w:r>
                  <w:r>
                    <w:rPr>
                      <w:rFonts w:hint="eastAsia" w:ascii="Times New Roman" w:hAnsi="Times New Roman" w:cs="Times New Roman"/>
                      <w:color w:val="auto"/>
                      <w:szCs w:val="21"/>
                      <w:highlight w:val="none"/>
                      <w:lang w:val="en-US" w:eastAsia="zh-CN"/>
                    </w:rPr>
                    <w:t>空气呼吸器；</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眼睛防护：戴化学安全防护眼镜；</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身体防护：穿防毒物渗透工作服；</w:t>
                  </w:r>
                </w:p>
                <w:p w14:paraId="4A98846C">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手防护：戴橡胶耐油手套；</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其他：工作现场严禁吸烟。避免长期反复接触。</w:t>
                  </w:r>
                </w:p>
              </w:tc>
            </w:tr>
            <w:tr w14:paraId="3405FC7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1" w:hRule="atLeast"/>
              </w:trPr>
              <w:tc>
                <w:tcPr>
                  <w:tcW w:w="692" w:type="pct"/>
                  <w:noWrap w:val="0"/>
                  <w:vAlign w:val="center"/>
                </w:tcPr>
                <w:p w14:paraId="732C2A89">
                  <w:pPr>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泄漏处理</w:t>
                  </w:r>
                </w:p>
              </w:tc>
              <w:tc>
                <w:tcPr>
                  <w:tcW w:w="4307" w:type="pct"/>
                  <w:noWrap w:val="0"/>
                  <w:vAlign w:val="center"/>
                </w:tcPr>
                <w:p w14:paraId="44A60DE9">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迅速</w:t>
                  </w:r>
                  <w:r>
                    <w:rPr>
                      <w:rFonts w:hint="eastAsia" w:cs="Times New Roman"/>
                      <w:color w:val="auto"/>
                      <w:szCs w:val="21"/>
                      <w:highlight w:val="none"/>
                      <w:lang w:val="en-US" w:eastAsia="zh-CN"/>
                    </w:rPr>
                    <w:t>撤离</w:t>
                  </w:r>
                  <w:r>
                    <w:rPr>
                      <w:rFonts w:hint="eastAsia" w:ascii="Times New Roman" w:hAnsi="Times New Roman" w:cs="Times New Roman"/>
                      <w:color w:val="auto"/>
                      <w:szCs w:val="21"/>
                      <w:highlight w:val="none"/>
                      <w:lang w:val="en-US" w:eastAsia="zh-CN"/>
                    </w:rPr>
                    <w:t>泄漏污染区人员至安全区，并进行隔离，严格限制出入。切断火源。建议应急处理人员戴自给正压式呼吸器，穿防毒服。尽可能切断泄漏源。防止流入下水道、排洪沟等限制性空间。</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小量泄漏：用砂土或其它不燃材料吸附或吸收。</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大量泄漏：构筑围堤或挖坑收容。用泵转移至槽车或专用收集器内，回收或运至废物处理场所处置。</w:t>
                  </w:r>
                </w:p>
              </w:tc>
            </w:tr>
            <w:tr w14:paraId="00B5CFA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132" w:hRule="atLeast"/>
              </w:trPr>
              <w:tc>
                <w:tcPr>
                  <w:tcW w:w="692" w:type="pct"/>
                  <w:noWrap w:val="0"/>
                  <w:vAlign w:val="center"/>
                </w:tcPr>
                <w:p w14:paraId="67328819">
                  <w:pPr>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储存注意事项</w:t>
                  </w:r>
                </w:p>
              </w:tc>
              <w:tc>
                <w:tcPr>
                  <w:tcW w:w="4307" w:type="pct"/>
                  <w:noWrap w:val="0"/>
                  <w:vAlign w:val="center"/>
                </w:tcPr>
                <w:p w14:paraId="514B949A">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储存于阴凉、通风的库房。远离火种、热源。应与氧化剂分开存放，切忌混储。配备相应品种和数量的消防器材。储区应备有泄漏应急处理设备和合适的收容材料。</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运输前应先检查包装容器是否完整、密封，运输过程中要确保容器不</w:t>
                  </w:r>
                  <w:r>
                    <w:rPr>
                      <w:rFonts w:hint="eastAsia" w:cs="Times New Roman"/>
                      <w:color w:val="auto"/>
                      <w:szCs w:val="21"/>
                      <w:highlight w:val="none"/>
                      <w:lang w:val="en-US" w:eastAsia="zh-CN"/>
                    </w:rPr>
                    <w:t>泄漏</w:t>
                  </w:r>
                  <w:r>
                    <w:rPr>
                      <w:rFonts w:hint="eastAsia" w:ascii="Times New Roman" w:hAnsi="Times New Roman" w:cs="Times New Roman"/>
                      <w:color w:val="auto"/>
                      <w:szCs w:val="21"/>
                      <w:highlight w:val="none"/>
                      <w:lang w:val="en-US" w:eastAsia="zh-CN"/>
                    </w:rPr>
                    <w:t>、不倒塌、不坠落、不损坏。严禁与氧化剂、食用化学品等混装混运。运输车船必须彻底清洗、消毒，否则不得装运其它物品。船运时， 配装位置应远离卧室、厨房。并与机舱、电源、火源等部位隔离。公路运输时要按规定路线行驶。</w:t>
                  </w:r>
                </w:p>
              </w:tc>
            </w:tr>
          </w:tbl>
          <w:p w14:paraId="05085B4F">
            <w:pPr>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表4-</w:t>
            </w:r>
            <w:r>
              <w:rPr>
                <w:rFonts w:hint="eastAsia" w:cs="Times New Roman"/>
                <w:b/>
                <w:color w:val="auto"/>
                <w:kern w:val="0"/>
                <w:sz w:val="21"/>
                <w:szCs w:val="21"/>
                <w:highlight w:val="none"/>
                <w:lang w:val="en-US" w:eastAsia="zh-CN"/>
              </w:rPr>
              <w:t xml:space="preserve">21   </w:t>
            </w:r>
            <w:r>
              <w:rPr>
                <w:rFonts w:hint="default" w:ascii="Times New Roman" w:hAnsi="Times New Roman" w:cs="Times New Roman"/>
                <w:b/>
                <w:color w:val="auto"/>
                <w:kern w:val="0"/>
                <w:sz w:val="21"/>
                <w:szCs w:val="21"/>
                <w:highlight w:val="none"/>
              </w:rPr>
              <w:t>液化石油气（残液）理化性质及危险特性表</w:t>
            </w:r>
          </w:p>
          <w:tbl>
            <w:tblPr>
              <w:tblStyle w:val="33"/>
              <w:tblW w:w="4999" w:type="pct"/>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107"/>
              <w:gridCol w:w="6890"/>
            </w:tblGrid>
            <w:tr w14:paraId="1DE6D28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25" w:hRule="atLeast"/>
              </w:trPr>
              <w:tc>
                <w:tcPr>
                  <w:tcW w:w="692" w:type="pct"/>
                  <w:shd w:val="clear" w:color="auto" w:fill="auto"/>
                  <w:noWrap w:val="0"/>
                  <w:vAlign w:val="center"/>
                </w:tcPr>
                <w:p w14:paraId="71C9C2F7">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标识</w:t>
                  </w:r>
                </w:p>
              </w:tc>
              <w:tc>
                <w:tcPr>
                  <w:tcW w:w="4307" w:type="pct"/>
                  <w:noWrap w:val="0"/>
                  <w:vAlign w:val="center"/>
                </w:tcPr>
                <w:p w14:paraId="6E849C5E">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中文名：液化石油气</w:t>
                  </w:r>
                </w:p>
              </w:tc>
            </w:tr>
            <w:tr w14:paraId="47BF551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03" w:hRule="atLeast"/>
              </w:trPr>
              <w:tc>
                <w:tcPr>
                  <w:tcW w:w="692" w:type="pct"/>
                  <w:vMerge w:val="restart"/>
                  <w:shd w:val="clear" w:color="auto" w:fill="auto"/>
                  <w:noWrap w:val="0"/>
                  <w:vAlign w:val="center"/>
                </w:tcPr>
                <w:p w14:paraId="678FAAD5">
                  <w:pPr>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理化性质</w:t>
                  </w:r>
                </w:p>
              </w:tc>
              <w:tc>
                <w:tcPr>
                  <w:tcW w:w="4307" w:type="pct"/>
                  <w:noWrap w:val="0"/>
                  <w:vAlign w:val="center"/>
                </w:tcPr>
                <w:p w14:paraId="39924CA6">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性状：无色挥发性液体，有特殊油状臭味</w:t>
                  </w:r>
                </w:p>
              </w:tc>
            </w:tr>
            <w:tr w14:paraId="306800A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03" w:hRule="atLeast"/>
              </w:trPr>
              <w:tc>
                <w:tcPr>
                  <w:tcW w:w="692" w:type="pct"/>
                  <w:vMerge w:val="continue"/>
                  <w:noWrap w:val="0"/>
                  <w:vAlign w:val="center"/>
                </w:tcPr>
                <w:p w14:paraId="7A12F847">
                  <w:pPr>
                    <w:jc w:val="center"/>
                    <w:rPr>
                      <w:rFonts w:hint="eastAsia" w:ascii="Times New Roman" w:hAnsi="Times New Roman" w:cs="Times New Roman"/>
                      <w:color w:val="auto"/>
                      <w:szCs w:val="21"/>
                      <w:highlight w:val="none"/>
                      <w:lang w:val="en-US" w:eastAsia="zh-CN"/>
                    </w:rPr>
                  </w:pPr>
                </w:p>
              </w:tc>
              <w:tc>
                <w:tcPr>
                  <w:tcW w:w="4307" w:type="pct"/>
                  <w:noWrap w:val="0"/>
                  <w:vAlign w:val="center"/>
                </w:tcPr>
                <w:p w14:paraId="001B2B89">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闪点：</w:t>
                  </w:r>
                  <w:r>
                    <w:rPr>
                      <w:rFonts w:hint="eastAsia" w:cs="Times New Roman"/>
                      <w:color w:val="auto"/>
                      <w:szCs w:val="21"/>
                      <w:highlight w:val="none"/>
                      <w:lang w:val="en-US" w:eastAsia="zh-CN"/>
                    </w:rPr>
                    <w:t>-</w:t>
                  </w:r>
                  <w:r>
                    <w:rPr>
                      <w:rFonts w:hint="eastAsia" w:ascii="Times New Roman" w:hAnsi="Times New Roman" w:cs="Times New Roman"/>
                      <w:color w:val="auto"/>
                      <w:szCs w:val="21"/>
                      <w:highlight w:val="none"/>
                      <w:lang w:val="en-US" w:eastAsia="zh-CN"/>
                    </w:rPr>
                    <w:t>7</w:t>
                  </w:r>
                  <w:r>
                    <w:rPr>
                      <w:rFonts w:hint="eastAsia" w:cs="Times New Roman"/>
                      <w:color w:val="auto"/>
                      <w:szCs w:val="21"/>
                      <w:highlight w:val="none"/>
                      <w:lang w:val="en-US" w:eastAsia="zh-CN"/>
                    </w:rPr>
                    <w:t>4</w:t>
                  </w:r>
                  <w:r>
                    <w:rPr>
                      <w:rFonts w:hint="eastAsia" w:ascii="Times New Roman" w:hAnsi="Times New Roman" w:cs="Times New Roman"/>
                      <w:color w:val="auto"/>
                      <w:szCs w:val="21"/>
                      <w:highlight w:val="none"/>
                      <w:lang w:val="en-US" w:eastAsia="zh-CN"/>
                    </w:rPr>
                    <w:t>℃</w:t>
                  </w:r>
                </w:p>
              </w:tc>
            </w:tr>
            <w:tr w14:paraId="61CA824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03" w:hRule="atLeast"/>
              </w:trPr>
              <w:tc>
                <w:tcPr>
                  <w:tcW w:w="692" w:type="pct"/>
                  <w:vMerge w:val="continue"/>
                  <w:noWrap w:val="0"/>
                  <w:vAlign w:val="center"/>
                </w:tcPr>
                <w:p w14:paraId="129C802E">
                  <w:pPr>
                    <w:jc w:val="center"/>
                    <w:rPr>
                      <w:rFonts w:hint="eastAsia" w:ascii="Times New Roman" w:hAnsi="Times New Roman" w:cs="Times New Roman"/>
                      <w:color w:val="auto"/>
                      <w:szCs w:val="21"/>
                      <w:highlight w:val="none"/>
                      <w:lang w:val="en-US" w:eastAsia="zh-CN"/>
                    </w:rPr>
                  </w:pPr>
                </w:p>
              </w:tc>
              <w:tc>
                <w:tcPr>
                  <w:tcW w:w="4307" w:type="pct"/>
                  <w:noWrap w:val="0"/>
                  <w:vAlign w:val="center"/>
                </w:tcPr>
                <w:p w14:paraId="785CDA85">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燃烧性：可燃，燃烧产物：一氧化碳，二氧化碳</w:t>
                  </w:r>
                </w:p>
              </w:tc>
            </w:tr>
            <w:tr w14:paraId="0335A70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03" w:hRule="atLeast"/>
              </w:trPr>
              <w:tc>
                <w:tcPr>
                  <w:tcW w:w="692" w:type="pct"/>
                  <w:vMerge w:val="restart"/>
                  <w:noWrap w:val="0"/>
                  <w:vAlign w:val="center"/>
                </w:tcPr>
                <w:p w14:paraId="339C83CA">
                  <w:pPr>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毒性及健</w:t>
                  </w:r>
                </w:p>
                <w:p w14:paraId="2884B08B">
                  <w:pPr>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康危害</w:t>
                  </w:r>
                </w:p>
              </w:tc>
              <w:tc>
                <w:tcPr>
                  <w:tcW w:w="4307" w:type="pct"/>
                  <w:noWrap w:val="0"/>
                  <w:vAlign w:val="center"/>
                </w:tcPr>
                <w:p w14:paraId="4C8028B2">
                  <w:pPr>
                    <w:jc w:val="both"/>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侵入途径：吸入</w:t>
                  </w:r>
                  <w:r>
                    <w:rPr>
                      <w:rFonts w:hint="eastAsia" w:cs="Times New Roman"/>
                      <w:color w:val="auto"/>
                      <w:szCs w:val="21"/>
                      <w:highlight w:val="none"/>
                      <w:lang w:val="en-US" w:eastAsia="zh-CN"/>
                    </w:rPr>
                    <w:t>、皮肤接触</w:t>
                  </w:r>
                </w:p>
              </w:tc>
            </w:tr>
            <w:tr w14:paraId="1588596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12" w:hRule="atLeast"/>
              </w:trPr>
              <w:tc>
                <w:tcPr>
                  <w:tcW w:w="692" w:type="pct"/>
                  <w:vMerge w:val="continue"/>
                  <w:noWrap w:val="0"/>
                  <w:vAlign w:val="center"/>
                </w:tcPr>
                <w:p w14:paraId="76676928">
                  <w:pPr>
                    <w:jc w:val="center"/>
                    <w:rPr>
                      <w:rFonts w:hint="eastAsia" w:ascii="Times New Roman" w:hAnsi="Times New Roman" w:cs="Times New Roman"/>
                      <w:color w:val="auto"/>
                      <w:szCs w:val="21"/>
                      <w:highlight w:val="none"/>
                      <w:lang w:val="en-US" w:eastAsia="zh-CN"/>
                    </w:rPr>
                  </w:pPr>
                </w:p>
              </w:tc>
              <w:tc>
                <w:tcPr>
                  <w:tcW w:w="4307" w:type="pct"/>
                  <w:noWrap w:val="0"/>
                  <w:vAlign w:val="center"/>
                </w:tcPr>
                <w:p w14:paraId="0E4EF3A0">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健康危害：本品有麻醉作用。急性吸入轻度症状为头晕、恶心、乏力；高浓度吸入可致步态不稳、意识模糊，严重者窒息死亡；液体接触皮肤会快速汽化吸热，造成低温冻伤。长期低浓度接触可引发头痛、睡眠障碍等神经衰弱症状。</w:t>
                  </w:r>
                </w:p>
              </w:tc>
            </w:tr>
            <w:tr w14:paraId="09F6C5B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692" w:type="pct"/>
                  <w:vMerge w:val="continue"/>
                  <w:noWrap w:val="0"/>
                  <w:vAlign w:val="center"/>
                </w:tcPr>
                <w:p w14:paraId="592E34C4">
                  <w:pPr>
                    <w:jc w:val="center"/>
                    <w:rPr>
                      <w:rFonts w:hint="eastAsia" w:ascii="Times New Roman" w:hAnsi="Times New Roman" w:cs="Times New Roman"/>
                      <w:color w:val="auto"/>
                      <w:szCs w:val="21"/>
                      <w:highlight w:val="none"/>
                      <w:lang w:val="en-US" w:eastAsia="zh-CN"/>
                    </w:rPr>
                  </w:pPr>
                </w:p>
              </w:tc>
              <w:tc>
                <w:tcPr>
                  <w:tcW w:w="4307" w:type="pct"/>
                  <w:noWrap w:val="0"/>
                  <w:vAlign w:val="center"/>
                </w:tcPr>
                <w:p w14:paraId="734BECC3">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急救方法</w:t>
                  </w:r>
                </w:p>
                <w:p w14:paraId="0C531BF7">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皮肤接触：立即脱去污染衣物，用大量温水冲洗冻伤部位，禁止揉搓，就医；</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眼睛接触：提起眼睑，流动清水冲洗 15min，就医；</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食入：若误服禁止催吐，就医。</w:t>
                  </w:r>
                </w:p>
              </w:tc>
            </w:tr>
            <w:tr w14:paraId="7242F92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89" w:hRule="atLeast"/>
              </w:trPr>
              <w:tc>
                <w:tcPr>
                  <w:tcW w:w="692" w:type="pct"/>
                  <w:noWrap w:val="0"/>
                  <w:vAlign w:val="center"/>
                </w:tcPr>
                <w:p w14:paraId="30481D6B">
                  <w:pPr>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防护</w:t>
                  </w:r>
                </w:p>
              </w:tc>
              <w:tc>
                <w:tcPr>
                  <w:tcW w:w="4307" w:type="pct"/>
                  <w:noWrap w:val="0"/>
                  <w:vAlign w:val="center"/>
                </w:tcPr>
                <w:p w14:paraId="0CAAED69">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工程控制：密闭储罐储存，全面强制通风，设置可燃气体检测报警装置</w:t>
                  </w:r>
                  <w:r>
                    <w:rPr>
                      <w:rFonts w:hint="eastAsia" w:cs="Times New Roman"/>
                      <w:color w:val="auto"/>
                      <w:szCs w:val="21"/>
                      <w:highlight w:val="none"/>
                      <w:lang w:val="en-US" w:eastAsia="zh-CN"/>
                    </w:rPr>
                    <w:t>；</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呼吸系统防护：现场浓度超标佩戴自给正压式空气呼吸器；日常巡检可佩戴半面罩可燃气体防毒面具</w:t>
                  </w:r>
                  <w:r>
                    <w:rPr>
                      <w:rFonts w:hint="eastAsia" w:cs="Times New Roman"/>
                      <w:color w:val="auto"/>
                      <w:szCs w:val="21"/>
                      <w:highlight w:val="none"/>
                      <w:lang w:val="en-US" w:eastAsia="zh-CN"/>
                    </w:rPr>
                    <w:t>；</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眼睛防护：戴化学安全防护眼镜</w:t>
                  </w:r>
                  <w:r>
                    <w:rPr>
                      <w:rFonts w:hint="eastAsia" w:cs="Times New Roman"/>
                      <w:color w:val="auto"/>
                      <w:szCs w:val="21"/>
                      <w:highlight w:val="none"/>
                      <w:lang w:val="en-US" w:eastAsia="zh-CN"/>
                    </w:rPr>
                    <w:t>；</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身体防护：穿防静电耐低温工作服</w:t>
                  </w:r>
                  <w:r>
                    <w:rPr>
                      <w:rFonts w:hint="eastAsia" w:cs="Times New Roman"/>
                      <w:color w:val="auto"/>
                      <w:szCs w:val="21"/>
                      <w:highlight w:val="none"/>
                      <w:lang w:val="en-US" w:eastAsia="zh-CN"/>
                    </w:rPr>
                    <w:t>；</w:t>
                  </w:r>
                </w:p>
                <w:p w14:paraId="4BC494E5">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手防护：戴橡胶耐油手套；</w:t>
                  </w:r>
                  <w:r>
                    <w:rPr>
                      <w:rFonts w:hint="eastAsia" w:ascii="Times New Roman" w:hAnsi="Times New Roman" w:cs="Times New Roman"/>
                      <w:color w:val="auto"/>
                      <w:szCs w:val="21"/>
                      <w:highlight w:val="none"/>
                      <w:lang w:val="en-US" w:eastAsia="zh-CN"/>
                    </w:rPr>
                    <w:br w:type="textWrapping"/>
                  </w:r>
                  <w:r>
                    <w:rPr>
                      <w:rFonts w:hint="eastAsia" w:ascii="Times New Roman" w:hAnsi="Times New Roman" w:cs="Times New Roman"/>
                      <w:color w:val="auto"/>
                      <w:szCs w:val="21"/>
                      <w:highlight w:val="none"/>
                      <w:lang w:val="en-US" w:eastAsia="zh-CN"/>
                    </w:rPr>
                    <w:t>其他：工作现场严禁吸烟。避免长期反复接触。</w:t>
                  </w:r>
                </w:p>
              </w:tc>
            </w:tr>
            <w:tr w14:paraId="5B7F38D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1" w:hRule="atLeast"/>
              </w:trPr>
              <w:tc>
                <w:tcPr>
                  <w:tcW w:w="692" w:type="pct"/>
                  <w:noWrap w:val="0"/>
                  <w:vAlign w:val="center"/>
                </w:tcPr>
                <w:p w14:paraId="4C685E17">
                  <w:pPr>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泄漏处理</w:t>
                  </w:r>
                </w:p>
              </w:tc>
              <w:tc>
                <w:tcPr>
                  <w:tcW w:w="4307" w:type="pct"/>
                  <w:noWrap w:val="0"/>
                  <w:vAlign w:val="center"/>
                </w:tcPr>
                <w:p w14:paraId="111677FA">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迅速撤离泄漏区人员至上风安全处，隔离管控，切断一切火源、电源；应急处置人员穿戴全套正压呼吸器与防静电防护服。小量泄漏：用砂土、蛭石吸附残液，收集至密闭容器；喷雾水稀释驱散蒸气，禁止直喷泄漏液体。大量泄漏：构筑围堤收容残液，启动防爆泵转移至备用储罐；严防液体流入雨水管网、地下室、管沟等密闭空间，防止蒸气积聚爆炸。</w:t>
                  </w:r>
                </w:p>
              </w:tc>
            </w:tr>
            <w:tr w14:paraId="3C3CE14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77" w:hRule="atLeast"/>
              </w:trPr>
              <w:tc>
                <w:tcPr>
                  <w:tcW w:w="692" w:type="pct"/>
                  <w:noWrap w:val="0"/>
                  <w:vAlign w:val="center"/>
                </w:tcPr>
                <w:p w14:paraId="7FBE4772">
                  <w:pPr>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储存注意事项</w:t>
                  </w:r>
                </w:p>
              </w:tc>
              <w:tc>
                <w:tcPr>
                  <w:tcW w:w="4307" w:type="pct"/>
                  <w:noWrap w:val="0"/>
                  <w:vAlign w:val="center"/>
                </w:tcPr>
                <w:p w14:paraId="555DE8F0">
                  <w:pPr>
                    <w:jc w:val="both"/>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储存于阴凉、通风专用压力储罐区，罐区远离热源、明火、高温设备，与氧化剂、强酸强碱、易燃固体分开存放。储罐配备液位、压力、温度监测及可燃气体报警仪，配套干粉、泡沫消防器材，设置围堰、应急收集池。运输前检查罐体、阀门、管路无破损泄漏；运输车辆为专用防爆危化车辆，配备阻火器、静电接地带；严禁与氧化剂、食用化学品混装混运，按危化品指定路线行驶，远离居民区、火源区域。</w:t>
                  </w:r>
                </w:p>
              </w:tc>
            </w:tr>
          </w:tbl>
          <w:p w14:paraId="6C19D0CA">
            <w:pPr>
              <w:pStyle w:val="16"/>
              <w:tabs>
                <w:tab w:val="left" w:pos="3794"/>
              </w:tabs>
              <w:spacing w:line="360" w:lineRule="auto"/>
              <w:outlineLvl w:val="2"/>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highlight w:val="none"/>
                <w:lang w:val="en-US" w:eastAsia="zh-CN"/>
              </w:rPr>
              <w:t>8.4.2</w:t>
            </w:r>
            <w:r>
              <w:rPr>
                <w:rFonts w:hint="default" w:ascii="Times New Roman" w:hAnsi="Times New Roman" w:cs="Times New Roman"/>
                <w:color w:val="auto"/>
                <w:sz w:val="24"/>
                <w:szCs w:val="24"/>
                <w:highlight w:val="none"/>
              </w:rPr>
              <w:t>生产设施风险识别</w:t>
            </w:r>
          </w:p>
          <w:p w14:paraId="69D5F771">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生产设施风险识别是通过对生产装置、贮运系统、公用工程系统、工程环保设施及辅助生产设施等运行过程中存在的危险因素和可能发生的风险类型进行识别。本环评从</w:t>
            </w:r>
            <w:r>
              <w:rPr>
                <w:rFonts w:hint="eastAsia" w:cs="Times New Roman"/>
                <w:color w:val="auto"/>
                <w:sz w:val="24"/>
                <w:highlight w:val="none"/>
                <w:lang w:val="en-US" w:eastAsia="zh-CN"/>
              </w:rPr>
              <w:t>生产设施、</w:t>
            </w:r>
            <w:r>
              <w:rPr>
                <w:rFonts w:hint="default" w:ascii="Times New Roman" w:hAnsi="Times New Roman" w:cs="Times New Roman"/>
                <w:color w:val="auto"/>
                <w:sz w:val="24"/>
                <w:highlight w:val="none"/>
              </w:rPr>
              <w:t>废气处理装置和辅助工程对生产设施进行风险识别。</w:t>
            </w:r>
          </w:p>
          <w:p w14:paraId="145D3729">
            <w:pPr>
              <w:numPr>
                <w:ilvl w:val="0"/>
                <w:numId w:val="8"/>
              </w:numPr>
              <w:spacing w:line="360" w:lineRule="auto"/>
              <w:ind w:firstLine="480" w:firstLineChars="200"/>
              <w:rPr>
                <w:rFonts w:hint="default" w:ascii="Times New Roman" w:hAnsi="Times New Roman" w:cs="Times New Roman"/>
                <w:color w:val="auto"/>
                <w:sz w:val="24"/>
                <w:highlight w:val="none"/>
                <w:lang w:val="en-US" w:eastAsia="zh-CN"/>
              </w:rPr>
            </w:pPr>
            <w:r>
              <w:rPr>
                <w:rFonts w:hint="eastAsia" w:cs="Times New Roman"/>
                <w:color w:val="auto"/>
                <w:sz w:val="24"/>
                <w:highlight w:val="none"/>
                <w:lang w:val="en-US" w:eastAsia="zh-CN"/>
              </w:rPr>
              <w:t>抽残液区：</w:t>
            </w:r>
            <w:r>
              <w:rPr>
                <w:rFonts w:hint="default" w:ascii="Times New Roman" w:hAnsi="Times New Roman" w:cs="Times New Roman"/>
                <w:color w:val="auto"/>
                <w:sz w:val="24"/>
                <w:highlight w:val="none"/>
                <w:lang w:val="en-US" w:eastAsia="zh-CN"/>
              </w:rPr>
              <w:t>残液收集罐和暂存罐的罐壁破损、管道连接处或阀门损坏导致残液泄漏，遇火源发生火灾、爆炸事故。</w:t>
            </w:r>
          </w:p>
          <w:p w14:paraId="5BADD609">
            <w:pPr>
              <w:numPr>
                <w:ilvl w:val="0"/>
                <w:numId w:val="8"/>
              </w:num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废气处理装置：当废气处理装置发生故障时，其处理效率会大幅下降，导致外排</w:t>
            </w:r>
            <w:r>
              <w:rPr>
                <w:rFonts w:hint="eastAsia" w:cs="Times New Roman"/>
                <w:color w:val="auto"/>
                <w:sz w:val="24"/>
                <w:highlight w:val="none"/>
                <w:lang w:val="en-US" w:eastAsia="zh-CN"/>
              </w:rPr>
              <w:t>废气</w:t>
            </w:r>
            <w:r>
              <w:rPr>
                <w:rFonts w:hint="default" w:ascii="Times New Roman" w:hAnsi="Times New Roman" w:cs="Times New Roman"/>
                <w:color w:val="auto"/>
                <w:sz w:val="24"/>
                <w:highlight w:val="none"/>
                <w:lang w:val="en-US" w:eastAsia="zh-CN"/>
              </w:rPr>
              <w:t>浓度超标，无法实现达标排放，进而对周边生态环境造成严重危害。</w:t>
            </w:r>
          </w:p>
          <w:p w14:paraId="54C8A34F">
            <w:pPr>
              <w:numPr>
                <w:ilvl w:val="0"/>
                <w:numId w:val="8"/>
              </w:num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原材料储存区：本项目原材料在装卸、运输及储存全过程中存在潜在风险。例如，在厂区内进行装卸、运输或储存作业时，可能发生原料桶桶壁破裂现象，导致机油泄漏，进而造成局部区域环境污染。</w:t>
            </w:r>
          </w:p>
          <w:p w14:paraId="367458AD">
            <w:pPr>
              <w:spacing w:line="360" w:lineRule="auto"/>
              <w:ind w:firstLine="480" w:firstLineChars="200"/>
              <w:rPr>
                <w:rFonts w:hint="default" w:ascii="Times New Roman" w:hAnsi="Times New Roman" w:cs="Times New Roman"/>
                <w:color w:val="auto"/>
                <w:sz w:val="24"/>
                <w:highlight w:val="none"/>
              </w:rPr>
            </w:pPr>
            <w:r>
              <w:rPr>
                <w:rFonts w:hint="eastAsia"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辅助工程：危废暂存间内的危险废物，若因保存方式不当、防渗材料破损、贮存容器损坏等情况，将引发危险废物外泄风险，对周边环境及人体健康造成潜在危害。</w:t>
            </w:r>
          </w:p>
          <w:p w14:paraId="15A51B73">
            <w:pPr>
              <w:spacing w:line="360" w:lineRule="auto"/>
              <w:ind w:firstLine="480" w:firstLineChars="200"/>
              <w:rPr>
                <w:rFonts w:hint="default" w:ascii="Times New Roman" w:hAnsi="Times New Roman" w:cs="Times New Roman"/>
                <w:b/>
                <w:color w:val="auto"/>
                <w:sz w:val="24"/>
                <w:highlight w:val="none"/>
              </w:rPr>
            </w:pPr>
            <w:r>
              <w:rPr>
                <w:rFonts w:hint="default" w:ascii="Times New Roman" w:hAnsi="Times New Roman" w:cs="Times New Roman"/>
                <w:color w:val="auto"/>
                <w:sz w:val="24"/>
                <w:highlight w:val="none"/>
              </w:rPr>
              <w:t>根据上述风险识别结果，生产设施风险识别情况见</w:t>
            </w:r>
            <w:r>
              <w:rPr>
                <w:rFonts w:hint="eastAsia" w:cs="Times New Roman"/>
                <w:color w:val="auto"/>
                <w:sz w:val="24"/>
                <w:highlight w:val="none"/>
                <w:lang w:val="en-US" w:eastAsia="zh-CN"/>
              </w:rPr>
              <w:t>下表</w:t>
            </w:r>
            <w:r>
              <w:rPr>
                <w:rFonts w:hint="default" w:ascii="Times New Roman" w:hAnsi="Times New Roman" w:cs="Times New Roman"/>
                <w:color w:val="auto"/>
                <w:sz w:val="24"/>
                <w:highlight w:val="none"/>
              </w:rPr>
              <w:t>。</w:t>
            </w:r>
          </w:p>
          <w:p w14:paraId="3FFCC9F9">
            <w:pPr>
              <w:ind w:firstLine="316" w:firstLineChars="150"/>
              <w:jc w:val="center"/>
              <w:rPr>
                <w:rFonts w:hint="default" w:ascii="Times New Roman" w:hAnsi="Times New Roman" w:cs="Times New Roman"/>
                <w:b/>
                <w:color w:val="auto"/>
                <w:sz w:val="21"/>
                <w:szCs w:val="21"/>
                <w:highlight w:val="none"/>
              </w:rPr>
            </w:pPr>
            <w:r>
              <w:rPr>
                <w:rFonts w:hint="default" w:ascii="Times New Roman" w:hAnsi="Times New Roman" w:cs="Times New Roman"/>
                <w:b/>
                <w:bCs/>
                <w:color w:val="auto"/>
                <w:sz w:val="21"/>
                <w:szCs w:val="21"/>
                <w:highlight w:val="none"/>
              </w:rPr>
              <w:t>表4-</w:t>
            </w:r>
            <w:r>
              <w:rPr>
                <w:rFonts w:hint="eastAsia" w:cs="Times New Roman"/>
                <w:b/>
                <w:bCs/>
                <w:color w:val="auto"/>
                <w:sz w:val="21"/>
                <w:szCs w:val="21"/>
                <w:highlight w:val="none"/>
                <w:lang w:val="en-US" w:eastAsia="zh-CN"/>
              </w:rPr>
              <w:t xml:space="preserve">22  </w:t>
            </w:r>
            <w:r>
              <w:rPr>
                <w:rFonts w:hint="default" w:ascii="Times New Roman" w:hAnsi="Times New Roman" w:cs="Times New Roman"/>
                <w:b/>
                <w:color w:val="auto"/>
                <w:sz w:val="21"/>
                <w:szCs w:val="21"/>
                <w:highlight w:val="none"/>
              </w:rPr>
              <w:t>全厂风险物质、生产设施风险识别情况一览表</w:t>
            </w:r>
          </w:p>
          <w:tbl>
            <w:tblPr>
              <w:tblStyle w:val="33"/>
              <w:tblW w:w="49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47"/>
              <w:gridCol w:w="1376"/>
              <w:gridCol w:w="1904"/>
              <w:gridCol w:w="1134"/>
              <w:gridCol w:w="2233"/>
            </w:tblGrid>
            <w:tr w14:paraId="5EF0CC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trPr>
              <w:tc>
                <w:tcPr>
                  <w:tcW w:w="842" w:type="pct"/>
                  <w:tcBorders>
                    <w:top w:val="single" w:color="auto" w:sz="12" w:space="0"/>
                    <w:left w:val="single" w:color="auto" w:sz="12" w:space="0"/>
                    <w:bottom w:val="single" w:color="auto" w:sz="6" w:space="0"/>
                    <w:right w:val="single" w:color="auto" w:sz="6" w:space="0"/>
                  </w:tcBorders>
                  <w:noWrap w:val="0"/>
                  <w:vAlign w:val="center"/>
                </w:tcPr>
                <w:p w14:paraId="7C069AAE">
                  <w:pPr>
                    <w:widowControl/>
                    <w:jc w:val="center"/>
                    <w:rPr>
                      <w:rFonts w:hint="default" w:ascii="Times New Roman" w:hAnsi="Times New Roman" w:cs="Times New Roman"/>
                      <w:b/>
                      <w:bCs/>
                      <w:color w:val="auto"/>
                      <w:kern w:val="21"/>
                      <w:sz w:val="21"/>
                      <w:szCs w:val="21"/>
                      <w:highlight w:val="none"/>
                    </w:rPr>
                  </w:pPr>
                  <w:r>
                    <w:rPr>
                      <w:rFonts w:hint="default" w:ascii="Times New Roman" w:hAnsi="Times New Roman" w:cs="Times New Roman"/>
                      <w:b/>
                      <w:bCs/>
                      <w:color w:val="auto"/>
                      <w:kern w:val="21"/>
                      <w:sz w:val="21"/>
                      <w:szCs w:val="21"/>
                      <w:highlight w:val="none"/>
                    </w:rPr>
                    <w:t>设施</w:t>
                  </w:r>
                </w:p>
              </w:tc>
              <w:tc>
                <w:tcPr>
                  <w:tcW w:w="860" w:type="pct"/>
                  <w:tcBorders>
                    <w:top w:val="single" w:color="auto" w:sz="12" w:space="0"/>
                    <w:left w:val="single" w:color="auto" w:sz="6" w:space="0"/>
                    <w:bottom w:val="single" w:color="auto" w:sz="6" w:space="0"/>
                    <w:right w:val="single" w:color="auto" w:sz="6" w:space="0"/>
                  </w:tcBorders>
                  <w:noWrap w:val="0"/>
                  <w:vAlign w:val="center"/>
                </w:tcPr>
                <w:p w14:paraId="6099BEAB">
                  <w:pPr>
                    <w:widowControl/>
                    <w:jc w:val="center"/>
                    <w:rPr>
                      <w:rFonts w:hint="default" w:ascii="Times New Roman" w:hAnsi="Times New Roman" w:cs="Times New Roman"/>
                      <w:b/>
                      <w:bCs/>
                      <w:color w:val="auto"/>
                      <w:kern w:val="21"/>
                      <w:sz w:val="21"/>
                      <w:szCs w:val="21"/>
                      <w:highlight w:val="none"/>
                    </w:rPr>
                  </w:pPr>
                  <w:r>
                    <w:rPr>
                      <w:rFonts w:hint="default" w:ascii="Times New Roman" w:hAnsi="Times New Roman" w:cs="Times New Roman"/>
                      <w:b/>
                      <w:bCs/>
                      <w:color w:val="auto"/>
                      <w:kern w:val="21"/>
                      <w:sz w:val="21"/>
                      <w:szCs w:val="21"/>
                      <w:highlight w:val="none"/>
                    </w:rPr>
                    <w:t>主要危险部位</w:t>
                  </w:r>
                </w:p>
              </w:tc>
              <w:tc>
                <w:tcPr>
                  <w:tcW w:w="1190" w:type="pct"/>
                  <w:tcBorders>
                    <w:top w:val="single" w:color="auto" w:sz="12" w:space="0"/>
                    <w:left w:val="single" w:color="auto" w:sz="6" w:space="0"/>
                    <w:bottom w:val="single" w:color="auto" w:sz="6" w:space="0"/>
                    <w:right w:val="single" w:color="auto" w:sz="6" w:space="0"/>
                  </w:tcBorders>
                  <w:noWrap w:val="0"/>
                  <w:vAlign w:val="center"/>
                </w:tcPr>
                <w:p w14:paraId="36B70C02">
                  <w:pPr>
                    <w:widowControl/>
                    <w:jc w:val="center"/>
                    <w:rPr>
                      <w:rFonts w:hint="default" w:ascii="Times New Roman" w:hAnsi="Times New Roman" w:cs="Times New Roman"/>
                      <w:b/>
                      <w:bCs/>
                      <w:color w:val="auto"/>
                      <w:kern w:val="21"/>
                      <w:sz w:val="21"/>
                      <w:szCs w:val="21"/>
                      <w:highlight w:val="none"/>
                    </w:rPr>
                  </w:pPr>
                  <w:r>
                    <w:rPr>
                      <w:rFonts w:hint="default" w:ascii="Times New Roman" w:hAnsi="Times New Roman" w:cs="Times New Roman"/>
                      <w:b/>
                      <w:bCs/>
                      <w:color w:val="auto"/>
                      <w:kern w:val="21"/>
                      <w:sz w:val="21"/>
                      <w:szCs w:val="21"/>
                      <w:highlight w:val="none"/>
                    </w:rPr>
                    <w:t>主要物质</w:t>
                  </w:r>
                </w:p>
              </w:tc>
              <w:tc>
                <w:tcPr>
                  <w:tcW w:w="709" w:type="pct"/>
                  <w:tcBorders>
                    <w:top w:val="single" w:color="auto" w:sz="12" w:space="0"/>
                    <w:left w:val="single" w:color="auto" w:sz="6" w:space="0"/>
                    <w:bottom w:val="single" w:color="auto" w:sz="6" w:space="0"/>
                    <w:right w:val="single" w:color="auto" w:sz="6" w:space="0"/>
                  </w:tcBorders>
                  <w:noWrap w:val="0"/>
                  <w:vAlign w:val="center"/>
                </w:tcPr>
                <w:p w14:paraId="7EB47152">
                  <w:pPr>
                    <w:widowControl/>
                    <w:jc w:val="center"/>
                    <w:rPr>
                      <w:rFonts w:hint="default" w:ascii="Times New Roman" w:hAnsi="Times New Roman" w:cs="Times New Roman"/>
                      <w:b/>
                      <w:bCs/>
                      <w:color w:val="auto"/>
                      <w:kern w:val="21"/>
                      <w:sz w:val="21"/>
                      <w:szCs w:val="21"/>
                      <w:highlight w:val="none"/>
                    </w:rPr>
                  </w:pPr>
                  <w:r>
                    <w:rPr>
                      <w:rFonts w:hint="default" w:ascii="Times New Roman" w:hAnsi="Times New Roman" w:cs="Times New Roman"/>
                      <w:b/>
                      <w:bCs/>
                      <w:color w:val="auto"/>
                      <w:kern w:val="21"/>
                      <w:sz w:val="21"/>
                      <w:szCs w:val="21"/>
                      <w:highlight w:val="none"/>
                    </w:rPr>
                    <w:t>事故类型</w:t>
                  </w:r>
                </w:p>
              </w:tc>
              <w:tc>
                <w:tcPr>
                  <w:tcW w:w="1396" w:type="pct"/>
                  <w:tcBorders>
                    <w:top w:val="single" w:color="auto" w:sz="12" w:space="0"/>
                    <w:left w:val="single" w:color="auto" w:sz="6" w:space="0"/>
                    <w:bottom w:val="single" w:color="auto" w:sz="6" w:space="0"/>
                    <w:right w:val="single" w:color="auto" w:sz="12" w:space="0"/>
                  </w:tcBorders>
                  <w:noWrap w:val="0"/>
                  <w:vAlign w:val="center"/>
                </w:tcPr>
                <w:p w14:paraId="76C15351">
                  <w:pPr>
                    <w:widowControl/>
                    <w:jc w:val="center"/>
                    <w:rPr>
                      <w:rFonts w:hint="default" w:ascii="Times New Roman" w:hAnsi="Times New Roman" w:cs="Times New Roman"/>
                      <w:b/>
                      <w:bCs/>
                      <w:color w:val="auto"/>
                      <w:kern w:val="21"/>
                      <w:sz w:val="21"/>
                      <w:szCs w:val="21"/>
                      <w:highlight w:val="none"/>
                    </w:rPr>
                  </w:pPr>
                  <w:r>
                    <w:rPr>
                      <w:rFonts w:hint="default" w:ascii="Times New Roman" w:hAnsi="Times New Roman" w:cs="Times New Roman"/>
                      <w:b/>
                      <w:bCs/>
                      <w:color w:val="auto"/>
                      <w:kern w:val="21"/>
                      <w:sz w:val="21"/>
                      <w:szCs w:val="21"/>
                      <w:highlight w:val="none"/>
                    </w:rPr>
                    <w:t>原因</w:t>
                  </w:r>
                </w:p>
              </w:tc>
            </w:tr>
            <w:tr w14:paraId="7FC75E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trPr>
              <w:tc>
                <w:tcPr>
                  <w:tcW w:w="842" w:type="pct"/>
                  <w:tcBorders>
                    <w:top w:val="single" w:color="auto" w:sz="6" w:space="0"/>
                    <w:left w:val="single" w:color="auto" w:sz="12" w:space="0"/>
                    <w:bottom w:val="single" w:color="auto" w:sz="6" w:space="0"/>
                    <w:right w:val="single" w:color="auto" w:sz="6" w:space="0"/>
                  </w:tcBorders>
                  <w:shd w:val="clear" w:color="auto" w:fill="auto"/>
                  <w:noWrap w:val="0"/>
                  <w:vAlign w:val="center"/>
                </w:tcPr>
                <w:p w14:paraId="76586770">
                  <w:pPr>
                    <w:adjustRightInd w:val="0"/>
                    <w:snapToGrid w:val="0"/>
                    <w:jc w:val="center"/>
                    <w:rPr>
                      <w:rFonts w:hint="default" w:ascii="Times New Roman" w:hAnsi="Times New Roman" w:eastAsia="宋体" w:cs="Times New Roman"/>
                      <w:color w:val="auto"/>
                      <w:kern w:val="21"/>
                      <w:sz w:val="21"/>
                      <w:szCs w:val="21"/>
                      <w:highlight w:val="none"/>
                      <w:u w:val="none" w:color="auto"/>
                      <w:lang w:val="en-US" w:eastAsia="zh-CN" w:bidi="ar-SA"/>
                    </w:rPr>
                  </w:pPr>
                  <w:r>
                    <w:rPr>
                      <w:rFonts w:hint="eastAsia" w:cs="Times New Roman"/>
                      <w:color w:val="auto"/>
                      <w:kern w:val="21"/>
                      <w:szCs w:val="21"/>
                      <w:highlight w:val="none"/>
                      <w:u w:val="none" w:color="auto"/>
                      <w:lang w:val="en-US" w:eastAsia="zh-CN"/>
                    </w:rPr>
                    <w:t>生产区</w:t>
                  </w:r>
                </w:p>
              </w:tc>
              <w:tc>
                <w:tcPr>
                  <w:tcW w:w="860"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057CA7B0">
                  <w:pPr>
                    <w:pStyle w:val="63"/>
                    <w:keepNext w:val="0"/>
                    <w:keepLines w:val="0"/>
                    <w:pageBreakBefore w:val="0"/>
                    <w:widowControl/>
                    <w:tabs>
                      <w:tab w:val="left" w:pos="1021"/>
                    </w:tabs>
                    <w:kinsoku/>
                    <w:wordWrap w:val="0"/>
                    <w:overflowPunct/>
                    <w:topLinePunct/>
                    <w:autoSpaceDE/>
                    <w:autoSpaceDN/>
                    <w:bidi w:val="0"/>
                    <w:adjustRightInd/>
                    <w:snapToGrid/>
                    <w:ind w:firstLine="0" w:firstLineChars="0"/>
                    <w:jc w:val="center"/>
                    <w:rPr>
                      <w:rFonts w:hint="default" w:ascii="Times New Roman" w:hAnsi="Times New Roman" w:eastAsia="宋体" w:cs="Times New Roman"/>
                      <w:color w:val="auto"/>
                      <w:kern w:val="21"/>
                      <w:sz w:val="21"/>
                      <w:szCs w:val="21"/>
                      <w:highlight w:val="none"/>
                      <w:u w:val="none" w:color="auto"/>
                      <w:lang w:val="en-US" w:eastAsia="zh-CN" w:bidi="ar-SA"/>
                    </w:rPr>
                  </w:pPr>
                  <w:r>
                    <w:rPr>
                      <w:rFonts w:hint="eastAsia"/>
                      <w:color w:val="auto"/>
                      <w:highlight w:val="none"/>
                      <w:u w:val="none" w:color="auto"/>
                      <w:lang w:val="en-US" w:eastAsia="zh-CN"/>
                    </w:rPr>
                    <w:t>抽残液区</w:t>
                  </w:r>
                </w:p>
              </w:tc>
              <w:tc>
                <w:tcPr>
                  <w:tcW w:w="1190"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07B0A774">
                  <w:pPr>
                    <w:pStyle w:val="63"/>
                    <w:keepNext w:val="0"/>
                    <w:keepLines w:val="0"/>
                    <w:pageBreakBefore w:val="0"/>
                    <w:widowControl/>
                    <w:tabs>
                      <w:tab w:val="left" w:pos="1021"/>
                    </w:tabs>
                    <w:kinsoku/>
                    <w:wordWrap w:val="0"/>
                    <w:overflowPunct/>
                    <w:topLinePunct/>
                    <w:autoSpaceDE/>
                    <w:autoSpaceDN/>
                    <w:bidi w:val="0"/>
                    <w:adjustRightInd/>
                    <w:snapToGrid/>
                    <w:ind w:firstLine="0" w:firstLineChars="0"/>
                    <w:jc w:val="center"/>
                    <w:rPr>
                      <w:rFonts w:hint="default" w:ascii="楷体_GB2312" w:hAnsi="楷体_GB2312" w:eastAsia="宋体" w:cs="Times New Roman"/>
                      <w:color w:val="auto"/>
                      <w:spacing w:val="-2"/>
                      <w:kern w:val="2"/>
                      <w:sz w:val="21"/>
                      <w:szCs w:val="21"/>
                      <w:highlight w:val="none"/>
                      <w:u w:val="none" w:color="auto"/>
                      <w:lang w:val="en-US" w:eastAsia="zh-CN" w:bidi="ar-SA"/>
                    </w:rPr>
                  </w:pPr>
                  <w:r>
                    <w:rPr>
                      <w:rFonts w:hint="eastAsia" w:ascii="Times New Roman" w:hAnsi="Times New Roman" w:cs="Times New Roman"/>
                      <w:color w:val="auto"/>
                      <w:spacing w:val="-2"/>
                      <w:sz w:val="21"/>
                      <w:szCs w:val="21"/>
                      <w:highlight w:val="none"/>
                      <w:u w:val="none" w:color="auto"/>
                      <w:lang w:val="en-US" w:eastAsia="zh-CN"/>
                    </w:rPr>
                    <w:t>液化石油气</w:t>
                  </w:r>
                </w:p>
              </w:tc>
              <w:tc>
                <w:tcPr>
                  <w:tcW w:w="70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0EA2588F">
                  <w:pPr>
                    <w:adjustRightInd w:val="0"/>
                    <w:snapToGrid w:val="0"/>
                    <w:jc w:val="center"/>
                    <w:rPr>
                      <w:rFonts w:hint="default" w:ascii="Times New Roman" w:hAnsi="Times New Roman" w:eastAsia="宋体" w:cs="Times New Roman"/>
                      <w:color w:val="auto"/>
                      <w:kern w:val="21"/>
                      <w:sz w:val="21"/>
                      <w:szCs w:val="21"/>
                      <w:highlight w:val="none"/>
                      <w:u w:val="none" w:color="auto"/>
                      <w:lang w:val="en-US" w:eastAsia="zh-CN" w:bidi="ar-SA"/>
                    </w:rPr>
                  </w:pPr>
                  <w:r>
                    <w:rPr>
                      <w:rFonts w:hint="default" w:ascii="Times New Roman" w:hAnsi="Times New Roman" w:cs="Times New Roman"/>
                      <w:color w:val="auto"/>
                      <w:kern w:val="21"/>
                      <w:szCs w:val="21"/>
                      <w:highlight w:val="none"/>
                      <w:u w:val="none" w:color="auto"/>
                    </w:rPr>
                    <w:t>火灾、爆炸事故</w:t>
                  </w:r>
                </w:p>
              </w:tc>
              <w:tc>
                <w:tcPr>
                  <w:tcW w:w="1396" w:type="pct"/>
                  <w:tcBorders>
                    <w:top w:val="single" w:color="auto" w:sz="6" w:space="0"/>
                    <w:left w:val="single" w:color="auto" w:sz="6" w:space="0"/>
                    <w:bottom w:val="single" w:color="auto" w:sz="6" w:space="0"/>
                    <w:right w:val="single" w:color="auto" w:sz="12" w:space="0"/>
                  </w:tcBorders>
                  <w:shd w:val="clear" w:color="auto" w:fill="auto"/>
                  <w:noWrap w:val="0"/>
                  <w:vAlign w:val="center"/>
                </w:tcPr>
                <w:p w14:paraId="2C17E362">
                  <w:pPr>
                    <w:adjustRightInd w:val="0"/>
                    <w:snapToGrid w:val="0"/>
                    <w:jc w:val="center"/>
                    <w:rPr>
                      <w:rFonts w:hint="default" w:ascii="Times New Roman" w:hAnsi="Times New Roman" w:eastAsia="宋体" w:cs="Times New Roman"/>
                      <w:color w:val="auto"/>
                      <w:kern w:val="21"/>
                      <w:sz w:val="21"/>
                      <w:szCs w:val="21"/>
                      <w:highlight w:val="none"/>
                      <w:u w:val="none" w:color="auto"/>
                      <w:lang w:val="en-US" w:eastAsia="zh-CN" w:bidi="ar-SA"/>
                    </w:rPr>
                  </w:pPr>
                  <w:r>
                    <w:rPr>
                      <w:rFonts w:hint="default" w:ascii="Times New Roman" w:hAnsi="Times New Roman" w:cs="Times New Roman"/>
                      <w:color w:val="auto"/>
                      <w:kern w:val="21"/>
                      <w:szCs w:val="21"/>
                      <w:highlight w:val="none"/>
                      <w:u w:val="none" w:color="auto"/>
                    </w:rPr>
                    <w:t>抽残液过程中残液泄漏，遇火源发生</w:t>
                  </w:r>
                </w:p>
              </w:tc>
            </w:tr>
            <w:tr w14:paraId="59CD8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trPr>
              <w:tc>
                <w:tcPr>
                  <w:tcW w:w="842" w:type="pct"/>
                  <w:tcBorders>
                    <w:top w:val="single" w:color="auto" w:sz="6" w:space="0"/>
                    <w:left w:val="single" w:color="auto" w:sz="12" w:space="0"/>
                    <w:bottom w:val="single" w:color="auto" w:sz="6" w:space="0"/>
                    <w:right w:val="single" w:color="auto" w:sz="6" w:space="0"/>
                  </w:tcBorders>
                  <w:shd w:val="clear" w:color="auto" w:fill="auto"/>
                  <w:noWrap w:val="0"/>
                  <w:vAlign w:val="center"/>
                </w:tcPr>
                <w:p w14:paraId="683BEA6E">
                  <w:pPr>
                    <w:adjustRightInd w:val="0"/>
                    <w:snapToGrid w:val="0"/>
                    <w:jc w:val="center"/>
                    <w:rPr>
                      <w:rFonts w:hint="default" w:ascii="Times New Roman" w:hAnsi="Times New Roman" w:eastAsia="宋体" w:cs="Times New Roman"/>
                      <w:color w:val="auto"/>
                      <w:kern w:val="21"/>
                      <w:sz w:val="21"/>
                      <w:szCs w:val="21"/>
                      <w:highlight w:val="none"/>
                      <w:u w:val="none" w:color="auto"/>
                      <w:lang w:val="en-US" w:eastAsia="zh-CN" w:bidi="ar-SA"/>
                    </w:rPr>
                  </w:pPr>
                  <w:r>
                    <w:rPr>
                      <w:rFonts w:hint="default" w:ascii="Times New Roman" w:hAnsi="Times New Roman" w:cs="Times New Roman"/>
                      <w:color w:val="auto"/>
                      <w:kern w:val="21"/>
                      <w:szCs w:val="21"/>
                      <w:highlight w:val="none"/>
                      <w:u w:val="none" w:color="auto"/>
                    </w:rPr>
                    <w:t>废气处理装置</w:t>
                  </w:r>
                </w:p>
              </w:tc>
              <w:tc>
                <w:tcPr>
                  <w:tcW w:w="860"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79FC2E62">
                  <w:pPr>
                    <w:adjustRightInd w:val="0"/>
                    <w:snapToGrid w:val="0"/>
                    <w:jc w:val="center"/>
                    <w:rPr>
                      <w:rFonts w:hint="default" w:ascii="Times New Roman" w:hAnsi="Times New Roman" w:eastAsia="宋体" w:cs="Times New Roman"/>
                      <w:color w:val="auto"/>
                      <w:kern w:val="21"/>
                      <w:sz w:val="21"/>
                      <w:szCs w:val="21"/>
                      <w:highlight w:val="none"/>
                      <w:u w:val="none" w:color="auto"/>
                      <w:lang w:val="en-US" w:eastAsia="zh-CN" w:bidi="ar-SA"/>
                    </w:rPr>
                  </w:pPr>
                  <w:r>
                    <w:rPr>
                      <w:rFonts w:hint="default" w:ascii="Times New Roman" w:hAnsi="Times New Roman" w:cs="Times New Roman"/>
                      <w:color w:val="auto"/>
                      <w:kern w:val="21"/>
                      <w:szCs w:val="21"/>
                      <w:highlight w:val="none"/>
                      <w:u w:val="none" w:color="auto"/>
                    </w:rPr>
                    <w:t>生产车间</w:t>
                  </w:r>
                </w:p>
              </w:tc>
              <w:tc>
                <w:tcPr>
                  <w:tcW w:w="1190"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4F42553">
                  <w:pPr>
                    <w:adjustRightInd w:val="0"/>
                    <w:snapToGrid w:val="0"/>
                    <w:jc w:val="center"/>
                    <w:rPr>
                      <w:rFonts w:hint="eastAsia" w:ascii="Times New Roman" w:hAnsi="Times New Roman" w:eastAsia="宋体" w:cs="Times New Roman"/>
                      <w:color w:val="auto"/>
                      <w:kern w:val="21"/>
                      <w:sz w:val="21"/>
                      <w:szCs w:val="21"/>
                      <w:highlight w:val="none"/>
                      <w:u w:val="none" w:color="auto"/>
                      <w:lang w:val="en-US" w:eastAsia="zh-CN" w:bidi="ar-SA"/>
                    </w:rPr>
                  </w:pPr>
                  <w:r>
                    <w:rPr>
                      <w:rFonts w:hint="eastAsia" w:cs="Times New Roman"/>
                      <w:color w:val="auto"/>
                      <w:spacing w:val="-2"/>
                      <w:sz w:val="21"/>
                      <w:szCs w:val="21"/>
                      <w:highlight w:val="none"/>
                      <w:u w:val="none" w:color="auto"/>
                      <w:lang w:val="en-US" w:eastAsia="zh-CN"/>
                    </w:rPr>
                    <w:t>颗粒物、SO</w:t>
                  </w:r>
                  <w:r>
                    <w:rPr>
                      <w:rFonts w:hint="eastAsia" w:cs="Times New Roman"/>
                      <w:color w:val="auto"/>
                      <w:spacing w:val="-2"/>
                      <w:sz w:val="21"/>
                      <w:szCs w:val="21"/>
                      <w:highlight w:val="none"/>
                      <w:u w:val="none" w:color="auto"/>
                      <w:vertAlign w:val="subscript"/>
                      <w:lang w:val="en-US" w:eastAsia="zh-CN"/>
                    </w:rPr>
                    <w:t>2</w:t>
                  </w:r>
                  <w:r>
                    <w:rPr>
                      <w:rFonts w:hint="eastAsia" w:cs="Times New Roman"/>
                      <w:color w:val="auto"/>
                      <w:spacing w:val="-2"/>
                      <w:sz w:val="21"/>
                      <w:szCs w:val="21"/>
                      <w:highlight w:val="none"/>
                      <w:u w:val="none" w:color="auto"/>
                      <w:lang w:val="en-US" w:eastAsia="zh-CN"/>
                    </w:rPr>
                    <w:t>、NOx</w:t>
                  </w:r>
                  <w:r>
                    <w:rPr>
                      <w:rFonts w:hint="default" w:ascii="Times New Roman" w:hAnsi="Times New Roman" w:eastAsia="宋体" w:cs="Times New Roman"/>
                      <w:color w:val="auto"/>
                      <w:kern w:val="21"/>
                      <w:sz w:val="21"/>
                      <w:szCs w:val="21"/>
                      <w:highlight w:val="none"/>
                      <w:u w:val="none" w:color="auto"/>
                      <w:lang w:val="en-US" w:eastAsia="zh-CN"/>
                    </w:rPr>
                    <w:t>等</w:t>
                  </w:r>
                </w:p>
              </w:tc>
              <w:tc>
                <w:tcPr>
                  <w:tcW w:w="70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0C584256">
                  <w:pPr>
                    <w:adjustRightInd w:val="0"/>
                    <w:snapToGrid w:val="0"/>
                    <w:jc w:val="center"/>
                    <w:rPr>
                      <w:rFonts w:hint="default" w:ascii="Times New Roman" w:hAnsi="Times New Roman" w:eastAsia="宋体" w:cs="Times New Roman"/>
                      <w:color w:val="auto"/>
                      <w:kern w:val="21"/>
                      <w:sz w:val="21"/>
                      <w:szCs w:val="21"/>
                      <w:highlight w:val="none"/>
                      <w:u w:val="none" w:color="auto"/>
                      <w:lang w:val="en-US" w:eastAsia="zh-CN" w:bidi="ar-SA"/>
                    </w:rPr>
                  </w:pPr>
                  <w:r>
                    <w:rPr>
                      <w:rFonts w:hint="default" w:ascii="Times New Roman" w:hAnsi="Times New Roman" w:cs="Times New Roman"/>
                      <w:color w:val="auto"/>
                      <w:kern w:val="21"/>
                      <w:szCs w:val="21"/>
                      <w:highlight w:val="none"/>
                      <w:u w:val="none" w:color="auto"/>
                    </w:rPr>
                    <w:t>事故排放</w:t>
                  </w:r>
                </w:p>
              </w:tc>
              <w:tc>
                <w:tcPr>
                  <w:tcW w:w="1396" w:type="pct"/>
                  <w:tcBorders>
                    <w:top w:val="single" w:color="auto" w:sz="6" w:space="0"/>
                    <w:left w:val="single" w:color="auto" w:sz="6" w:space="0"/>
                    <w:bottom w:val="single" w:color="auto" w:sz="6" w:space="0"/>
                    <w:right w:val="single" w:color="auto" w:sz="12" w:space="0"/>
                  </w:tcBorders>
                  <w:shd w:val="clear" w:color="auto" w:fill="auto"/>
                  <w:noWrap w:val="0"/>
                  <w:vAlign w:val="center"/>
                </w:tcPr>
                <w:p w14:paraId="63B70181">
                  <w:pPr>
                    <w:adjustRightInd w:val="0"/>
                    <w:snapToGrid w:val="0"/>
                    <w:jc w:val="center"/>
                    <w:rPr>
                      <w:rFonts w:hint="default" w:ascii="Times New Roman" w:hAnsi="Times New Roman" w:eastAsia="宋体" w:cs="Times New Roman"/>
                      <w:color w:val="auto"/>
                      <w:kern w:val="21"/>
                      <w:sz w:val="21"/>
                      <w:szCs w:val="21"/>
                      <w:highlight w:val="none"/>
                      <w:u w:val="none" w:color="auto"/>
                      <w:lang w:val="en-US" w:eastAsia="zh-CN" w:bidi="ar-SA"/>
                    </w:rPr>
                  </w:pPr>
                  <w:r>
                    <w:rPr>
                      <w:rFonts w:hint="default" w:ascii="Times New Roman" w:hAnsi="Times New Roman" w:cs="Times New Roman"/>
                      <w:color w:val="auto"/>
                      <w:kern w:val="21"/>
                      <w:szCs w:val="21"/>
                      <w:highlight w:val="none"/>
                      <w:u w:val="none" w:color="auto"/>
                    </w:rPr>
                    <w:t>处理设施失效、停电等</w:t>
                  </w:r>
                </w:p>
              </w:tc>
            </w:tr>
            <w:tr w14:paraId="3F10B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trPr>
              <w:tc>
                <w:tcPr>
                  <w:tcW w:w="842" w:type="pct"/>
                  <w:vMerge w:val="restart"/>
                  <w:tcBorders>
                    <w:top w:val="single" w:color="auto" w:sz="6" w:space="0"/>
                    <w:left w:val="single" w:color="auto" w:sz="12" w:space="0"/>
                    <w:bottom w:val="single" w:color="auto" w:sz="12" w:space="0"/>
                    <w:right w:val="single" w:color="auto" w:sz="6" w:space="0"/>
                  </w:tcBorders>
                  <w:noWrap w:val="0"/>
                  <w:vAlign w:val="center"/>
                </w:tcPr>
                <w:p w14:paraId="59EBEC59">
                  <w:pPr>
                    <w:adjustRightInd w:val="0"/>
                    <w:snapToGrid w:val="0"/>
                    <w:jc w:val="center"/>
                    <w:rPr>
                      <w:rFonts w:hint="default" w:ascii="Times New Roman" w:hAnsi="Times New Roman" w:cs="Times New Roman"/>
                      <w:color w:val="auto"/>
                      <w:kern w:val="21"/>
                      <w:sz w:val="21"/>
                      <w:szCs w:val="21"/>
                      <w:highlight w:val="none"/>
                      <w:u w:val="none" w:color="auto"/>
                    </w:rPr>
                  </w:pPr>
                  <w:r>
                    <w:rPr>
                      <w:rFonts w:hint="default" w:ascii="Times New Roman" w:hAnsi="Times New Roman" w:cs="Times New Roman"/>
                      <w:color w:val="auto"/>
                      <w:kern w:val="21"/>
                      <w:sz w:val="21"/>
                      <w:szCs w:val="21"/>
                      <w:highlight w:val="none"/>
                      <w:u w:val="none" w:color="auto"/>
                    </w:rPr>
                    <w:t>辅助工程</w:t>
                  </w:r>
                </w:p>
              </w:tc>
              <w:tc>
                <w:tcPr>
                  <w:tcW w:w="860" w:type="pct"/>
                  <w:tcBorders>
                    <w:top w:val="single" w:color="auto" w:sz="6" w:space="0"/>
                    <w:left w:val="single" w:color="auto" w:sz="6" w:space="0"/>
                    <w:bottom w:val="single" w:color="auto" w:sz="6" w:space="0"/>
                    <w:right w:val="single" w:color="auto" w:sz="6" w:space="0"/>
                  </w:tcBorders>
                  <w:noWrap w:val="0"/>
                  <w:vAlign w:val="center"/>
                </w:tcPr>
                <w:p w14:paraId="2016E8F3">
                  <w:pPr>
                    <w:adjustRightInd w:val="0"/>
                    <w:snapToGrid w:val="0"/>
                    <w:jc w:val="center"/>
                    <w:rPr>
                      <w:rFonts w:hint="default" w:ascii="Times New Roman" w:hAnsi="Times New Roman" w:cs="Times New Roman"/>
                      <w:color w:val="auto"/>
                      <w:sz w:val="21"/>
                      <w:szCs w:val="21"/>
                      <w:highlight w:val="none"/>
                      <w:u w:val="none" w:color="auto"/>
                      <w:lang w:val="en-US"/>
                    </w:rPr>
                  </w:pPr>
                  <w:r>
                    <w:rPr>
                      <w:rFonts w:hint="default" w:ascii="Times New Roman" w:hAnsi="Times New Roman" w:cs="Times New Roman"/>
                      <w:color w:val="auto"/>
                      <w:sz w:val="21"/>
                      <w:szCs w:val="21"/>
                      <w:highlight w:val="none"/>
                      <w:u w:val="none" w:color="auto"/>
                      <w:lang w:val="en-US" w:eastAsia="zh-CN"/>
                    </w:rPr>
                    <w:t>各类</w:t>
                  </w:r>
                  <w:r>
                    <w:rPr>
                      <w:rFonts w:hint="eastAsia" w:cs="Times New Roman"/>
                      <w:color w:val="auto"/>
                      <w:sz w:val="21"/>
                      <w:szCs w:val="21"/>
                      <w:highlight w:val="none"/>
                      <w:u w:val="none" w:color="auto"/>
                      <w:lang w:val="en-US" w:eastAsia="zh-CN"/>
                    </w:rPr>
                    <w:t>包装桶</w:t>
                  </w:r>
                </w:p>
              </w:tc>
              <w:tc>
                <w:tcPr>
                  <w:tcW w:w="1190" w:type="pct"/>
                  <w:tcBorders>
                    <w:top w:val="single" w:color="auto" w:sz="6" w:space="0"/>
                    <w:left w:val="single" w:color="auto" w:sz="6" w:space="0"/>
                    <w:bottom w:val="single" w:color="auto" w:sz="6" w:space="0"/>
                    <w:right w:val="single" w:color="auto" w:sz="6" w:space="0"/>
                  </w:tcBorders>
                  <w:noWrap w:val="0"/>
                  <w:vAlign w:val="center"/>
                </w:tcPr>
                <w:p w14:paraId="6CC56711">
                  <w:pPr>
                    <w:adjustRightInd w:val="0"/>
                    <w:snapToGrid w:val="0"/>
                    <w:jc w:val="center"/>
                    <w:rPr>
                      <w:rFonts w:hint="default" w:ascii="Times New Roman" w:hAnsi="Times New Roman" w:eastAsia="宋体" w:cs="Times New Roman"/>
                      <w:color w:val="auto"/>
                      <w:kern w:val="21"/>
                      <w:sz w:val="21"/>
                      <w:szCs w:val="21"/>
                      <w:highlight w:val="none"/>
                      <w:u w:val="none" w:color="auto"/>
                      <w:lang w:val="en-US" w:eastAsia="zh-CN"/>
                    </w:rPr>
                  </w:pPr>
                  <w:r>
                    <w:rPr>
                      <w:rFonts w:hint="eastAsia" w:cs="Times New Roman"/>
                      <w:color w:val="auto"/>
                      <w:kern w:val="21"/>
                      <w:sz w:val="21"/>
                      <w:szCs w:val="21"/>
                      <w:highlight w:val="none"/>
                      <w:u w:val="none" w:color="auto"/>
                      <w:lang w:val="en-US" w:eastAsia="zh-CN"/>
                    </w:rPr>
                    <w:t>机油</w:t>
                  </w:r>
                </w:p>
              </w:tc>
              <w:tc>
                <w:tcPr>
                  <w:tcW w:w="709" w:type="pct"/>
                  <w:vMerge w:val="restart"/>
                  <w:tcBorders>
                    <w:top w:val="single" w:color="auto" w:sz="6" w:space="0"/>
                    <w:left w:val="single" w:color="auto" w:sz="6" w:space="0"/>
                    <w:bottom w:val="single" w:color="auto" w:sz="12" w:space="0"/>
                    <w:right w:val="single" w:color="auto" w:sz="6" w:space="0"/>
                  </w:tcBorders>
                  <w:noWrap w:val="0"/>
                  <w:vAlign w:val="center"/>
                </w:tcPr>
                <w:p w14:paraId="745F3F02">
                  <w:pPr>
                    <w:adjustRightInd w:val="0"/>
                    <w:snapToGrid w:val="0"/>
                    <w:jc w:val="center"/>
                    <w:rPr>
                      <w:rFonts w:hint="default" w:ascii="Times New Roman" w:hAnsi="Times New Roman" w:cs="Times New Roman"/>
                      <w:color w:val="auto"/>
                      <w:kern w:val="21"/>
                      <w:sz w:val="21"/>
                      <w:szCs w:val="21"/>
                      <w:highlight w:val="none"/>
                      <w:u w:val="none" w:color="auto"/>
                    </w:rPr>
                  </w:pPr>
                  <w:r>
                    <w:rPr>
                      <w:rFonts w:hint="default" w:ascii="Times New Roman" w:hAnsi="Times New Roman" w:cs="Times New Roman"/>
                      <w:color w:val="auto"/>
                      <w:kern w:val="21"/>
                      <w:sz w:val="21"/>
                      <w:szCs w:val="21"/>
                      <w:highlight w:val="none"/>
                      <w:u w:val="none" w:color="auto"/>
                    </w:rPr>
                    <w:t>泄漏污染土壤、地下水和地表水</w:t>
                  </w:r>
                </w:p>
              </w:tc>
              <w:tc>
                <w:tcPr>
                  <w:tcW w:w="1396" w:type="pct"/>
                  <w:tcBorders>
                    <w:top w:val="single" w:color="auto" w:sz="6" w:space="0"/>
                    <w:left w:val="single" w:color="auto" w:sz="6" w:space="0"/>
                    <w:bottom w:val="single" w:color="auto" w:sz="6" w:space="0"/>
                    <w:right w:val="single" w:color="auto" w:sz="12" w:space="0"/>
                  </w:tcBorders>
                  <w:noWrap w:val="0"/>
                  <w:vAlign w:val="center"/>
                </w:tcPr>
                <w:p w14:paraId="1C49E6BE">
                  <w:pPr>
                    <w:adjustRightInd w:val="0"/>
                    <w:snapToGrid w:val="0"/>
                    <w:jc w:val="center"/>
                    <w:rPr>
                      <w:rFonts w:hint="default" w:ascii="Times New Roman" w:hAnsi="Times New Roman" w:cs="Times New Roman"/>
                      <w:color w:val="auto"/>
                      <w:kern w:val="21"/>
                      <w:sz w:val="21"/>
                      <w:szCs w:val="21"/>
                      <w:highlight w:val="none"/>
                      <w:u w:val="none" w:color="auto"/>
                    </w:rPr>
                  </w:pPr>
                  <w:r>
                    <w:rPr>
                      <w:rFonts w:hint="default" w:ascii="Times New Roman" w:hAnsi="Times New Roman" w:cs="Times New Roman"/>
                      <w:color w:val="auto"/>
                      <w:kern w:val="21"/>
                      <w:sz w:val="21"/>
                      <w:szCs w:val="21"/>
                      <w:highlight w:val="none"/>
                      <w:u w:val="none" w:color="auto"/>
                    </w:rPr>
                    <w:t>腐蚀、破损、管理不规范</w:t>
                  </w:r>
                </w:p>
              </w:tc>
            </w:tr>
            <w:tr w14:paraId="1D81E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trPr>
              <w:tc>
                <w:tcPr>
                  <w:tcW w:w="842" w:type="pct"/>
                  <w:vMerge w:val="continue"/>
                  <w:tcBorders>
                    <w:top w:val="single" w:color="auto" w:sz="6" w:space="0"/>
                    <w:left w:val="single" w:color="auto" w:sz="12" w:space="0"/>
                    <w:bottom w:val="single" w:color="auto" w:sz="12" w:space="0"/>
                    <w:right w:val="single" w:color="auto" w:sz="6" w:space="0"/>
                  </w:tcBorders>
                  <w:noWrap w:val="0"/>
                  <w:vAlign w:val="center"/>
                </w:tcPr>
                <w:p w14:paraId="1CA8941E">
                  <w:pPr>
                    <w:widowControl/>
                    <w:jc w:val="left"/>
                    <w:rPr>
                      <w:rFonts w:hint="default" w:ascii="Times New Roman" w:hAnsi="Times New Roman" w:cs="Times New Roman"/>
                      <w:color w:val="auto"/>
                      <w:kern w:val="21"/>
                      <w:sz w:val="21"/>
                      <w:szCs w:val="21"/>
                      <w:highlight w:val="none"/>
                      <w:u w:val="none" w:color="auto"/>
                    </w:rPr>
                  </w:pPr>
                </w:p>
              </w:tc>
              <w:tc>
                <w:tcPr>
                  <w:tcW w:w="860" w:type="pct"/>
                  <w:tcBorders>
                    <w:top w:val="single" w:color="auto" w:sz="6" w:space="0"/>
                    <w:left w:val="single" w:color="auto" w:sz="6" w:space="0"/>
                    <w:bottom w:val="single" w:color="auto" w:sz="12" w:space="0"/>
                    <w:right w:val="single" w:color="auto" w:sz="6" w:space="0"/>
                  </w:tcBorders>
                  <w:noWrap w:val="0"/>
                  <w:vAlign w:val="center"/>
                </w:tcPr>
                <w:p w14:paraId="09187CC3">
                  <w:pPr>
                    <w:adjustRightInd w:val="0"/>
                    <w:snapToGrid w:val="0"/>
                    <w:jc w:val="center"/>
                    <w:rPr>
                      <w:rFonts w:hint="default" w:ascii="Times New Roman" w:hAnsi="Times New Roman" w:cs="Times New Roman"/>
                      <w:color w:val="auto"/>
                      <w:kern w:val="21"/>
                      <w:sz w:val="21"/>
                      <w:szCs w:val="21"/>
                      <w:highlight w:val="none"/>
                      <w:u w:val="none" w:color="auto"/>
                    </w:rPr>
                  </w:pPr>
                  <w:r>
                    <w:rPr>
                      <w:rFonts w:hint="default" w:ascii="Times New Roman" w:hAnsi="Times New Roman" w:cs="Times New Roman"/>
                      <w:color w:val="auto"/>
                      <w:kern w:val="21"/>
                      <w:sz w:val="21"/>
                      <w:szCs w:val="21"/>
                      <w:highlight w:val="none"/>
                      <w:u w:val="none" w:color="auto"/>
                    </w:rPr>
                    <w:t>危废暂存间</w:t>
                  </w:r>
                </w:p>
              </w:tc>
              <w:tc>
                <w:tcPr>
                  <w:tcW w:w="1190" w:type="pct"/>
                  <w:tcBorders>
                    <w:top w:val="single" w:color="auto" w:sz="6" w:space="0"/>
                    <w:left w:val="single" w:color="auto" w:sz="6" w:space="0"/>
                    <w:bottom w:val="single" w:color="auto" w:sz="12" w:space="0"/>
                    <w:right w:val="single" w:color="auto" w:sz="6" w:space="0"/>
                  </w:tcBorders>
                  <w:noWrap w:val="0"/>
                  <w:vAlign w:val="center"/>
                </w:tcPr>
                <w:p w14:paraId="61414205">
                  <w:pPr>
                    <w:adjustRightInd w:val="0"/>
                    <w:snapToGrid w:val="0"/>
                    <w:jc w:val="center"/>
                    <w:rPr>
                      <w:rFonts w:hint="default" w:ascii="Times New Roman" w:hAnsi="Times New Roman" w:eastAsia="宋体" w:cs="Times New Roman"/>
                      <w:color w:val="auto"/>
                      <w:kern w:val="21"/>
                      <w:sz w:val="21"/>
                      <w:szCs w:val="21"/>
                      <w:highlight w:val="none"/>
                      <w:u w:val="none" w:color="auto"/>
                      <w:lang w:val="en-US" w:eastAsia="zh-CN"/>
                    </w:rPr>
                  </w:pPr>
                  <w:r>
                    <w:rPr>
                      <w:rFonts w:hint="eastAsia" w:cs="Times New Roman"/>
                      <w:color w:val="auto"/>
                      <w:kern w:val="21"/>
                      <w:sz w:val="21"/>
                      <w:szCs w:val="21"/>
                      <w:highlight w:val="none"/>
                      <w:u w:val="none" w:color="auto"/>
                      <w:lang w:val="en-US" w:eastAsia="zh-CN"/>
                    </w:rPr>
                    <w:t>废机油等</w:t>
                  </w:r>
                </w:p>
              </w:tc>
              <w:tc>
                <w:tcPr>
                  <w:tcW w:w="709" w:type="pct"/>
                  <w:vMerge w:val="continue"/>
                  <w:tcBorders>
                    <w:top w:val="single" w:color="auto" w:sz="6" w:space="0"/>
                    <w:left w:val="single" w:color="auto" w:sz="6" w:space="0"/>
                    <w:bottom w:val="single" w:color="auto" w:sz="12" w:space="0"/>
                    <w:right w:val="single" w:color="auto" w:sz="6" w:space="0"/>
                  </w:tcBorders>
                  <w:noWrap w:val="0"/>
                  <w:vAlign w:val="center"/>
                </w:tcPr>
                <w:p w14:paraId="301B1E92">
                  <w:pPr>
                    <w:widowControl/>
                    <w:jc w:val="left"/>
                    <w:rPr>
                      <w:rFonts w:hint="default" w:ascii="Times New Roman" w:hAnsi="Times New Roman" w:cs="Times New Roman"/>
                      <w:color w:val="auto"/>
                      <w:kern w:val="21"/>
                      <w:sz w:val="21"/>
                      <w:szCs w:val="21"/>
                      <w:highlight w:val="none"/>
                      <w:u w:val="none" w:color="auto"/>
                    </w:rPr>
                  </w:pPr>
                </w:p>
              </w:tc>
              <w:tc>
                <w:tcPr>
                  <w:tcW w:w="1396" w:type="pct"/>
                  <w:tcBorders>
                    <w:top w:val="single" w:color="auto" w:sz="6" w:space="0"/>
                    <w:left w:val="single" w:color="auto" w:sz="6" w:space="0"/>
                    <w:bottom w:val="single" w:color="auto" w:sz="12" w:space="0"/>
                    <w:right w:val="single" w:color="auto" w:sz="12" w:space="0"/>
                  </w:tcBorders>
                  <w:noWrap w:val="0"/>
                  <w:vAlign w:val="center"/>
                </w:tcPr>
                <w:p w14:paraId="795F4D52">
                  <w:pPr>
                    <w:adjustRightInd w:val="0"/>
                    <w:snapToGrid w:val="0"/>
                    <w:jc w:val="center"/>
                    <w:rPr>
                      <w:rFonts w:hint="default" w:ascii="Times New Roman" w:hAnsi="Times New Roman" w:cs="Times New Roman"/>
                      <w:color w:val="auto"/>
                      <w:kern w:val="21"/>
                      <w:sz w:val="21"/>
                      <w:szCs w:val="21"/>
                      <w:highlight w:val="none"/>
                      <w:u w:val="none" w:color="auto"/>
                    </w:rPr>
                  </w:pPr>
                  <w:r>
                    <w:rPr>
                      <w:rFonts w:hint="default" w:ascii="Times New Roman" w:hAnsi="Times New Roman" w:cs="Times New Roman"/>
                      <w:color w:val="auto"/>
                      <w:kern w:val="21"/>
                      <w:sz w:val="21"/>
                      <w:szCs w:val="21"/>
                      <w:highlight w:val="none"/>
                      <w:u w:val="none" w:color="auto"/>
                    </w:rPr>
                    <w:t>防渗材料破裂；贮存容器破损</w:t>
                  </w:r>
                </w:p>
              </w:tc>
            </w:tr>
          </w:tbl>
          <w:p w14:paraId="31387349">
            <w:pPr>
              <w:spacing w:line="360" w:lineRule="auto"/>
              <w:rPr>
                <w:rFonts w:hint="default" w:ascii="Times New Roman" w:hAnsi="Times New Roman" w:cs="Times New Roman"/>
                <w:b/>
                <w:bCs/>
                <w:color w:val="auto"/>
                <w:sz w:val="24"/>
                <w:highlight w:val="none"/>
              </w:rPr>
            </w:pPr>
            <w:bookmarkStart w:id="44" w:name="_Toc352329354"/>
            <w:bookmarkStart w:id="45" w:name="_Toc339981797"/>
            <w:bookmarkStart w:id="46" w:name="_Toc31165"/>
            <w:bookmarkStart w:id="47" w:name="_Toc331753538"/>
            <w:r>
              <w:rPr>
                <w:rFonts w:hint="default" w:ascii="Times New Roman" w:hAnsi="Times New Roman" w:cs="Times New Roman"/>
                <w:b/>
                <w:bCs/>
                <w:color w:val="auto"/>
                <w:sz w:val="24"/>
                <w:highlight w:val="none"/>
              </w:rPr>
              <w:t>8.5环境风险防范措施</w:t>
            </w:r>
            <w:bookmarkEnd w:id="44"/>
            <w:bookmarkEnd w:id="45"/>
            <w:bookmarkEnd w:id="46"/>
            <w:bookmarkEnd w:id="47"/>
            <w:r>
              <w:rPr>
                <w:rFonts w:hint="default" w:ascii="Times New Roman" w:hAnsi="Times New Roman" w:cs="Times New Roman"/>
                <w:b/>
                <w:bCs/>
                <w:color w:val="auto"/>
                <w:sz w:val="24"/>
                <w:highlight w:val="none"/>
              </w:rPr>
              <w:t xml:space="preserve"> </w:t>
            </w:r>
          </w:p>
          <w:p w14:paraId="71CCCDEF">
            <w:pPr>
              <w:spacing w:line="360" w:lineRule="auto"/>
              <w:outlineLvl w:val="2"/>
              <w:rPr>
                <w:rFonts w:hint="default" w:ascii="Times New Roman" w:hAnsi="Times New Roman" w:eastAsia="宋体" w:cs="Times New Roman"/>
                <w:b w:val="0"/>
                <w:bCs w:val="0"/>
                <w:color w:val="auto"/>
                <w:sz w:val="24"/>
                <w:highlight w:val="none"/>
                <w:u w:val="single"/>
                <w:lang w:val="en-US" w:eastAsia="zh-CN"/>
              </w:rPr>
            </w:pPr>
            <w:r>
              <w:rPr>
                <w:rFonts w:hint="default" w:ascii="Times New Roman" w:hAnsi="Times New Roman" w:cs="Times New Roman"/>
                <w:b w:val="0"/>
                <w:bCs w:val="0"/>
                <w:color w:val="auto"/>
                <w:sz w:val="24"/>
                <w:highlight w:val="none"/>
                <w:u w:val="single"/>
              </w:rPr>
              <w:t>8.5.1抽残液区液化石油气泄漏风险</w:t>
            </w:r>
            <w:r>
              <w:rPr>
                <w:rFonts w:hint="eastAsia" w:cs="Times New Roman"/>
                <w:b w:val="0"/>
                <w:bCs w:val="0"/>
                <w:color w:val="auto"/>
                <w:sz w:val="24"/>
                <w:highlight w:val="none"/>
                <w:u w:val="single"/>
                <w:lang w:val="en-US" w:eastAsia="zh-CN"/>
              </w:rPr>
              <w:t>防范措施</w:t>
            </w:r>
          </w:p>
          <w:p w14:paraId="7A9BCECC">
            <w:pPr>
              <w:spacing w:line="360" w:lineRule="auto"/>
              <w:ind w:firstLine="480" w:firstLineChars="200"/>
              <w:rPr>
                <w:rFonts w:hint="eastAsia" w:ascii="Times New Roman" w:hAnsi="Times New Roman" w:eastAsia="宋体" w:cs="Times New Roman"/>
                <w:color w:val="auto"/>
                <w:sz w:val="24"/>
                <w:highlight w:val="none"/>
                <w:u w:val="single"/>
                <w:lang w:val="en-US" w:eastAsia="zh-CN"/>
              </w:rPr>
            </w:pPr>
            <w:r>
              <w:rPr>
                <w:rFonts w:hint="eastAsia" w:ascii="Times New Roman" w:hAnsi="Times New Roman" w:eastAsia="宋体" w:cs="Times New Roman"/>
                <w:color w:val="auto"/>
                <w:sz w:val="24"/>
                <w:highlight w:val="none"/>
                <w:u w:val="single"/>
                <w:lang w:val="en-US" w:eastAsia="zh-CN"/>
              </w:rPr>
              <w:t>若抽残液管线、密封部件破损出现液化石油气残液泄漏，遇静电、电气火花、明火会引发火灾、爆炸事故，进而造成大气、土壤环境污染。为防范泄漏燃爆风险，抽残液作业区全部电气设备选用防爆型号，管道、设备设置完整静电接地及可燃气体报警联动装置，一旦监测到液化气浓度超标，自动停机并启动防爆强制通风；作业前对管路、阀门气密性逐项检查，定期更换老化软管并开展管线耐压检测，工位设置防渗围堰与密闭残液收集罐。作业区域严格管控火源，动火检修执行置换、检测、审批流程，配套干粉灭火器、灭火毯等消防物资；同时建立每日巡检台账，定期组织泄漏应急演练，保障突发泄漏时可快速切断气源、回收残液，降低事故扩散影响。</w:t>
            </w:r>
          </w:p>
          <w:p w14:paraId="61757CE5">
            <w:pPr>
              <w:spacing w:line="360" w:lineRule="auto"/>
              <w:outlineLvl w:val="2"/>
              <w:rPr>
                <w:rFonts w:hint="default" w:ascii="Times New Roman" w:hAnsi="Times New Roman" w:cs="Times New Roman"/>
                <w:color w:val="auto"/>
                <w:sz w:val="24"/>
                <w:highlight w:val="none"/>
              </w:rPr>
            </w:pPr>
            <w:r>
              <w:rPr>
                <w:rFonts w:hint="eastAsia" w:cs="Times New Roman"/>
                <w:color w:val="auto"/>
                <w:sz w:val="24"/>
                <w:highlight w:val="none"/>
                <w:lang w:val="en-US" w:eastAsia="zh-CN"/>
              </w:rPr>
              <w:t>8.5.2</w:t>
            </w:r>
            <w:r>
              <w:rPr>
                <w:rFonts w:hint="default" w:ascii="Times New Roman" w:hAnsi="Times New Roman" w:cs="Times New Roman"/>
                <w:color w:val="auto"/>
                <w:sz w:val="24"/>
                <w:highlight w:val="none"/>
              </w:rPr>
              <w:t xml:space="preserve">废气环境事故风险防范措施 </w:t>
            </w:r>
          </w:p>
          <w:p w14:paraId="2FCCC03F">
            <w:pPr>
              <w:spacing w:line="360" w:lineRule="auto"/>
              <w:ind w:firstLine="480" w:firstLineChars="200"/>
              <w:rPr>
                <w:b/>
                <w:bCs/>
                <w:color w:val="auto"/>
                <w:highlight w:val="none"/>
              </w:rPr>
            </w:pPr>
            <w:r>
              <w:rPr>
                <w:rFonts w:hint="default" w:ascii="Times New Roman" w:hAnsi="Times New Roman" w:cs="Times New Roman"/>
                <w:color w:val="auto"/>
                <w:sz w:val="24"/>
                <w:highlight w:val="none"/>
              </w:rPr>
              <w:t>如果项目运营过程中废气处理装置出现故障，不能正常处理废气，将会造成一定的环境空气影响。为减少事故性排放对周围环境的影响，废气处理装置应与生产工艺紧密结合，在设计中应考虑将生产主体设备与废气处理装置</w:t>
            </w:r>
            <w:r>
              <w:rPr>
                <w:rFonts w:hint="eastAsia" w:cs="Times New Roman"/>
                <w:color w:val="auto"/>
                <w:sz w:val="24"/>
                <w:highlight w:val="none"/>
                <w:lang w:eastAsia="zh-CN"/>
              </w:rPr>
              <w:t>联锁</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一旦废气处理装置出现故障，应停止相应环节生产</w:t>
            </w:r>
            <w:r>
              <w:rPr>
                <w:rFonts w:hint="eastAsia" w:cs="Times New Roman"/>
                <w:color w:val="auto"/>
                <w:sz w:val="24"/>
                <w:highlight w:val="none"/>
                <w:u w:val="single"/>
                <w:lang w:eastAsia="zh-CN"/>
              </w:rPr>
              <w:t>；</w:t>
            </w:r>
            <w:r>
              <w:rPr>
                <w:rFonts w:ascii="宋体" w:hAnsi="宋体" w:eastAsia="宋体" w:cs="宋体"/>
                <w:color w:val="auto"/>
                <w:sz w:val="24"/>
                <w:szCs w:val="24"/>
                <w:u w:val="single"/>
              </w:rPr>
              <w:t>定期停机检查磨损、布袋破损糊袋，清理积灰；储备布袋、脉冲阀备件，检修完成试运行合格再复产</w:t>
            </w:r>
            <w:r>
              <w:rPr>
                <w:rFonts w:hint="default" w:ascii="Times New Roman" w:hAnsi="Times New Roman" w:cs="Times New Roman"/>
                <w:color w:val="auto"/>
                <w:sz w:val="24"/>
                <w:highlight w:val="none"/>
                <w:u w:val="single"/>
              </w:rPr>
              <w:t>，以保证处理效率。</w:t>
            </w:r>
            <w:r>
              <w:rPr>
                <w:rFonts w:hint="eastAsia" w:cs="Times New Roman"/>
                <w:color w:val="auto"/>
                <w:sz w:val="24"/>
                <w:highlight w:val="none"/>
                <w:u w:val="single"/>
                <w:lang w:val="en-US" w:eastAsia="zh-CN"/>
              </w:rPr>
              <w:t>日常台账期间应</w:t>
            </w:r>
            <w:r>
              <w:rPr>
                <w:rFonts w:ascii="宋体" w:hAnsi="宋体" w:eastAsia="宋体" w:cs="宋体"/>
                <w:color w:val="auto"/>
                <w:sz w:val="24"/>
                <w:szCs w:val="24"/>
                <w:u w:val="single"/>
              </w:rPr>
              <w:t>记录焚烧工况、废气风机负压温度、除尘器压差、清灰气源压力、布袋等配件更换、灰渣卸料、故障报警处置情况。</w:t>
            </w:r>
          </w:p>
          <w:p w14:paraId="7966ABED">
            <w:pPr>
              <w:spacing w:line="360" w:lineRule="auto"/>
              <w:outlineLvl w:val="2"/>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highlight w:val="none"/>
              </w:rPr>
              <w:t>8.</w:t>
            </w:r>
            <w:r>
              <w:rPr>
                <w:rFonts w:hint="eastAsia"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3</w:t>
            </w:r>
            <w:r>
              <w:rPr>
                <w:rFonts w:hint="eastAsia" w:ascii="Times New Roman" w:hAnsi="Times New Roman" w:cs="Times New Roman"/>
                <w:color w:val="auto"/>
                <w:sz w:val="24"/>
                <w:highlight w:val="none"/>
                <w:lang w:val="en-US" w:eastAsia="zh-CN"/>
              </w:rPr>
              <w:t>机油</w:t>
            </w:r>
            <w:r>
              <w:rPr>
                <w:rFonts w:hint="default" w:ascii="Times New Roman" w:hAnsi="Times New Roman" w:cs="Times New Roman"/>
                <w:color w:val="auto"/>
                <w:sz w:val="24"/>
                <w:highlight w:val="none"/>
              </w:rPr>
              <w:t>泄漏事故</w:t>
            </w:r>
            <w:r>
              <w:rPr>
                <w:rFonts w:hint="eastAsia" w:cs="Times New Roman"/>
                <w:color w:val="auto"/>
                <w:sz w:val="24"/>
                <w:highlight w:val="none"/>
                <w:lang w:val="en-US" w:eastAsia="zh-CN"/>
              </w:rPr>
              <w:t>风</w:t>
            </w:r>
            <w:r>
              <w:rPr>
                <w:rFonts w:hint="default" w:ascii="Times New Roman" w:hAnsi="Times New Roman" w:cs="Times New Roman"/>
                <w:color w:val="auto"/>
                <w:sz w:val="24"/>
                <w:highlight w:val="none"/>
              </w:rPr>
              <w:t xml:space="preserve">险防范措施 </w:t>
            </w:r>
          </w:p>
          <w:p w14:paraId="3397FE8C">
            <w:pPr>
              <w:spacing w:line="360" w:lineRule="auto"/>
              <w:ind w:firstLine="480" w:firstLineChars="200"/>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机油</w:t>
            </w:r>
            <w:r>
              <w:rPr>
                <w:rFonts w:hint="default" w:ascii="Times New Roman" w:hAnsi="Times New Roman" w:cs="Times New Roman"/>
                <w:color w:val="auto"/>
                <w:sz w:val="24"/>
                <w:highlight w:val="none"/>
              </w:rPr>
              <w:t>等泄漏污染区应及时隔离，限制人员出入，切断厂区内一切火源</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不要直接接触泄漏物。泄漏可用惰性、潮湿的不燃材料混合吸收。建设单位必须重视运行全过程的生产安全问题，以避免发生恶性事故，造成环境的事故性污染和经济上的严重损失。搬运应轻抬轻放防止撞击、翻倒、坠落，为降低风险的发生，需切实落实以下风险防范措施：</w:t>
            </w:r>
            <w:r>
              <w:rPr>
                <w:rFonts w:hint="eastAsia" w:ascii="Times New Roman" w:hAnsi="Times New Roman" w:cs="Times New Roman"/>
                <w:color w:val="auto"/>
                <w:sz w:val="24"/>
                <w:highlight w:val="none"/>
                <w:lang w:val="en-US" w:eastAsia="zh-CN"/>
              </w:rPr>
              <w:t>原辅材料</w:t>
            </w:r>
            <w:r>
              <w:rPr>
                <w:rFonts w:hint="default" w:ascii="Times New Roman" w:hAnsi="Times New Roman" w:cs="Times New Roman"/>
                <w:color w:val="auto"/>
                <w:sz w:val="24"/>
                <w:highlight w:val="none"/>
              </w:rPr>
              <w:t>应拥有良好的储存条件，应贮存于阴凉、通风良好、不燃结构建筑的储存区，远离火源和热源。加强对</w:t>
            </w:r>
            <w:r>
              <w:rPr>
                <w:rFonts w:hint="eastAsia" w:ascii="Times New Roman" w:hAnsi="Times New Roman" w:cs="Times New Roman"/>
                <w:color w:val="auto"/>
                <w:sz w:val="24"/>
                <w:highlight w:val="none"/>
                <w:lang w:val="en-US" w:eastAsia="zh-CN"/>
              </w:rPr>
              <w:t>各类</w:t>
            </w:r>
            <w:r>
              <w:rPr>
                <w:rFonts w:hint="default" w:ascii="Times New Roman" w:hAnsi="Times New Roman" w:cs="Times New Roman"/>
                <w:color w:val="auto"/>
                <w:sz w:val="24"/>
                <w:highlight w:val="none"/>
              </w:rPr>
              <w:t>包装桶的日常维护、检查，及时发现事故隐患。仓库地面需采用防渗材料处理，铺设防渗漏的材料；定期检查液态包装桶是否完整，避免包装桶破裂引起液体泄漏；加强对职工的安全教育，制定严格的工作守则和个人卫生措施，所有操作人员必须了解所有化学品的有害作用及对患者的急救措施，以保证生产的正常运行和员工的身体健康。</w:t>
            </w:r>
          </w:p>
          <w:p w14:paraId="17085B17">
            <w:pPr>
              <w:spacing w:line="360" w:lineRule="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w:t>
            </w:r>
            <w:r>
              <w:rPr>
                <w:rFonts w:hint="eastAsia"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4</w:t>
            </w:r>
            <w:r>
              <w:rPr>
                <w:rFonts w:hint="default" w:ascii="Times New Roman" w:hAnsi="Times New Roman" w:cs="Times New Roman"/>
                <w:color w:val="auto"/>
                <w:sz w:val="24"/>
                <w:highlight w:val="none"/>
              </w:rPr>
              <w:t>危废暂存间事故</w:t>
            </w:r>
            <w:r>
              <w:rPr>
                <w:rFonts w:hint="eastAsia" w:cs="Times New Roman"/>
                <w:color w:val="auto"/>
                <w:sz w:val="24"/>
                <w:highlight w:val="none"/>
                <w:lang w:val="en-US" w:eastAsia="zh-CN"/>
              </w:rPr>
              <w:t>风</w:t>
            </w:r>
            <w:r>
              <w:rPr>
                <w:rFonts w:hint="default" w:ascii="Times New Roman" w:hAnsi="Times New Roman" w:cs="Times New Roman"/>
                <w:color w:val="auto"/>
                <w:sz w:val="24"/>
                <w:highlight w:val="none"/>
              </w:rPr>
              <w:t>险防范措施</w:t>
            </w:r>
          </w:p>
          <w:p w14:paraId="5F1F078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危险废物在收集贮存等环节可能因管理不当等原因出现流失泄漏的情况，建设单位应定期检查危险废物包装桶是否完整，避免包装桶破裂引起液体泄漏；危废暂存间</w:t>
            </w:r>
            <w:r>
              <w:rPr>
                <w:rFonts w:hint="eastAsia" w:cs="Times New Roman"/>
                <w:color w:val="auto"/>
                <w:sz w:val="24"/>
                <w:highlight w:val="none"/>
                <w:lang w:eastAsia="zh-CN"/>
              </w:rPr>
              <w:t>做好</w:t>
            </w:r>
            <w:r>
              <w:rPr>
                <w:rFonts w:hint="default" w:ascii="Times New Roman" w:hAnsi="Times New Roman" w:cs="Times New Roman"/>
                <w:color w:val="auto"/>
                <w:sz w:val="24"/>
                <w:highlight w:val="none"/>
              </w:rPr>
              <w:t>防渗透处理，危险废物妥善收集，定期交有处理资质的单位处置，严禁随意排放。</w:t>
            </w:r>
            <w:r>
              <w:rPr>
                <w:rFonts w:ascii="Times New Roman" w:hAnsi="Times New Roman"/>
                <w:color w:val="auto"/>
                <w:sz w:val="24"/>
                <w:szCs w:val="24"/>
              </w:rPr>
              <w:t>暂存间内</w:t>
            </w:r>
            <w:r>
              <w:rPr>
                <w:rFonts w:hint="eastAsia"/>
                <w:color w:val="auto"/>
                <w:sz w:val="24"/>
                <w:szCs w:val="24"/>
                <w:lang w:eastAsia="zh-CN"/>
              </w:rPr>
              <w:t>废机油</w:t>
            </w:r>
            <w:r>
              <w:rPr>
                <w:rFonts w:ascii="Times New Roman" w:hAnsi="Times New Roman"/>
                <w:color w:val="auto"/>
                <w:sz w:val="24"/>
                <w:szCs w:val="24"/>
              </w:rPr>
              <w:t>发生</w:t>
            </w:r>
            <w:r>
              <w:rPr>
                <w:rFonts w:hint="eastAsia"/>
                <w:color w:val="auto"/>
                <w:sz w:val="24"/>
                <w:szCs w:val="24"/>
                <w:lang w:eastAsia="zh-CN"/>
              </w:rPr>
              <w:t>泄漏</w:t>
            </w:r>
            <w:r>
              <w:rPr>
                <w:rFonts w:ascii="Times New Roman" w:hAnsi="Times New Roman"/>
                <w:color w:val="auto"/>
                <w:sz w:val="24"/>
                <w:szCs w:val="24"/>
              </w:rPr>
              <w:t>时，应当按以下要求进行操作：①</w:t>
            </w:r>
            <w:r>
              <w:rPr>
                <w:rFonts w:hint="eastAsia"/>
                <w:color w:val="auto"/>
                <w:sz w:val="24"/>
                <w:szCs w:val="24"/>
                <w:lang w:eastAsia="zh-CN"/>
              </w:rPr>
              <w:t>泄漏</w:t>
            </w:r>
            <w:r>
              <w:rPr>
                <w:rFonts w:ascii="Times New Roman" w:hAnsi="Times New Roman"/>
                <w:color w:val="auto"/>
                <w:sz w:val="24"/>
                <w:szCs w:val="24"/>
              </w:rPr>
              <w:t>时及时</w:t>
            </w:r>
            <w:r>
              <w:rPr>
                <w:rFonts w:hint="eastAsia"/>
                <w:color w:val="auto"/>
                <w:sz w:val="24"/>
                <w:szCs w:val="24"/>
                <w:lang w:eastAsia="zh-CN"/>
              </w:rPr>
              <w:t>更换</w:t>
            </w:r>
            <w:r>
              <w:rPr>
                <w:rFonts w:ascii="Times New Roman" w:hAnsi="Times New Roman"/>
                <w:color w:val="auto"/>
                <w:sz w:val="24"/>
                <w:szCs w:val="24"/>
              </w:rPr>
              <w:t>贮存油桶；②将</w:t>
            </w:r>
            <w:r>
              <w:rPr>
                <w:rFonts w:hint="eastAsia"/>
                <w:color w:val="auto"/>
                <w:sz w:val="24"/>
                <w:szCs w:val="24"/>
                <w:lang w:eastAsia="zh-CN"/>
              </w:rPr>
              <w:t>泄漏</w:t>
            </w:r>
            <w:r>
              <w:rPr>
                <w:rFonts w:ascii="Times New Roman" w:hAnsi="Times New Roman"/>
                <w:color w:val="auto"/>
                <w:sz w:val="24"/>
                <w:szCs w:val="24"/>
              </w:rPr>
              <w:t>地面的油液尽可能铲起，重新贮存在新油桶内，无法铲起的部分用抹布吸干，交由签订危废处置协议单位处置；③清理过程中保持暂存间空气流通至异味可接受。</w:t>
            </w:r>
          </w:p>
          <w:p w14:paraId="7CE09432">
            <w:pPr>
              <w:spacing w:line="360" w:lineRule="auto"/>
              <w:rPr>
                <w:rFonts w:hint="eastAsia" w:cs="Times New Roman"/>
                <w:color w:val="auto"/>
                <w:sz w:val="24"/>
                <w:highlight w:val="none"/>
                <w:lang w:val="en-US" w:eastAsia="zh-CN"/>
              </w:rPr>
            </w:pPr>
            <w:r>
              <w:rPr>
                <w:rFonts w:hint="default" w:ascii="Times New Roman" w:hAnsi="Times New Roman" w:cs="Times New Roman"/>
                <w:color w:val="auto"/>
                <w:sz w:val="24"/>
                <w:highlight w:val="none"/>
              </w:rPr>
              <w:t>8.</w:t>
            </w:r>
            <w:r>
              <w:rPr>
                <w:rFonts w:hint="eastAsia"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5火灾、爆炸引发的次生环境危害风险防范措施</w:t>
            </w:r>
          </w:p>
          <w:p w14:paraId="6C811B24">
            <w:pPr>
              <w:spacing w:line="360" w:lineRule="auto"/>
              <w:ind w:firstLine="480" w:firstLineChars="200"/>
              <w:rPr>
                <w:rFonts w:hint="default" w:ascii="Times New Roman" w:hAnsi="Times New Roman" w:cs="Times New Roman"/>
                <w:color w:val="auto"/>
                <w:sz w:val="24"/>
                <w:highlight w:val="none"/>
              </w:rPr>
            </w:pPr>
            <w:r>
              <w:rPr>
                <w:rFonts w:hint="eastAsia" w:ascii="Times New Roman" w:hAnsi="Times New Roman" w:eastAsia="宋体" w:cs="Times New Roman"/>
                <w:color w:val="auto"/>
                <w:sz w:val="24"/>
                <w:highlight w:val="none"/>
                <w:lang w:val="en-US" w:eastAsia="zh-CN"/>
              </w:rPr>
              <w:t>火灾、爆炸次生污染物CO和火灾事故散发的烟气对周边大气直接造成影响，空气环境质量恶化；火灾、爆炸产生的洗消废水等对周边地表水环境产生不利影响，污染水质。主要防范措施如下</w:t>
            </w:r>
            <w:r>
              <w:rPr>
                <w:rFonts w:hint="default" w:ascii="Times New Roman" w:hAnsi="Times New Roman" w:cs="Times New Roman"/>
                <w:color w:val="auto"/>
                <w:sz w:val="24"/>
                <w:highlight w:val="none"/>
              </w:rPr>
              <w:t>措施：</w:t>
            </w:r>
          </w:p>
          <w:p w14:paraId="69C4BD2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①消防及火灾报警系统：按规定建设消防设施，划分禁火区域，严格按设计要求</w:t>
            </w:r>
            <w:r>
              <w:rPr>
                <w:rFonts w:hint="eastAsia" w:cs="Times New Roman"/>
                <w:color w:val="auto"/>
                <w:sz w:val="24"/>
                <w:highlight w:val="none"/>
                <w:lang w:eastAsia="zh-CN"/>
              </w:rPr>
              <w:t>制定</w:t>
            </w:r>
            <w:r>
              <w:rPr>
                <w:rFonts w:hint="default" w:ascii="Times New Roman" w:hAnsi="Times New Roman" w:cs="Times New Roman"/>
                <w:color w:val="auto"/>
                <w:sz w:val="24"/>
                <w:highlight w:val="none"/>
              </w:rPr>
              <w:t>动火制度，消防设施配置安全报警系统、灭火器、消防栓、</w:t>
            </w:r>
            <w:r>
              <w:rPr>
                <w:rFonts w:hint="eastAsia" w:cs="Times New Roman"/>
                <w:color w:val="auto"/>
                <w:sz w:val="24"/>
                <w:highlight w:val="none"/>
                <w:lang w:eastAsia="zh-CN"/>
              </w:rPr>
              <w:t>泡沫灭火器</w:t>
            </w:r>
            <w:r>
              <w:rPr>
                <w:rFonts w:hint="default" w:ascii="Times New Roman" w:hAnsi="Times New Roman" w:cs="Times New Roman"/>
                <w:color w:val="auto"/>
                <w:sz w:val="24"/>
                <w:highlight w:val="none"/>
              </w:rPr>
              <w:t>等消防设施。消防给水压力低压给水时，水压应不低于0.2MPa，高压给水时，水压宜在0.7-1.2Mpa；水量应能保证连续供应最大需水量4h。消火栓用水量、消防给水管道、消火栓配置、消防水池的配置应符合《建筑设计防火规范》的相关要求。建设单位</w:t>
            </w:r>
            <w:r>
              <w:rPr>
                <w:rFonts w:hint="eastAsia" w:cs="Times New Roman"/>
                <w:color w:val="auto"/>
                <w:sz w:val="24"/>
                <w:highlight w:val="none"/>
                <w:lang w:val="en-US" w:eastAsia="zh-CN"/>
              </w:rPr>
              <w:t>应</w:t>
            </w:r>
            <w:r>
              <w:rPr>
                <w:rFonts w:hint="default" w:ascii="Times New Roman" w:hAnsi="Times New Roman" w:cs="Times New Roman"/>
                <w:color w:val="auto"/>
                <w:sz w:val="24"/>
                <w:highlight w:val="none"/>
              </w:rPr>
              <w:t>按消防要求规范设置室外消防栓和小型灭火设备，车间内配设手提式泡沫灭火器和二氧化碳灭火器，仓库消防设施按所存储物料的要求相应配备。</w:t>
            </w:r>
            <w:r>
              <w:rPr>
                <w:rFonts w:hint="eastAsia" w:cs="Times New Roman"/>
                <w:color w:val="auto"/>
                <w:sz w:val="24"/>
                <w:highlight w:val="none"/>
                <w:u w:val="single"/>
                <w:lang w:val="en-US" w:eastAsia="zh-CN"/>
              </w:rPr>
              <w:t>若发生火灾</w:t>
            </w:r>
            <w:r>
              <w:rPr>
                <w:rFonts w:hint="default" w:ascii="Times New Roman" w:hAnsi="Times New Roman" w:cs="Times New Roman"/>
                <w:color w:val="auto"/>
                <w:sz w:val="24"/>
                <w:highlight w:val="none"/>
                <w:u w:val="single"/>
                <w:lang w:val="en-US" w:eastAsia="zh-CN"/>
              </w:rPr>
              <w:t>提前在雨水沟、地漏堆放防渗沙袋，减少</w:t>
            </w:r>
            <w:r>
              <w:rPr>
                <w:rFonts w:hint="eastAsia" w:ascii="Times New Roman" w:hAnsi="Times New Roman" w:cs="Times New Roman"/>
                <w:color w:val="auto"/>
                <w:sz w:val="24"/>
                <w:highlight w:val="none"/>
                <w:u w:val="single"/>
                <w:lang w:val="en-US" w:eastAsia="zh-CN"/>
              </w:rPr>
              <w:t>消防</w:t>
            </w:r>
            <w:r>
              <w:rPr>
                <w:rFonts w:hint="default" w:ascii="Times New Roman" w:hAnsi="Times New Roman" w:cs="Times New Roman"/>
                <w:color w:val="auto"/>
                <w:sz w:val="24"/>
                <w:highlight w:val="none"/>
                <w:u w:val="single"/>
                <w:lang w:val="en-US" w:eastAsia="zh-CN"/>
              </w:rPr>
              <w:t>废水向外漫流</w:t>
            </w:r>
            <w:r>
              <w:rPr>
                <w:rFonts w:hint="eastAsia" w:ascii="Times New Roman" w:hAnsi="Times New Roman" w:cs="Times New Roman"/>
                <w:color w:val="auto"/>
                <w:sz w:val="24"/>
                <w:highlight w:val="none"/>
                <w:u w:val="single"/>
                <w:lang w:val="en-US" w:eastAsia="zh-CN"/>
              </w:rPr>
              <w:t>，</w:t>
            </w:r>
            <w:r>
              <w:rPr>
                <w:rFonts w:hint="default" w:ascii="Times New Roman" w:hAnsi="Times New Roman" w:cs="Times New Roman"/>
                <w:color w:val="auto"/>
                <w:sz w:val="24"/>
                <w:highlight w:val="none"/>
                <w:u w:val="single"/>
                <w:lang w:val="en-US" w:eastAsia="zh-CN"/>
              </w:rPr>
              <w:t>收集的消防废水委托有资质单位转运处置；</w:t>
            </w:r>
          </w:p>
          <w:p w14:paraId="2BBECCB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电气、电讯安全防范措施：应根据危险区域的等级，正确选择相应类型的级别和组别的电气设备。建立和健全电气安全规章制度和安全操作规程，并严格执行。加强对电气设施进行维护、保养、检修，保持电气设备正常运行：包括保持电气设备的电压、电流、温升等参数不超过允许值，保持电气设备足够的绝缘能力，保持电气连接良好等。对职工进行电气安全教育，掌握触电急救方法，严禁非电工进行电气操作。</w:t>
            </w:r>
          </w:p>
          <w:p w14:paraId="71726DB0">
            <w:pPr>
              <w:numPr>
                <w:ilvl w:val="0"/>
                <w:numId w:val="0"/>
              </w:num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③制定各项安全生产管理制度、环境管理巡查制度等，加强岗位培训，落实岗位责任制，严格落实各项防火、用电安全和环境风险防范措施，加强对职工的安全教育，向职工传授消防灭火和环境安全知识等，</w:t>
            </w:r>
            <w:r>
              <w:rPr>
                <w:rFonts w:hint="eastAsia" w:cs="Times New Roman"/>
                <w:color w:val="auto"/>
                <w:sz w:val="24"/>
                <w:highlight w:val="none"/>
                <w:lang w:eastAsia="zh-CN"/>
              </w:rPr>
              <w:t>增强</w:t>
            </w:r>
            <w:r>
              <w:rPr>
                <w:rFonts w:hint="default" w:ascii="Times New Roman" w:hAnsi="Times New Roman" w:cs="Times New Roman"/>
                <w:color w:val="auto"/>
                <w:sz w:val="24"/>
                <w:highlight w:val="none"/>
              </w:rPr>
              <w:t>职工的安全意识和安全防范能力。</w:t>
            </w:r>
          </w:p>
          <w:p w14:paraId="02AE67B3">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最早发现事故的报警责任人，应立即按事故处理程序报警。值班领导及指挥部成员接到报警后，应立即赶赴现场，指挥有关人员迅速查明事故发生的原因。根据事故状况及危害程度做出相应的应急(救护、治安、警戒、疏散、抢修)决定。根据事故程度，如短时间内事故设施无法修复，应向公司领导汇报，申请暂时停止生产，待事故处理完毕后再行生产。当事故得到控制后，积极主动配合事故调查小组，进行事故调查和落实防范措施。在采取上述风险防范措施后，可以满足项目运营期风险事故防范要求。</w:t>
            </w:r>
          </w:p>
          <w:p w14:paraId="4A330933">
            <w:pPr>
              <w:spacing w:line="360" w:lineRule="auto"/>
              <w:rPr>
                <w:rFonts w:hint="default" w:ascii="Times New Roman" w:hAnsi="Times New Roman" w:cs="Times New Roman"/>
                <w:b/>
                <w:color w:val="auto"/>
                <w:sz w:val="24"/>
                <w:szCs w:val="20"/>
                <w:highlight w:val="none"/>
              </w:rPr>
            </w:pPr>
            <w:r>
              <w:rPr>
                <w:rFonts w:hint="default" w:ascii="Times New Roman" w:hAnsi="Times New Roman" w:cs="Times New Roman"/>
                <w:b/>
                <w:bCs/>
                <w:color w:val="auto"/>
                <w:sz w:val="24"/>
                <w:highlight w:val="none"/>
              </w:rPr>
              <w:t>8.6</w:t>
            </w:r>
            <w:bookmarkStart w:id="48" w:name="_Toc3886025"/>
            <w:bookmarkStart w:id="49" w:name="_Toc505237230"/>
            <w:r>
              <w:rPr>
                <w:rFonts w:hint="default" w:ascii="Times New Roman" w:hAnsi="Times New Roman" w:cs="Times New Roman"/>
                <w:b/>
                <w:color w:val="auto"/>
                <w:sz w:val="24"/>
                <w:highlight w:val="none"/>
              </w:rPr>
              <w:t>环境风险评价结论</w:t>
            </w:r>
            <w:bookmarkEnd w:id="48"/>
            <w:bookmarkEnd w:id="49"/>
          </w:p>
          <w:p w14:paraId="62B41BD2">
            <w:pPr>
              <w:spacing w:line="360" w:lineRule="auto"/>
              <w:ind w:firstLine="48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建设项目环境风险简单分析内容表如下：</w:t>
            </w:r>
          </w:p>
          <w:p w14:paraId="50F30D27">
            <w:pPr>
              <w:spacing w:line="240" w:lineRule="auto"/>
              <w:jc w:val="center"/>
              <w:rPr>
                <w:rFonts w:hint="default" w:ascii="Times New Roman" w:hAnsi="Times New Roman" w:cs="Times New Roman"/>
                <w:b/>
                <w:color w:val="auto"/>
                <w:sz w:val="21"/>
                <w:szCs w:val="21"/>
                <w:highlight w:val="none"/>
                <w:u w:val="none"/>
              </w:rPr>
            </w:pPr>
            <w:r>
              <w:rPr>
                <w:rFonts w:hint="default" w:ascii="Times New Roman" w:hAnsi="Times New Roman" w:cs="Times New Roman"/>
                <w:b/>
                <w:color w:val="auto"/>
                <w:sz w:val="21"/>
                <w:szCs w:val="21"/>
                <w:highlight w:val="none"/>
                <w:u w:val="none"/>
              </w:rPr>
              <w:t>表4-</w:t>
            </w:r>
            <w:r>
              <w:rPr>
                <w:rFonts w:hint="eastAsia" w:cs="Times New Roman"/>
                <w:b/>
                <w:color w:val="auto"/>
                <w:sz w:val="21"/>
                <w:szCs w:val="21"/>
                <w:highlight w:val="none"/>
                <w:u w:val="none"/>
                <w:lang w:val="en-US" w:eastAsia="zh-CN"/>
              </w:rPr>
              <w:t xml:space="preserve">23  </w:t>
            </w:r>
            <w:r>
              <w:rPr>
                <w:rFonts w:hint="default" w:ascii="Times New Roman" w:hAnsi="Times New Roman" w:cs="Times New Roman"/>
                <w:b/>
                <w:color w:val="auto"/>
                <w:sz w:val="21"/>
                <w:szCs w:val="21"/>
                <w:highlight w:val="none"/>
                <w:u w:val="none"/>
              </w:rPr>
              <w:t>建设项目环境风险简单分析内容表</w:t>
            </w:r>
          </w:p>
          <w:tbl>
            <w:tblPr>
              <w:tblStyle w:val="33"/>
              <w:tblpPr w:leftFromText="180" w:rightFromText="180" w:vertAnchor="text" w:horzAnchor="page" w:tblpXSpec="center" w:tblpY="95"/>
              <w:tblOverlap w:val="never"/>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62"/>
              <w:gridCol w:w="1158"/>
              <w:gridCol w:w="1124"/>
              <w:gridCol w:w="921"/>
              <w:gridCol w:w="944"/>
              <w:gridCol w:w="2085"/>
            </w:tblGrid>
            <w:tr w14:paraId="6DEB90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1102" w:type="pct"/>
                  <w:tcBorders>
                    <w:top w:val="single" w:color="auto" w:sz="12" w:space="0"/>
                    <w:left w:val="single" w:color="auto" w:sz="12" w:space="0"/>
                    <w:bottom w:val="single" w:color="auto" w:sz="6" w:space="0"/>
                    <w:right w:val="single" w:color="auto" w:sz="6" w:space="0"/>
                  </w:tcBorders>
                  <w:noWrap w:val="0"/>
                  <w:vAlign w:val="center"/>
                </w:tcPr>
                <w:p w14:paraId="14582CCC">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建设项目名称</w:t>
                  </w:r>
                </w:p>
              </w:tc>
              <w:tc>
                <w:tcPr>
                  <w:tcW w:w="3897" w:type="pct"/>
                  <w:gridSpan w:val="5"/>
                  <w:tcBorders>
                    <w:top w:val="single" w:color="auto" w:sz="12" w:space="0"/>
                    <w:left w:val="single" w:color="auto" w:sz="6" w:space="0"/>
                    <w:bottom w:val="single" w:color="auto" w:sz="6" w:space="0"/>
                    <w:right w:val="single" w:color="auto" w:sz="12" w:space="0"/>
                  </w:tcBorders>
                  <w:noWrap w:val="0"/>
                  <w:vAlign w:val="center"/>
                </w:tcPr>
                <w:p w14:paraId="4779BFC9">
                  <w:pPr>
                    <w:jc w:val="center"/>
                    <w:rPr>
                      <w:rFonts w:hint="default" w:ascii="Times New Roman" w:hAnsi="Times New Roman" w:eastAsia="宋体" w:cs="Times New Roman"/>
                      <w:color w:val="auto"/>
                      <w:sz w:val="21"/>
                      <w:szCs w:val="21"/>
                      <w:highlight w:val="none"/>
                      <w:u w:val="none"/>
                      <w:lang w:eastAsia="zh-CN"/>
                    </w:rPr>
                  </w:pPr>
                  <w:r>
                    <w:rPr>
                      <w:rFonts w:hint="eastAsia" w:cs="Times New Roman"/>
                      <w:color w:val="auto"/>
                      <w:sz w:val="21"/>
                      <w:szCs w:val="21"/>
                      <w:highlight w:val="none"/>
                      <w:u w:val="none"/>
                      <w:lang w:eastAsia="zh-CN"/>
                    </w:rPr>
                    <w:t>年处置 12 万只报废液化石油气钢瓶项目（重大变动）</w:t>
                  </w:r>
                </w:p>
              </w:tc>
            </w:tr>
            <w:tr w14:paraId="44C479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1102" w:type="pct"/>
                  <w:tcBorders>
                    <w:top w:val="single" w:color="auto" w:sz="6" w:space="0"/>
                    <w:left w:val="single" w:color="auto" w:sz="12" w:space="0"/>
                    <w:bottom w:val="single" w:color="auto" w:sz="6" w:space="0"/>
                    <w:right w:val="single" w:color="auto" w:sz="6" w:space="0"/>
                  </w:tcBorders>
                  <w:noWrap w:val="0"/>
                  <w:vAlign w:val="center"/>
                </w:tcPr>
                <w:p w14:paraId="6EA60CB5">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建设地点</w:t>
                  </w:r>
                </w:p>
              </w:tc>
              <w:tc>
                <w:tcPr>
                  <w:tcW w:w="724" w:type="pct"/>
                  <w:tcBorders>
                    <w:top w:val="single" w:color="auto" w:sz="6" w:space="0"/>
                    <w:left w:val="single" w:color="auto" w:sz="6" w:space="0"/>
                    <w:bottom w:val="single" w:color="auto" w:sz="6" w:space="0"/>
                    <w:right w:val="single" w:color="auto" w:sz="6" w:space="0"/>
                  </w:tcBorders>
                  <w:noWrap w:val="0"/>
                  <w:vAlign w:val="center"/>
                </w:tcPr>
                <w:p w14:paraId="40FA708F">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湖南省</w:t>
                  </w:r>
                </w:p>
              </w:tc>
              <w:tc>
                <w:tcPr>
                  <w:tcW w:w="703" w:type="pct"/>
                  <w:tcBorders>
                    <w:top w:val="single" w:color="auto" w:sz="6" w:space="0"/>
                    <w:left w:val="single" w:color="auto" w:sz="6" w:space="0"/>
                    <w:bottom w:val="single" w:color="auto" w:sz="6" w:space="0"/>
                    <w:right w:val="single" w:color="auto" w:sz="6" w:space="0"/>
                  </w:tcBorders>
                  <w:noWrap w:val="0"/>
                  <w:vAlign w:val="center"/>
                </w:tcPr>
                <w:p w14:paraId="20C12C83">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岳阳市</w:t>
                  </w:r>
                </w:p>
              </w:tc>
              <w:tc>
                <w:tcPr>
                  <w:tcW w:w="576" w:type="pct"/>
                  <w:tcBorders>
                    <w:top w:val="single" w:color="auto" w:sz="6" w:space="0"/>
                    <w:left w:val="single" w:color="auto" w:sz="6" w:space="0"/>
                    <w:bottom w:val="single" w:color="auto" w:sz="6" w:space="0"/>
                    <w:right w:val="single" w:color="auto" w:sz="6" w:space="0"/>
                  </w:tcBorders>
                  <w:noWrap w:val="0"/>
                  <w:vAlign w:val="center"/>
                </w:tcPr>
                <w:p w14:paraId="3B126CE0">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岳阳县</w:t>
                  </w:r>
                </w:p>
              </w:tc>
              <w:tc>
                <w:tcPr>
                  <w:tcW w:w="1894" w:type="pct"/>
                  <w:gridSpan w:val="2"/>
                  <w:tcBorders>
                    <w:top w:val="single" w:color="auto" w:sz="6" w:space="0"/>
                    <w:left w:val="single" w:color="auto" w:sz="6" w:space="0"/>
                    <w:bottom w:val="single" w:color="auto" w:sz="6" w:space="0"/>
                    <w:right w:val="single" w:color="auto" w:sz="12" w:space="0"/>
                  </w:tcBorders>
                  <w:noWrap w:val="0"/>
                  <w:vAlign w:val="center"/>
                </w:tcPr>
                <w:p w14:paraId="34EE5464">
                  <w:pPr>
                    <w:jc w:val="center"/>
                    <w:rPr>
                      <w:rFonts w:hint="default" w:ascii="Times New Roman" w:hAnsi="Times New Roman" w:cs="Times New Roman"/>
                      <w:color w:val="auto"/>
                      <w:sz w:val="21"/>
                      <w:szCs w:val="21"/>
                      <w:highlight w:val="none"/>
                      <w:u w:val="none"/>
                    </w:rPr>
                  </w:pPr>
                  <w:r>
                    <w:rPr>
                      <w:rFonts w:hint="eastAsia" w:cs="Times New Roman"/>
                      <w:color w:val="auto"/>
                      <w:sz w:val="21"/>
                      <w:szCs w:val="21"/>
                      <w:highlight w:val="none"/>
                      <w:u w:val="none"/>
                      <w:lang w:eastAsia="zh-CN"/>
                    </w:rPr>
                    <w:t>岳阳县新墙镇燎原村沙河片二组</w:t>
                  </w:r>
                </w:p>
              </w:tc>
            </w:tr>
            <w:tr w14:paraId="5E82D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1102" w:type="pct"/>
                  <w:tcBorders>
                    <w:top w:val="single" w:color="auto" w:sz="6" w:space="0"/>
                    <w:left w:val="single" w:color="auto" w:sz="12" w:space="0"/>
                    <w:bottom w:val="single" w:color="auto" w:sz="6" w:space="0"/>
                    <w:right w:val="single" w:color="auto" w:sz="6" w:space="0"/>
                  </w:tcBorders>
                  <w:noWrap w:val="0"/>
                  <w:vAlign w:val="center"/>
                </w:tcPr>
                <w:p w14:paraId="788DC64C">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地理坐标</w:t>
                  </w:r>
                </w:p>
              </w:tc>
              <w:tc>
                <w:tcPr>
                  <w:tcW w:w="724" w:type="pct"/>
                  <w:tcBorders>
                    <w:top w:val="single" w:color="auto" w:sz="6" w:space="0"/>
                    <w:left w:val="single" w:color="auto" w:sz="6" w:space="0"/>
                    <w:bottom w:val="single" w:color="auto" w:sz="6" w:space="0"/>
                    <w:right w:val="single" w:color="auto" w:sz="6" w:space="0"/>
                  </w:tcBorders>
                  <w:noWrap w:val="0"/>
                  <w:vAlign w:val="center"/>
                </w:tcPr>
                <w:p w14:paraId="2F67F068">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经度</w:t>
                  </w:r>
                </w:p>
              </w:tc>
              <w:tc>
                <w:tcPr>
                  <w:tcW w:w="1279" w:type="pct"/>
                  <w:gridSpan w:val="2"/>
                  <w:tcBorders>
                    <w:top w:val="single" w:color="auto" w:sz="6" w:space="0"/>
                    <w:left w:val="single" w:color="auto" w:sz="6" w:space="0"/>
                    <w:bottom w:val="single" w:color="auto" w:sz="6" w:space="0"/>
                    <w:right w:val="single" w:color="auto" w:sz="6" w:space="0"/>
                  </w:tcBorders>
                  <w:noWrap w:val="0"/>
                  <w:vAlign w:val="center"/>
                </w:tcPr>
                <w:p w14:paraId="25F0FC34">
                  <w:pP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lang w:val="en-US" w:eastAsia="zh-CN"/>
                    </w:rPr>
                    <w:t>113度</w:t>
                  </w:r>
                  <w:r>
                    <w:rPr>
                      <w:rFonts w:hint="eastAsia" w:cs="Times New Roman"/>
                      <w:color w:val="auto"/>
                      <w:sz w:val="21"/>
                      <w:szCs w:val="21"/>
                      <w:highlight w:val="none"/>
                      <w:u w:val="none"/>
                      <w:lang w:val="en-US" w:eastAsia="zh-CN"/>
                    </w:rPr>
                    <w:t>10</w:t>
                  </w:r>
                  <w:r>
                    <w:rPr>
                      <w:rFonts w:hint="default" w:ascii="Times New Roman" w:hAnsi="Times New Roman" w:cs="Times New Roman"/>
                      <w:color w:val="auto"/>
                      <w:sz w:val="21"/>
                      <w:szCs w:val="21"/>
                      <w:highlight w:val="none"/>
                      <w:u w:val="none"/>
                      <w:lang w:val="en-US" w:eastAsia="zh-CN"/>
                    </w:rPr>
                    <w:t>分</w:t>
                  </w:r>
                  <w:r>
                    <w:rPr>
                      <w:rFonts w:hint="eastAsia" w:cs="Times New Roman"/>
                      <w:color w:val="auto"/>
                      <w:sz w:val="21"/>
                      <w:szCs w:val="21"/>
                      <w:highlight w:val="none"/>
                      <w:u w:val="none"/>
                      <w:lang w:val="en-US" w:eastAsia="zh-CN"/>
                    </w:rPr>
                    <w:t>11.584</w:t>
                  </w:r>
                  <w:r>
                    <w:rPr>
                      <w:rFonts w:hint="default" w:ascii="Times New Roman" w:hAnsi="Times New Roman" w:cs="Times New Roman"/>
                      <w:color w:val="auto"/>
                      <w:sz w:val="21"/>
                      <w:szCs w:val="21"/>
                      <w:highlight w:val="none"/>
                      <w:u w:val="none"/>
                      <w:lang w:val="en-US" w:eastAsia="zh-CN"/>
                    </w:rPr>
                    <w:t>秒</w:t>
                  </w:r>
                </w:p>
              </w:tc>
              <w:tc>
                <w:tcPr>
                  <w:tcW w:w="590" w:type="pct"/>
                  <w:tcBorders>
                    <w:top w:val="single" w:color="auto" w:sz="6" w:space="0"/>
                    <w:left w:val="single" w:color="auto" w:sz="6" w:space="0"/>
                    <w:bottom w:val="single" w:color="auto" w:sz="6" w:space="0"/>
                    <w:right w:val="single" w:color="auto" w:sz="6" w:space="0"/>
                  </w:tcBorders>
                  <w:noWrap w:val="0"/>
                  <w:vAlign w:val="center"/>
                </w:tcPr>
                <w:p w14:paraId="64AB7CEC">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纬度</w:t>
                  </w:r>
                </w:p>
              </w:tc>
              <w:tc>
                <w:tcPr>
                  <w:tcW w:w="1304" w:type="pct"/>
                  <w:tcBorders>
                    <w:top w:val="single" w:color="auto" w:sz="6" w:space="0"/>
                    <w:left w:val="single" w:color="auto" w:sz="6" w:space="0"/>
                    <w:bottom w:val="single" w:color="auto" w:sz="6" w:space="0"/>
                    <w:right w:val="single" w:color="auto" w:sz="12" w:space="0"/>
                  </w:tcBorders>
                  <w:noWrap w:val="0"/>
                  <w:vAlign w:val="center"/>
                </w:tcPr>
                <w:p w14:paraId="40C0F502">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29度</w:t>
                  </w:r>
                  <w:r>
                    <w:rPr>
                      <w:rFonts w:hint="eastAsia" w:cs="Times New Roman"/>
                      <w:color w:val="auto"/>
                      <w:sz w:val="21"/>
                      <w:szCs w:val="21"/>
                      <w:highlight w:val="none"/>
                      <w:u w:val="none"/>
                      <w:lang w:val="en-US" w:eastAsia="zh-CN"/>
                    </w:rPr>
                    <w:t>8</w:t>
                  </w:r>
                  <w:r>
                    <w:rPr>
                      <w:rFonts w:hint="default" w:ascii="Times New Roman" w:hAnsi="Times New Roman" w:cs="Times New Roman"/>
                      <w:color w:val="auto"/>
                      <w:sz w:val="21"/>
                      <w:szCs w:val="21"/>
                      <w:highlight w:val="none"/>
                      <w:u w:val="none"/>
                    </w:rPr>
                    <w:t>分</w:t>
                  </w:r>
                  <w:r>
                    <w:rPr>
                      <w:rFonts w:hint="eastAsia" w:cs="Times New Roman"/>
                      <w:color w:val="auto"/>
                      <w:sz w:val="21"/>
                      <w:szCs w:val="21"/>
                      <w:highlight w:val="none"/>
                      <w:u w:val="none"/>
                      <w:lang w:val="en-US" w:eastAsia="zh-CN"/>
                    </w:rPr>
                    <w:t>19.550</w:t>
                  </w:r>
                  <w:r>
                    <w:rPr>
                      <w:rFonts w:hint="default" w:ascii="Times New Roman" w:hAnsi="Times New Roman" w:cs="Times New Roman"/>
                      <w:color w:val="auto"/>
                      <w:sz w:val="21"/>
                      <w:szCs w:val="21"/>
                      <w:highlight w:val="none"/>
                      <w:u w:val="none"/>
                    </w:rPr>
                    <w:t>秒</w:t>
                  </w:r>
                </w:p>
              </w:tc>
            </w:tr>
            <w:tr w14:paraId="1567F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1102" w:type="pct"/>
                  <w:tcBorders>
                    <w:top w:val="single" w:color="auto" w:sz="6" w:space="0"/>
                    <w:left w:val="single" w:color="auto" w:sz="12" w:space="0"/>
                    <w:bottom w:val="single" w:color="auto" w:sz="6" w:space="0"/>
                    <w:right w:val="single" w:color="auto" w:sz="6" w:space="0"/>
                  </w:tcBorders>
                  <w:noWrap w:val="0"/>
                  <w:vAlign w:val="center"/>
                </w:tcPr>
                <w:p w14:paraId="2F683805">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主要危险物质及分布</w:t>
                  </w:r>
                </w:p>
              </w:tc>
              <w:tc>
                <w:tcPr>
                  <w:tcW w:w="3897" w:type="pct"/>
                  <w:gridSpan w:val="5"/>
                  <w:tcBorders>
                    <w:top w:val="single" w:color="auto" w:sz="6" w:space="0"/>
                    <w:left w:val="single" w:color="auto" w:sz="6" w:space="0"/>
                    <w:bottom w:val="single" w:color="auto" w:sz="6" w:space="0"/>
                    <w:right w:val="single" w:color="auto" w:sz="12" w:space="0"/>
                  </w:tcBorders>
                  <w:noWrap w:val="0"/>
                  <w:vAlign w:val="center"/>
                </w:tcPr>
                <w:p w14:paraId="73D0E003">
                  <w:pPr>
                    <w:jc w:val="center"/>
                    <w:rPr>
                      <w:rFonts w:hint="default" w:ascii="Times New Roman" w:hAnsi="Times New Roman" w:cs="Times New Roman"/>
                      <w:color w:val="auto"/>
                      <w:sz w:val="21"/>
                      <w:szCs w:val="21"/>
                      <w:highlight w:val="none"/>
                      <w:u w:val="none"/>
                    </w:rPr>
                  </w:pPr>
                  <w:r>
                    <w:rPr>
                      <w:rFonts w:hint="eastAsia" w:cs="Times New Roman"/>
                      <w:color w:val="auto"/>
                      <w:sz w:val="21"/>
                      <w:szCs w:val="21"/>
                      <w:highlight w:val="none"/>
                      <w:u w:val="none"/>
                      <w:lang w:val="en-US" w:eastAsia="zh-CN"/>
                    </w:rPr>
                    <w:t>废气</w:t>
                  </w:r>
                  <w:r>
                    <w:rPr>
                      <w:rFonts w:hint="default" w:ascii="Times New Roman" w:hAnsi="Times New Roman" w:cs="Times New Roman"/>
                      <w:color w:val="auto"/>
                      <w:sz w:val="21"/>
                      <w:szCs w:val="21"/>
                      <w:highlight w:val="none"/>
                      <w:u w:val="none"/>
                    </w:rPr>
                    <w:t>处理设施；</w:t>
                  </w:r>
                  <w:bookmarkStart w:id="50" w:name="OLE_LINK61"/>
                  <w:r>
                    <w:rPr>
                      <w:rFonts w:hint="default" w:ascii="Times New Roman" w:hAnsi="Times New Roman" w:cs="Times New Roman"/>
                      <w:color w:val="auto"/>
                      <w:sz w:val="21"/>
                      <w:szCs w:val="21"/>
                      <w:highlight w:val="none"/>
                      <w:u w:val="none"/>
                    </w:rPr>
                    <w:t>抽残液区</w:t>
                  </w:r>
                  <w:r>
                    <w:rPr>
                      <w:rFonts w:hint="eastAsia" w:cs="Times New Roman"/>
                      <w:color w:val="auto"/>
                      <w:sz w:val="21"/>
                      <w:szCs w:val="21"/>
                      <w:highlight w:val="none"/>
                      <w:u w:val="none"/>
                      <w:lang w:eastAsia="zh-CN"/>
                    </w:rPr>
                    <w:t>；</w:t>
                  </w:r>
                  <w:r>
                    <w:rPr>
                      <w:rFonts w:hint="eastAsia" w:cs="Times New Roman"/>
                      <w:color w:val="auto"/>
                      <w:sz w:val="21"/>
                      <w:szCs w:val="21"/>
                      <w:highlight w:val="none"/>
                      <w:u w:val="none"/>
                      <w:lang w:val="en-US" w:eastAsia="zh-CN"/>
                    </w:rPr>
                    <w:t>机油</w:t>
                  </w:r>
                  <w:r>
                    <w:rPr>
                      <w:rFonts w:hint="eastAsia" w:ascii="Times New Roman" w:hAnsi="Times New Roman" w:cs="Times New Roman"/>
                      <w:color w:val="auto"/>
                      <w:sz w:val="21"/>
                      <w:szCs w:val="21"/>
                      <w:highlight w:val="none"/>
                      <w:u w:val="none"/>
                      <w:lang w:val="en-US" w:eastAsia="zh-CN"/>
                    </w:rPr>
                    <w:t>等辅料</w:t>
                  </w:r>
                  <w:bookmarkEnd w:id="50"/>
                  <w:r>
                    <w:rPr>
                      <w:rFonts w:hint="default" w:ascii="Times New Roman" w:hAnsi="Times New Roman" w:cs="Times New Roman"/>
                      <w:color w:val="auto"/>
                      <w:sz w:val="21"/>
                      <w:szCs w:val="21"/>
                      <w:highlight w:val="none"/>
                      <w:u w:val="none"/>
                    </w:rPr>
                    <w:t>；危废暂存间；</w:t>
                  </w:r>
                </w:p>
              </w:tc>
            </w:tr>
            <w:tr w14:paraId="54E6A7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02" w:type="pct"/>
                  <w:tcBorders>
                    <w:top w:val="single" w:color="auto" w:sz="6" w:space="0"/>
                    <w:left w:val="single" w:color="auto" w:sz="12" w:space="0"/>
                    <w:bottom w:val="single" w:color="auto" w:sz="6" w:space="0"/>
                    <w:right w:val="single" w:color="auto" w:sz="6" w:space="0"/>
                  </w:tcBorders>
                  <w:noWrap w:val="0"/>
                  <w:vAlign w:val="center"/>
                </w:tcPr>
                <w:p w14:paraId="28C8DE0A">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环境影响途径及危害后果（大气、地表水、地下水等）</w:t>
                  </w:r>
                </w:p>
              </w:tc>
              <w:tc>
                <w:tcPr>
                  <w:tcW w:w="3897" w:type="pct"/>
                  <w:gridSpan w:val="5"/>
                  <w:tcBorders>
                    <w:top w:val="single" w:color="auto" w:sz="6" w:space="0"/>
                    <w:left w:val="single" w:color="auto" w:sz="6" w:space="0"/>
                    <w:bottom w:val="single" w:color="auto" w:sz="6" w:space="0"/>
                    <w:right w:val="single" w:color="auto" w:sz="12" w:space="0"/>
                  </w:tcBorders>
                  <w:noWrap w:val="0"/>
                  <w:vAlign w:val="center"/>
                </w:tcPr>
                <w:p w14:paraId="2B1B962D">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抽残液区</w:t>
                  </w:r>
                  <w:r>
                    <w:rPr>
                      <w:rFonts w:hint="eastAsia" w:ascii="Times New Roman" w:hAnsi="Times New Roman" w:cs="Times New Roman"/>
                      <w:color w:val="auto"/>
                      <w:sz w:val="21"/>
                      <w:szCs w:val="21"/>
                      <w:highlight w:val="none"/>
                      <w:u w:val="none"/>
                      <w:lang w:val="en-US" w:eastAsia="zh-CN"/>
                    </w:rPr>
                    <w:t>液体泄漏、</w:t>
                  </w:r>
                  <w:r>
                    <w:rPr>
                      <w:rFonts w:hint="eastAsia" w:cs="Times New Roman"/>
                      <w:color w:val="auto"/>
                      <w:sz w:val="21"/>
                      <w:szCs w:val="21"/>
                      <w:highlight w:val="none"/>
                      <w:u w:val="none"/>
                      <w:lang w:val="en-US" w:eastAsia="zh-CN"/>
                    </w:rPr>
                    <w:t>废气处理装置故障致使废气超标排放危害周边环境；机油、液化石油气、危废</w:t>
                  </w:r>
                  <w:r>
                    <w:rPr>
                      <w:rFonts w:hint="eastAsia" w:ascii="Times New Roman" w:hAnsi="Times New Roman" w:cs="Times New Roman"/>
                      <w:color w:val="auto"/>
                      <w:sz w:val="21"/>
                      <w:szCs w:val="21"/>
                      <w:highlight w:val="none"/>
                      <w:u w:val="none"/>
                      <w:lang w:val="en-US" w:eastAsia="zh-CN"/>
                    </w:rPr>
                    <w:t>等</w:t>
                  </w:r>
                  <w:r>
                    <w:rPr>
                      <w:rFonts w:hint="eastAsia" w:cs="Times New Roman"/>
                      <w:color w:val="auto"/>
                      <w:sz w:val="21"/>
                      <w:szCs w:val="21"/>
                      <w:highlight w:val="none"/>
                      <w:u w:val="none"/>
                      <w:lang w:val="en-US" w:eastAsia="zh-CN"/>
                    </w:rPr>
                    <w:t>泄漏</w:t>
                  </w:r>
                  <w:r>
                    <w:rPr>
                      <w:rFonts w:hint="default" w:ascii="Times New Roman" w:hAnsi="Times New Roman" w:cs="Times New Roman"/>
                      <w:color w:val="auto"/>
                      <w:sz w:val="21"/>
                      <w:szCs w:val="21"/>
                      <w:highlight w:val="none"/>
                      <w:u w:val="none"/>
                    </w:rPr>
                    <w:t>引发火灾次生污染物排放，造成空气、地表水、地下水环境污染；</w:t>
                  </w:r>
                </w:p>
              </w:tc>
            </w:tr>
            <w:tr w14:paraId="6F9B27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jc w:val="center"/>
              </w:trPr>
              <w:tc>
                <w:tcPr>
                  <w:tcW w:w="1102" w:type="pct"/>
                  <w:tcBorders>
                    <w:top w:val="single" w:color="auto" w:sz="6" w:space="0"/>
                    <w:left w:val="single" w:color="auto" w:sz="12" w:space="0"/>
                    <w:bottom w:val="single" w:color="auto" w:sz="6" w:space="0"/>
                    <w:right w:val="single" w:color="auto" w:sz="6" w:space="0"/>
                  </w:tcBorders>
                  <w:noWrap w:val="0"/>
                  <w:vAlign w:val="center"/>
                </w:tcPr>
                <w:p w14:paraId="4060AADE">
                  <w:pPr>
                    <w:keepNext w:val="0"/>
                    <w:keepLines w:val="0"/>
                    <w:widowControl/>
                    <w:suppressLineNumbers w:val="0"/>
                    <w:jc w:val="center"/>
                    <w:rPr>
                      <w:rFonts w:hint="default" w:ascii="Times New Roman" w:hAnsi="Times New Roman" w:eastAsia="宋体" w:cs="Times New Roman"/>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highlight w:val="none"/>
                      <w:u w:val="none"/>
                      <w:lang w:val="en-US" w:eastAsia="zh-CN" w:bidi="ar"/>
                    </w:rPr>
                    <w:t>风险防范措施要求</w:t>
                  </w:r>
                </w:p>
              </w:tc>
              <w:tc>
                <w:tcPr>
                  <w:tcW w:w="3897" w:type="pct"/>
                  <w:gridSpan w:val="5"/>
                  <w:tcBorders>
                    <w:top w:val="single" w:color="auto" w:sz="6" w:space="0"/>
                    <w:left w:val="single" w:color="auto" w:sz="6" w:space="0"/>
                    <w:bottom w:val="single" w:color="auto" w:sz="6" w:space="0"/>
                    <w:right w:val="single" w:color="auto" w:sz="12" w:space="0"/>
                  </w:tcBorders>
                  <w:noWrap w:val="0"/>
                  <w:vAlign w:val="center"/>
                </w:tcPr>
                <w:p w14:paraId="4E7735BA">
                  <w:pPr>
                    <w:keepNext w:val="0"/>
                    <w:keepLines w:val="0"/>
                    <w:widowControl/>
                    <w:suppressLineNumbers w:val="0"/>
                    <w:jc w:val="left"/>
                    <w:rPr>
                      <w:rFonts w:hint="default" w:ascii="Times New Roman" w:hAnsi="Times New Roman" w:eastAsia="宋体" w:cs="Times New Roman"/>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highlight w:val="none"/>
                      <w:u w:val="none"/>
                      <w:lang w:val="en-US" w:eastAsia="zh-CN" w:bidi="ar"/>
                    </w:rPr>
                    <w:t>1</w:t>
                  </w:r>
                  <w:r>
                    <w:rPr>
                      <w:rFonts w:hint="eastAsia" w:cs="Times New Roman"/>
                      <w:color w:val="auto"/>
                      <w:kern w:val="0"/>
                      <w:sz w:val="21"/>
                      <w:szCs w:val="21"/>
                      <w:highlight w:val="none"/>
                      <w:u w:val="none"/>
                      <w:lang w:val="en-US" w:eastAsia="zh-CN" w:bidi="ar"/>
                    </w:rPr>
                    <w:t>、</w:t>
                  </w:r>
                  <w:r>
                    <w:rPr>
                      <w:rFonts w:hint="default" w:ascii="Times New Roman" w:hAnsi="Times New Roman" w:eastAsia="宋体" w:cs="Times New Roman"/>
                      <w:color w:val="auto"/>
                      <w:kern w:val="0"/>
                      <w:sz w:val="21"/>
                      <w:szCs w:val="21"/>
                      <w:highlight w:val="none"/>
                      <w:u w:val="none"/>
                      <w:lang w:val="en-US" w:eastAsia="zh-CN" w:bidi="ar"/>
                    </w:rPr>
                    <w:t>设立安全与环保专员，全面负责全厂区安全运营管理工作，将安全生产要求落实到生产各环节、各岗位；加强车间日常清洁整治，定期对生产设备及环保设施进行维护保养，确保设备正常运行、环境整洁达标。</w:t>
                  </w:r>
                </w:p>
                <w:p w14:paraId="15A84F23">
                  <w:pPr>
                    <w:keepNext w:val="0"/>
                    <w:keepLines w:val="0"/>
                    <w:widowControl/>
                    <w:suppressLineNumbers w:val="0"/>
                    <w:jc w:val="left"/>
                    <w:rPr>
                      <w:rFonts w:hint="default" w:ascii="Times New Roman" w:hAnsi="Times New Roman" w:eastAsia="宋体" w:cs="Times New Roman"/>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highlight w:val="none"/>
                      <w:u w:val="none"/>
                      <w:lang w:val="en-US" w:eastAsia="zh-CN" w:bidi="ar"/>
                    </w:rPr>
                    <w:t>2</w:t>
                  </w:r>
                  <w:r>
                    <w:rPr>
                      <w:rFonts w:hint="eastAsia" w:cs="Times New Roman"/>
                      <w:color w:val="auto"/>
                      <w:kern w:val="0"/>
                      <w:sz w:val="21"/>
                      <w:szCs w:val="21"/>
                      <w:highlight w:val="none"/>
                      <w:u w:val="none"/>
                      <w:lang w:val="en-US" w:eastAsia="zh-CN" w:bidi="ar"/>
                    </w:rPr>
                    <w:t>、</w:t>
                  </w:r>
                  <w:r>
                    <w:rPr>
                      <w:rFonts w:hint="default" w:ascii="Times New Roman" w:hAnsi="Times New Roman" w:eastAsia="宋体" w:cs="Times New Roman"/>
                      <w:color w:val="auto"/>
                      <w:kern w:val="0"/>
                      <w:sz w:val="21"/>
                      <w:szCs w:val="21"/>
                      <w:highlight w:val="none"/>
                      <w:u w:val="none"/>
                      <w:lang w:val="en-US" w:eastAsia="zh-CN" w:bidi="ar"/>
                    </w:rPr>
                    <w:t>强化原材料暂存区、成品暂存区安全管控，建立健全完善的安全生产管理制度，常态化开展安全生产宣传教育工作，提升全体员工安全意识和应急处置能力。</w:t>
                  </w:r>
                </w:p>
                <w:p w14:paraId="4E383420">
                  <w:pPr>
                    <w:keepNext w:val="0"/>
                    <w:keepLines w:val="0"/>
                    <w:widowControl/>
                    <w:suppressLineNumbers w:val="0"/>
                    <w:jc w:val="left"/>
                    <w:rPr>
                      <w:rFonts w:hint="default" w:ascii="Times New Roman" w:hAnsi="Times New Roman" w:eastAsia="宋体" w:cs="Times New Roman"/>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highlight w:val="none"/>
                      <w:u w:val="none"/>
                      <w:lang w:val="en-US" w:eastAsia="zh-CN" w:bidi="ar"/>
                    </w:rPr>
                    <w:t>3. 规范危险物品存储及泄漏防控，生产车间废机油收集桶下方需设置防泄漏托盘，并配备吸油毡、应急空桶等应急处置物资；原料间和危废间收集桶下方设置防泄漏托盘，或在门口设置拱背形围挡，同步配备吸油毡、应急空桶等应急物资，严防物料泄漏造成环境污染和安全隐患。</w:t>
                  </w:r>
                </w:p>
                <w:p w14:paraId="3E730D66">
                  <w:pPr>
                    <w:keepNext w:val="0"/>
                    <w:keepLines w:val="0"/>
                    <w:widowControl/>
                    <w:suppressLineNumbers w:val="0"/>
                    <w:jc w:val="left"/>
                    <w:rPr>
                      <w:rFonts w:hint="default" w:ascii="Times New Roman" w:hAnsi="Times New Roman" w:eastAsia="宋体" w:cs="Times New Roman"/>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highlight w:val="none"/>
                      <w:u w:val="none"/>
                      <w:lang w:val="en-US" w:eastAsia="zh-CN" w:bidi="ar"/>
                    </w:rPr>
                    <w:t>4</w:t>
                  </w:r>
                  <w:r>
                    <w:rPr>
                      <w:rFonts w:hint="eastAsia" w:cs="Times New Roman"/>
                      <w:color w:val="auto"/>
                      <w:kern w:val="0"/>
                      <w:sz w:val="21"/>
                      <w:szCs w:val="21"/>
                      <w:highlight w:val="none"/>
                      <w:u w:val="none"/>
                      <w:lang w:val="en-US" w:eastAsia="zh-CN" w:bidi="ar"/>
                    </w:rPr>
                    <w:t>、</w:t>
                  </w:r>
                  <w:r>
                    <w:rPr>
                      <w:rFonts w:hint="default" w:ascii="Times New Roman" w:hAnsi="Times New Roman" w:eastAsia="宋体" w:cs="Times New Roman"/>
                      <w:color w:val="auto"/>
                      <w:kern w:val="0"/>
                      <w:sz w:val="21"/>
                      <w:szCs w:val="21"/>
                      <w:highlight w:val="none"/>
                      <w:u w:val="none"/>
                      <w:lang w:val="en-US" w:eastAsia="zh-CN" w:bidi="ar"/>
                    </w:rPr>
                    <w:t>加强废气处理设备巡检与维护，及时消除设备隐患，保障废气处理设施稳定正常运行。</w:t>
                  </w:r>
                </w:p>
                <w:p w14:paraId="040A62AB">
                  <w:pPr>
                    <w:keepNext w:val="0"/>
                    <w:keepLines w:val="0"/>
                    <w:widowControl/>
                    <w:suppressLineNumbers w:val="0"/>
                    <w:jc w:val="left"/>
                    <w:rPr>
                      <w:rFonts w:hint="default" w:ascii="Times New Roman" w:hAnsi="Times New Roman" w:eastAsia="宋体" w:cs="Times New Roman"/>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highlight w:val="none"/>
                      <w:u w:val="none"/>
                      <w:lang w:val="en-US" w:eastAsia="zh-CN" w:bidi="ar"/>
                    </w:rPr>
                    <w:t>5</w:t>
                  </w:r>
                  <w:r>
                    <w:rPr>
                      <w:rFonts w:hint="eastAsia" w:cs="Times New Roman"/>
                      <w:color w:val="auto"/>
                      <w:kern w:val="0"/>
                      <w:sz w:val="21"/>
                      <w:szCs w:val="21"/>
                      <w:highlight w:val="none"/>
                      <w:u w:val="none"/>
                      <w:lang w:val="en-US" w:eastAsia="zh-CN" w:bidi="ar"/>
                    </w:rPr>
                    <w:t>、</w:t>
                  </w:r>
                  <w:r>
                    <w:rPr>
                      <w:rFonts w:hint="default" w:ascii="Times New Roman" w:hAnsi="Times New Roman" w:eastAsia="宋体" w:cs="Times New Roman"/>
                      <w:color w:val="auto"/>
                      <w:kern w:val="0"/>
                      <w:sz w:val="21"/>
                      <w:szCs w:val="21"/>
                      <w:highlight w:val="none"/>
                      <w:u w:val="none"/>
                      <w:lang w:val="en-US" w:eastAsia="zh-CN" w:bidi="ar"/>
                    </w:rPr>
                    <w:t>健全消防应急防控体系，在车间、仓库区域合理设置应急消防栓，车间内按规范配备灭火器等消防应急物资。</w:t>
                  </w:r>
                </w:p>
              </w:tc>
            </w:tr>
            <w:tr w14:paraId="2DA65C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6" w:hRule="atLeast"/>
                <w:jc w:val="center"/>
              </w:trPr>
              <w:tc>
                <w:tcPr>
                  <w:tcW w:w="1102" w:type="pct"/>
                  <w:tcBorders>
                    <w:top w:val="single" w:color="auto" w:sz="6" w:space="0"/>
                    <w:left w:val="single" w:color="auto" w:sz="12" w:space="0"/>
                    <w:bottom w:val="single" w:color="auto" w:sz="12" w:space="0"/>
                    <w:right w:val="single" w:color="auto" w:sz="6" w:space="0"/>
                  </w:tcBorders>
                  <w:noWrap w:val="0"/>
                  <w:vAlign w:val="center"/>
                </w:tcPr>
                <w:p w14:paraId="627BF5C3">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填表说明（列出项目相关信息及评价说明）</w:t>
                  </w:r>
                </w:p>
              </w:tc>
              <w:tc>
                <w:tcPr>
                  <w:tcW w:w="3897" w:type="pct"/>
                  <w:gridSpan w:val="5"/>
                  <w:tcBorders>
                    <w:top w:val="single" w:color="auto" w:sz="6" w:space="0"/>
                    <w:left w:val="single" w:color="auto" w:sz="6" w:space="0"/>
                    <w:bottom w:val="single" w:color="auto" w:sz="12" w:space="0"/>
                    <w:right w:val="single" w:color="auto" w:sz="12" w:space="0"/>
                  </w:tcBorders>
                  <w:noWrap w:val="0"/>
                  <w:vAlign w:val="center"/>
                </w:tcPr>
                <w:p w14:paraId="22DA2F89">
                  <w:pPr>
                    <w:jc w:val="center"/>
                    <w:rPr>
                      <w:rFonts w:hint="default" w:ascii="Times New Roman" w:hAnsi="Times New Roman" w:cs="Times New Roman"/>
                      <w:color w:val="auto"/>
                      <w:sz w:val="21"/>
                      <w:szCs w:val="21"/>
                      <w:highlight w:val="none"/>
                      <w:u w:val="none"/>
                    </w:rPr>
                  </w:pPr>
                  <w:r>
                    <w:rPr>
                      <w:rFonts w:hint="default" w:ascii="Times New Roman" w:hAnsi="Times New Roman" w:cs="Times New Roman"/>
                      <w:color w:val="auto"/>
                      <w:sz w:val="21"/>
                      <w:szCs w:val="21"/>
                      <w:highlight w:val="none"/>
                      <w:u w:val="none"/>
                    </w:rPr>
                    <w:t>项目通过采取相应的风险预防、管理、应急措施后，评价认为项目环境风险是可以接受的</w:t>
                  </w:r>
                </w:p>
              </w:tc>
            </w:tr>
          </w:tbl>
          <w:p w14:paraId="07512118">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评价结果表明：</w:t>
            </w:r>
            <w:r>
              <w:rPr>
                <w:rFonts w:hint="default" w:ascii="Times New Roman" w:hAnsi="Times New Roman" w:cs="Times New Roman"/>
                <w:color w:val="auto"/>
                <w:sz w:val="24"/>
                <w:highlight w:val="none"/>
                <w:lang w:eastAsia="zh-CN"/>
              </w:rPr>
              <w:t>项目安全条件和工艺、设备等满足建设需要，</w:t>
            </w:r>
            <w:r>
              <w:rPr>
                <w:rFonts w:hint="default" w:ascii="Times New Roman" w:hAnsi="Times New Roman" w:cs="Times New Roman"/>
                <w:color w:val="auto"/>
                <w:sz w:val="24"/>
                <w:highlight w:val="none"/>
              </w:rPr>
              <w:t>项目的环境风险处于可接受水平，在落实本评价报告</w:t>
            </w:r>
            <w:r>
              <w:rPr>
                <w:rFonts w:hint="default" w:ascii="Times New Roman" w:hAnsi="Times New Roman" w:cs="Times New Roman"/>
                <w:color w:val="auto"/>
                <w:sz w:val="24"/>
                <w:highlight w:val="none"/>
                <w:lang w:eastAsia="zh-CN"/>
              </w:rPr>
              <w:t>提出的安全建议与</w:t>
            </w:r>
            <w:r>
              <w:rPr>
                <w:rFonts w:hint="default" w:ascii="Times New Roman" w:hAnsi="Times New Roman" w:cs="Times New Roman"/>
                <w:color w:val="auto"/>
                <w:sz w:val="24"/>
                <w:highlight w:val="none"/>
              </w:rPr>
              <w:t>对策措施后，</w:t>
            </w:r>
            <w:r>
              <w:rPr>
                <w:rFonts w:hint="default" w:ascii="Times New Roman" w:hAnsi="Times New Roman" w:cs="Times New Roman"/>
                <w:color w:val="auto"/>
                <w:sz w:val="24"/>
                <w:highlight w:val="none"/>
                <w:lang w:eastAsia="zh-CN"/>
              </w:rPr>
              <w:t>该项目风险可控，且</w:t>
            </w:r>
            <w:r>
              <w:rPr>
                <w:rFonts w:hint="default" w:ascii="Times New Roman" w:hAnsi="Times New Roman" w:cs="Times New Roman"/>
                <w:color w:val="auto"/>
                <w:sz w:val="24"/>
                <w:highlight w:val="none"/>
              </w:rPr>
              <w:t>符合国家有关</w:t>
            </w:r>
            <w:r>
              <w:rPr>
                <w:rFonts w:hint="default" w:ascii="Times New Roman" w:hAnsi="Times New Roman" w:cs="Times New Roman"/>
                <w:color w:val="auto"/>
                <w:sz w:val="24"/>
                <w:highlight w:val="none"/>
                <w:lang w:eastAsia="zh-CN"/>
              </w:rPr>
              <w:t>法律法规</w:t>
            </w:r>
            <w:r>
              <w:rPr>
                <w:rFonts w:hint="default" w:ascii="Times New Roman" w:hAnsi="Times New Roman" w:cs="Times New Roman"/>
                <w:color w:val="auto"/>
                <w:sz w:val="24"/>
                <w:highlight w:val="none"/>
              </w:rPr>
              <w:t>、技术标准</w:t>
            </w:r>
            <w:r>
              <w:rPr>
                <w:rFonts w:hint="default" w:ascii="Times New Roman" w:hAnsi="Times New Roman" w:cs="Times New Roman"/>
                <w:color w:val="auto"/>
                <w:sz w:val="24"/>
                <w:highlight w:val="none"/>
                <w:lang w:eastAsia="zh-CN"/>
              </w:rPr>
              <w:t>的要求，具备安全生产的条件。</w:t>
            </w:r>
          </w:p>
          <w:p w14:paraId="168385C7">
            <w:pPr>
              <w:pStyle w:val="54"/>
              <w:widowControl/>
              <w:tabs>
                <w:tab w:val="left" w:pos="1021"/>
              </w:tabs>
              <w:wordWrap w:val="0"/>
              <w:topLinePunct/>
              <w:adjustRightInd/>
              <w:snapToGrid/>
              <w:spacing w:line="360" w:lineRule="auto"/>
              <w:ind w:firstLine="0" w:firstLineChars="0"/>
              <w:rPr>
                <w:rFonts w:ascii="Times New Roman" w:hAnsi="Times New Roman" w:eastAsia="宋体" w:cs="Times New Roman"/>
                <w:b/>
                <w:bCs/>
                <w:color w:val="auto"/>
                <w:kern w:val="0"/>
                <w:szCs w:val="24"/>
                <w:highlight w:val="none"/>
                <w:u w:val="none"/>
              </w:rPr>
            </w:pPr>
            <w:r>
              <w:rPr>
                <w:rFonts w:hint="default" w:ascii="Times New Roman" w:hAnsi="Times New Roman" w:cs="Times New Roman"/>
                <w:b/>
                <w:color w:val="auto"/>
                <w:kern w:val="28"/>
                <w:sz w:val="24"/>
                <w:highlight w:val="none"/>
                <w:u w:val="none"/>
              </w:rPr>
              <w:t>9、</w:t>
            </w:r>
            <w:r>
              <w:rPr>
                <w:rFonts w:ascii="Times New Roman" w:hAnsi="Times New Roman" w:eastAsia="宋体" w:cs="Times New Roman"/>
                <w:b/>
                <w:bCs/>
                <w:color w:val="auto"/>
                <w:kern w:val="0"/>
                <w:szCs w:val="24"/>
                <w:highlight w:val="none"/>
                <w:u w:val="none"/>
              </w:rPr>
              <w:t>排污口规范化建设</w:t>
            </w:r>
          </w:p>
          <w:p w14:paraId="094DFD1D">
            <w:pPr>
              <w:widowControl w:val="0"/>
              <w:tabs>
                <w:tab w:val="left" w:pos="1021"/>
              </w:tabs>
              <w:wordWrap w:val="0"/>
              <w:topLinePunct/>
              <w:adjustRightInd/>
              <w:snapToGrid/>
              <w:spacing w:line="360" w:lineRule="auto"/>
              <w:ind w:firstLine="480" w:firstLineChars="200"/>
              <w:jc w:val="both"/>
              <w:rPr>
                <w:rFonts w:ascii="Times New Roman" w:hAnsi="Times New Roman" w:eastAsia="宋体" w:cs="Times New Roman"/>
                <w:color w:val="auto"/>
                <w:kern w:val="0"/>
                <w:sz w:val="24"/>
                <w:szCs w:val="24"/>
                <w:highlight w:val="none"/>
                <w:u w:val="none"/>
                <w:lang w:val="en-US" w:eastAsia="zh-CN" w:bidi="ar-SA"/>
              </w:rPr>
            </w:pPr>
            <w:r>
              <w:rPr>
                <w:rFonts w:hint="eastAsia" w:ascii="Times New Roman" w:hAnsi="Times New Roman" w:eastAsia="宋体" w:cs="Times New Roman"/>
                <w:color w:val="auto"/>
                <w:kern w:val="0"/>
                <w:sz w:val="24"/>
                <w:szCs w:val="24"/>
                <w:highlight w:val="none"/>
                <w:u w:val="none"/>
                <w:lang w:val="en-US" w:eastAsia="zh-CN" w:bidi="ar-SA"/>
              </w:rPr>
              <w:t>9.1、排污口设置规范化要求</w:t>
            </w:r>
          </w:p>
          <w:p w14:paraId="5C774BEA">
            <w:pPr>
              <w:widowControl w:val="0"/>
              <w:tabs>
                <w:tab w:val="left" w:pos="1021"/>
              </w:tabs>
              <w:wordWrap w:val="0"/>
              <w:topLinePunct/>
              <w:adjustRightInd/>
              <w:snapToGrid/>
              <w:spacing w:line="360" w:lineRule="auto"/>
              <w:ind w:firstLine="480" w:firstLineChars="200"/>
              <w:jc w:val="both"/>
              <w:rPr>
                <w:rFonts w:ascii="Times New Roman" w:hAnsi="Times New Roman" w:eastAsia="宋体" w:cs="Times New Roman"/>
                <w:color w:val="auto"/>
                <w:kern w:val="0"/>
                <w:sz w:val="24"/>
                <w:szCs w:val="24"/>
                <w:highlight w:val="none"/>
                <w:u w:val="none"/>
                <w:lang w:val="en-US" w:eastAsia="zh-CN" w:bidi="ar-SA"/>
              </w:rPr>
            </w:pPr>
            <w:r>
              <w:rPr>
                <w:rFonts w:ascii="Times New Roman" w:hAnsi="Times New Roman" w:eastAsia="宋体" w:cs="Times New Roman"/>
                <w:color w:val="auto"/>
                <w:kern w:val="0"/>
                <w:sz w:val="24"/>
                <w:szCs w:val="24"/>
                <w:highlight w:val="none"/>
                <w:u w:val="none"/>
                <w:lang w:val="en-US" w:eastAsia="zh-CN" w:bidi="ar-SA"/>
              </w:rPr>
              <w:t>①排放口规范化整治应遵循便于采集样品、便于计量监测、便于日常现场监督检查的原则。</w:t>
            </w:r>
          </w:p>
          <w:p w14:paraId="36E2C34A">
            <w:pPr>
              <w:widowControl w:val="0"/>
              <w:tabs>
                <w:tab w:val="left" w:pos="1021"/>
              </w:tabs>
              <w:wordWrap w:val="0"/>
              <w:topLinePunct/>
              <w:adjustRightInd/>
              <w:snapToGrid/>
              <w:spacing w:line="360" w:lineRule="auto"/>
              <w:ind w:firstLine="480" w:firstLineChars="200"/>
              <w:jc w:val="both"/>
              <w:rPr>
                <w:rFonts w:ascii="Times New Roman" w:hAnsi="Times New Roman" w:eastAsia="宋体" w:cs="Times New Roman"/>
                <w:color w:val="auto"/>
                <w:kern w:val="0"/>
                <w:sz w:val="24"/>
                <w:szCs w:val="24"/>
                <w:highlight w:val="none"/>
                <w:u w:val="none"/>
                <w:lang w:val="en-US" w:eastAsia="zh-CN" w:bidi="ar-SA"/>
              </w:rPr>
            </w:pPr>
            <w:r>
              <w:rPr>
                <w:rFonts w:ascii="Times New Roman" w:hAnsi="Times New Roman" w:eastAsia="宋体" w:cs="Times New Roman"/>
                <w:color w:val="auto"/>
                <w:kern w:val="0"/>
                <w:sz w:val="24"/>
                <w:szCs w:val="24"/>
                <w:highlight w:val="none"/>
                <w:u w:val="none"/>
                <w:lang w:val="en-US" w:eastAsia="zh-CN" w:bidi="ar-SA"/>
              </w:rPr>
              <w:t>②废气排放筒/烟囱均应设置便于采样、监测的采样口和采样监测平台，设置提示性环境保护图形标志牌。</w:t>
            </w:r>
          </w:p>
          <w:p w14:paraId="5A2AC655">
            <w:pPr>
              <w:widowControl w:val="0"/>
              <w:tabs>
                <w:tab w:val="left" w:pos="1021"/>
              </w:tabs>
              <w:wordWrap w:val="0"/>
              <w:topLinePunct/>
              <w:adjustRightInd/>
              <w:snapToGrid/>
              <w:spacing w:line="360" w:lineRule="auto"/>
              <w:ind w:firstLine="480" w:firstLineChars="200"/>
              <w:jc w:val="both"/>
              <w:rPr>
                <w:rFonts w:ascii="Times New Roman" w:hAnsi="Times New Roman" w:eastAsia="宋体" w:cs="Times New Roman"/>
                <w:color w:val="auto"/>
                <w:kern w:val="0"/>
                <w:sz w:val="24"/>
                <w:szCs w:val="24"/>
                <w:highlight w:val="none"/>
                <w:u w:val="none"/>
                <w:lang w:val="en-US" w:eastAsia="zh-CN" w:bidi="ar-SA"/>
              </w:rPr>
            </w:pPr>
            <w:r>
              <w:rPr>
                <w:rFonts w:ascii="Times New Roman" w:hAnsi="Times New Roman" w:eastAsia="宋体" w:cs="Times New Roman"/>
                <w:color w:val="auto"/>
                <w:kern w:val="0"/>
                <w:sz w:val="24"/>
                <w:szCs w:val="24"/>
                <w:highlight w:val="none"/>
                <w:u w:val="none"/>
                <w:lang w:val="en-US" w:eastAsia="zh-CN" w:bidi="ar-SA"/>
              </w:rPr>
              <w:t>③应按《排污单位污染物排放口监测点位设置技术规范》（HJ1405-2024）设置废气采样平台和废气监测采样口。</w:t>
            </w:r>
          </w:p>
          <w:p w14:paraId="0B987080">
            <w:pPr>
              <w:widowControl w:val="0"/>
              <w:tabs>
                <w:tab w:val="left" w:pos="1021"/>
              </w:tabs>
              <w:wordWrap w:val="0"/>
              <w:topLinePunct/>
              <w:adjustRightInd/>
              <w:snapToGrid/>
              <w:spacing w:line="360" w:lineRule="auto"/>
              <w:ind w:firstLine="480" w:firstLineChars="200"/>
              <w:jc w:val="both"/>
              <w:rPr>
                <w:rFonts w:ascii="Times New Roman" w:hAnsi="Times New Roman" w:eastAsia="宋体" w:cs="Times New Roman"/>
                <w:color w:val="auto"/>
                <w:kern w:val="0"/>
                <w:sz w:val="24"/>
                <w:szCs w:val="24"/>
                <w:highlight w:val="none"/>
                <w:u w:val="none"/>
                <w:lang w:val="en-US" w:eastAsia="zh-CN" w:bidi="ar-SA"/>
              </w:rPr>
            </w:pPr>
            <w:r>
              <w:rPr>
                <w:rFonts w:ascii="Times New Roman" w:hAnsi="Times New Roman" w:eastAsia="宋体" w:cs="Times New Roman"/>
                <w:color w:val="auto"/>
                <w:kern w:val="0"/>
                <w:sz w:val="24"/>
                <w:szCs w:val="24"/>
                <w:highlight w:val="none"/>
                <w:u w:val="none"/>
                <w:lang w:val="en-US" w:eastAsia="zh-CN" w:bidi="ar-SA"/>
              </w:rPr>
              <w:t>④固体废物贮存场所应符合《一般工业固体废物贮存和填埋污染控制标准》(GB18599-2020)要求。在固体废物贮存场所边界各进出路口设置标志牌。</w:t>
            </w:r>
          </w:p>
          <w:p w14:paraId="6BA2A2E2">
            <w:pPr>
              <w:widowControl w:val="0"/>
              <w:tabs>
                <w:tab w:val="left" w:pos="1021"/>
              </w:tabs>
              <w:wordWrap w:val="0"/>
              <w:topLinePunct/>
              <w:adjustRightInd/>
              <w:snapToGrid/>
              <w:spacing w:line="360" w:lineRule="auto"/>
              <w:ind w:firstLine="480" w:firstLineChars="200"/>
              <w:jc w:val="both"/>
              <w:rPr>
                <w:rFonts w:ascii="Times New Roman" w:hAnsi="Times New Roman" w:eastAsia="宋体" w:cs="Times New Roman"/>
                <w:color w:val="auto"/>
                <w:kern w:val="0"/>
                <w:sz w:val="24"/>
                <w:szCs w:val="24"/>
                <w:highlight w:val="none"/>
                <w:u w:val="none"/>
                <w:lang w:val="en-US" w:eastAsia="zh-CN" w:bidi="ar-SA"/>
              </w:rPr>
            </w:pPr>
            <w:r>
              <w:rPr>
                <w:rFonts w:ascii="Times New Roman" w:hAnsi="Times New Roman" w:eastAsia="宋体" w:cs="Times New Roman"/>
                <w:color w:val="auto"/>
                <w:kern w:val="0"/>
                <w:sz w:val="24"/>
                <w:szCs w:val="24"/>
                <w:highlight w:val="none"/>
                <w:u w:val="none"/>
                <w:lang w:val="en-US" w:eastAsia="zh-CN" w:bidi="ar-SA"/>
              </w:rPr>
              <w:t>⑤噪声排放源标志牌应设置在距选定监测点较近且醒目处。固定噪声污染源对边界影响最大处，须按《工业企业厂界噪声测量方法》的规定，设置环境噪声监测点，并在该处附近醒目处设置环境保护图形标志牌。</w:t>
            </w:r>
          </w:p>
          <w:p w14:paraId="2B83DF7B">
            <w:pPr>
              <w:widowControl w:val="0"/>
              <w:tabs>
                <w:tab w:val="left" w:pos="1021"/>
              </w:tabs>
              <w:wordWrap w:val="0"/>
              <w:topLinePunct/>
              <w:adjustRightInd/>
              <w:snapToGrid/>
              <w:spacing w:line="360" w:lineRule="auto"/>
              <w:ind w:firstLine="480" w:firstLineChars="200"/>
              <w:jc w:val="both"/>
              <w:rPr>
                <w:rFonts w:ascii="Times New Roman" w:hAnsi="Times New Roman" w:eastAsia="宋体" w:cs="Times New Roman"/>
                <w:color w:val="auto"/>
                <w:kern w:val="0"/>
                <w:sz w:val="24"/>
                <w:szCs w:val="24"/>
                <w:highlight w:val="none"/>
                <w:u w:val="none"/>
                <w:lang w:val="en-US" w:eastAsia="zh-CN" w:bidi="ar-SA"/>
              </w:rPr>
            </w:pPr>
            <w:r>
              <w:rPr>
                <w:rFonts w:ascii="Times New Roman" w:hAnsi="Times New Roman" w:eastAsia="宋体" w:cs="Times New Roman"/>
                <w:color w:val="auto"/>
                <w:kern w:val="0"/>
                <w:sz w:val="24"/>
                <w:szCs w:val="24"/>
                <w:highlight w:val="none"/>
                <w:u w:val="none"/>
                <w:lang w:val="en-US" w:eastAsia="zh-CN" w:bidi="ar-SA"/>
              </w:rPr>
              <w:t>⑥建立排放口相应的监督管理档案，内容包括排污单位名称，排放口性质及编号，排放口的地理位置，排放的污染物种类、数量、浓度及排放去向，</w:t>
            </w:r>
            <w:r>
              <w:rPr>
                <w:rFonts w:hint="eastAsia" w:ascii="Times New Roman" w:hAnsi="Times New Roman" w:eastAsia="宋体" w:cs="Times New Roman"/>
                <w:color w:val="auto"/>
                <w:kern w:val="0"/>
                <w:sz w:val="24"/>
                <w:szCs w:val="24"/>
                <w:highlight w:val="none"/>
                <w:u w:val="none"/>
                <w:lang w:val="en-US" w:eastAsia="zh-CN" w:bidi="ar-SA"/>
              </w:rPr>
              <w:t>设备</w:t>
            </w:r>
            <w:r>
              <w:rPr>
                <w:rFonts w:ascii="Times New Roman" w:hAnsi="Times New Roman" w:eastAsia="宋体" w:cs="Times New Roman"/>
                <w:color w:val="auto"/>
                <w:kern w:val="0"/>
                <w:sz w:val="24"/>
                <w:szCs w:val="24"/>
                <w:highlight w:val="none"/>
                <w:u w:val="none"/>
                <w:lang w:val="en-US" w:eastAsia="zh-CN" w:bidi="ar-SA"/>
              </w:rPr>
              <w:t>运行情况及日常现场监督检查记录等有关资料和记录等。</w:t>
            </w:r>
          </w:p>
          <w:p w14:paraId="60CD03E4">
            <w:pPr>
              <w:widowControl w:val="0"/>
              <w:tabs>
                <w:tab w:val="left" w:pos="1021"/>
              </w:tabs>
              <w:wordWrap w:val="0"/>
              <w:topLinePunct/>
              <w:adjustRightInd/>
              <w:snapToGrid/>
              <w:spacing w:line="360" w:lineRule="auto"/>
              <w:ind w:firstLine="480" w:firstLineChars="200"/>
              <w:jc w:val="both"/>
              <w:rPr>
                <w:rFonts w:ascii="Times New Roman" w:hAnsi="Times New Roman" w:eastAsia="宋体" w:cs="Times New Roman"/>
                <w:color w:val="auto"/>
                <w:kern w:val="0"/>
                <w:sz w:val="24"/>
                <w:szCs w:val="24"/>
                <w:highlight w:val="none"/>
                <w:u w:val="none"/>
                <w:lang w:val="en-US" w:eastAsia="zh-CN" w:bidi="ar-SA"/>
              </w:rPr>
            </w:pPr>
            <w:r>
              <w:rPr>
                <w:rFonts w:ascii="Times New Roman" w:hAnsi="Times New Roman" w:eastAsia="宋体" w:cs="Times New Roman"/>
                <w:color w:val="auto"/>
                <w:kern w:val="0"/>
                <w:sz w:val="24"/>
                <w:szCs w:val="24"/>
                <w:highlight w:val="none"/>
                <w:u w:val="none"/>
                <w:lang w:val="en-US" w:eastAsia="zh-CN" w:bidi="ar-SA"/>
              </w:rPr>
              <w:fldChar w:fldCharType="begin"/>
            </w:r>
            <w:r>
              <w:rPr>
                <w:rFonts w:ascii="Times New Roman" w:hAnsi="Times New Roman" w:eastAsia="宋体" w:cs="Times New Roman"/>
                <w:color w:val="auto"/>
                <w:kern w:val="0"/>
                <w:sz w:val="24"/>
                <w:szCs w:val="24"/>
                <w:highlight w:val="none"/>
                <w:u w:val="none"/>
                <w:lang w:val="en-US" w:eastAsia="zh-CN" w:bidi="ar-SA"/>
              </w:rPr>
              <w:instrText xml:space="preserve"> = 7 \* GB3 \* MERGEFORMAT </w:instrText>
            </w:r>
            <w:r>
              <w:rPr>
                <w:rFonts w:ascii="Times New Roman" w:hAnsi="Times New Roman" w:eastAsia="宋体" w:cs="Times New Roman"/>
                <w:color w:val="auto"/>
                <w:kern w:val="0"/>
                <w:sz w:val="24"/>
                <w:szCs w:val="24"/>
                <w:highlight w:val="none"/>
                <w:u w:val="none"/>
                <w:lang w:val="en-US" w:eastAsia="zh-CN" w:bidi="ar-SA"/>
              </w:rPr>
              <w:fldChar w:fldCharType="separate"/>
            </w:r>
            <w:r>
              <w:rPr>
                <w:rFonts w:ascii="Times New Roman" w:hAnsi="Times New Roman" w:eastAsia="宋体" w:cs="Times New Roman"/>
                <w:color w:val="auto"/>
                <w:kern w:val="0"/>
                <w:sz w:val="24"/>
                <w:szCs w:val="24"/>
                <w:highlight w:val="none"/>
                <w:u w:val="none"/>
                <w:lang w:val="en-US" w:eastAsia="zh-CN" w:bidi="ar-SA"/>
              </w:rPr>
              <w:t>⑦</w:t>
            </w:r>
            <w:r>
              <w:rPr>
                <w:rFonts w:ascii="Times New Roman" w:hAnsi="Times New Roman" w:eastAsia="宋体" w:cs="Times New Roman"/>
                <w:color w:val="auto"/>
                <w:kern w:val="0"/>
                <w:sz w:val="24"/>
                <w:szCs w:val="24"/>
                <w:highlight w:val="none"/>
                <w:u w:val="none"/>
                <w:lang w:val="en-US" w:eastAsia="zh-CN" w:bidi="ar-SA"/>
              </w:rPr>
              <w:fldChar w:fldCharType="end"/>
            </w:r>
            <w:r>
              <w:rPr>
                <w:rFonts w:ascii="Times New Roman" w:hAnsi="Times New Roman" w:eastAsia="宋体" w:cs="Times New Roman"/>
                <w:color w:val="auto"/>
                <w:kern w:val="0"/>
                <w:sz w:val="24"/>
                <w:szCs w:val="24"/>
                <w:highlight w:val="none"/>
                <w:u w:val="none"/>
                <w:lang w:val="en-US" w:eastAsia="zh-CN" w:bidi="ar-SA"/>
              </w:rPr>
              <w:t>排污口应依照《环境保护图形标志排放口</w:t>
            </w:r>
            <w:r>
              <w:rPr>
                <w:rFonts w:hint="eastAsia" w:ascii="Times New Roman" w:hAnsi="Times New Roman" w:eastAsia="宋体" w:cs="Times New Roman"/>
                <w:color w:val="auto"/>
                <w:kern w:val="0"/>
                <w:sz w:val="24"/>
                <w:szCs w:val="24"/>
                <w:highlight w:val="none"/>
                <w:u w:val="none"/>
                <w:lang w:val="en-US" w:eastAsia="zh-CN" w:bidi="ar-SA"/>
              </w:rPr>
              <w:t>（</w:t>
            </w:r>
            <w:r>
              <w:rPr>
                <w:rFonts w:ascii="Times New Roman" w:hAnsi="Times New Roman" w:eastAsia="宋体" w:cs="Times New Roman"/>
                <w:color w:val="auto"/>
                <w:kern w:val="0"/>
                <w:sz w:val="24"/>
                <w:szCs w:val="24"/>
                <w:highlight w:val="none"/>
                <w:u w:val="none"/>
                <w:lang w:val="en-US" w:eastAsia="zh-CN" w:bidi="ar-SA"/>
              </w:rPr>
              <w:t>源</w:t>
            </w:r>
            <w:r>
              <w:rPr>
                <w:rFonts w:hint="eastAsia" w:ascii="Times New Roman" w:hAnsi="Times New Roman" w:eastAsia="宋体" w:cs="Times New Roman"/>
                <w:color w:val="auto"/>
                <w:kern w:val="0"/>
                <w:sz w:val="24"/>
                <w:szCs w:val="24"/>
                <w:highlight w:val="none"/>
                <w:u w:val="none"/>
                <w:lang w:val="en-US" w:eastAsia="zh-CN" w:bidi="ar-SA"/>
              </w:rPr>
              <w:t>）</w:t>
            </w:r>
            <w:r>
              <w:rPr>
                <w:rFonts w:ascii="Times New Roman" w:hAnsi="Times New Roman" w:eastAsia="宋体" w:cs="Times New Roman"/>
                <w:color w:val="auto"/>
                <w:kern w:val="0"/>
                <w:sz w:val="24"/>
                <w:szCs w:val="24"/>
                <w:highlight w:val="none"/>
                <w:u w:val="none"/>
                <w:lang w:val="en-US" w:eastAsia="zh-CN" w:bidi="ar-SA"/>
              </w:rPr>
              <w:t>》(GB15563.1-1995)设置专项图标，详见下表</w:t>
            </w:r>
            <w:r>
              <w:rPr>
                <w:rFonts w:hint="eastAsia" w:ascii="Times New Roman" w:hAnsi="Times New Roman" w:eastAsia="宋体" w:cs="Times New Roman"/>
                <w:color w:val="auto"/>
                <w:kern w:val="0"/>
                <w:sz w:val="24"/>
                <w:szCs w:val="24"/>
                <w:highlight w:val="none"/>
                <w:u w:val="none"/>
                <w:lang w:val="en-US" w:eastAsia="zh-CN" w:bidi="ar-SA"/>
              </w:rPr>
              <w:t>：</w:t>
            </w:r>
          </w:p>
          <w:p w14:paraId="3A283733">
            <w:pPr>
              <w:adjustRightInd w:val="0"/>
              <w:snapToGrid w:val="0"/>
              <w:jc w:val="center"/>
              <w:rPr>
                <w:rFonts w:ascii="Times New Roman" w:hAnsi="Times New Roman" w:eastAsia="宋体" w:cs="Times New Roman"/>
                <w:b/>
                <w:bCs/>
                <w:color w:val="auto"/>
                <w:szCs w:val="21"/>
                <w:highlight w:val="none"/>
                <w:u w:val="none"/>
              </w:rPr>
            </w:pPr>
            <w:r>
              <w:rPr>
                <w:rFonts w:ascii="Times New Roman" w:hAnsi="Times New Roman" w:eastAsia="宋体" w:cs="Times New Roman"/>
                <w:b/>
                <w:bCs/>
                <w:color w:val="auto"/>
                <w:szCs w:val="21"/>
                <w:highlight w:val="none"/>
                <w:u w:val="none"/>
              </w:rPr>
              <w:t>表</w:t>
            </w:r>
            <w:r>
              <w:rPr>
                <w:rFonts w:hint="eastAsia" w:ascii="Times New Roman" w:hAnsi="Times New Roman" w:eastAsia="宋体" w:cs="Times New Roman"/>
                <w:b/>
                <w:bCs/>
                <w:color w:val="auto"/>
                <w:szCs w:val="21"/>
                <w:highlight w:val="none"/>
                <w:u w:val="none"/>
              </w:rPr>
              <w:t>4-2</w:t>
            </w:r>
            <w:r>
              <w:rPr>
                <w:rFonts w:hint="eastAsia" w:cs="Times New Roman"/>
                <w:b/>
                <w:bCs/>
                <w:color w:val="auto"/>
                <w:szCs w:val="21"/>
                <w:highlight w:val="none"/>
                <w:u w:val="none"/>
                <w:lang w:val="en-US" w:eastAsia="zh-CN"/>
              </w:rPr>
              <w:t>4</w:t>
            </w:r>
            <w:r>
              <w:rPr>
                <w:rFonts w:ascii="Times New Roman" w:hAnsi="Times New Roman" w:eastAsia="宋体" w:cs="Times New Roman"/>
                <w:b/>
                <w:bCs/>
                <w:color w:val="auto"/>
                <w:szCs w:val="21"/>
                <w:highlight w:val="none"/>
                <w:u w:val="none"/>
              </w:rPr>
              <w:t xml:space="preserve">  环境保护图形标志的形状及颜色</w:t>
            </w:r>
          </w:p>
          <w:tbl>
            <w:tblPr>
              <w:tblStyle w:val="34"/>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72"/>
              <w:gridCol w:w="1942"/>
              <w:gridCol w:w="1928"/>
              <w:gridCol w:w="2254"/>
            </w:tblGrid>
            <w:tr w14:paraId="1FE935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70" w:type="pct"/>
                  <w:tcBorders>
                    <w:tl2br w:val="nil"/>
                    <w:tr2bl w:val="nil"/>
                  </w:tcBorders>
                </w:tcPr>
                <w:p w14:paraId="2C0477FE">
                  <w:pPr>
                    <w:adjustRightInd w:val="0"/>
                    <w:snapToGrid w:val="0"/>
                    <w:jc w:val="center"/>
                    <w:rPr>
                      <w:rFonts w:ascii="Times New Roman" w:hAnsi="Times New Roman" w:eastAsia="宋体" w:cs="Times New Roman"/>
                      <w:b/>
                      <w:bCs/>
                      <w:color w:val="auto"/>
                      <w:sz w:val="21"/>
                      <w:szCs w:val="21"/>
                      <w:highlight w:val="none"/>
                      <w:u w:val="none"/>
                    </w:rPr>
                  </w:pPr>
                  <w:r>
                    <w:rPr>
                      <w:rFonts w:hint="eastAsia" w:ascii="Times New Roman" w:hAnsi="Times New Roman" w:eastAsia="宋体" w:cs="Times New Roman"/>
                      <w:b/>
                      <w:bCs/>
                      <w:color w:val="auto"/>
                      <w:sz w:val="21"/>
                      <w:szCs w:val="21"/>
                      <w:highlight w:val="none"/>
                      <w:u w:val="none"/>
                    </w:rPr>
                    <w:t>标注名称</w:t>
                  </w:r>
                </w:p>
              </w:tc>
              <w:tc>
                <w:tcPr>
                  <w:tcW w:w="1214" w:type="pct"/>
                  <w:tcBorders>
                    <w:tl2br w:val="nil"/>
                    <w:tr2bl w:val="nil"/>
                  </w:tcBorders>
                </w:tcPr>
                <w:p w14:paraId="0AC53A7D">
                  <w:pPr>
                    <w:adjustRightInd w:val="0"/>
                    <w:snapToGrid w:val="0"/>
                    <w:jc w:val="center"/>
                    <w:rPr>
                      <w:rFonts w:ascii="Times New Roman" w:hAnsi="Times New Roman" w:eastAsia="宋体" w:cs="Times New Roman"/>
                      <w:b/>
                      <w:bCs/>
                      <w:color w:val="auto"/>
                      <w:sz w:val="21"/>
                      <w:szCs w:val="21"/>
                      <w:highlight w:val="none"/>
                      <w:u w:val="none"/>
                    </w:rPr>
                  </w:pPr>
                  <w:r>
                    <w:rPr>
                      <w:rFonts w:hint="eastAsia" w:ascii="Times New Roman" w:hAnsi="Times New Roman" w:eastAsia="宋体" w:cs="Times New Roman"/>
                      <w:b/>
                      <w:bCs/>
                      <w:color w:val="auto"/>
                      <w:sz w:val="21"/>
                      <w:szCs w:val="21"/>
                      <w:highlight w:val="none"/>
                      <w:u w:val="none"/>
                    </w:rPr>
                    <w:t>形状</w:t>
                  </w:r>
                </w:p>
              </w:tc>
              <w:tc>
                <w:tcPr>
                  <w:tcW w:w="1205" w:type="pct"/>
                  <w:tcBorders>
                    <w:tl2br w:val="nil"/>
                    <w:tr2bl w:val="nil"/>
                  </w:tcBorders>
                </w:tcPr>
                <w:p w14:paraId="5CC540B5">
                  <w:pPr>
                    <w:adjustRightInd w:val="0"/>
                    <w:snapToGrid w:val="0"/>
                    <w:jc w:val="center"/>
                    <w:rPr>
                      <w:rFonts w:ascii="Times New Roman" w:hAnsi="Times New Roman" w:eastAsia="宋体" w:cs="Times New Roman"/>
                      <w:b/>
                      <w:bCs/>
                      <w:color w:val="auto"/>
                      <w:sz w:val="21"/>
                      <w:szCs w:val="21"/>
                      <w:highlight w:val="none"/>
                      <w:u w:val="none"/>
                    </w:rPr>
                  </w:pPr>
                  <w:r>
                    <w:rPr>
                      <w:rFonts w:hint="eastAsia" w:ascii="Times New Roman" w:hAnsi="Times New Roman" w:eastAsia="宋体" w:cs="Times New Roman"/>
                      <w:b/>
                      <w:bCs/>
                      <w:color w:val="auto"/>
                      <w:sz w:val="21"/>
                      <w:szCs w:val="21"/>
                      <w:highlight w:val="none"/>
                      <w:u w:val="none"/>
                    </w:rPr>
                    <w:t>背景颜色</w:t>
                  </w:r>
                </w:p>
              </w:tc>
              <w:tc>
                <w:tcPr>
                  <w:tcW w:w="1409" w:type="pct"/>
                  <w:tcBorders>
                    <w:tl2br w:val="nil"/>
                    <w:tr2bl w:val="nil"/>
                  </w:tcBorders>
                </w:tcPr>
                <w:p w14:paraId="54AFE89D">
                  <w:pPr>
                    <w:adjustRightInd w:val="0"/>
                    <w:snapToGrid w:val="0"/>
                    <w:jc w:val="center"/>
                    <w:rPr>
                      <w:rFonts w:ascii="Times New Roman" w:hAnsi="Times New Roman" w:eastAsia="宋体" w:cs="Times New Roman"/>
                      <w:b/>
                      <w:bCs/>
                      <w:color w:val="auto"/>
                      <w:sz w:val="21"/>
                      <w:szCs w:val="21"/>
                      <w:highlight w:val="none"/>
                      <w:u w:val="none"/>
                    </w:rPr>
                  </w:pPr>
                  <w:r>
                    <w:rPr>
                      <w:rFonts w:hint="eastAsia" w:ascii="Times New Roman" w:hAnsi="Times New Roman" w:eastAsia="宋体" w:cs="Times New Roman"/>
                      <w:b/>
                      <w:bCs/>
                      <w:color w:val="auto"/>
                      <w:sz w:val="21"/>
                      <w:szCs w:val="21"/>
                      <w:highlight w:val="none"/>
                      <w:u w:val="none"/>
                    </w:rPr>
                    <w:t>图形颜色</w:t>
                  </w:r>
                </w:p>
              </w:tc>
            </w:tr>
            <w:tr w14:paraId="70AAE5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70" w:type="pct"/>
                  <w:tcBorders>
                    <w:tl2br w:val="nil"/>
                    <w:tr2bl w:val="nil"/>
                  </w:tcBorders>
                  <w:vAlign w:val="center"/>
                </w:tcPr>
                <w:p w14:paraId="6AC5F5F3">
                  <w:pPr>
                    <w:jc w:val="center"/>
                    <w:rPr>
                      <w:rFonts w:ascii="Times New Roman" w:hAnsi="Times New Roman" w:eastAsia="宋体" w:cs="Times New Roman"/>
                      <w:color w:val="auto"/>
                      <w:sz w:val="21"/>
                      <w:szCs w:val="21"/>
                      <w:highlight w:val="none"/>
                      <w:u w:val="none"/>
                    </w:rPr>
                  </w:pPr>
                  <w:r>
                    <w:rPr>
                      <w:rFonts w:ascii="宋体" w:hAnsi="宋体" w:eastAsia="宋体" w:cs="宋体"/>
                      <w:color w:val="auto"/>
                      <w:spacing w:val="6"/>
                      <w:sz w:val="21"/>
                      <w:szCs w:val="21"/>
                      <w:highlight w:val="none"/>
                      <w:u w:val="none"/>
                    </w:rPr>
                    <w:t>警告标识</w:t>
                  </w:r>
                </w:p>
              </w:tc>
              <w:tc>
                <w:tcPr>
                  <w:tcW w:w="1214" w:type="pct"/>
                  <w:tcBorders>
                    <w:tl2br w:val="nil"/>
                    <w:tr2bl w:val="nil"/>
                  </w:tcBorders>
                  <w:vAlign w:val="center"/>
                </w:tcPr>
                <w:p w14:paraId="5DFEEBB0">
                  <w:pPr>
                    <w:jc w:val="center"/>
                    <w:rPr>
                      <w:rFonts w:ascii="Times New Roman" w:hAnsi="Times New Roman" w:eastAsia="宋体" w:cs="Times New Roman"/>
                      <w:color w:val="auto"/>
                      <w:sz w:val="21"/>
                      <w:szCs w:val="21"/>
                      <w:highlight w:val="none"/>
                      <w:u w:val="none"/>
                    </w:rPr>
                  </w:pPr>
                  <w:r>
                    <w:rPr>
                      <w:rFonts w:ascii="宋体" w:hAnsi="宋体" w:eastAsia="宋体" w:cs="宋体"/>
                      <w:color w:val="auto"/>
                      <w:spacing w:val="8"/>
                      <w:sz w:val="21"/>
                      <w:szCs w:val="21"/>
                      <w:highlight w:val="none"/>
                      <w:u w:val="none"/>
                    </w:rPr>
                    <w:t>三角形边框</w:t>
                  </w:r>
                </w:p>
              </w:tc>
              <w:tc>
                <w:tcPr>
                  <w:tcW w:w="1205" w:type="pct"/>
                  <w:tcBorders>
                    <w:tl2br w:val="nil"/>
                    <w:tr2bl w:val="nil"/>
                  </w:tcBorders>
                  <w:vAlign w:val="center"/>
                </w:tcPr>
                <w:p w14:paraId="214E2DBF">
                  <w:pPr>
                    <w:jc w:val="center"/>
                    <w:rPr>
                      <w:rFonts w:ascii="Times New Roman" w:hAnsi="Times New Roman" w:eastAsia="宋体" w:cs="Times New Roman"/>
                      <w:color w:val="auto"/>
                      <w:sz w:val="21"/>
                      <w:szCs w:val="21"/>
                      <w:highlight w:val="none"/>
                      <w:u w:val="none"/>
                    </w:rPr>
                  </w:pPr>
                  <w:r>
                    <w:rPr>
                      <w:rFonts w:ascii="宋体" w:hAnsi="宋体" w:eastAsia="宋体" w:cs="宋体"/>
                      <w:color w:val="auto"/>
                      <w:spacing w:val="5"/>
                      <w:sz w:val="21"/>
                      <w:szCs w:val="21"/>
                      <w:highlight w:val="none"/>
                      <w:u w:val="none"/>
                    </w:rPr>
                    <w:t>黄色</w:t>
                  </w:r>
                </w:p>
              </w:tc>
              <w:tc>
                <w:tcPr>
                  <w:tcW w:w="1409" w:type="pct"/>
                  <w:tcBorders>
                    <w:tl2br w:val="nil"/>
                    <w:tr2bl w:val="nil"/>
                  </w:tcBorders>
                  <w:vAlign w:val="center"/>
                </w:tcPr>
                <w:p w14:paraId="582F84A9">
                  <w:pPr>
                    <w:jc w:val="center"/>
                    <w:rPr>
                      <w:rFonts w:ascii="Times New Roman" w:hAnsi="Times New Roman" w:eastAsia="宋体" w:cs="Times New Roman"/>
                      <w:color w:val="auto"/>
                      <w:sz w:val="21"/>
                      <w:szCs w:val="21"/>
                      <w:highlight w:val="none"/>
                      <w:u w:val="none"/>
                    </w:rPr>
                  </w:pPr>
                  <w:r>
                    <w:rPr>
                      <w:rFonts w:ascii="宋体" w:hAnsi="宋体" w:eastAsia="宋体" w:cs="宋体"/>
                      <w:color w:val="auto"/>
                      <w:spacing w:val="2"/>
                      <w:sz w:val="21"/>
                      <w:szCs w:val="21"/>
                      <w:highlight w:val="none"/>
                      <w:u w:val="none"/>
                    </w:rPr>
                    <w:t>黑色</w:t>
                  </w:r>
                </w:p>
              </w:tc>
            </w:tr>
            <w:tr w14:paraId="6A282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70" w:type="pct"/>
                  <w:tcBorders>
                    <w:tl2br w:val="nil"/>
                    <w:tr2bl w:val="nil"/>
                  </w:tcBorders>
                  <w:vAlign w:val="center"/>
                </w:tcPr>
                <w:p w14:paraId="69FCB508">
                  <w:pPr>
                    <w:jc w:val="center"/>
                    <w:rPr>
                      <w:rFonts w:ascii="Times New Roman" w:hAnsi="Times New Roman" w:eastAsia="宋体" w:cs="Times New Roman"/>
                      <w:color w:val="auto"/>
                      <w:sz w:val="21"/>
                      <w:szCs w:val="21"/>
                      <w:highlight w:val="none"/>
                      <w:u w:val="none"/>
                    </w:rPr>
                  </w:pPr>
                  <w:r>
                    <w:rPr>
                      <w:rFonts w:ascii="宋体" w:hAnsi="宋体" w:eastAsia="宋体" w:cs="宋体"/>
                      <w:color w:val="auto"/>
                      <w:spacing w:val="7"/>
                      <w:sz w:val="21"/>
                      <w:szCs w:val="21"/>
                      <w:highlight w:val="none"/>
                      <w:u w:val="none"/>
                    </w:rPr>
                    <w:t>提示标志</w:t>
                  </w:r>
                </w:p>
              </w:tc>
              <w:tc>
                <w:tcPr>
                  <w:tcW w:w="1214" w:type="pct"/>
                  <w:tcBorders>
                    <w:tl2br w:val="nil"/>
                    <w:tr2bl w:val="nil"/>
                  </w:tcBorders>
                  <w:vAlign w:val="center"/>
                </w:tcPr>
                <w:p w14:paraId="3981B03D">
                  <w:pPr>
                    <w:jc w:val="center"/>
                    <w:rPr>
                      <w:rFonts w:ascii="Times New Roman" w:hAnsi="Times New Roman" w:eastAsia="宋体" w:cs="Times New Roman"/>
                      <w:color w:val="auto"/>
                      <w:sz w:val="21"/>
                      <w:szCs w:val="21"/>
                      <w:highlight w:val="none"/>
                      <w:u w:val="none"/>
                    </w:rPr>
                  </w:pPr>
                  <w:r>
                    <w:rPr>
                      <w:rFonts w:ascii="宋体" w:hAnsi="宋体" w:eastAsia="宋体" w:cs="宋体"/>
                      <w:color w:val="auto"/>
                      <w:spacing w:val="7"/>
                      <w:sz w:val="21"/>
                      <w:szCs w:val="21"/>
                      <w:highlight w:val="none"/>
                      <w:u w:val="none"/>
                    </w:rPr>
                    <w:t>正方形边框</w:t>
                  </w:r>
                </w:p>
              </w:tc>
              <w:tc>
                <w:tcPr>
                  <w:tcW w:w="1205" w:type="pct"/>
                  <w:tcBorders>
                    <w:tl2br w:val="nil"/>
                    <w:tr2bl w:val="nil"/>
                  </w:tcBorders>
                  <w:vAlign w:val="center"/>
                </w:tcPr>
                <w:p w14:paraId="092CF2AB">
                  <w:pPr>
                    <w:jc w:val="center"/>
                    <w:rPr>
                      <w:rFonts w:ascii="Times New Roman" w:hAnsi="Times New Roman" w:eastAsia="宋体" w:cs="Times New Roman"/>
                      <w:color w:val="auto"/>
                      <w:sz w:val="21"/>
                      <w:szCs w:val="21"/>
                      <w:highlight w:val="none"/>
                      <w:u w:val="none"/>
                    </w:rPr>
                  </w:pPr>
                  <w:r>
                    <w:rPr>
                      <w:rFonts w:ascii="宋体" w:hAnsi="宋体" w:eastAsia="宋体" w:cs="宋体"/>
                      <w:color w:val="auto"/>
                      <w:spacing w:val="3"/>
                      <w:sz w:val="21"/>
                      <w:szCs w:val="21"/>
                      <w:highlight w:val="none"/>
                      <w:u w:val="none"/>
                    </w:rPr>
                    <w:t>绿色</w:t>
                  </w:r>
                </w:p>
              </w:tc>
              <w:tc>
                <w:tcPr>
                  <w:tcW w:w="1409" w:type="pct"/>
                  <w:tcBorders>
                    <w:tl2br w:val="nil"/>
                    <w:tr2bl w:val="nil"/>
                  </w:tcBorders>
                  <w:vAlign w:val="center"/>
                </w:tcPr>
                <w:p w14:paraId="09273F2D">
                  <w:pPr>
                    <w:jc w:val="center"/>
                    <w:rPr>
                      <w:rFonts w:ascii="Times New Roman" w:hAnsi="Times New Roman" w:eastAsia="宋体" w:cs="Times New Roman"/>
                      <w:color w:val="auto"/>
                      <w:sz w:val="21"/>
                      <w:szCs w:val="21"/>
                      <w:highlight w:val="none"/>
                      <w:u w:val="none"/>
                    </w:rPr>
                  </w:pPr>
                  <w:r>
                    <w:rPr>
                      <w:rFonts w:ascii="宋体" w:hAnsi="宋体" w:eastAsia="宋体" w:cs="宋体"/>
                      <w:color w:val="auto"/>
                      <w:spacing w:val="-11"/>
                      <w:sz w:val="21"/>
                      <w:szCs w:val="21"/>
                      <w:highlight w:val="none"/>
                      <w:u w:val="none"/>
                    </w:rPr>
                    <w:t>白色</w:t>
                  </w:r>
                </w:p>
              </w:tc>
            </w:tr>
          </w:tbl>
          <w:p w14:paraId="5A84866F">
            <w:pPr>
              <w:jc w:val="center"/>
              <w:rPr>
                <w:rFonts w:ascii="Times New Roman" w:hAnsi="Times New Roman" w:eastAsia="宋体" w:cs="Times New Roman"/>
                <w:b/>
                <w:bCs/>
                <w:color w:val="auto"/>
                <w:szCs w:val="21"/>
                <w:highlight w:val="none"/>
                <w:u w:val="none"/>
              </w:rPr>
            </w:pPr>
            <w:r>
              <w:rPr>
                <w:rFonts w:hint="eastAsia" w:ascii="Times New Roman" w:hAnsi="Times New Roman" w:eastAsia="宋体" w:cs="Times New Roman"/>
                <w:b/>
                <w:bCs/>
                <w:color w:val="auto"/>
                <w:szCs w:val="21"/>
                <w:highlight w:val="none"/>
                <w:u w:val="none"/>
              </w:rPr>
              <w:t>表4-2</w:t>
            </w:r>
            <w:r>
              <w:rPr>
                <w:rFonts w:hint="eastAsia" w:cs="Times New Roman"/>
                <w:b/>
                <w:bCs/>
                <w:color w:val="auto"/>
                <w:szCs w:val="21"/>
                <w:highlight w:val="none"/>
                <w:u w:val="none"/>
                <w:lang w:val="en-US" w:eastAsia="zh-CN"/>
              </w:rPr>
              <w:t>5</w:t>
            </w:r>
            <w:r>
              <w:rPr>
                <w:rFonts w:hint="eastAsia" w:ascii="Times New Roman" w:hAnsi="Times New Roman" w:eastAsia="宋体" w:cs="Times New Roman"/>
                <w:b/>
                <w:bCs/>
                <w:color w:val="auto"/>
                <w:szCs w:val="21"/>
                <w:highlight w:val="none"/>
                <w:u w:val="none"/>
              </w:rPr>
              <w:t xml:space="preserve">  排污口规范化图标示意图</w:t>
            </w:r>
          </w:p>
          <w:tbl>
            <w:tblPr>
              <w:tblStyle w:val="34"/>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885"/>
              <w:gridCol w:w="1091"/>
              <w:gridCol w:w="1003"/>
              <w:gridCol w:w="913"/>
              <w:gridCol w:w="1149"/>
              <w:gridCol w:w="2051"/>
            </w:tblGrid>
            <w:tr w14:paraId="5A6DA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64" w:type="pct"/>
                  <w:tcBorders>
                    <w:tl2br w:val="nil"/>
                    <w:tr2bl w:val="nil"/>
                  </w:tcBorders>
                  <w:vAlign w:val="center"/>
                </w:tcPr>
                <w:p w14:paraId="49CE61F2">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b/>
                      <w:bCs/>
                      <w:color w:val="auto"/>
                      <w:spacing w:val="6"/>
                      <w:szCs w:val="21"/>
                      <w:highlight w:val="none"/>
                      <w:u w:val="none"/>
                      <w:lang w:eastAsia="en-US"/>
                    </w:rPr>
                    <w:t>排放口编号</w:t>
                  </w:r>
                </w:p>
              </w:tc>
              <w:tc>
                <w:tcPr>
                  <w:tcW w:w="553" w:type="pct"/>
                  <w:tcBorders>
                    <w:tl2br w:val="nil"/>
                    <w:tr2bl w:val="nil"/>
                  </w:tcBorders>
                  <w:vAlign w:val="center"/>
                </w:tcPr>
                <w:p w14:paraId="2FA15CBE">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b/>
                      <w:bCs/>
                      <w:color w:val="auto"/>
                      <w:spacing w:val="3"/>
                      <w:szCs w:val="21"/>
                      <w:highlight w:val="none"/>
                      <w:u w:val="none"/>
                      <w:lang w:eastAsia="en-US"/>
                    </w:rPr>
                    <w:t>编号</w:t>
                  </w:r>
                </w:p>
              </w:tc>
              <w:tc>
                <w:tcPr>
                  <w:tcW w:w="682" w:type="pct"/>
                  <w:tcBorders>
                    <w:tl2br w:val="nil"/>
                    <w:tr2bl w:val="nil"/>
                  </w:tcBorders>
                  <w:vAlign w:val="center"/>
                </w:tcPr>
                <w:p w14:paraId="16D1014F">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b/>
                      <w:bCs/>
                      <w:color w:val="auto"/>
                      <w:spacing w:val="1"/>
                      <w:szCs w:val="21"/>
                      <w:highlight w:val="none"/>
                      <w:u w:val="none"/>
                      <w:lang w:eastAsia="en-US"/>
                    </w:rPr>
                    <w:t>图形标志</w:t>
                  </w:r>
                </w:p>
              </w:tc>
              <w:tc>
                <w:tcPr>
                  <w:tcW w:w="627" w:type="pct"/>
                  <w:tcBorders>
                    <w:tl2br w:val="nil"/>
                    <w:tr2bl w:val="nil"/>
                  </w:tcBorders>
                  <w:vAlign w:val="center"/>
                </w:tcPr>
                <w:p w14:paraId="12574956">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b/>
                      <w:bCs/>
                      <w:color w:val="auto"/>
                      <w:spacing w:val="2"/>
                      <w:szCs w:val="21"/>
                      <w:highlight w:val="none"/>
                      <w:u w:val="none"/>
                      <w:lang w:eastAsia="en-US"/>
                    </w:rPr>
                    <w:t>形状</w:t>
                  </w:r>
                </w:p>
              </w:tc>
              <w:tc>
                <w:tcPr>
                  <w:tcW w:w="571" w:type="pct"/>
                  <w:tcBorders>
                    <w:tl2br w:val="nil"/>
                    <w:tr2bl w:val="nil"/>
                  </w:tcBorders>
                  <w:vAlign w:val="center"/>
                </w:tcPr>
                <w:p w14:paraId="525BE255">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b/>
                      <w:bCs/>
                      <w:color w:val="auto"/>
                      <w:spacing w:val="2"/>
                      <w:szCs w:val="21"/>
                      <w:highlight w:val="none"/>
                      <w:u w:val="none"/>
                      <w:lang w:eastAsia="en-US"/>
                    </w:rPr>
                    <w:t>背景</w:t>
                  </w:r>
                  <w:r>
                    <w:rPr>
                      <w:rFonts w:ascii="Times New Roman" w:hAnsi="Times New Roman" w:eastAsia="宋体" w:cs="Times New Roman"/>
                      <w:b/>
                      <w:bCs/>
                      <w:color w:val="auto"/>
                      <w:spacing w:val="4"/>
                      <w:szCs w:val="21"/>
                      <w:highlight w:val="none"/>
                      <w:u w:val="none"/>
                      <w:lang w:eastAsia="en-US"/>
                    </w:rPr>
                    <w:t>颜色</w:t>
                  </w:r>
                </w:p>
              </w:tc>
              <w:tc>
                <w:tcPr>
                  <w:tcW w:w="718" w:type="pct"/>
                  <w:tcBorders>
                    <w:tl2br w:val="nil"/>
                    <w:tr2bl w:val="nil"/>
                  </w:tcBorders>
                  <w:vAlign w:val="center"/>
                </w:tcPr>
                <w:p w14:paraId="46830717">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b/>
                      <w:bCs/>
                      <w:color w:val="auto"/>
                      <w:spacing w:val="1"/>
                      <w:szCs w:val="21"/>
                      <w:highlight w:val="none"/>
                      <w:u w:val="none"/>
                      <w:lang w:eastAsia="en-US"/>
                    </w:rPr>
                    <w:t>图形颜色</w:t>
                  </w:r>
                </w:p>
              </w:tc>
              <w:tc>
                <w:tcPr>
                  <w:tcW w:w="1282" w:type="pct"/>
                  <w:tcBorders>
                    <w:tl2br w:val="nil"/>
                    <w:tr2bl w:val="nil"/>
                  </w:tcBorders>
                  <w:vAlign w:val="center"/>
                </w:tcPr>
                <w:p w14:paraId="64349B5B">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b/>
                      <w:bCs/>
                      <w:color w:val="auto"/>
                      <w:spacing w:val="1"/>
                      <w:szCs w:val="21"/>
                      <w:highlight w:val="none"/>
                      <w:u w:val="none"/>
                      <w:lang w:eastAsia="en-US"/>
                    </w:rPr>
                    <w:t>图形符号</w:t>
                  </w:r>
                </w:p>
              </w:tc>
            </w:tr>
            <w:tr w14:paraId="0AB55D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64" w:type="pct"/>
                  <w:tcBorders>
                    <w:tl2br w:val="nil"/>
                    <w:tr2bl w:val="nil"/>
                  </w:tcBorders>
                  <w:vAlign w:val="center"/>
                </w:tcPr>
                <w:p w14:paraId="762E5FCB">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2"/>
                      <w:szCs w:val="21"/>
                      <w:highlight w:val="none"/>
                      <w:u w:val="none"/>
                      <w:lang w:eastAsia="en-US"/>
                    </w:rPr>
                    <w:t>废气排放口</w:t>
                  </w:r>
                </w:p>
              </w:tc>
              <w:tc>
                <w:tcPr>
                  <w:tcW w:w="553" w:type="pct"/>
                  <w:tcBorders>
                    <w:tl2br w:val="nil"/>
                    <w:tr2bl w:val="nil"/>
                  </w:tcBorders>
                  <w:vAlign w:val="center"/>
                </w:tcPr>
                <w:p w14:paraId="46A733B3">
                  <w:pPr>
                    <w:jc w:val="center"/>
                    <w:rPr>
                      <w:rFonts w:ascii="Times New Roman" w:hAnsi="Times New Roman" w:eastAsia="宋体" w:cs="Times New Roman"/>
                      <w:color w:val="auto"/>
                      <w:szCs w:val="21"/>
                      <w:highlight w:val="none"/>
                      <w:u w:val="none"/>
                    </w:rPr>
                  </w:pPr>
                  <w:r>
                    <w:rPr>
                      <w:rFonts w:hint="eastAsia" w:ascii="Times New Roman" w:hAnsi="Times New Roman" w:eastAsia="宋体" w:cs="Times New Roman"/>
                      <w:color w:val="auto"/>
                      <w:spacing w:val="-1"/>
                      <w:szCs w:val="21"/>
                      <w:highlight w:val="none"/>
                      <w:u w:val="none"/>
                    </w:rPr>
                    <w:t>DA001</w:t>
                  </w:r>
                </w:p>
              </w:tc>
              <w:tc>
                <w:tcPr>
                  <w:tcW w:w="682" w:type="pct"/>
                  <w:tcBorders>
                    <w:tl2br w:val="nil"/>
                    <w:tr2bl w:val="nil"/>
                  </w:tcBorders>
                  <w:vAlign w:val="center"/>
                </w:tcPr>
                <w:p w14:paraId="4C97CAEC">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4"/>
                      <w:szCs w:val="21"/>
                      <w:highlight w:val="none"/>
                      <w:u w:val="none"/>
                      <w:lang w:eastAsia="en-US"/>
                    </w:rPr>
                    <w:t>提示标</w:t>
                  </w:r>
                  <w:r>
                    <w:rPr>
                      <w:rFonts w:ascii="Times New Roman" w:hAnsi="Times New Roman" w:eastAsia="宋体" w:cs="Times New Roman"/>
                      <w:color w:val="auto"/>
                      <w:szCs w:val="21"/>
                      <w:highlight w:val="none"/>
                      <w:u w:val="none"/>
                      <w:lang w:eastAsia="en-US"/>
                    </w:rPr>
                    <w:t>志</w:t>
                  </w:r>
                </w:p>
              </w:tc>
              <w:tc>
                <w:tcPr>
                  <w:tcW w:w="627" w:type="pct"/>
                  <w:tcBorders>
                    <w:tl2br w:val="nil"/>
                    <w:tr2bl w:val="nil"/>
                  </w:tcBorders>
                  <w:vAlign w:val="center"/>
                </w:tcPr>
                <w:p w14:paraId="12942F83">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5"/>
                      <w:szCs w:val="21"/>
                      <w:highlight w:val="none"/>
                      <w:u w:val="none"/>
                      <w:lang w:eastAsia="en-US"/>
                    </w:rPr>
                    <w:t>正方形</w:t>
                  </w:r>
                  <w:r>
                    <w:rPr>
                      <w:rFonts w:ascii="Times New Roman" w:hAnsi="Times New Roman" w:eastAsia="宋体" w:cs="Times New Roman"/>
                      <w:color w:val="auto"/>
                      <w:spacing w:val="-3"/>
                      <w:szCs w:val="21"/>
                      <w:highlight w:val="none"/>
                      <w:u w:val="none"/>
                      <w:lang w:eastAsia="en-US"/>
                    </w:rPr>
                    <w:t>边框</w:t>
                  </w:r>
                </w:p>
              </w:tc>
              <w:tc>
                <w:tcPr>
                  <w:tcW w:w="571" w:type="pct"/>
                  <w:tcBorders>
                    <w:tl2br w:val="nil"/>
                    <w:tr2bl w:val="nil"/>
                  </w:tcBorders>
                  <w:vAlign w:val="center"/>
                </w:tcPr>
                <w:p w14:paraId="7AEF750C">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5"/>
                      <w:szCs w:val="21"/>
                      <w:highlight w:val="none"/>
                      <w:u w:val="none"/>
                      <w:lang w:eastAsia="en-US"/>
                    </w:rPr>
                    <w:t>绿色</w:t>
                  </w:r>
                </w:p>
              </w:tc>
              <w:tc>
                <w:tcPr>
                  <w:tcW w:w="718" w:type="pct"/>
                  <w:tcBorders>
                    <w:tl2br w:val="nil"/>
                    <w:tr2bl w:val="nil"/>
                  </w:tcBorders>
                  <w:vAlign w:val="center"/>
                </w:tcPr>
                <w:p w14:paraId="2598CDCC">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20"/>
                      <w:szCs w:val="21"/>
                      <w:highlight w:val="none"/>
                      <w:u w:val="none"/>
                      <w:lang w:eastAsia="en-US"/>
                    </w:rPr>
                    <w:t>白色</w:t>
                  </w:r>
                </w:p>
              </w:tc>
              <w:tc>
                <w:tcPr>
                  <w:tcW w:w="1282" w:type="pct"/>
                  <w:tcBorders>
                    <w:tl2br w:val="nil"/>
                    <w:tr2bl w:val="nil"/>
                  </w:tcBorders>
                  <w:vAlign w:val="center"/>
                </w:tcPr>
                <w:p w14:paraId="11C0A8F7">
                  <w:pPr>
                    <w:jc w:val="center"/>
                    <w:rPr>
                      <w:rFonts w:ascii="Times New Roman" w:hAnsi="Times New Roman" w:eastAsia="宋体" w:cs="Times New Roman"/>
                      <w:color w:val="auto"/>
                      <w:szCs w:val="21"/>
                      <w:highlight w:val="none"/>
                      <w:u w:val="none"/>
                    </w:rPr>
                  </w:pPr>
                  <w:r>
                    <w:rPr>
                      <w:rFonts w:ascii="Times New Roman" w:hAnsi="Times New Roman" w:eastAsia="宋体" w:cs="Times New Roman"/>
                      <w:color w:val="auto"/>
                      <w:position w:val="-22"/>
                      <w:szCs w:val="21"/>
                      <w:highlight w:val="none"/>
                      <w:u w:val="none"/>
                    </w:rPr>
                    <w:drawing>
                      <wp:inline distT="0" distB="0" distL="114300" distR="114300">
                        <wp:extent cx="1136650" cy="720725"/>
                        <wp:effectExtent l="0" t="0" r="6350" b="3175"/>
                        <wp:docPr id="86" name="图片 7"/>
                        <wp:cNvGraphicFramePr/>
                        <a:graphic xmlns:a="http://schemas.openxmlformats.org/drawingml/2006/main">
                          <a:graphicData uri="http://schemas.openxmlformats.org/drawingml/2006/picture">
                            <pic:pic xmlns:pic="http://schemas.openxmlformats.org/drawingml/2006/picture">
                              <pic:nvPicPr>
                                <pic:cNvPr id="86" name="图片 7"/>
                                <pic:cNvPicPr/>
                              </pic:nvPicPr>
                              <pic:blipFill>
                                <a:blip r:embed="rId15"/>
                                <a:stretch>
                                  <a:fillRect/>
                                </a:stretch>
                              </pic:blipFill>
                              <pic:spPr>
                                <a:xfrm>
                                  <a:off x="0" y="0"/>
                                  <a:ext cx="1136650" cy="720725"/>
                                </a:xfrm>
                                <a:prstGeom prst="rect">
                                  <a:avLst/>
                                </a:prstGeom>
                                <a:noFill/>
                                <a:ln>
                                  <a:noFill/>
                                </a:ln>
                              </pic:spPr>
                            </pic:pic>
                          </a:graphicData>
                        </a:graphic>
                      </wp:inline>
                    </w:drawing>
                  </w:r>
                </w:p>
              </w:tc>
            </w:tr>
            <w:tr w14:paraId="2434B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64" w:type="pct"/>
                  <w:tcBorders>
                    <w:tl2br w:val="nil"/>
                    <w:tr2bl w:val="nil"/>
                  </w:tcBorders>
                  <w:vAlign w:val="center"/>
                </w:tcPr>
                <w:p w14:paraId="3A12F469">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2"/>
                      <w:szCs w:val="21"/>
                      <w:highlight w:val="none"/>
                      <w:u w:val="none"/>
                      <w:lang w:eastAsia="en-US"/>
                    </w:rPr>
                    <w:t>污水排放口</w:t>
                  </w:r>
                </w:p>
              </w:tc>
              <w:tc>
                <w:tcPr>
                  <w:tcW w:w="553" w:type="pct"/>
                  <w:tcBorders>
                    <w:tl2br w:val="nil"/>
                    <w:tr2bl w:val="nil"/>
                  </w:tcBorders>
                  <w:vAlign w:val="center"/>
                </w:tcPr>
                <w:p w14:paraId="06E64CCE">
                  <w:pPr>
                    <w:jc w:val="center"/>
                    <w:rPr>
                      <w:rFonts w:ascii="Times New Roman" w:hAnsi="Times New Roman" w:eastAsia="宋体" w:cs="Times New Roman"/>
                      <w:color w:val="auto"/>
                      <w:szCs w:val="21"/>
                      <w:highlight w:val="none"/>
                      <w:u w:val="none"/>
                    </w:rPr>
                  </w:pPr>
                  <w:r>
                    <w:rPr>
                      <w:rFonts w:hint="eastAsia" w:ascii="Times New Roman" w:hAnsi="Times New Roman" w:eastAsia="宋体" w:cs="Times New Roman"/>
                      <w:color w:val="auto"/>
                      <w:spacing w:val="-1"/>
                      <w:szCs w:val="21"/>
                      <w:highlight w:val="none"/>
                      <w:u w:val="none"/>
                    </w:rPr>
                    <w:t>DW001</w:t>
                  </w:r>
                </w:p>
              </w:tc>
              <w:tc>
                <w:tcPr>
                  <w:tcW w:w="682" w:type="pct"/>
                  <w:tcBorders>
                    <w:tl2br w:val="nil"/>
                    <w:tr2bl w:val="nil"/>
                  </w:tcBorders>
                  <w:vAlign w:val="center"/>
                </w:tcPr>
                <w:p w14:paraId="27CCE3D6">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4"/>
                      <w:szCs w:val="21"/>
                      <w:highlight w:val="none"/>
                      <w:u w:val="none"/>
                      <w:lang w:eastAsia="en-US"/>
                    </w:rPr>
                    <w:t>提示标</w:t>
                  </w:r>
                  <w:r>
                    <w:rPr>
                      <w:rFonts w:ascii="Times New Roman" w:hAnsi="Times New Roman" w:eastAsia="宋体" w:cs="Times New Roman"/>
                      <w:color w:val="auto"/>
                      <w:szCs w:val="21"/>
                      <w:highlight w:val="none"/>
                      <w:u w:val="none"/>
                      <w:lang w:eastAsia="en-US"/>
                    </w:rPr>
                    <w:t>志</w:t>
                  </w:r>
                </w:p>
              </w:tc>
              <w:tc>
                <w:tcPr>
                  <w:tcW w:w="627" w:type="pct"/>
                  <w:tcBorders>
                    <w:tl2br w:val="nil"/>
                    <w:tr2bl w:val="nil"/>
                  </w:tcBorders>
                  <w:vAlign w:val="center"/>
                </w:tcPr>
                <w:p w14:paraId="30AE36AE">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5"/>
                      <w:szCs w:val="21"/>
                      <w:highlight w:val="none"/>
                      <w:u w:val="none"/>
                      <w:lang w:eastAsia="en-US"/>
                    </w:rPr>
                    <w:t>正方形</w:t>
                  </w:r>
                  <w:r>
                    <w:rPr>
                      <w:rFonts w:ascii="Times New Roman" w:hAnsi="Times New Roman" w:eastAsia="宋体" w:cs="Times New Roman"/>
                      <w:color w:val="auto"/>
                      <w:spacing w:val="-3"/>
                      <w:szCs w:val="21"/>
                      <w:highlight w:val="none"/>
                      <w:u w:val="none"/>
                      <w:lang w:eastAsia="en-US"/>
                    </w:rPr>
                    <w:t>边框</w:t>
                  </w:r>
                </w:p>
              </w:tc>
              <w:tc>
                <w:tcPr>
                  <w:tcW w:w="571" w:type="pct"/>
                  <w:tcBorders>
                    <w:tl2br w:val="nil"/>
                    <w:tr2bl w:val="nil"/>
                  </w:tcBorders>
                  <w:vAlign w:val="center"/>
                </w:tcPr>
                <w:p w14:paraId="6E7CFBEE">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5"/>
                      <w:szCs w:val="21"/>
                      <w:highlight w:val="none"/>
                      <w:u w:val="none"/>
                      <w:lang w:eastAsia="en-US"/>
                    </w:rPr>
                    <w:t>绿色</w:t>
                  </w:r>
                </w:p>
              </w:tc>
              <w:tc>
                <w:tcPr>
                  <w:tcW w:w="718" w:type="pct"/>
                  <w:tcBorders>
                    <w:tl2br w:val="nil"/>
                    <w:tr2bl w:val="nil"/>
                  </w:tcBorders>
                  <w:vAlign w:val="center"/>
                </w:tcPr>
                <w:p w14:paraId="0F3166C4">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20"/>
                      <w:szCs w:val="21"/>
                      <w:highlight w:val="none"/>
                      <w:u w:val="none"/>
                      <w:lang w:eastAsia="en-US"/>
                    </w:rPr>
                    <w:t>白色</w:t>
                  </w:r>
                </w:p>
              </w:tc>
              <w:tc>
                <w:tcPr>
                  <w:tcW w:w="1282" w:type="pct"/>
                  <w:tcBorders>
                    <w:tl2br w:val="nil"/>
                    <w:tr2bl w:val="nil"/>
                  </w:tcBorders>
                  <w:vAlign w:val="center"/>
                </w:tcPr>
                <w:p w14:paraId="65147DD4">
                  <w:pPr>
                    <w:jc w:val="center"/>
                    <w:rPr>
                      <w:rFonts w:ascii="Times New Roman" w:hAnsi="Times New Roman" w:eastAsia="宋体" w:cs="Times New Roman"/>
                      <w:color w:val="auto"/>
                      <w:szCs w:val="21"/>
                      <w:highlight w:val="none"/>
                      <w:u w:val="none"/>
                    </w:rPr>
                  </w:pPr>
                  <w:r>
                    <w:rPr>
                      <w:rFonts w:ascii="Times New Roman" w:hAnsi="Times New Roman" w:eastAsia="宋体" w:cs="Times New Roman"/>
                      <w:color w:val="auto"/>
                      <w:position w:val="-22"/>
                      <w:szCs w:val="21"/>
                      <w:highlight w:val="none"/>
                      <w:u w:val="none"/>
                    </w:rPr>
                    <w:drawing>
                      <wp:inline distT="0" distB="0" distL="114300" distR="114300">
                        <wp:extent cx="1136650" cy="715010"/>
                        <wp:effectExtent l="0" t="0" r="6350" b="8890"/>
                        <wp:docPr id="89" name="图片 8"/>
                        <wp:cNvGraphicFramePr/>
                        <a:graphic xmlns:a="http://schemas.openxmlformats.org/drawingml/2006/main">
                          <a:graphicData uri="http://schemas.openxmlformats.org/drawingml/2006/picture">
                            <pic:pic xmlns:pic="http://schemas.openxmlformats.org/drawingml/2006/picture">
                              <pic:nvPicPr>
                                <pic:cNvPr id="89" name="图片 8"/>
                                <pic:cNvPicPr/>
                              </pic:nvPicPr>
                              <pic:blipFill>
                                <a:blip r:embed="rId16"/>
                                <a:stretch>
                                  <a:fillRect/>
                                </a:stretch>
                              </pic:blipFill>
                              <pic:spPr>
                                <a:xfrm>
                                  <a:off x="0" y="0"/>
                                  <a:ext cx="1136650" cy="715010"/>
                                </a:xfrm>
                                <a:prstGeom prst="rect">
                                  <a:avLst/>
                                </a:prstGeom>
                                <a:noFill/>
                                <a:ln>
                                  <a:noFill/>
                                </a:ln>
                              </pic:spPr>
                            </pic:pic>
                          </a:graphicData>
                        </a:graphic>
                      </wp:inline>
                    </w:drawing>
                  </w:r>
                </w:p>
              </w:tc>
            </w:tr>
            <w:tr w14:paraId="35695E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64" w:type="pct"/>
                  <w:tcBorders>
                    <w:tl2br w:val="nil"/>
                    <w:tr2bl w:val="nil"/>
                  </w:tcBorders>
                  <w:vAlign w:val="center"/>
                </w:tcPr>
                <w:p w14:paraId="0358849F">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4"/>
                      <w:szCs w:val="21"/>
                      <w:highlight w:val="none"/>
                      <w:u w:val="none"/>
                      <w:lang w:eastAsia="en-US"/>
                    </w:rPr>
                    <w:t>雨水排放口</w:t>
                  </w:r>
                </w:p>
              </w:tc>
              <w:tc>
                <w:tcPr>
                  <w:tcW w:w="553" w:type="pct"/>
                  <w:tcBorders>
                    <w:tl2br w:val="nil"/>
                    <w:tr2bl w:val="nil"/>
                  </w:tcBorders>
                  <w:vAlign w:val="center"/>
                </w:tcPr>
                <w:p w14:paraId="21F1636D">
                  <w:pPr>
                    <w:jc w:val="center"/>
                    <w:rPr>
                      <w:rFonts w:ascii="Times New Roman" w:hAnsi="Times New Roman" w:eastAsia="宋体" w:cs="Times New Roman"/>
                      <w:color w:val="auto"/>
                      <w:szCs w:val="21"/>
                      <w:highlight w:val="none"/>
                      <w:u w:val="none"/>
                    </w:rPr>
                  </w:pPr>
                  <w:r>
                    <w:rPr>
                      <w:rFonts w:ascii="Times New Roman" w:hAnsi="Times New Roman" w:eastAsia="宋体" w:cs="Times New Roman"/>
                      <w:color w:val="auto"/>
                      <w:spacing w:val="-1"/>
                      <w:szCs w:val="21"/>
                      <w:highlight w:val="none"/>
                      <w:u w:val="none"/>
                    </w:rPr>
                    <w:t>YS</w:t>
                  </w:r>
                  <w:r>
                    <w:rPr>
                      <w:rFonts w:hint="eastAsia" w:ascii="Times New Roman" w:hAnsi="Times New Roman" w:eastAsia="宋体" w:cs="Times New Roman"/>
                      <w:color w:val="auto"/>
                      <w:spacing w:val="-1"/>
                      <w:szCs w:val="21"/>
                      <w:highlight w:val="none"/>
                      <w:u w:val="none"/>
                    </w:rPr>
                    <w:t>001</w:t>
                  </w:r>
                </w:p>
              </w:tc>
              <w:tc>
                <w:tcPr>
                  <w:tcW w:w="682" w:type="pct"/>
                  <w:tcBorders>
                    <w:tl2br w:val="nil"/>
                    <w:tr2bl w:val="nil"/>
                  </w:tcBorders>
                  <w:vAlign w:val="center"/>
                </w:tcPr>
                <w:p w14:paraId="09ED19AC">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4"/>
                      <w:szCs w:val="21"/>
                      <w:highlight w:val="none"/>
                      <w:u w:val="none"/>
                      <w:lang w:eastAsia="en-US"/>
                    </w:rPr>
                    <w:t>提示标</w:t>
                  </w:r>
                  <w:r>
                    <w:rPr>
                      <w:rFonts w:ascii="Times New Roman" w:hAnsi="Times New Roman" w:eastAsia="宋体" w:cs="Times New Roman"/>
                      <w:color w:val="auto"/>
                      <w:szCs w:val="21"/>
                      <w:highlight w:val="none"/>
                      <w:u w:val="none"/>
                      <w:lang w:eastAsia="en-US"/>
                    </w:rPr>
                    <w:t>志</w:t>
                  </w:r>
                </w:p>
              </w:tc>
              <w:tc>
                <w:tcPr>
                  <w:tcW w:w="627" w:type="pct"/>
                  <w:tcBorders>
                    <w:tl2br w:val="nil"/>
                    <w:tr2bl w:val="nil"/>
                  </w:tcBorders>
                  <w:vAlign w:val="center"/>
                </w:tcPr>
                <w:p w14:paraId="2D8B7715">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5"/>
                      <w:szCs w:val="21"/>
                      <w:highlight w:val="none"/>
                      <w:u w:val="none"/>
                      <w:lang w:eastAsia="en-US"/>
                    </w:rPr>
                    <w:t>正方形</w:t>
                  </w:r>
                  <w:r>
                    <w:rPr>
                      <w:rFonts w:ascii="Times New Roman" w:hAnsi="Times New Roman" w:eastAsia="宋体" w:cs="Times New Roman"/>
                      <w:color w:val="auto"/>
                      <w:spacing w:val="-3"/>
                      <w:szCs w:val="21"/>
                      <w:highlight w:val="none"/>
                      <w:u w:val="none"/>
                      <w:lang w:eastAsia="en-US"/>
                    </w:rPr>
                    <w:t>边框</w:t>
                  </w:r>
                </w:p>
              </w:tc>
              <w:tc>
                <w:tcPr>
                  <w:tcW w:w="571" w:type="pct"/>
                  <w:tcBorders>
                    <w:tl2br w:val="nil"/>
                    <w:tr2bl w:val="nil"/>
                  </w:tcBorders>
                  <w:vAlign w:val="center"/>
                </w:tcPr>
                <w:p w14:paraId="0DBE1564">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5"/>
                      <w:szCs w:val="21"/>
                      <w:highlight w:val="none"/>
                      <w:u w:val="none"/>
                      <w:lang w:eastAsia="en-US"/>
                    </w:rPr>
                    <w:t>绿色</w:t>
                  </w:r>
                </w:p>
              </w:tc>
              <w:tc>
                <w:tcPr>
                  <w:tcW w:w="718" w:type="pct"/>
                  <w:tcBorders>
                    <w:tl2br w:val="nil"/>
                    <w:tr2bl w:val="nil"/>
                  </w:tcBorders>
                  <w:vAlign w:val="center"/>
                </w:tcPr>
                <w:p w14:paraId="2B48BCE4">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20"/>
                      <w:szCs w:val="21"/>
                      <w:highlight w:val="none"/>
                      <w:u w:val="none"/>
                      <w:lang w:eastAsia="en-US"/>
                    </w:rPr>
                    <w:t>白色</w:t>
                  </w:r>
                </w:p>
              </w:tc>
              <w:tc>
                <w:tcPr>
                  <w:tcW w:w="1282" w:type="pct"/>
                  <w:tcBorders>
                    <w:tl2br w:val="nil"/>
                    <w:tr2bl w:val="nil"/>
                  </w:tcBorders>
                  <w:vAlign w:val="center"/>
                </w:tcPr>
                <w:p w14:paraId="6E9B5D40">
                  <w:pPr>
                    <w:jc w:val="center"/>
                    <w:rPr>
                      <w:rFonts w:ascii="Times New Roman" w:hAnsi="Times New Roman" w:eastAsia="宋体" w:cs="Times New Roman"/>
                      <w:color w:val="auto"/>
                      <w:szCs w:val="21"/>
                      <w:highlight w:val="none"/>
                      <w:u w:val="none"/>
                    </w:rPr>
                  </w:pPr>
                  <w:r>
                    <w:rPr>
                      <w:rFonts w:ascii="Times New Roman" w:hAnsi="Times New Roman" w:eastAsia="宋体" w:cs="Times New Roman"/>
                      <w:color w:val="auto"/>
                      <w:position w:val="-22"/>
                      <w:szCs w:val="21"/>
                      <w:highlight w:val="none"/>
                      <w:u w:val="none"/>
                    </w:rPr>
                    <w:drawing>
                      <wp:inline distT="0" distB="0" distL="114300" distR="114300">
                        <wp:extent cx="1147445" cy="701040"/>
                        <wp:effectExtent l="0" t="0" r="14605" b="3810"/>
                        <wp:docPr id="90" name="图片 9"/>
                        <wp:cNvGraphicFramePr/>
                        <a:graphic xmlns:a="http://schemas.openxmlformats.org/drawingml/2006/main">
                          <a:graphicData uri="http://schemas.openxmlformats.org/drawingml/2006/picture">
                            <pic:pic xmlns:pic="http://schemas.openxmlformats.org/drawingml/2006/picture">
                              <pic:nvPicPr>
                                <pic:cNvPr id="90" name="图片 9"/>
                                <pic:cNvPicPr/>
                              </pic:nvPicPr>
                              <pic:blipFill>
                                <a:blip r:embed="rId17"/>
                                <a:stretch>
                                  <a:fillRect/>
                                </a:stretch>
                              </pic:blipFill>
                              <pic:spPr>
                                <a:xfrm>
                                  <a:off x="0" y="0"/>
                                  <a:ext cx="1147445" cy="701040"/>
                                </a:xfrm>
                                <a:prstGeom prst="rect">
                                  <a:avLst/>
                                </a:prstGeom>
                                <a:noFill/>
                                <a:ln>
                                  <a:noFill/>
                                </a:ln>
                              </pic:spPr>
                            </pic:pic>
                          </a:graphicData>
                        </a:graphic>
                      </wp:inline>
                    </w:drawing>
                  </w:r>
                </w:p>
              </w:tc>
            </w:tr>
            <w:tr w14:paraId="6A0CEF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64" w:type="pct"/>
                  <w:tcBorders>
                    <w:tl2br w:val="nil"/>
                    <w:tr2bl w:val="nil"/>
                  </w:tcBorders>
                  <w:vAlign w:val="center"/>
                </w:tcPr>
                <w:p w14:paraId="78C16623">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4"/>
                      <w:szCs w:val="21"/>
                      <w:highlight w:val="none"/>
                      <w:u w:val="none"/>
                      <w:lang w:eastAsia="en-US"/>
                    </w:rPr>
                    <w:t>噪声排放口</w:t>
                  </w:r>
                </w:p>
              </w:tc>
              <w:tc>
                <w:tcPr>
                  <w:tcW w:w="553" w:type="pct"/>
                  <w:tcBorders>
                    <w:tl2br w:val="nil"/>
                    <w:tr2bl w:val="nil"/>
                  </w:tcBorders>
                  <w:vAlign w:val="center"/>
                </w:tcPr>
                <w:p w14:paraId="1E8724C5">
                  <w:pPr>
                    <w:jc w:val="center"/>
                    <w:rPr>
                      <w:rFonts w:ascii="Times New Roman" w:hAnsi="Times New Roman" w:eastAsia="宋体" w:cs="Times New Roman"/>
                      <w:color w:val="auto"/>
                      <w:szCs w:val="21"/>
                      <w:highlight w:val="none"/>
                      <w:u w:val="none"/>
                    </w:rPr>
                  </w:pPr>
                  <w:r>
                    <w:rPr>
                      <w:rFonts w:ascii="Times New Roman" w:hAnsi="Times New Roman" w:eastAsia="宋体" w:cs="Times New Roman"/>
                      <w:color w:val="auto"/>
                      <w:spacing w:val="-1"/>
                      <w:szCs w:val="21"/>
                      <w:highlight w:val="none"/>
                      <w:u w:val="none"/>
                    </w:rPr>
                    <w:t>ZS</w:t>
                  </w:r>
                  <w:r>
                    <w:rPr>
                      <w:rFonts w:hint="eastAsia" w:ascii="Times New Roman" w:hAnsi="Times New Roman" w:eastAsia="宋体" w:cs="Times New Roman"/>
                      <w:color w:val="auto"/>
                      <w:spacing w:val="-1"/>
                      <w:szCs w:val="21"/>
                      <w:highlight w:val="none"/>
                      <w:u w:val="none"/>
                    </w:rPr>
                    <w:t>001</w:t>
                  </w:r>
                </w:p>
              </w:tc>
              <w:tc>
                <w:tcPr>
                  <w:tcW w:w="682" w:type="pct"/>
                  <w:tcBorders>
                    <w:tl2br w:val="nil"/>
                    <w:tr2bl w:val="nil"/>
                  </w:tcBorders>
                  <w:vAlign w:val="center"/>
                </w:tcPr>
                <w:p w14:paraId="3F9FFFDA">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4"/>
                      <w:szCs w:val="21"/>
                      <w:highlight w:val="none"/>
                      <w:u w:val="none"/>
                      <w:lang w:eastAsia="en-US"/>
                    </w:rPr>
                    <w:t>提示标</w:t>
                  </w:r>
                  <w:r>
                    <w:rPr>
                      <w:rFonts w:ascii="Times New Roman" w:hAnsi="Times New Roman" w:eastAsia="宋体" w:cs="Times New Roman"/>
                      <w:color w:val="auto"/>
                      <w:szCs w:val="21"/>
                      <w:highlight w:val="none"/>
                      <w:u w:val="none"/>
                      <w:lang w:eastAsia="en-US"/>
                    </w:rPr>
                    <w:t>志</w:t>
                  </w:r>
                </w:p>
              </w:tc>
              <w:tc>
                <w:tcPr>
                  <w:tcW w:w="627" w:type="pct"/>
                  <w:tcBorders>
                    <w:tl2br w:val="nil"/>
                    <w:tr2bl w:val="nil"/>
                  </w:tcBorders>
                  <w:vAlign w:val="center"/>
                </w:tcPr>
                <w:p w14:paraId="28091574">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5"/>
                      <w:szCs w:val="21"/>
                      <w:highlight w:val="none"/>
                      <w:u w:val="none"/>
                      <w:lang w:eastAsia="en-US"/>
                    </w:rPr>
                    <w:t>正方形</w:t>
                  </w:r>
                  <w:r>
                    <w:rPr>
                      <w:rFonts w:ascii="Times New Roman" w:hAnsi="Times New Roman" w:eastAsia="宋体" w:cs="Times New Roman"/>
                      <w:color w:val="auto"/>
                      <w:spacing w:val="-3"/>
                      <w:szCs w:val="21"/>
                      <w:highlight w:val="none"/>
                      <w:u w:val="none"/>
                      <w:lang w:eastAsia="en-US"/>
                    </w:rPr>
                    <w:t>边框</w:t>
                  </w:r>
                </w:p>
              </w:tc>
              <w:tc>
                <w:tcPr>
                  <w:tcW w:w="571" w:type="pct"/>
                  <w:tcBorders>
                    <w:tl2br w:val="nil"/>
                    <w:tr2bl w:val="nil"/>
                  </w:tcBorders>
                  <w:vAlign w:val="center"/>
                </w:tcPr>
                <w:p w14:paraId="14E6C731">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5"/>
                      <w:szCs w:val="21"/>
                      <w:highlight w:val="none"/>
                      <w:u w:val="none"/>
                      <w:lang w:eastAsia="en-US"/>
                    </w:rPr>
                    <w:t>绿色</w:t>
                  </w:r>
                </w:p>
              </w:tc>
              <w:tc>
                <w:tcPr>
                  <w:tcW w:w="718" w:type="pct"/>
                  <w:tcBorders>
                    <w:tl2br w:val="nil"/>
                    <w:tr2bl w:val="nil"/>
                  </w:tcBorders>
                  <w:vAlign w:val="center"/>
                </w:tcPr>
                <w:p w14:paraId="44789455">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20"/>
                      <w:szCs w:val="21"/>
                      <w:highlight w:val="none"/>
                      <w:u w:val="none"/>
                      <w:lang w:eastAsia="en-US"/>
                    </w:rPr>
                    <w:t>白色</w:t>
                  </w:r>
                </w:p>
              </w:tc>
              <w:tc>
                <w:tcPr>
                  <w:tcW w:w="1282" w:type="pct"/>
                  <w:tcBorders>
                    <w:tl2br w:val="nil"/>
                    <w:tr2bl w:val="nil"/>
                  </w:tcBorders>
                  <w:vAlign w:val="center"/>
                </w:tcPr>
                <w:p w14:paraId="5092E2FA">
                  <w:pPr>
                    <w:jc w:val="center"/>
                    <w:rPr>
                      <w:rFonts w:ascii="Times New Roman" w:hAnsi="Times New Roman" w:eastAsia="宋体" w:cs="Times New Roman"/>
                      <w:color w:val="auto"/>
                      <w:szCs w:val="21"/>
                      <w:highlight w:val="none"/>
                      <w:u w:val="none"/>
                    </w:rPr>
                  </w:pPr>
                  <w:r>
                    <w:rPr>
                      <w:rFonts w:ascii="Times New Roman" w:hAnsi="Times New Roman" w:eastAsia="宋体" w:cs="Times New Roman"/>
                      <w:color w:val="auto"/>
                      <w:position w:val="-22"/>
                      <w:szCs w:val="21"/>
                      <w:highlight w:val="none"/>
                      <w:u w:val="none"/>
                    </w:rPr>
                    <w:drawing>
                      <wp:inline distT="0" distB="0" distL="114300" distR="114300">
                        <wp:extent cx="1142365" cy="715645"/>
                        <wp:effectExtent l="0" t="0" r="635" b="8255"/>
                        <wp:docPr id="91" name="图片 10"/>
                        <wp:cNvGraphicFramePr/>
                        <a:graphic xmlns:a="http://schemas.openxmlformats.org/drawingml/2006/main">
                          <a:graphicData uri="http://schemas.openxmlformats.org/drawingml/2006/picture">
                            <pic:pic xmlns:pic="http://schemas.openxmlformats.org/drawingml/2006/picture">
                              <pic:nvPicPr>
                                <pic:cNvPr id="91" name="图片 10"/>
                                <pic:cNvPicPr/>
                              </pic:nvPicPr>
                              <pic:blipFill>
                                <a:blip r:embed="rId18"/>
                                <a:stretch>
                                  <a:fillRect/>
                                </a:stretch>
                              </pic:blipFill>
                              <pic:spPr>
                                <a:xfrm>
                                  <a:off x="0" y="0"/>
                                  <a:ext cx="1142365" cy="715645"/>
                                </a:xfrm>
                                <a:prstGeom prst="rect">
                                  <a:avLst/>
                                </a:prstGeom>
                                <a:noFill/>
                                <a:ln>
                                  <a:noFill/>
                                </a:ln>
                              </pic:spPr>
                            </pic:pic>
                          </a:graphicData>
                        </a:graphic>
                      </wp:inline>
                    </w:drawing>
                  </w:r>
                </w:p>
              </w:tc>
            </w:tr>
            <w:tr w14:paraId="71ABFB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64" w:type="pct"/>
                  <w:tcBorders>
                    <w:tl2br w:val="nil"/>
                    <w:tr2bl w:val="nil"/>
                  </w:tcBorders>
                  <w:vAlign w:val="center"/>
                </w:tcPr>
                <w:p w14:paraId="39FEC8BE">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3"/>
                      <w:szCs w:val="21"/>
                      <w:highlight w:val="none"/>
                      <w:u w:val="none"/>
                      <w:lang w:eastAsia="en-US"/>
                    </w:rPr>
                    <w:t>一般固废堆</w:t>
                  </w:r>
                  <w:r>
                    <w:rPr>
                      <w:rFonts w:ascii="Times New Roman" w:hAnsi="Times New Roman" w:eastAsia="宋体" w:cs="Times New Roman"/>
                      <w:color w:val="auto"/>
                      <w:szCs w:val="21"/>
                      <w:highlight w:val="none"/>
                      <w:u w:val="none"/>
                      <w:lang w:eastAsia="en-US"/>
                    </w:rPr>
                    <w:t>场</w:t>
                  </w:r>
                </w:p>
              </w:tc>
              <w:tc>
                <w:tcPr>
                  <w:tcW w:w="553" w:type="pct"/>
                  <w:tcBorders>
                    <w:tl2br w:val="nil"/>
                    <w:tr2bl w:val="nil"/>
                  </w:tcBorders>
                  <w:vAlign w:val="center"/>
                </w:tcPr>
                <w:p w14:paraId="33B90F15">
                  <w:pPr>
                    <w:jc w:val="center"/>
                    <w:rPr>
                      <w:rFonts w:ascii="Times New Roman" w:hAnsi="Times New Roman" w:eastAsia="宋体" w:cs="Times New Roman"/>
                      <w:color w:val="auto"/>
                      <w:szCs w:val="21"/>
                      <w:highlight w:val="none"/>
                      <w:u w:val="none"/>
                    </w:rPr>
                  </w:pPr>
                  <w:r>
                    <w:rPr>
                      <w:rFonts w:ascii="Times New Roman" w:hAnsi="Times New Roman" w:eastAsia="宋体" w:cs="Times New Roman"/>
                      <w:color w:val="auto"/>
                      <w:spacing w:val="-2"/>
                      <w:szCs w:val="21"/>
                      <w:highlight w:val="none"/>
                      <w:u w:val="none"/>
                    </w:rPr>
                    <w:t>GF</w:t>
                  </w:r>
                  <w:r>
                    <w:rPr>
                      <w:rFonts w:hint="eastAsia" w:ascii="Times New Roman" w:hAnsi="Times New Roman" w:eastAsia="宋体" w:cs="Times New Roman"/>
                      <w:color w:val="auto"/>
                      <w:spacing w:val="-2"/>
                      <w:szCs w:val="21"/>
                      <w:highlight w:val="none"/>
                      <w:u w:val="none"/>
                    </w:rPr>
                    <w:t>001</w:t>
                  </w:r>
                </w:p>
              </w:tc>
              <w:tc>
                <w:tcPr>
                  <w:tcW w:w="682" w:type="pct"/>
                  <w:tcBorders>
                    <w:tl2br w:val="nil"/>
                    <w:tr2bl w:val="nil"/>
                  </w:tcBorders>
                  <w:vAlign w:val="center"/>
                </w:tcPr>
                <w:p w14:paraId="0431C42D">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4"/>
                      <w:szCs w:val="21"/>
                      <w:highlight w:val="none"/>
                      <w:u w:val="none"/>
                      <w:lang w:eastAsia="en-US"/>
                    </w:rPr>
                    <w:t>提示标</w:t>
                  </w:r>
                  <w:r>
                    <w:rPr>
                      <w:rFonts w:ascii="Times New Roman" w:hAnsi="Times New Roman" w:eastAsia="宋体" w:cs="Times New Roman"/>
                      <w:color w:val="auto"/>
                      <w:szCs w:val="21"/>
                      <w:highlight w:val="none"/>
                      <w:u w:val="none"/>
                      <w:lang w:eastAsia="en-US"/>
                    </w:rPr>
                    <w:t>志</w:t>
                  </w:r>
                </w:p>
              </w:tc>
              <w:tc>
                <w:tcPr>
                  <w:tcW w:w="627" w:type="pct"/>
                  <w:tcBorders>
                    <w:tl2br w:val="nil"/>
                    <w:tr2bl w:val="nil"/>
                  </w:tcBorders>
                  <w:vAlign w:val="center"/>
                </w:tcPr>
                <w:p w14:paraId="173FC1DA">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5"/>
                      <w:szCs w:val="21"/>
                      <w:highlight w:val="none"/>
                      <w:u w:val="none"/>
                      <w:lang w:eastAsia="en-US"/>
                    </w:rPr>
                    <w:t>正方形</w:t>
                  </w:r>
                  <w:r>
                    <w:rPr>
                      <w:rFonts w:ascii="Times New Roman" w:hAnsi="Times New Roman" w:eastAsia="宋体" w:cs="Times New Roman"/>
                      <w:color w:val="auto"/>
                      <w:spacing w:val="-3"/>
                      <w:szCs w:val="21"/>
                      <w:highlight w:val="none"/>
                      <w:u w:val="none"/>
                      <w:lang w:eastAsia="en-US"/>
                    </w:rPr>
                    <w:t>边框</w:t>
                  </w:r>
                </w:p>
              </w:tc>
              <w:tc>
                <w:tcPr>
                  <w:tcW w:w="571" w:type="pct"/>
                  <w:tcBorders>
                    <w:tl2br w:val="nil"/>
                    <w:tr2bl w:val="nil"/>
                  </w:tcBorders>
                  <w:vAlign w:val="center"/>
                </w:tcPr>
                <w:p w14:paraId="6544944F">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5"/>
                      <w:szCs w:val="21"/>
                      <w:highlight w:val="none"/>
                      <w:u w:val="none"/>
                      <w:lang w:eastAsia="en-US"/>
                    </w:rPr>
                    <w:t>绿色</w:t>
                  </w:r>
                </w:p>
              </w:tc>
              <w:tc>
                <w:tcPr>
                  <w:tcW w:w="718" w:type="pct"/>
                  <w:tcBorders>
                    <w:tl2br w:val="nil"/>
                    <w:tr2bl w:val="nil"/>
                  </w:tcBorders>
                  <w:vAlign w:val="center"/>
                </w:tcPr>
                <w:p w14:paraId="7868D350">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20"/>
                      <w:szCs w:val="21"/>
                      <w:highlight w:val="none"/>
                      <w:u w:val="none"/>
                      <w:lang w:eastAsia="en-US"/>
                    </w:rPr>
                    <w:t>白色</w:t>
                  </w:r>
                </w:p>
              </w:tc>
              <w:tc>
                <w:tcPr>
                  <w:tcW w:w="1282" w:type="pct"/>
                  <w:tcBorders>
                    <w:tl2br w:val="nil"/>
                    <w:tr2bl w:val="nil"/>
                  </w:tcBorders>
                  <w:vAlign w:val="center"/>
                </w:tcPr>
                <w:p w14:paraId="7A67222E">
                  <w:pPr>
                    <w:jc w:val="center"/>
                    <w:rPr>
                      <w:rFonts w:ascii="Times New Roman" w:hAnsi="Times New Roman" w:eastAsia="宋体" w:cs="Times New Roman"/>
                      <w:color w:val="auto"/>
                      <w:szCs w:val="21"/>
                      <w:highlight w:val="none"/>
                      <w:u w:val="none"/>
                    </w:rPr>
                  </w:pPr>
                  <w:r>
                    <w:rPr>
                      <w:rFonts w:ascii="Times New Roman" w:hAnsi="Times New Roman" w:eastAsia="宋体" w:cs="Times New Roman"/>
                      <w:color w:val="auto"/>
                      <w:position w:val="-22"/>
                      <w:szCs w:val="21"/>
                      <w:highlight w:val="none"/>
                      <w:u w:val="none"/>
                    </w:rPr>
                    <w:drawing>
                      <wp:inline distT="0" distB="0" distL="114300" distR="114300">
                        <wp:extent cx="1150620" cy="716280"/>
                        <wp:effectExtent l="0" t="0" r="11430" b="7620"/>
                        <wp:docPr id="92" name="图片 11"/>
                        <wp:cNvGraphicFramePr/>
                        <a:graphic xmlns:a="http://schemas.openxmlformats.org/drawingml/2006/main">
                          <a:graphicData uri="http://schemas.openxmlformats.org/drawingml/2006/picture">
                            <pic:pic xmlns:pic="http://schemas.openxmlformats.org/drawingml/2006/picture">
                              <pic:nvPicPr>
                                <pic:cNvPr id="92" name="图片 11"/>
                                <pic:cNvPicPr/>
                              </pic:nvPicPr>
                              <pic:blipFill>
                                <a:blip r:embed="rId19"/>
                                <a:stretch>
                                  <a:fillRect/>
                                </a:stretch>
                              </pic:blipFill>
                              <pic:spPr>
                                <a:xfrm>
                                  <a:off x="0" y="0"/>
                                  <a:ext cx="1150620" cy="716280"/>
                                </a:xfrm>
                                <a:prstGeom prst="rect">
                                  <a:avLst/>
                                </a:prstGeom>
                                <a:noFill/>
                                <a:ln>
                                  <a:noFill/>
                                </a:ln>
                              </pic:spPr>
                            </pic:pic>
                          </a:graphicData>
                        </a:graphic>
                      </wp:inline>
                    </w:drawing>
                  </w:r>
                </w:p>
              </w:tc>
            </w:tr>
            <w:tr w14:paraId="66C9C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64" w:type="pct"/>
                  <w:tcBorders>
                    <w:tl2br w:val="nil"/>
                    <w:tr2bl w:val="nil"/>
                  </w:tcBorders>
                  <w:vAlign w:val="center"/>
                </w:tcPr>
                <w:p w14:paraId="7A49C4F2">
                  <w:pPr>
                    <w:jc w:val="center"/>
                    <w:rPr>
                      <w:rFonts w:ascii="Times New Roman" w:hAnsi="Times New Roman" w:eastAsia="宋体" w:cs="Times New Roman"/>
                      <w:color w:val="auto"/>
                      <w:szCs w:val="21"/>
                      <w:highlight w:val="none"/>
                      <w:u w:val="none"/>
                    </w:rPr>
                  </w:pPr>
                  <w:r>
                    <w:rPr>
                      <w:rFonts w:ascii="Times New Roman" w:hAnsi="Times New Roman" w:eastAsia="宋体" w:cs="Times New Roman"/>
                      <w:color w:val="auto"/>
                      <w:spacing w:val="-2"/>
                      <w:szCs w:val="21"/>
                      <w:highlight w:val="none"/>
                      <w:u w:val="none"/>
                    </w:rPr>
                    <w:t>危废暂存间</w:t>
                  </w:r>
                </w:p>
              </w:tc>
              <w:tc>
                <w:tcPr>
                  <w:tcW w:w="553" w:type="pct"/>
                  <w:tcBorders>
                    <w:tl2br w:val="nil"/>
                    <w:tr2bl w:val="nil"/>
                  </w:tcBorders>
                  <w:vAlign w:val="center"/>
                </w:tcPr>
                <w:p w14:paraId="2F4D5568">
                  <w:pPr>
                    <w:jc w:val="center"/>
                    <w:rPr>
                      <w:rFonts w:ascii="Times New Roman" w:hAnsi="Times New Roman" w:eastAsia="宋体" w:cs="Times New Roman"/>
                      <w:color w:val="auto"/>
                      <w:szCs w:val="21"/>
                      <w:highlight w:val="none"/>
                      <w:u w:val="none"/>
                    </w:rPr>
                  </w:pPr>
                  <w:r>
                    <w:rPr>
                      <w:rFonts w:hint="eastAsia" w:ascii="Times New Roman" w:hAnsi="Times New Roman" w:eastAsia="宋体" w:cs="Times New Roman"/>
                      <w:color w:val="auto"/>
                      <w:szCs w:val="21"/>
                      <w:highlight w:val="none"/>
                      <w:u w:val="none"/>
                    </w:rPr>
                    <w:t>WF001</w:t>
                  </w:r>
                </w:p>
              </w:tc>
              <w:tc>
                <w:tcPr>
                  <w:tcW w:w="682" w:type="pct"/>
                  <w:tcBorders>
                    <w:tl2br w:val="nil"/>
                    <w:tr2bl w:val="nil"/>
                  </w:tcBorders>
                  <w:vAlign w:val="center"/>
                </w:tcPr>
                <w:p w14:paraId="3DC71981">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4"/>
                      <w:szCs w:val="21"/>
                      <w:highlight w:val="none"/>
                      <w:u w:val="none"/>
                      <w:lang w:eastAsia="en-US"/>
                    </w:rPr>
                    <w:t>警告标</w:t>
                  </w:r>
                  <w:r>
                    <w:rPr>
                      <w:rFonts w:ascii="Times New Roman" w:hAnsi="Times New Roman" w:eastAsia="宋体" w:cs="Times New Roman"/>
                      <w:color w:val="auto"/>
                      <w:szCs w:val="21"/>
                      <w:highlight w:val="none"/>
                      <w:u w:val="none"/>
                      <w:lang w:eastAsia="en-US"/>
                    </w:rPr>
                    <w:t>志</w:t>
                  </w:r>
                </w:p>
              </w:tc>
              <w:tc>
                <w:tcPr>
                  <w:tcW w:w="627" w:type="pct"/>
                  <w:tcBorders>
                    <w:tl2br w:val="nil"/>
                    <w:tr2bl w:val="nil"/>
                  </w:tcBorders>
                  <w:vAlign w:val="center"/>
                </w:tcPr>
                <w:p w14:paraId="146F525B">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5"/>
                      <w:szCs w:val="21"/>
                      <w:highlight w:val="none"/>
                      <w:u w:val="none"/>
                      <w:lang w:eastAsia="en-US"/>
                    </w:rPr>
                    <w:t>正方形</w:t>
                  </w:r>
                  <w:r>
                    <w:rPr>
                      <w:rFonts w:ascii="Times New Roman" w:hAnsi="Times New Roman" w:eastAsia="宋体" w:cs="Times New Roman"/>
                      <w:color w:val="auto"/>
                      <w:spacing w:val="-3"/>
                      <w:szCs w:val="21"/>
                      <w:highlight w:val="none"/>
                      <w:u w:val="none"/>
                      <w:lang w:eastAsia="en-US"/>
                    </w:rPr>
                    <w:t>边框</w:t>
                  </w:r>
                </w:p>
              </w:tc>
              <w:tc>
                <w:tcPr>
                  <w:tcW w:w="571" w:type="pct"/>
                  <w:tcBorders>
                    <w:tl2br w:val="nil"/>
                    <w:tr2bl w:val="nil"/>
                  </w:tcBorders>
                  <w:vAlign w:val="center"/>
                </w:tcPr>
                <w:p w14:paraId="57024FA0">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3"/>
                      <w:szCs w:val="21"/>
                      <w:highlight w:val="none"/>
                      <w:u w:val="none"/>
                      <w:lang w:eastAsia="en-US"/>
                    </w:rPr>
                    <w:t>黄色</w:t>
                  </w:r>
                </w:p>
              </w:tc>
              <w:tc>
                <w:tcPr>
                  <w:tcW w:w="718" w:type="pct"/>
                  <w:tcBorders>
                    <w:tl2br w:val="nil"/>
                    <w:tr2bl w:val="nil"/>
                  </w:tcBorders>
                  <w:vAlign w:val="center"/>
                </w:tcPr>
                <w:p w14:paraId="67C41576">
                  <w:pPr>
                    <w:jc w:val="center"/>
                    <w:rPr>
                      <w:rFonts w:ascii="Times New Roman" w:hAnsi="Times New Roman" w:eastAsia="宋体" w:cs="Times New Roman"/>
                      <w:color w:val="auto"/>
                      <w:szCs w:val="21"/>
                      <w:highlight w:val="none"/>
                      <w:u w:val="none"/>
                      <w:lang w:eastAsia="en-US"/>
                    </w:rPr>
                  </w:pPr>
                  <w:r>
                    <w:rPr>
                      <w:rFonts w:ascii="Times New Roman" w:hAnsi="Times New Roman" w:eastAsia="宋体" w:cs="Times New Roman"/>
                      <w:color w:val="auto"/>
                      <w:spacing w:val="-7"/>
                      <w:szCs w:val="21"/>
                      <w:highlight w:val="none"/>
                      <w:u w:val="none"/>
                      <w:lang w:eastAsia="en-US"/>
                    </w:rPr>
                    <w:t>黑色</w:t>
                  </w:r>
                </w:p>
              </w:tc>
              <w:tc>
                <w:tcPr>
                  <w:tcW w:w="1282" w:type="pct"/>
                  <w:tcBorders>
                    <w:tl2br w:val="nil"/>
                    <w:tr2bl w:val="nil"/>
                  </w:tcBorders>
                  <w:vAlign w:val="center"/>
                </w:tcPr>
                <w:p w14:paraId="0E611BEE">
                  <w:pPr>
                    <w:jc w:val="center"/>
                    <w:rPr>
                      <w:rFonts w:ascii="Times New Roman" w:hAnsi="Times New Roman" w:eastAsia="宋体" w:cs="Times New Roman"/>
                      <w:color w:val="auto"/>
                      <w:szCs w:val="21"/>
                      <w:highlight w:val="none"/>
                      <w:u w:val="none"/>
                    </w:rPr>
                  </w:pPr>
                  <w:r>
                    <w:rPr>
                      <w:rFonts w:ascii="Times New Roman" w:hAnsi="Times New Roman" w:eastAsia="宋体" w:cs="Times New Roman"/>
                      <w:color w:val="auto"/>
                      <w:position w:val="-41"/>
                      <w:szCs w:val="21"/>
                      <w:highlight w:val="none"/>
                      <w:u w:val="none"/>
                    </w:rPr>
                    <w:drawing>
                      <wp:inline distT="0" distB="0" distL="114300" distR="114300">
                        <wp:extent cx="1081405" cy="1310640"/>
                        <wp:effectExtent l="0" t="0" r="4445" b="3810"/>
                        <wp:docPr id="93" name="图片 12"/>
                        <wp:cNvGraphicFramePr/>
                        <a:graphic xmlns:a="http://schemas.openxmlformats.org/drawingml/2006/main">
                          <a:graphicData uri="http://schemas.openxmlformats.org/drawingml/2006/picture">
                            <pic:pic xmlns:pic="http://schemas.openxmlformats.org/drawingml/2006/picture">
                              <pic:nvPicPr>
                                <pic:cNvPr id="93" name="图片 12"/>
                                <pic:cNvPicPr/>
                              </pic:nvPicPr>
                              <pic:blipFill>
                                <a:blip r:embed="rId20"/>
                                <a:stretch>
                                  <a:fillRect/>
                                </a:stretch>
                              </pic:blipFill>
                              <pic:spPr>
                                <a:xfrm>
                                  <a:off x="0" y="0"/>
                                  <a:ext cx="1081405" cy="1310640"/>
                                </a:xfrm>
                                <a:prstGeom prst="rect">
                                  <a:avLst/>
                                </a:prstGeom>
                                <a:noFill/>
                                <a:ln>
                                  <a:noFill/>
                                </a:ln>
                              </pic:spPr>
                            </pic:pic>
                          </a:graphicData>
                        </a:graphic>
                      </wp:inline>
                    </w:drawing>
                  </w:r>
                </w:p>
              </w:tc>
            </w:tr>
          </w:tbl>
          <w:p w14:paraId="3C34BCFE">
            <w:pPr>
              <w:widowControl w:val="0"/>
              <w:tabs>
                <w:tab w:val="left" w:pos="1021"/>
              </w:tabs>
              <w:wordWrap w:val="0"/>
              <w:topLinePunct/>
              <w:adjustRightInd/>
              <w:snapToGrid/>
              <w:spacing w:line="360" w:lineRule="auto"/>
              <w:ind w:firstLine="480" w:firstLineChars="200"/>
              <w:jc w:val="both"/>
              <w:rPr>
                <w:rFonts w:ascii="Times New Roman" w:hAnsi="Times New Roman" w:eastAsia="宋体" w:cs="Times New Roman"/>
                <w:color w:val="auto"/>
                <w:kern w:val="0"/>
                <w:sz w:val="24"/>
                <w:szCs w:val="24"/>
                <w:highlight w:val="none"/>
                <w:u w:val="none"/>
                <w:lang w:val="en-US" w:eastAsia="zh-CN" w:bidi="ar-SA"/>
              </w:rPr>
            </w:pPr>
            <w:r>
              <w:rPr>
                <w:rFonts w:hint="eastAsia" w:cs="Times New Roman"/>
                <w:color w:val="auto"/>
                <w:kern w:val="0"/>
                <w:sz w:val="24"/>
                <w:szCs w:val="24"/>
                <w:highlight w:val="none"/>
                <w:u w:val="none"/>
                <w:lang w:val="en-US" w:eastAsia="zh-CN" w:bidi="ar-SA"/>
              </w:rPr>
              <w:t>9.2</w:t>
            </w:r>
            <w:r>
              <w:rPr>
                <w:rFonts w:ascii="Times New Roman" w:hAnsi="Times New Roman" w:eastAsia="宋体" w:cs="Times New Roman"/>
                <w:color w:val="auto"/>
                <w:kern w:val="0"/>
                <w:sz w:val="24"/>
                <w:szCs w:val="24"/>
                <w:highlight w:val="none"/>
                <w:u w:val="none"/>
                <w:lang w:val="en-US" w:eastAsia="zh-CN" w:bidi="ar-SA"/>
              </w:rPr>
              <w:t>采样平台</w:t>
            </w:r>
            <w:r>
              <w:rPr>
                <w:rFonts w:hint="eastAsia" w:ascii="Times New Roman" w:hAnsi="Times New Roman" w:eastAsia="宋体" w:cs="Times New Roman"/>
                <w:color w:val="auto"/>
                <w:kern w:val="0"/>
                <w:sz w:val="24"/>
                <w:szCs w:val="24"/>
                <w:highlight w:val="none"/>
                <w:u w:val="none"/>
                <w:lang w:val="en-US" w:eastAsia="zh-CN" w:bidi="ar-SA"/>
              </w:rPr>
              <w:t>及采样孔</w:t>
            </w:r>
            <w:r>
              <w:rPr>
                <w:rFonts w:ascii="Times New Roman" w:hAnsi="Times New Roman" w:eastAsia="宋体" w:cs="Times New Roman"/>
                <w:color w:val="auto"/>
                <w:kern w:val="0"/>
                <w:sz w:val="24"/>
                <w:szCs w:val="24"/>
                <w:highlight w:val="none"/>
                <w:u w:val="none"/>
                <w:lang w:val="en-US" w:eastAsia="zh-CN" w:bidi="ar-SA"/>
              </w:rPr>
              <w:t>建设要求</w:t>
            </w:r>
          </w:p>
          <w:p w14:paraId="5C52DB3A">
            <w:pPr>
              <w:widowControl w:val="0"/>
              <w:tabs>
                <w:tab w:val="left" w:pos="1021"/>
              </w:tabs>
              <w:wordWrap w:val="0"/>
              <w:topLinePunct/>
              <w:adjustRightInd/>
              <w:snapToGrid/>
              <w:spacing w:line="360" w:lineRule="auto"/>
              <w:ind w:firstLine="480" w:firstLineChars="200"/>
              <w:jc w:val="both"/>
              <w:rPr>
                <w:rFonts w:hint="default" w:ascii="Times New Roman" w:hAnsi="Times New Roman" w:cs="Times New Roman"/>
                <w:b/>
                <w:color w:val="auto"/>
                <w:kern w:val="28"/>
                <w:sz w:val="24"/>
                <w:highlight w:val="none"/>
                <w:u w:val="none"/>
              </w:rPr>
            </w:pPr>
            <w:r>
              <w:rPr>
                <w:rFonts w:ascii="Times New Roman" w:hAnsi="Times New Roman" w:eastAsia="宋体" w:cs="Times New Roman"/>
                <w:color w:val="auto"/>
                <w:kern w:val="0"/>
                <w:sz w:val="24"/>
                <w:szCs w:val="24"/>
                <w:highlight w:val="none"/>
                <w:u w:val="none"/>
                <w:lang w:val="en-US" w:eastAsia="zh-CN" w:bidi="ar-SA"/>
              </w:rPr>
              <w:t>采样平台应设置在排污口附近，确保采样人员能够安全、便捷地到达，且不影响污染物排放的流动状态。平台需避开弯头、阀门等可能影响水流或气流稳定性的位置，确保采样数据代表性</w:t>
            </w:r>
            <w:r>
              <w:rPr>
                <w:rFonts w:hint="eastAsia" w:ascii="Times New Roman" w:hAnsi="Times New Roman" w:eastAsia="宋体" w:cs="Times New Roman"/>
                <w:color w:val="auto"/>
                <w:kern w:val="0"/>
                <w:sz w:val="24"/>
                <w:szCs w:val="24"/>
                <w:highlight w:val="none"/>
                <w:u w:val="none"/>
                <w:lang w:val="en-US" w:eastAsia="zh-CN" w:bidi="ar-SA"/>
              </w:rPr>
              <w:t>；</w:t>
            </w:r>
            <w:r>
              <w:rPr>
                <w:rFonts w:ascii="Times New Roman" w:hAnsi="Times New Roman" w:eastAsia="宋体" w:cs="Times New Roman"/>
                <w:color w:val="auto"/>
                <w:kern w:val="0"/>
                <w:sz w:val="24"/>
                <w:szCs w:val="24"/>
                <w:highlight w:val="none"/>
                <w:u w:val="none"/>
                <w:lang w:val="en-US" w:eastAsia="zh-CN" w:bidi="ar-SA"/>
              </w:rPr>
              <w:t>平台应具备足够的承载能力和稳定性，承重能力需满足至少3人同时作业（建议≥300kg/m²）</w:t>
            </w:r>
            <w:r>
              <w:rPr>
                <w:rFonts w:hint="eastAsia" w:ascii="Times New Roman" w:hAnsi="Times New Roman" w:eastAsia="宋体" w:cs="Times New Roman"/>
                <w:color w:val="auto"/>
                <w:kern w:val="0"/>
                <w:sz w:val="24"/>
                <w:szCs w:val="24"/>
                <w:highlight w:val="none"/>
                <w:u w:val="none"/>
                <w:lang w:val="en-US" w:eastAsia="zh-CN" w:bidi="ar-SA"/>
              </w:rPr>
              <w:t>；</w:t>
            </w:r>
            <w:r>
              <w:rPr>
                <w:rFonts w:ascii="Times New Roman" w:hAnsi="Times New Roman" w:eastAsia="宋体" w:cs="Times New Roman"/>
                <w:color w:val="auto"/>
                <w:kern w:val="0"/>
                <w:sz w:val="24"/>
                <w:szCs w:val="24"/>
                <w:highlight w:val="none"/>
                <w:u w:val="none"/>
                <w:lang w:val="en-US" w:eastAsia="zh-CN" w:bidi="ar-SA"/>
              </w:rPr>
              <w:t>平台宽度不小于1.2米，长度需覆盖采样操作区域，并设置高度≥1.1米的防护栏杆，防止人员坠落</w:t>
            </w:r>
            <w:r>
              <w:rPr>
                <w:rFonts w:hint="eastAsia" w:ascii="Times New Roman" w:hAnsi="Times New Roman" w:eastAsia="宋体" w:cs="Times New Roman"/>
                <w:color w:val="auto"/>
                <w:kern w:val="0"/>
                <w:sz w:val="24"/>
                <w:szCs w:val="24"/>
                <w:highlight w:val="none"/>
                <w:u w:val="none"/>
                <w:lang w:val="en-US" w:eastAsia="zh-CN" w:bidi="ar-SA"/>
              </w:rPr>
              <w:t>。</w:t>
            </w:r>
            <w:r>
              <w:rPr>
                <w:rFonts w:hint="default" w:ascii="Times New Roman" w:hAnsi="Times New Roman" w:eastAsia="宋体" w:cs="Times New Roman"/>
                <w:color w:val="auto"/>
                <w:kern w:val="2"/>
                <w:sz w:val="24"/>
                <w:szCs w:val="24"/>
                <w:highlight w:val="none"/>
                <w:u w:val="none"/>
                <w:shd w:val="clear" w:color="auto" w:fill="auto"/>
                <w:lang w:val="en-US" w:eastAsia="zh-CN" w:bidi="en-US"/>
              </w:rPr>
              <w:t>采样平台及附属设施（如护栏、爬梯）应采用耐腐蚀、耐候性材料（如不锈钢、热镀锌钢或玻璃钢），适应潮湿、酸碱等复杂环境。</w:t>
            </w:r>
            <w:r>
              <w:rPr>
                <w:rFonts w:ascii="Times New Roman" w:hAnsi="Times New Roman" w:eastAsia="宋体" w:cs="Times New Roman"/>
                <w:color w:val="auto"/>
                <w:kern w:val="0"/>
                <w:sz w:val="24"/>
                <w:szCs w:val="24"/>
                <w:highlight w:val="none"/>
                <w:u w:val="none"/>
                <w:lang w:val="en-US" w:eastAsia="zh-CN" w:bidi="ar-SA"/>
              </w:rPr>
              <w:t>排污管道或排放设施上应预留标准化采样孔，孔径与位置需符合</w:t>
            </w:r>
            <w:r>
              <w:rPr>
                <w:rFonts w:hint="default" w:ascii="Times New Roman" w:hAnsi="Times New Roman" w:eastAsia="宋体" w:cs="Times New Roman"/>
                <w:color w:val="auto"/>
                <w:kern w:val="2"/>
                <w:sz w:val="24"/>
                <w:szCs w:val="24"/>
                <w:highlight w:val="none"/>
                <w:u w:val="none"/>
                <w:shd w:val="clear" w:color="auto" w:fill="auto"/>
                <w:lang w:val="en-US" w:eastAsia="zh-CN" w:bidi="en-US"/>
              </w:rPr>
              <w:t>《排污单位污染物排放口监测点位设置技术规范》（HJ1405-2024）要求。</w:t>
            </w:r>
          </w:p>
          <w:p w14:paraId="579BDB22">
            <w:pPr>
              <w:spacing w:line="360" w:lineRule="auto"/>
              <w:rPr>
                <w:rFonts w:hint="default" w:ascii="Times New Roman" w:hAnsi="Times New Roman" w:cs="Times New Roman"/>
                <w:b/>
                <w:color w:val="auto"/>
                <w:kern w:val="0"/>
                <w:sz w:val="24"/>
                <w:highlight w:val="none"/>
                <w:u w:val="none"/>
              </w:rPr>
            </w:pPr>
            <w:r>
              <w:rPr>
                <w:rFonts w:hint="eastAsia" w:cs="Times New Roman"/>
                <w:b/>
                <w:color w:val="auto"/>
                <w:kern w:val="28"/>
                <w:sz w:val="24"/>
                <w:highlight w:val="none"/>
                <w:u w:val="none"/>
                <w:lang w:val="en-US" w:eastAsia="zh-CN"/>
              </w:rPr>
              <w:t>10、</w:t>
            </w:r>
            <w:r>
              <w:rPr>
                <w:rFonts w:hint="default" w:ascii="Times New Roman" w:hAnsi="Times New Roman" w:cs="Times New Roman"/>
                <w:b/>
                <w:color w:val="auto"/>
                <w:kern w:val="28"/>
                <w:sz w:val="24"/>
                <w:highlight w:val="none"/>
                <w:u w:val="none"/>
              </w:rPr>
              <w:t>环保投资</w:t>
            </w:r>
          </w:p>
          <w:p w14:paraId="28466A55">
            <w:pPr>
              <w:spacing w:line="360" w:lineRule="auto"/>
              <w:ind w:firstLine="480" w:firstLineChars="200"/>
              <w:rPr>
                <w:rFonts w:hint="default" w:ascii="Times New Roman" w:hAnsi="Times New Roman" w:cs="Times New Roman"/>
                <w:b/>
                <w:bCs/>
                <w:snapToGrid w:val="0"/>
                <w:color w:val="auto"/>
                <w:sz w:val="24"/>
                <w:highlight w:val="none"/>
                <w:u w:val="none"/>
                <w:lang w:val="zh-CN"/>
              </w:rPr>
            </w:pPr>
            <w:r>
              <w:rPr>
                <w:rFonts w:hint="eastAsia" w:cs="Times New Roman"/>
                <w:color w:val="auto"/>
                <w:sz w:val="24"/>
                <w:highlight w:val="none"/>
                <w:u w:val="none"/>
                <w:lang w:val="en-US" w:eastAsia="zh-CN"/>
              </w:rPr>
              <w:t>变动后</w:t>
            </w:r>
            <w:r>
              <w:rPr>
                <w:rFonts w:hint="default" w:ascii="Times New Roman" w:hAnsi="Times New Roman" w:cs="Times New Roman"/>
                <w:color w:val="auto"/>
                <w:sz w:val="24"/>
                <w:highlight w:val="none"/>
                <w:u w:val="none"/>
              </w:rPr>
              <w:t>项目总投资</w:t>
            </w:r>
            <w:r>
              <w:rPr>
                <w:rFonts w:hint="eastAsia" w:cs="Times New Roman"/>
                <w:color w:val="auto"/>
                <w:sz w:val="24"/>
                <w:highlight w:val="none"/>
                <w:u w:val="none"/>
                <w:lang w:val="en-US" w:eastAsia="zh-CN"/>
              </w:rPr>
              <w:t>160</w:t>
            </w:r>
            <w:r>
              <w:rPr>
                <w:rFonts w:hint="default" w:ascii="Times New Roman" w:hAnsi="Times New Roman" w:cs="Times New Roman"/>
                <w:color w:val="auto"/>
                <w:sz w:val="24"/>
                <w:highlight w:val="none"/>
                <w:u w:val="none"/>
              </w:rPr>
              <w:t>万元，环保</w:t>
            </w:r>
            <w:r>
              <w:rPr>
                <w:rFonts w:hint="eastAsia" w:cs="Times New Roman"/>
                <w:color w:val="auto"/>
                <w:sz w:val="24"/>
                <w:highlight w:val="none"/>
                <w:u w:val="none"/>
                <w:lang w:val="en-US" w:eastAsia="zh-CN"/>
              </w:rPr>
              <w:t>新增</w:t>
            </w:r>
            <w:r>
              <w:rPr>
                <w:rFonts w:hint="default" w:ascii="Times New Roman" w:hAnsi="Times New Roman" w:cs="Times New Roman"/>
                <w:color w:val="auto"/>
                <w:sz w:val="24"/>
                <w:highlight w:val="none"/>
                <w:u w:val="none"/>
              </w:rPr>
              <w:t>投资为</w:t>
            </w:r>
            <w:r>
              <w:rPr>
                <w:rFonts w:hint="eastAsia" w:cs="Times New Roman"/>
                <w:color w:val="auto"/>
                <w:sz w:val="24"/>
                <w:highlight w:val="none"/>
                <w:u w:val="none"/>
                <w:lang w:val="en-US" w:eastAsia="zh-CN"/>
              </w:rPr>
              <w:t>36</w:t>
            </w:r>
            <w:r>
              <w:rPr>
                <w:rFonts w:hint="default" w:ascii="Times New Roman" w:hAnsi="Times New Roman" w:cs="Times New Roman"/>
                <w:color w:val="auto"/>
                <w:sz w:val="24"/>
                <w:highlight w:val="none"/>
                <w:u w:val="none"/>
              </w:rPr>
              <w:t>万元，占项目总投资的</w:t>
            </w:r>
            <w:r>
              <w:rPr>
                <w:rFonts w:hint="eastAsia" w:cs="Times New Roman"/>
                <w:color w:val="auto"/>
                <w:sz w:val="24"/>
                <w:highlight w:val="none"/>
                <w:u w:val="none"/>
                <w:lang w:val="en-US" w:eastAsia="zh-CN"/>
              </w:rPr>
              <w:t>22.5</w:t>
            </w:r>
            <w:r>
              <w:rPr>
                <w:rFonts w:hint="default" w:ascii="Times New Roman" w:hAnsi="Times New Roman" w:cs="Times New Roman"/>
                <w:color w:val="auto"/>
                <w:sz w:val="24"/>
                <w:highlight w:val="none"/>
                <w:u w:val="none"/>
              </w:rPr>
              <w:t>%。</w:t>
            </w:r>
            <w:r>
              <w:rPr>
                <w:rFonts w:hint="default" w:ascii="Times New Roman" w:hAnsi="Times New Roman" w:cs="Times New Roman"/>
                <w:bCs/>
                <w:snapToGrid w:val="0"/>
                <w:color w:val="auto"/>
                <w:sz w:val="24"/>
                <w:szCs w:val="21"/>
                <w:highlight w:val="none"/>
                <w:u w:val="none"/>
                <w:lang w:val="zh-CN"/>
              </w:rPr>
              <w:t>环保设施与投资见</w:t>
            </w:r>
            <w:r>
              <w:rPr>
                <w:rFonts w:hint="eastAsia" w:cs="Times New Roman"/>
                <w:bCs/>
                <w:snapToGrid w:val="0"/>
                <w:color w:val="auto"/>
                <w:sz w:val="24"/>
                <w:szCs w:val="21"/>
                <w:highlight w:val="none"/>
                <w:u w:val="none"/>
                <w:lang w:val="en-US" w:eastAsia="zh-CN"/>
              </w:rPr>
              <w:t>下表</w:t>
            </w:r>
            <w:r>
              <w:rPr>
                <w:rFonts w:hint="default" w:ascii="Times New Roman" w:hAnsi="Times New Roman" w:cs="Times New Roman"/>
                <w:bCs/>
                <w:snapToGrid w:val="0"/>
                <w:color w:val="auto"/>
                <w:sz w:val="24"/>
                <w:szCs w:val="21"/>
                <w:highlight w:val="none"/>
                <w:u w:val="none"/>
                <w:lang w:val="zh-CN"/>
              </w:rPr>
              <w:t>。</w:t>
            </w:r>
          </w:p>
          <w:p w14:paraId="04865456">
            <w:pPr>
              <w:tabs>
                <w:tab w:val="left" w:pos="360"/>
              </w:tabs>
              <w:jc w:val="center"/>
              <w:rPr>
                <w:rFonts w:hint="default" w:ascii="Times New Roman" w:hAnsi="Times New Roman" w:cs="Times New Roman"/>
                <w:b/>
                <w:bCs/>
                <w:snapToGrid w:val="0"/>
                <w:color w:val="auto"/>
                <w:sz w:val="21"/>
                <w:szCs w:val="21"/>
                <w:highlight w:val="none"/>
                <w:u w:val="none" w:color="auto"/>
                <w:lang w:val="zh-CN"/>
              </w:rPr>
            </w:pPr>
            <w:r>
              <w:rPr>
                <w:rFonts w:hint="default" w:ascii="Times New Roman" w:hAnsi="Times New Roman" w:cs="Times New Roman"/>
                <w:b/>
                <w:bCs/>
                <w:snapToGrid w:val="0"/>
                <w:color w:val="auto"/>
                <w:sz w:val="21"/>
                <w:szCs w:val="21"/>
                <w:highlight w:val="none"/>
                <w:u w:val="none" w:color="auto"/>
                <w:lang w:val="zh-CN"/>
              </w:rPr>
              <w:t>表</w:t>
            </w:r>
            <w:r>
              <w:rPr>
                <w:rFonts w:hint="default" w:ascii="Times New Roman" w:hAnsi="Times New Roman" w:cs="Times New Roman"/>
                <w:b/>
                <w:bCs/>
                <w:snapToGrid w:val="0"/>
                <w:color w:val="auto"/>
                <w:sz w:val="21"/>
                <w:szCs w:val="21"/>
                <w:highlight w:val="none"/>
                <w:u w:val="none" w:color="auto"/>
              </w:rPr>
              <w:t>4-</w:t>
            </w:r>
            <w:r>
              <w:rPr>
                <w:rFonts w:hint="eastAsia" w:cs="Times New Roman"/>
                <w:b/>
                <w:bCs/>
                <w:snapToGrid w:val="0"/>
                <w:color w:val="auto"/>
                <w:sz w:val="21"/>
                <w:szCs w:val="21"/>
                <w:highlight w:val="none"/>
                <w:u w:val="none" w:color="auto"/>
                <w:lang w:val="en-US" w:eastAsia="zh-CN"/>
              </w:rPr>
              <w:t xml:space="preserve">26  </w:t>
            </w:r>
            <w:r>
              <w:rPr>
                <w:rFonts w:hint="default" w:ascii="Times New Roman" w:hAnsi="Times New Roman" w:cs="Times New Roman"/>
                <w:b/>
                <w:bCs/>
                <w:snapToGrid w:val="0"/>
                <w:color w:val="auto"/>
                <w:sz w:val="21"/>
                <w:szCs w:val="21"/>
                <w:highlight w:val="none"/>
                <w:u w:val="none" w:color="auto"/>
                <w:lang w:val="zh-CN"/>
              </w:rPr>
              <w:t>环保设施与投资一览表</w:t>
            </w:r>
          </w:p>
          <w:tbl>
            <w:tblPr>
              <w:tblStyle w:val="33"/>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876"/>
              <w:gridCol w:w="2004"/>
              <w:gridCol w:w="3803"/>
              <w:gridCol w:w="1311"/>
            </w:tblGrid>
            <w:tr w14:paraId="2E9FAE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1801" w:type="pct"/>
                  <w:gridSpan w:val="2"/>
                  <w:noWrap w:val="0"/>
                  <w:tcMar>
                    <w:left w:w="0" w:type="dxa"/>
                    <w:right w:w="0" w:type="dxa"/>
                  </w:tcMar>
                  <w:vAlign w:val="center"/>
                </w:tcPr>
                <w:p w14:paraId="2B77EB20">
                  <w:pPr>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治理项目</w:t>
                  </w:r>
                </w:p>
              </w:tc>
              <w:tc>
                <w:tcPr>
                  <w:tcW w:w="2378" w:type="pct"/>
                  <w:noWrap w:val="0"/>
                  <w:tcMar>
                    <w:left w:w="0" w:type="dxa"/>
                    <w:right w:w="0" w:type="dxa"/>
                  </w:tcMar>
                  <w:vAlign w:val="center"/>
                </w:tcPr>
                <w:p w14:paraId="738BBF60">
                  <w:pPr>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污染防治设施或措施</w:t>
                  </w:r>
                </w:p>
              </w:tc>
              <w:tc>
                <w:tcPr>
                  <w:tcW w:w="820" w:type="pct"/>
                  <w:noWrap w:val="0"/>
                  <w:tcMar>
                    <w:left w:w="0" w:type="dxa"/>
                    <w:right w:w="0" w:type="dxa"/>
                  </w:tcMar>
                  <w:vAlign w:val="center"/>
                </w:tcPr>
                <w:p w14:paraId="2EF1DE37">
                  <w:pPr>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投资（万元）</w:t>
                  </w:r>
                </w:p>
              </w:tc>
            </w:tr>
            <w:tr w14:paraId="1A576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96" w:hRule="atLeast"/>
                <w:jc w:val="center"/>
              </w:trPr>
              <w:tc>
                <w:tcPr>
                  <w:tcW w:w="548" w:type="pct"/>
                  <w:vMerge w:val="restart"/>
                  <w:noWrap w:val="0"/>
                  <w:tcMar>
                    <w:left w:w="0" w:type="dxa"/>
                    <w:right w:w="0" w:type="dxa"/>
                  </w:tcMar>
                  <w:vAlign w:val="center"/>
                </w:tcPr>
                <w:p w14:paraId="61108211">
                  <w:pPr>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废气</w:t>
                  </w:r>
                </w:p>
                <w:p w14:paraId="7A4A85BC">
                  <w:pPr>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治理</w:t>
                  </w:r>
                </w:p>
              </w:tc>
              <w:tc>
                <w:tcPr>
                  <w:tcW w:w="1253" w:type="pct"/>
                  <w:noWrap w:val="0"/>
                  <w:tcMar>
                    <w:left w:w="0" w:type="dxa"/>
                    <w:right w:w="0" w:type="dxa"/>
                  </w:tcMar>
                  <w:vAlign w:val="center"/>
                </w:tcPr>
                <w:p w14:paraId="29371FB3">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hAnsi="Times New Roman" w:cs="Times New Roman"/>
                      <w:color w:val="auto"/>
                      <w:sz w:val="21"/>
                      <w:szCs w:val="21"/>
                      <w:highlight w:val="none"/>
                      <w:u w:val="none" w:color="auto"/>
                      <w:lang w:val="en-US" w:eastAsia="zh-CN"/>
                    </w:rPr>
                  </w:pPr>
                  <w:r>
                    <w:rPr>
                      <w:rFonts w:hint="default" w:hAnsi="Times New Roman" w:cs="Times New Roman"/>
                      <w:color w:val="auto"/>
                      <w:sz w:val="21"/>
                      <w:szCs w:val="21"/>
                      <w:highlight w:val="none"/>
                      <w:u w:val="none" w:color="auto"/>
                      <w:lang w:val="en-US" w:eastAsia="zh-CN"/>
                    </w:rPr>
                    <w:t>钢瓶残气回收、瓶阀拆卸</w:t>
                  </w:r>
                  <w:r>
                    <w:rPr>
                      <w:rFonts w:hint="eastAsia" w:hAnsi="Times New Roman" w:cs="Times New Roman"/>
                      <w:color w:val="auto"/>
                      <w:sz w:val="21"/>
                      <w:szCs w:val="21"/>
                      <w:highlight w:val="none"/>
                      <w:u w:val="none" w:color="auto"/>
                      <w:lang w:val="en-US" w:eastAsia="zh-CN"/>
                    </w:rPr>
                    <w:t>非甲烷总烃</w:t>
                  </w:r>
                </w:p>
              </w:tc>
              <w:tc>
                <w:tcPr>
                  <w:tcW w:w="2378" w:type="pct"/>
                  <w:noWrap w:val="0"/>
                  <w:tcMar>
                    <w:left w:w="0" w:type="dxa"/>
                    <w:right w:w="0" w:type="dxa"/>
                  </w:tcMar>
                  <w:vAlign w:val="center"/>
                </w:tcPr>
                <w:p w14:paraId="575400EB">
                  <w:pPr>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cs="Times New Roman"/>
                      <w:b w:val="0"/>
                      <w:bCs w:val="0"/>
                      <w:color w:val="auto"/>
                      <w:sz w:val="21"/>
                      <w:szCs w:val="21"/>
                      <w:highlight w:val="none"/>
                      <w:u w:val="none" w:color="auto"/>
                      <w:lang w:val="en-US" w:eastAsia="zh-CN"/>
                    </w:rPr>
                    <w:t>密闭残气回收装置</w:t>
                  </w:r>
                </w:p>
              </w:tc>
              <w:tc>
                <w:tcPr>
                  <w:tcW w:w="820" w:type="pct"/>
                  <w:noWrap w:val="0"/>
                  <w:tcMar>
                    <w:left w:w="0" w:type="dxa"/>
                    <w:right w:w="0" w:type="dxa"/>
                  </w:tcMar>
                  <w:vAlign w:val="center"/>
                </w:tcPr>
                <w:p w14:paraId="19747E40">
                  <w:pPr>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3</w:t>
                  </w:r>
                </w:p>
              </w:tc>
            </w:tr>
            <w:tr w14:paraId="1E26D1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96" w:hRule="atLeast"/>
                <w:jc w:val="center"/>
              </w:trPr>
              <w:tc>
                <w:tcPr>
                  <w:tcW w:w="548" w:type="pct"/>
                  <w:vMerge w:val="continue"/>
                  <w:noWrap w:val="0"/>
                  <w:tcMar>
                    <w:left w:w="0" w:type="dxa"/>
                    <w:right w:w="0" w:type="dxa"/>
                  </w:tcMar>
                  <w:vAlign w:val="center"/>
                </w:tcPr>
                <w:p w14:paraId="1F8BE576">
                  <w:pPr>
                    <w:jc w:val="center"/>
                    <w:rPr>
                      <w:rFonts w:hint="default" w:ascii="Times New Roman" w:hAnsi="Times New Roman" w:cs="Times New Roman"/>
                      <w:color w:val="auto"/>
                      <w:sz w:val="21"/>
                      <w:szCs w:val="21"/>
                      <w:highlight w:val="none"/>
                      <w:u w:val="none" w:color="auto"/>
                    </w:rPr>
                  </w:pPr>
                </w:p>
              </w:tc>
              <w:tc>
                <w:tcPr>
                  <w:tcW w:w="1253" w:type="pct"/>
                  <w:shd w:val="clear" w:color="auto" w:fill="auto"/>
                  <w:noWrap w:val="0"/>
                  <w:tcMar>
                    <w:left w:w="0" w:type="dxa"/>
                    <w:right w:w="0" w:type="dxa"/>
                  </w:tcMar>
                  <w:vAlign w:val="center"/>
                </w:tcPr>
                <w:p w14:paraId="622B8036">
                  <w:pPr>
                    <w:pStyle w:val="114"/>
                    <w:keepNext w:val="0"/>
                    <w:keepLines w:val="0"/>
                    <w:pageBreakBefore w:val="0"/>
                    <w:widowControl/>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eastAsia" w:ascii="宋体"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spacing w:val="7"/>
                      <w:sz w:val="21"/>
                      <w:szCs w:val="21"/>
                      <w:highlight w:val="none"/>
                      <w:u w:val="none" w:color="auto"/>
                      <w:lang w:val="en-US" w:eastAsia="zh-CN"/>
                    </w:rPr>
                    <w:t>焚烧炉废气：</w:t>
                  </w:r>
                  <w:r>
                    <w:rPr>
                      <w:rFonts w:hint="default" w:ascii="Times New Roman" w:hAnsi="Times New Roman" w:cs="Times New Roman"/>
                      <w:color w:val="auto"/>
                      <w:spacing w:val="6"/>
                      <w:sz w:val="21"/>
                      <w:szCs w:val="21"/>
                      <w:highlight w:val="none"/>
                      <w:u w:val="none" w:color="auto"/>
                      <w:lang w:val="en-US" w:eastAsia="zh-CN"/>
                    </w:rPr>
                    <w:t>颗粒物</w:t>
                  </w:r>
                  <w:r>
                    <w:rPr>
                      <w:rFonts w:hint="eastAsia" w:ascii="Times New Roman" w:hAnsi="Times New Roman" w:cs="Times New Roman"/>
                      <w:color w:val="auto"/>
                      <w:spacing w:val="6"/>
                      <w:sz w:val="21"/>
                      <w:szCs w:val="21"/>
                      <w:highlight w:val="none"/>
                      <w:u w:val="none" w:color="auto"/>
                      <w:lang w:val="en-US" w:eastAsia="zh-CN"/>
                    </w:rPr>
                    <w:t>、SO</w:t>
                  </w:r>
                  <w:r>
                    <w:rPr>
                      <w:rFonts w:hint="eastAsia" w:ascii="Times New Roman" w:hAnsi="Times New Roman" w:cs="Times New Roman"/>
                      <w:color w:val="auto"/>
                      <w:spacing w:val="6"/>
                      <w:sz w:val="21"/>
                      <w:szCs w:val="21"/>
                      <w:highlight w:val="none"/>
                      <w:u w:val="none" w:color="auto"/>
                      <w:vertAlign w:val="subscript"/>
                      <w:lang w:val="en-US" w:eastAsia="zh-CN"/>
                    </w:rPr>
                    <w:t>2</w:t>
                  </w:r>
                  <w:r>
                    <w:rPr>
                      <w:rFonts w:hint="eastAsia" w:ascii="Times New Roman" w:hAnsi="Times New Roman" w:cs="Times New Roman"/>
                      <w:color w:val="auto"/>
                      <w:spacing w:val="6"/>
                      <w:sz w:val="21"/>
                      <w:szCs w:val="21"/>
                      <w:highlight w:val="none"/>
                      <w:u w:val="none" w:color="auto"/>
                      <w:lang w:val="en-US" w:eastAsia="zh-CN"/>
                    </w:rPr>
                    <w:t>、氮氧化物</w:t>
                  </w:r>
                </w:p>
              </w:tc>
              <w:tc>
                <w:tcPr>
                  <w:tcW w:w="2378" w:type="pct"/>
                  <w:shd w:val="clear" w:color="auto" w:fill="auto"/>
                  <w:noWrap w:val="0"/>
                  <w:tcMar>
                    <w:left w:w="0" w:type="dxa"/>
                    <w:right w:w="0" w:type="dxa"/>
                  </w:tcMar>
                  <w:vAlign w:val="center"/>
                </w:tcPr>
                <w:p w14:paraId="71E5BDB1">
                  <w:pPr>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sz w:val="21"/>
                      <w:szCs w:val="21"/>
                      <w:highlight w:val="none"/>
                      <w:u w:val="none" w:color="auto"/>
                      <w:lang w:val="en-US" w:eastAsia="zh-CN"/>
                    </w:rPr>
                    <w:t>采用</w:t>
                  </w:r>
                  <w:r>
                    <w:rPr>
                      <w:rFonts w:hint="eastAsia" w:ascii="Times New Roman" w:hAnsi="Times New Roman" w:eastAsia="宋体" w:cs="Times New Roman"/>
                      <w:color w:val="auto"/>
                      <w:sz w:val="21"/>
                      <w:szCs w:val="21"/>
                      <w:highlight w:val="none"/>
                      <w:u w:val="none" w:color="auto"/>
                      <w:lang w:val="en-US" w:eastAsia="zh-CN"/>
                    </w:rPr>
                    <w:t>“</w:t>
                  </w:r>
                  <w:r>
                    <w:rPr>
                      <w:rFonts w:hint="eastAsia" w:cs="Times New Roman"/>
                      <w:color w:val="auto"/>
                      <w:sz w:val="21"/>
                      <w:szCs w:val="21"/>
                      <w:highlight w:val="none"/>
                      <w:u w:val="none" w:color="auto"/>
                      <w:lang w:val="en-US" w:eastAsia="zh-CN"/>
                    </w:rPr>
                    <w:t>旋风除尘+高温布袋除尘</w:t>
                  </w:r>
                  <w:r>
                    <w:rPr>
                      <w:rFonts w:hint="eastAsia" w:ascii="Times New Roman" w:hAnsi="Times New Roman" w:eastAsia="宋体" w:cs="Times New Roman"/>
                      <w:color w:val="auto"/>
                      <w:sz w:val="21"/>
                      <w:szCs w:val="21"/>
                      <w:highlight w:val="none"/>
                      <w:u w:val="none" w:color="auto"/>
                      <w:lang w:val="en-US" w:eastAsia="zh-CN"/>
                    </w:rPr>
                    <w:t>”</w:t>
                  </w:r>
                  <w:r>
                    <w:rPr>
                      <w:rFonts w:hint="eastAsia" w:cs="Times New Roman"/>
                      <w:color w:val="auto"/>
                      <w:sz w:val="21"/>
                      <w:szCs w:val="21"/>
                      <w:highlight w:val="none"/>
                      <w:u w:val="none" w:color="auto"/>
                      <w:lang w:val="en-US" w:eastAsia="zh-CN"/>
                    </w:rPr>
                    <w:t>装置处理后经</w:t>
                  </w:r>
                  <w:r>
                    <w:rPr>
                      <w:rFonts w:hint="eastAsia" w:ascii="Times New Roman" w:hAnsi="Times New Roman" w:eastAsia="宋体" w:cs="Times New Roman"/>
                      <w:color w:val="auto"/>
                      <w:sz w:val="21"/>
                      <w:szCs w:val="21"/>
                      <w:highlight w:val="none"/>
                      <w:u w:val="none" w:color="auto"/>
                      <w:lang w:val="en-US" w:eastAsia="zh-CN"/>
                    </w:rPr>
                    <w:t>15m</w:t>
                  </w:r>
                  <w:r>
                    <w:rPr>
                      <w:rFonts w:hint="eastAsia" w:cs="Times New Roman"/>
                      <w:color w:val="auto"/>
                      <w:sz w:val="21"/>
                      <w:szCs w:val="21"/>
                      <w:highlight w:val="none"/>
                      <w:u w:val="none" w:color="auto"/>
                      <w:lang w:val="en-US" w:eastAsia="zh-CN"/>
                    </w:rPr>
                    <w:t>高</w:t>
                  </w:r>
                  <w:r>
                    <w:rPr>
                      <w:rFonts w:hint="eastAsia" w:ascii="Times New Roman" w:hAnsi="Times New Roman" w:eastAsia="宋体" w:cs="Times New Roman"/>
                      <w:color w:val="auto"/>
                      <w:sz w:val="21"/>
                      <w:szCs w:val="21"/>
                      <w:highlight w:val="none"/>
                      <w:u w:val="none" w:color="auto"/>
                      <w:lang w:val="en-US" w:eastAsia="zh-CN"/>
                    </w:rPr>
                    <w:t>排气筒</w:t>
                  </w:r>
                  <w:r>
                    <w:rPr>
                      <w:rFonts w:hint="eastAsia" w:cs="Times New Roman"/>
                      <w:color w:val="auto"/>
                      <w:sz w:val="21"/>
                      <w:szCs w:val="21"/>
                      <w:highlight w:val="none"/>
                      <w:u w:val="none" w:color="auto"/>
                      <w:lang w:val="en-US" w:eastAsia="zh-CN"/>
                    </w:rPr>
                    <w:t>排放</w:t>
                  </w:r>
                  <w:r>
                    <w:rPr>
                      <w:rFonts w:hint="eastAsia" w:ascii="Times New Roman" w:hAnsi="Times New Roman" w:eastAsia="宋体" w:cs="Times New Roman"/>
                      <w:color w:val="auto"/>
                      <w:sz w:val="21"/>
                      <w:szCs w:val="21"/>
                      <w:highlight w:val="none"/>
                      <w:u w:val="none" w:color="auto"/>
                      <w:lang w:val="en-US" w:eastAsia="zh-CN"/>
                    </w:rPr>
                    <w:t>（</w:t>
                  </w:r>
                  <w:r>
                    <w:rPr>
                      <w:rFonts w:hint="eastAsia" w:cs="Times New Roman"/>
                      <w:color w:val="auto"/>
                      <w:sz w:val="21"/>
                      <w:szCs w:val="21"/>
                      <w:highlight w:val="none"/>
                      <w:u w:val="none" w:color="auto"/>
                      <w:lang w:val="en-US" w:eastAsia="zh-CN"/>
                    </w:rPr>
                    <w:t>DA001</w:t>
                  </w:r>
                  <w:r>
                    <w:rPr>
                      <w:rFonts w:hint="eastAsia" w:ascii="Times New Roman" w:hAnsi="Times New Roman" w:eastAsia="宋体" w:cs="Times New Roman"/>
                      <w:color w:val="auto"/>
                      <w:sz w:val="21"/>
                      <w:szCs w:val="21"/>
                      <w:highlight w:val="none"/>
                      <w:u w:val="none" w:color="auto"/>
                      <w:lang w:val="en-US" w:eastAsia="zh-CN"/>
                    </w:rPr>
                    <w:t>）</w:t>
                  </w:r>
                </w:p>
              </w:tc>
              <w:tc>
                <w:tcPr>
                  <w:tcW w:w="820" w:type="pct"/>
                  <w:shd w:val="clear" w:color="auto" w:fill="auto"/>
                  <w:noWrap w:val="0"/>
                  <w:tcMar>
                    <w:left w:w="0" w:type="dxa"/>
                    <w:right w:w="0" w:type="dxa"/>
                  </w:tcMar>
                  <w:vAlign w:val="center"/>
                </w:tcPr>
                <w:p w14:paraId="23FFC9F6">
                  <w:pPr>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sz w:val="21"/>
                      <w:szCs w:val="21"/>
                      <w:highlight w:val="none"/>
                      <w:u w:val="none" w:color="auto"/>
                      <w:lang w:val="en-US" w:eastAsia="zh-CN"/>
                    </w:rPr>
                    <w:t>30</w:t>
                  </w:r>
                </w:p>
              </w:tc>
            </w:tr>
            <w:tr w14:paraId="2D462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96" w:hRule="atLeast"/>
                <w:jc w:val="center"/>
              </w:trPr>
              <w:tc>
                <w:tcPr>
                  <w:tcW w:w="548" w:type="pct"/>
                  <w:vMerge w:val="continue"/>
                  <w:noWrap w:val="0"/>
                  <w:tcMar>
                    <w:left w:w="0" w:type="dxa"/>
                    <w:right w:w="0" w:type="dxa"/>
                  </w:tcMar>
                  <w:vAlign w:val="center"/>
                </w:tcPr>
                <w:p w14:paraId="1258D44A">
                  <w:pPr>
                    <w:jc w:val="center"/>
                    <w:rPr>
                      <w:rFonts w:hint="default" w:ascii="Times New Roman" w:hAnsi="Times New Roman" w:cs="Times New Roman"/>
                      <w:color w:val="auto"/>
                      <w:sz w:val="21"/>
                      <w:szCs w:val="21"/>
                      <w:highlight w:val="none"/>
                      <w:u w:val="none" w:color="auto"/>
                    </w:rPr>
                  </w:pPr>
                </w:p>
              </w:tc>
              <w:tc>
                <w:tcPr>
                  <w:tcW w:w="1253" w:type="pct"/>
                  <w:noWrap w:val="0"/>
                  <w:tcMar>
                    <w:left w:w="0" w:type="dxa"/>
                    <w:right w:w="0" w:type="dxa"/>
                  </w:tcMar>
                  <w:vAlign w:val="center"/>
                </w:tcPr>
                <w:p w14:paraId="24A7AAC2">
                  <w:pPr>
                    <w:pStyle w:val="118"/>
                    <w:rPr>
                      <w:rFonts w:hint="default" w:ascii="Times New Roman" w:hAnsi="Times New Roman" w:cs="Times New Roman"/>
                      <w:bCs/>
                      <w:color w:val="auto"/>
                      <w:sz w:val="21"/>
                      <w:szCs w:val="21"/>
                      <w:highlight w:val="none"/>
                      <w:u w:val="none" w:color="auto"/>
                    </w:rPr>
                  </w:pPr>
                  <w:r>
                    <w:rPr>
                      <w:rFonts w:hint="default" w:ascii="Times New Roman" w:hAnsi="Times New Roman" w:cs="Times New Roman"/>
                      <w:bCs/>
                      <w:color w:val="auto"/>
                      <w:sz w:val="21"/>
                      <w:szCs w:val="21"/>
                      <w:highlight w:val="none"/>
                      <w:u w:val="none" w:color="auto"/>
                    </w:rPr>
                    <w:t>无组织废气（非甲烷总烃</w:t>
                  </w:r>
                  <w:r>
                    <w:rPr>
                      <w:rFonts w:hint="eastAsia" w:hAnsi="Times New Roman" w:cs="Times New Roman"/>
                      <w:bCs/>
                      <w:color w:val="auto"/>
                      <w:sz w:val="21"/>
                      <w:szCs w:val="21"/>
                      <w:highlight w:val="none"/>
                      <w:u w:val="none" w:color="auto"/>
                      <w:lang w:eastAsia="zh-CN"/>
                    </w:rPr>
                    <w:t>、</w:t>
                  </w:r>
                  <w:r>
                    <w:rPr>
                      <w:rFonts w:hint="eastAsia" w:hAnsi="Times New Roman" w:cs="Times New Roman"/>
                      <w:bCs/>
                      <w:color w:val="auto"/>
                      <w:sz w:val="21"/>
                      <w:szCs w:val="21"/>
                      <w:highlight w:val="none"/>
                      <w:u w:val="none" w:color="auto"/>
                      <w:lang w:val="en-US" w:eastAsia="zh-CN"/>
                    </w:rPr>
                    <w:t>臭气浓度</w:t>
                  </w:r>
                  <w:r>
                    <w:rPr>
                      <w:rFonts w:hint="default" w:ascii="Times New Roman" w:hAnsi="Times New Roman" w:cs="Times New Roman"/>
                      <w:bCs/>
                      <w:color w:val="auto"/>
                      <w:sz w:val="21"/>
                      <w:szCs w:val="21"/>
                      <w:highlight w:val="none"/>
                      <w:u w:val="none" w:color="auto"/>
                    </w:rPr>
                    <w:t>）</w:t>
                  </w:r>
                </w:p>
              </w:tc>
              <w:tc>
                <w:tcPr>
                  <w:tcW w:w="2378" w:type="pct"/>
                  <w:noWrap w:val="0"/>
                  <w:tcMar>
                    <w:left w:w="0" w:type="dxa"/>
                    <w:right w:w="0" w:type="dxa"/>
                  </w:tcMar>
                  <w:vAlign w:val="center"/>
                </w:tcPr>
                <w:p w14:paraId="53679DA7">
                  <w:pPr>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lang w:val="en-US"/>
                    </w:rPr>
                    <w:t>巡检预警</w:t>
                  </w:r>
                  <w:r>
                    <w:rPr>
                      <w:rFonts w:hint="default" w:ascii="Times New Roman" w:hAnsi="Times New Roman" w:cs="Times New Roman"/>
                      <w:color w:val="auto"/>
                      <w:sz w:val="21"/>
                      <w:szCs w:val="21"/>
                      <w:highlight w:val="none"/>
                      <w:u w:val="none" w:color="auto"/>
                      <w:lang w:val="en-US" w:eastAsia="zh-CN"/>
                    </w:rPr>
                    <w:t>、加强绿化、加强车间通风</w:t>
                  </w:r>
                </w:p>
              </w:tc>
              <w:tc>
                <w:tcPr>
                  <w:tcW w:w="820" w:type="pct"/>
                  <w:noWrap w:val="0"/>
                  <w:tcMar>
                    <w:left w:w="0" w:type="dxa"/>
                    <w:right w:w="0" w:type="dxa"/>
                  </w:tcMar>
                  <w:vAlign w:val="center"/>
                </w:tcPr>
                <w:p w14:paraId="760DB13F">
                  <w:pPr>
                    <w:jc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w:t>
                  </w:r>
                </w:p>
              </w:tc>
            </w:tr>
            <w:tr w14:paraId="487A42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540" w:hRule="atLeast"/>
                <w:jc w:val="center"/>
              </w:trPr>
              <w:tc>
                <w:tcPr>
                  <w:tcW w:w="548" w:type="pct"/>
                  <w:noWrap w:val="0"/>
                  <w:tcMar>
                    <w:left w:w="0" w:type="dxa"/>
                    <w:right w:w="0" w:type="dxa"/>
                  </w:tcMar>
                  <w:vAlign w:val="center"/>
                </w:tcPr>
                <w:p w14:paraId="50379C39">
                  <w:pPr>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污水</w:t>
                  </w:r>
                </w:p>
                <w:p w14:paraId="42B7AF06">
                  <w:pPr>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治理</w:t>
                  </w:r>
                </w:p>
              </w:tc>
              <w:tc>
                <w:tcPr>
                  <w:tcW w:w="1253" w:type="pct"/>
                  <w:shd w:val="clear" w:color="auto" w:fill="auto"/>
                  <w:noWrap w:val="0"/>
                  <w:tcMar>
                    <w:left w:w="0" w:type="dxa"/>
                    <w:right w:w="0" w:type="dxa"/>
                  </w:tcMar>
                  <w:vAlign w:val="center"/>
                </w:tcPr>
                <w:p w14:paraId="57AC5C66">
                  <w:pPr>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rPr>
                    <w:t>生活污水</w:t>
                  </w:r>
                </w:p>
              </w:tc>
              <w:tc>
                <w:tcPr>
                  <w:tcW w:w="2378" w:type="pct"/>
                  <w:shd w:val="clear" w:color="auto" w:fill="auto"/>
                  <w:noWrap w:val="0"/>
                  <w:tcMar>
                    <w:left w:w="0" w:type="dxa"/>
                    <w:right w:w="0" w:type="dxa"/>
                  </w:tcMar>
                  <w:vAlign w:val="center"/>
                </w:tcPr>
                <w:p w14:paraId="42EDF538">
                  <w:pPr>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rPr>
                    <w:t>化粪池</w:t>
                  </w:r>
                  <w:r>
                    <w:rPr>
                      <w:rFonts w:hint="eastAsia" w:cs="Times New Roman"/>
                      <w:color w:val="auto"/>
                      <w:sz w:val="21"/>
                      <w:szCs w:val="21"/>
                      <w:highlight w:val="none"/>
                      <w:u w:val="none" w:color="auto"/>
                      <w:lang w:val="en-US" w:eastAsia="zh-CN"/>
                    </w:rPr>
                    <w:t>（依托现有）</w:t>
                  </w:r>
                </w:p>
              </w:tc>
              <w:tc>
                <w:tcPr>
                  <w:tcW w:w="820" w:type="pct"/>
                  <w:shd w:val="clear" w:color="auto" w:fill="auto"/>
                  <w:noWrap w:val="0"/>
                  <w:tcMar>
                    <w:left w:w="0" w:type="dxa"/>
                    <w:right w:w="0" w:type="dxa"/>
                  </w:tcMar>
                  <w:vAlign w:val="center"/>
                </w:tcPr>
                <w:p w14:paraId="70277C87">
                  <w:pPr>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kern w:val="2"/>
                      <w:sz w:val="21"/>
                      <w:szCs w:val="21"/>
                      <w:highlight w:val="none"/>
                      <w:u w:val="none" w:color="auto"/>
                      <w:lang w:val="en-US" w:eastAsia="zh-CN" w:bidi="ar-SA"/>
                    </w:rPr>
                    <w:t>/</w:t>
                  </w:r>
                </w:p>
              </w:tc>
            </w:tr>
            <w:tr w14:paraId="62D90A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96" w:hRule="atLeast"/>
                <w:jc w:val="center"/>
              </w:trPr>
              <w:tc>
                <w:tcPr>
                  <w:tcW w:w="548" w:type="pct"/>
                  <w:noWrap w:val="0"/>
                  <w:tcMar>
                    <w:left w:w="0" w:type="dxa"/>
                    <w:right w:w="0" w:type="dxa"/>
                  </w:tcMar>
                  <w:vAlign w:val="center"/>
                </w:tcPr>
                <w:p w14:paraId="30310762">
                  <w:pPr>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噪声治理</w:t>
                  </w:r>
                </w:p>
              </w:tc>
              <w:tc>
                <w:tcPr>
                  <w:tcW w:w="1253" w:type="pct"/>
                  <w:noWrap w:val="0"/>
                  <w:tcMar>
                    <w:left w:w="0" w:type="dxa"/>
                    <w:right w:w="0" w:type="dxa"/>
                  </w:tcMar>
                  <w:vAlign w:val="center"/>
                </w:tcPr>
                <w:p w14:paraId="1945CF8A">
                  <w:pPr>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设备噪声</w:t>
                  </w:r>
                </w:p>
              </w:tc>
              <w:tc>
                <w:tcPr>
                  <w:tcW w:w="2378" w:type="pct"/>
                  <w:noWrap w:val="0"/>
                  <w:tcMar>
                    <w:left w:w="0" w:type="dxa"/>
                    <w:right w:w="0" w:type="dxa"/>
                  </w:tcMar>
                  <w:vAlign w:val="center"/>
                </w:tcPr>
                <w:p w14:paraId="0260F027">
                  <w:pPr>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安装</w:t>
                  </w:r>
                  <w:r>
                    <w:rPr>
                      <w:rFonts w:hint="eastAsia" w:ascii="Times New Roman" w:hAnsi="Times New Roman" w:cs="Times New Roman"/>
                      <w:color w:val="auto"/>
                      <w:sz w:val="21"/>
                      <w:szCs w:val="21"/>
                      <w:highlight w:val="none"/>
                      <w:u w:val="none" w:color="auto"/>
                      <w:lang w:eastAsia="zh-CN"/>
                    </w:rPr>
                    <w:t>减振</w:t>
                  </w:r>
                  <w:r>
                    <w:rPr>
                      <w:rFonts w:hint="default" w:ascii="Times New Roman" w:hAnsi="Times New Roman" w:cs="Times New Roman"/>
                      <w:color w:val="auto"/>
                      <w:sz w:val="21"/>
                      <w:szCs w:val="21"/>
                      <w:highlight w:val="none"/>
                      <w:u w:val="none" w:color="auto"/>
                    </w:rPr>
                    <w:t>垫、吸声设备、厂房隔声</w:t>
                  </w:r>
                </w:p>
              </w:tc>
              <w:tc>
                <w:tcPr>
                  <w:tcW w:w="820" w:type="pct"/>
                  <w:noWrap w:val="0"/>
                  <w:tcMar>
                    <w:left w:w="0" w:type="dxa"/>
                    <w:right w:w="0" w:type="dxa"/>
                  </w:tcMar>
                  <w:vAlign w:val="center"/>
                </w:tcPr>
                <w:p w14:paraId="3A5089AD">
                  <w:pPr>
                    <w:jc w:val="center"/>
                    <w:rPr>
                      <w:rFonts w:hint="eastAsia" w:ascii="Times New Roman" w:hAnsi="Times New Roman" w:eastAsia="宋体" w:cs="Times New Roman"/>
                      <w:color w:val="auto"/>
                      <w:sz w:val="21"/>
                      <w:szCs w:val="21"/>
                      <w:highlight w:val="none"/>
                      <w:u w:val="none" w:color="auto"/>
                      <w:lang w:eastAsia="zh-CN"/>
                    </w:rPr>
                  </w:pPr>
                  <w:r>
                    <w:rPr>
                      <w:rFonts w:hint="eastAsia" w:cs="Times New Roman"/>
                      <w:color w:val="auto"/>
                      <w:sz w:val="21"/>
                      <w:szCs w:val="21"/>
                      <w:highlight w:val="none"/>
                      <w:u w:val="none" w:color="auto"/>
                      <w:lang w:val="en-US" w:eastAsia="zh-CN"/>
                    </w:rPr>
                    <w:t>1</w:t>
                  </w:r>
                </w:p>
              </w:tc>
            </w:tr>
            <w:tr w14:paraId="153412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691" w:hRule="atLeast"/>
                <w:jc w:val="center"/>
              </w:trPr>
              <w:tc>
                <w:tcPr>
                  <w:tcW w:w="548" w:type="pct"/>
                  <w:noWrap w:val="0"/>
                  <w:tcMar>
                    <w:left w:w="0" w:type="dxa"/>
                    <w:right w:w="0" w:type="dxa"/>
                  </w:tcMar>
                  <w:vAlign w:val="center"/>
                </w:tcPr>
                <w:p w14:paraId="58100497">
                  <w:pPr>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固废</w:t>
                  </w:r>
                </w:p>
              </w:tc>
              <w:tc>
                <w:tcPr>
                  <w:tcW w:w="1253" w:type="pct"/>
                  <w:noWrap w:val="0"/>
                  <w:tcMar>
                    <w:left w:w="0" w:type="dxa"/>
                    <w:right w:w="0" w:type="dxa"/>
                  </w:tcMar>
                  <w:vAlign w:val="center"/>
                </w:tcPr>
                <w:p w14:paraId="7B99E5A2">
                  <w:pPr>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rPr>
                    <w:t>一般固废、危险固废</w:t>
                  </w:r>
                  <w:r>
                    <w:rPr>
                      <w:rFonts w:hint="eastAsia" w:cs="Times New Roman"/>
                      <w:color w:val="auto"/>
                      <w:sz w:val="21"/>
                      <w:szCs w:val="21"/>
                      <w:highlight w:val="none"/>
                      <w:u w:val="none" w:color="auto"/>
                      <w:lang w:eastAsia="zh-CN"/>
                    </w:rPr>
                    <w:t>、</w:t>
                  </w:r>
                  <w:r>
                    <w:rPr>
                      <w:rFonts w:hint="eastAsia" w:cs="Times New Roman"/>
                      <w:color w:val="auto"/>
                      <w:sz w:val="21"/>
                      <w:szCs w:val="21"/>
                      <w:highlight w:val="none"/>
                      <w:u w:val="none" w:color="auto"/>
                      <w:lang w:val="en-US" w:eastAsia="zh-CN"/>
                    </w:rPr>
                    <w:t>生活垃圾</w:t>
                  </w:r>
                </w:p>
              </w:tc>
              <w:tc>
                <w:tcPr>
                  <w:tcW w:w="2378" w:type="pct"/>
                  <w:noWrap w:val="0"/>
                  <w:tcMar>
                    <w:left w:w="0" w:type="dxa"/>
                    <w:right w:w="0" w:type="dxa"/>
                  </w:tcMar>
                  <w:vAlign w:val="center"/>
                </w:tcPr>
                <w:p w14:paraId="76118A58">
                  <w:pPr>
                    <w:jc w:val="center"/>
                    <w:rPr>
                      <w:rFonts w:hint="eastAsia"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生活垃圾转运</w:t>
                  </w:r>
                </w:p>
                <w:p w14:paraId="21967C52">
                  <w:pPr>
                    <w:jc w:val="center"/>
                    <w:rPr>
                      <w:rFonts w:hint="default" w:ascii="Times New Roman" w:hAnsi="Times New Roman" w:cs="Times New Roman"/>
                      <w:color w:val="auto"/>
                      <w:sz w:val="21"/>
                      <w:szCs w:val="21"/>
                      <w:highlight w:val="none"/>
                      <w:u w:val="none" w:color="auto"/>
                      <w:vertAlign w:val="superscript"/>
                    </w:rPr>
                  </w:pPr>
                  <w:r>
                    <w:rPr>
                      <w:rFonts w:hint="default" w:ascii="Times New Roman" w:hAnsi="Times New Roman" w:cs="Times New Roman"/>
                      <w:color w:val="auto"/>
                      <w:sz w:val="21"/>
                      <w:szCs w:val="21"/>
                      <w:highlight w:val="none"/>
                      <w:u w:val="none" w:color="auto"/>
                    </w:rPr>
                    <w:t>一般固废暂存场所</w:t>
                  </w:r>
                  <w:r>
                    <w:rPr>
                      <w:rFonts w:hint="eastAsia" w:cs="Times New Roman"/>
                      <w:color w:val="auto"/>
                      <w:sz w:val="21"/>
                      <w:szCs w:val="21"/>
                      <w:highlight w:val="none"/>
                      <w:u w:val="none" w:color="auto"/>
                      <w:lang w:val="en-US" w:eastAsia="zh-CN"/>
                    </w:rPr>
                    <w:t>5</w:t>
                  </w:r>
                  <w:r>
                    <w:rPr>
                      <w:rFonts w:hint="default" w:ascii="Times New Roman" w:hAnsi="Times New Roman" w:cs="Times New Roman"/>
                      <w:color w:val="auto"/>
                      <w:sz w:val="21"/>
                      <w:szCs w:val="21"/>
                      <w:highlight w:val="none"/>
                      <w:u w:val="none" w:color="auto"/>
                    </w:rPr>
                    <w:t>m</w:t>
                  </w:r>
                  <w:r>
                    <w:rPr>
                      <w:rFonts w:hint="default" w:ascii="Times New Roman" w:hAnsi="Times New Roman" w:cs="Times New Roman"/>
                      <w:color w:val="auto"/>
                      <w:sz w:val="21"/>
                      <w:szCs w:val="21"/>
                      <w:highlight w:val="none"/>
                      <w:u w:val="none" w:color="auto"/>
                      <w:vertAlign w:val="superscript"/>
                    </w:rPr>
                    <w:t>2</w:t>
                  </w:r>
                </w:p>
                <w:p w14:paraId="6E4B9AC1">
                  <w:pPr>
                    <w:jc w:val="center"/>
                    <w:rPr>
                      <w:rFonts w:hint="default" w:ascii="Times New Roman" w:hAnsi="Times New Roman" w:cs="Times New Roman"/>
                      <w:color w:val="auto"/>
                      <w:sz w:val="21"/>
                      <w:szCs w:val="21"/>
                      <w:highlight w:val="none"/>
                      <w:u w:val="none" w:color="auto"/>
                      <w:vertAlign w:val="superscript"/>
                    </w:rPr>
                  </w:pPr>
                  <w:r>
                    <w:rPr>
                      <w:rFonts w:hint="default" w:ascii="Times New Roman" w:hAnsi="Times New Roman" w:cs="Times New Roman"/>
                      <w:color w:val="auto"/>
                      <w:sz w:val="21"/>
                      <w:szCs w:val="21"/>
                      <w:highlight w:val="none"/>
                      <w:u w:val="none" w:color="auto"/>
                    </w:rPr>
                    <w:t>危险固废暂存场所</w:t>
                  </w:r>
                  <w:r>
                    <w:rPr>
                      <w:rFonts w:hint="eastAsia" w:cs="Times New Roman"/>
                      <w:color w:val="auto"/>
                      <w:sz w:val="21"/>
                      <w:szCs w:val="21"/>
                      <w:highlight w:val="none"/>
                      <w:u w:val="none" w:color="auto"/>
                      <w:lang w:val="en-US" w:eastAsia="zh-CN"/>
                    </w:rPr>
                    <w:t>5m</w:t>
                  </w:r>
                  <w:r>
                    <w:rPr>
                      <w:rFonts w:hint="eastAsia" w:cs="Times New Roman"/>
                      <w:color w:val="auto"/>
                      <w:sz w:val="21"/>
                      <w:szCs w:val="21"/>
                      <w:highlight w:val="none"/>
                      <w:u w:val="none" w:color="auto"/>
                      <w:vertAlign w:val="superscript"/>
                      <w:lang w:val="en-US" w:eastAsia="zh-CN"/>
                    </w:rPr>
                    <w:t>2</w:t>
                  </w:r>
                </w:p>
              </w:tc>
              <w:tc>
                <w:tcPr>
                  <w:tcW w:w="820" w:type="pct"/>
                  <w:noWrap w:val="0"/>
                  <w:tcMar>
                    <w:left w:w="0" w:type="dxa"/>
                    <w:right w:w="0" w:type="dxa"/>
                  </w:tcMar>
                  <w:vAlign w:val="center"/>
                </w:tcPr>
                <w:p w14:paraId="3A89D67A">
                  <w:pPr>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2</w:t>
                  </w:r>
                </w:p>
              </w:tc>
            </w:tr>
            <w:tr w14:paraId="236E8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43" w:hRule="atLeast"/>
                <w:jc w:val="center"/>
              </w:trPr>
              <w:tc>
                <w:tcPr>
                  <w:tcW w:w="4179" w:type="pct"/>
                  <w:gridSpan w:val="3"/>
                  <w:noWrap w:val="0"/>
                  <w:tcMar>
                    <w:left w:w="0" w:type="dxa"/>
                    <w:right w:w="0" w:type="dxa"/>
                  </w:tcMar>
                  <w:vAlign w:val="center"/>
                </w:tcPr>
                <w:p w14:paraId="3C20C58A">
                  <w:pPr>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合计</w:t>
                  </w:r>
                </w:p>
              </w:tc>
              <w:tc>
                <w:tcPr>
                  <w:tcW w:w="820" w:type="pct"/>
                  <w:noWrap w:val="0"/>
                  <w:tcMar>
                    <w:left w:w="0" w:type="dxa"/>
                    <w:right w:w="0" w:type="dxa"/>
                  </w:tcMar>
                  <w:vAlign w:val="center"/>
                </w:tcPr>
                <w:p w14:paraId="155D7CCB">
                  <w:pPr>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36</w:t>
                  </w:r>
                </w:p>
              </w:tc>
            </w:tr>
          </w:tbl>
          <w:p w14:paraId="2268BFF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color w:val="auto"/>
                <w:spacing w:val="-10"/>
                <w:sz w:val="24"/>
                <w:szCs w:val="24"/>
                <w:highlight w:val="none"/>
                <w:lang w:val="en-US" w:eastAsia="zh-CN"/>
              </w:rPr>
            </w:pPr>
            <w:r>
              <w:rPr>
                <w:rFonts w:hint="eastAsia" w:ascii="Times New Roman" w:hAnsi="Times New Roman" w:cs="Times New Roman"/>
                <w:b/>
                <w:bCs w:val="0"/>
                <w:color w:val="auto"/>
                <w:spacing w:val="-10"/>
                <w:sz w:val="24"/>
                <w:szCs w:val="24"/>
                <w:highlight w:val="none"/>
                <w:lang w:val="en-US" w:eastAsia="zh-CN"/>
              </w:rPr>
              <w:t>1</w:t>
            </w:r>
            <w:r>
              <w:rPr>
                <w:rFonts w:hint="eastAsia" w:cs="Times New Roman"/>
                <w:b/>
                <w:bCs w:val="0"/>
                <w:color w:val="auto"/>
                <w:spacing w:val="-10"/>
                <w:sz w:val="24"/>
                <w:szCs w:val="24"/>
                <w:highlight w:val="none"/>
                <w:lang w:val="en-US" w:eastAsia="zh-CN"/>
              </w:rPr>
              <w:t>1</w:t>
            </w:r>
            <w:r>
              <w:rPr>
                <w:rFonts w:hint="eastAsia" w:ascii="Times New Roman" w:hAnsi="Times New Roman" w:eastAsia="宋体" w:cs="Times New Roman"/>
                <w:b/>
                <w:color w:val="auto"/>
                <w:kern w:val="28"/>
                <w:sz w:val="24"/>
                <w:highlight w:val="none"/>
                <w:u w:val="none"/>
                <w:lang w:val="en-US" w:eastAsia="zh-CN"/>
              </w:rPr>
              <w:t>、污染物排放总量统计及“</w:t>
            </w:r>
            <w:r>
              <w:rPr>
                <w:rFonts w:hint="eastAsia" w:cs="Times New Roman"/>
                <w:b/>
                <w:color w:val="auto"/>
                <w:kern w:val="28"/>
                <w:sz w:val="24"/>
                <w:highlight w:val="none"/>
                <w:u w:val="none"/>
                <w:lang w:val="en-US" w:eastAsia="zh-CN"/>
              </w:rPr>
              <w:t>三本账</w:t>
            </w:r>
            <w:r>
              <w:rPr>
                <w:rFonts w:hint="eastAsia" w:ascii="Times New Roman" w:hAnsi="Times New Roman" w:eastAsia="宋体" w:cs="Times New Roman"/>
                <w:b/>
                <w:color w:val="auto"/>
                <w:kern w:val="28"/>
                <w:sz w:val="24"/>
                <w:highlight w:val="none"/>
                <w:u w:val="none"/>
                <w:lang w:val="en-US" w:eastAsia="zh-CN"/>
              </w:rPr>
              <w:t>”</w:t>
            </w:r>
          </w:p>
          <w:p w14:paraId="14E60FA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textAlignment w:val="auto"/>
              <w:rPr>
                <w:rFonts w:hint="eastAsia" w:cs="Times New Roman"/>
                <w:bCs/>
                <w:color w:val="auto"/>
                <w:spacing w:val="-10"/>
                <w:sz w:val="24"/>
                <w:szCs w:val="24"/>
                <w:highlight w:val="none"/>
                <w:u w:val="single"/>
                <w:lang w:val="en-US" w:eastAsia="zh-CN"/>
              </w:rPr>
            </w:pPr>
            <w:r>
              <w:rPr>
                <w:rFonts w:hint="eastAsia" w:cs="Times New Roman"/>
                <w:bCs/>
                <w:color w:val="auto"/>
                <w:spacing w:val="-10"/>
                <w:sz w:val="24"/>
                <w:szCs w:val="24"/>
                <w:highlight w:val="none"/>
                <w:u w:val="single"/>
                <w:lang w:val="en-US" w:eastAsia="zh-CN"/>
              </w:rPr>
              <w:t xml:space="preserve">项目焚烧炉以液化石油气残液、生物质为燃料，燃烧炉膛温度 </w:t>
            </w:r>
            <w:r>
              <w:rPr>
                <w:rFonts w:hint="default" w:ascii="Times New Roman" w:hAnsi="Times New Roman" w:eastAsia="宋体" w:cs="Times New Roman"/>
                <w:color w:val="auto"/>
                <w:spacing w:val="5"/>
                <w:sz w:val="24"/>
                <w:szCs w:val="24"/>
                <w:u w:val="single"/>
                <w:lang w:val="en-US" w:eastAsia="zh-CN"/>
              </w:rPr>
              <w:t>400℃~650℃</w:t>
            </w:r>
            <w:r>
              <w:rPr>
                <w:rFonts w:hint="eastAsia" w:cs="Times New Roman"/>
                <w:color w:val="auto"/>
                <w:spacing w:val="5"/>
                <w:sz w:val="24"/>
                <w:szCs w:val="24"/>
                <w:u w:val="single"/>
                <w:lang w:val="en-US" w:eastAsia="zh-CN"/>
              </w:rPr>
              <w:t>，</w:t>
            </w:r>
            <w:r>
              <w:rPr>
                <w:rFonts w:hint="eastAsia" w:cs="Times New Roman"/>
                <w:bCs/>
                <w:color w:val="auto"/>
                <w:spacing w:val="-10"/>
                <w:sz w:val="24"/>
                <w:szCs w:val="24"/>
                <w:highlight w:val="none"/>
                <w:u w:val="single"/>
                <w:lang w:val="en-US" w:eastAsia="zh-CN"/>
              </w:rPr>
              <w:t>高温</w:t>
            </w:r>
            <w:r>
              <w:rPr>
                <w:rFonts w:ascii="宋体" w:hAnsi="宋体" w:eastAsia="宋体" w:cs="宋体"/>
                <w:color w:val="auto"/>
                <w:sz w:val="24"/>
                <w:szCs w:val="24"/>
                <w:u w:val="single"/>
              </w:rPr>
              <w:t>烟气易造成布袋滤袋受损，引发炸袋问题，导致除尘系统风阻急剧升高、烟气处理通路受阻，废气难以稳定达标。</w:t>
            </w:r>
            <w:r>
              <w:rPr>
                <w:rFonts w:hint="eastAsia" w:cs="Times New Roman"/>
                <w:bCs/>
                <w:color w:val="auto"/>
                <w:spacing w:val="-10"/>
                <w:sz w:val="24"/>
                <w:szCs w:val="24"/>
                <w:highlight w:val="none"/>
                <w:u w:val="single"/>
                <w:lang w:val="en-US" w:eastAsia="zh-CN"/>
              </w:rPr>
              <w:t>本次搬迁将淘汰原有单布袋除尘，改为旋风除尘+高温布袋除尘组合工艺，采样旋风除尘可预先分离烟气中大颗粒飞灰，大幅降低后端布袋负荷，从源头减少糊袋炸袋等风险，进一步提升项目废气治理达标稳定性。</w:t>
            </w:r>
          </w:p>
          <w:p w14:paraId="44DCAD2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0" w:firstLineChars="200"/>
              <w:textAlignment w:val="auto"/>
              <w:rPr>
                <w:rFonts w:hint="default" w:ascii="Times New Roman" w:hAnsi="Times New Roman" w:cs="Times New Roman"/>
                <w:bCs/>
                <w:color w:val="auto"/>
                <w:spacing w:val="-10"/>
                <w:sz w:val="24"/>
                <w:szCs w:val="24"/>
                <w:highlight w:val="none"/>
                <w:lang w:val="en-US" w:eastAsia="zh-CN"/>
              </w:rPr>
            </w:pPr>
            <w:r>
              <w:rPr>
                <w:rFonts w:hint="eastAsia" w:cs="Times New Roman"/>
                <w:bCs/>
                <w:color w:val="auto"/>
                <w:spacing w:val="-10"/>
                <w:sz w:val="24"/>
                <w:szCs w:val="24"/>
                <w:highlight w:val="none"/>
                <w:lang w:val="en-US" w:eastAsia="zh-CN"/>
              </w:rPr>
              <w:t>同时</w:t>
            </w:r>
            <w:r>
              <w:rPr>
                <w:rFonts w:hint="default" w:ascii="Times New Roman" w:hAnsi="Times New Roman" w:cs="Times New Roman"/>
                <w:bCs/>
                <w:color w:val="auto"/>
                <w:spacing w:val="-10"/>
                <w:sz w:val="24"/>
                <w:szCs w:val="24"/>
                <w:highlight w:val="none"/>
                <w:lang w:val="en-US" w:eastAsia="zh-CN"/>
              </w:rPr>
              <w:t>根据</w:t>
            </w:r>
            <w:r>
              <w:rPr>
                <w:rFonts w:hint="eastAsia" w:ascii="Times New Roman" w:hAnsi="Times New Roman" w:cs="Times New Roman"/>
                <w:bCs/>
                <w:color w:val="auto"/>
                <w:spacing w:val="-10"/>
                <w:sz w:val="24"/>
                <w:szCs w:val="24"/>
                <w:highlight w:val="none"/>
                <w:lang w:val="en-US" w:eastAsia="zh-CN"/>
              </w:rPr>
              <w:t>前述</w:t>
            </w:r>
            <w:r>
              <w:rPr>
                <w:rFonts w:hint="default" w:ascii="Times New Roman" w:hAnsi="Times New Roman" w:cs="Times New Roman"/>
                <w:bCs/>
                <w:color w:val="auto"/>
                <w:spacing w:val="-10"/>
                <w:sz w:val="24"/>
                <w:szCs w:val="24"/>
                <w:highlight w:val="none"/>
                <w:lang w:val="en-US" w:eastAsia="zh-CN"/>
              </w:rPr>
              <w:t>分析，确定了</w:t>
            </w:r>
            <w:r>
              <w:rPr>
                <w:rFonts w:hint="eastAsia" w:cs="Times New Roman"/>
                <w:bCs/>
                <w:color w:val="auto"/>
                <w:spacing w:val="-10"/>
                <w:sz w:val="24"/>
                <w:szCs w:val="24"/>
                <w:highlight w:val="none"/>
                <w:lang w:val="en-US" w:eastAsia="zh-CN"/>
              </w:rPr>
              <w:t>搬迁</w:t>
            </w:r>
            <w:r>
              <w:rPr>
                <w:rFonts w:hint="eastAsia" w:ascii="Times New Roman" w:hAnsi="Times New Roman" w:cs="Times New Roman"/>
                <w:bCs/>
                <w:color w:val="auto"/>
                <w:spacing w:val="-10"/>
                <w:sz w:val="24"/>
                <w:szCs w:val="24"/>
                <w:highlight w:val="none"/>
                <w:lang w:val="en-US" w:eastAsia="zh-CN"/>
              </w:rPr>
              <w:t>后</w:t>
            </w:r>
            <w:r>
              <w:rPr>
                <w:rFonts w:hint="default" w:ascii="Times New Roman" w:hAnsi="Times New Roman" w:cs="Times New Roman"/>
                <w:bCs/>
                <w:color w:val="auto"/>
                <w:spacing w:val="-10"/>
                <w:sz w:val="24"/>
                <w:szCs w:val="24"/>
                <w:highlight w:val="none"/>
                <w:lang w:val="en-US" w:eastAsia="zh-CN"/>
              </w:rPr>
              <w:t>的各项污染物排放总量，并与</w:t>
            </w:r>
            <w:r>
              <w:rPr>
                <w:rFonts w:hint="eastAsia" w:cs="Times New Roman"/>
                <w:bCs/>
                <w:color w:val="auto"/>
                <w:spacing w:val="-10"/>
                <w:sz w:val="24"/>
                <w:szCs w:val="24"/>
                <w:highlight w:val="none"/>
                <w:lang w:val="en-US" w:eastAsia="zh-CN"/>
              </w:rPr>
              <w:t>变动前</w:t>
            </w:r>
            <w:r>
              <w:rPr>
                <w:rFonts w:hint="default" w:ascii="Times New Roman" w:hAnsi="Times New Roman" w:cs="Times New Roman"/>
                <w:bCs/>
                <w:color w:val="auto"/>
                <w:spacing w:val="-10"/>
                <w:sz w:val="24"/>
                <w:szCs w:val="24"/>
                <w:highlight w:val="none"/>
                <w:lang w:val="en-US" w:eastAsia="zh-CN"/>
              </w:rPr>
              <w:t>的污染物排放情况进行对比，得出本项目</w:t>
            </w:r>
            <w:r>
              <w:rPr>
                <w:rFonts w:hint="eastAsia" w:cs="Times New Roman"/>
                <w:bCs/>
                <w:color w:val="auto"/>
                <w:spacing w:val="-10"/>
                <w:sz w:val="24"/>
                <w:szCs w:val="24"/>
                <w:highlight w:val="none"/>
                <w:lang w:val="en-US" w:eastAsia="zh-CN"/>
              </w:rPr>
              <w:t>变动前</w:t>
            </w:r>
            <w:r>
              <w:rPr>
                <w:rFonts w:hint="eastAsia" w:ascii="Times New Roman" w:hAnsi="Times New Roman" w:cs="Times New Roman"/>
                <w:bCs/>
                <w:color w:val="auto"/>
                <w:spacing w:val="-10"/>
                <w:sz w:val="24"/>
                <w:szCs w:val="24"/>
                <w:highlight w:val="none"/>
                <w:lang w:val="en-US" w:eastAsia="zh-CN"/>
              </w:rPr>
              <w:t>后</w:t>
            </w:r>
            <w:r>
              <w:rPr>
                <w:rFonts w:hint="default" w:ascii="Times New Roman" w:hAnsi="Times New Roman" w:cs="Times New Roman"/>
                <w:bCs/>
                <w:color w:val="auto"/>
                <w:spacing w:val="-10"/>
                <w:sz w:val="24"/>
                <w:szCs w:val="24"/>
                <w:highlight w:val="none"/>
                <w:lang w:val="en-US" w:eastAsia="zh-CN"/>
              </w:rPr>
              <w:t>的“</w:t>
            </w:r>
            <w:r>
              <w:rPr>
                <w:rFonts w:hint="eastAsia" w:cs="Times New Roman"/>
                <w:bCs/>
                <w:color w:val="auto"/>
                <w:spacing w:val="-10"/>
                <w:sz w:val="24"/>
                <w:szCs w:val="24"/>
                <w:highlight w:val="none"/>
                <w:lang w:val="en-US" w:eastAsia="zh-CN"/>
              </w:rPr>
              <w:t>三本账</w:t>
            </w:r>
            <w:r>
              <w:rPr>
                <w:rFonts w:hint="default" w:ascii="Times New Roman" w:hAnsi="Times New Roman" w:cs="Times New Roman"/>
                <w:bCs/>
                <w:color w:val="auto"/>
                <w:spacing w:val="-10"/>
                <w:sz w:val="24"/>
                <w:szCs w:val="24"/>
                <w:highlight w:val="none"/>
                <w:lang w:val="en-US" w:eastAsia="zh-CN"/>
              </w:rPr>
              <w:t>”，其结果见下表。</w:t>
            </w:r>
          </w:p>
          <w:p w14:paraId="68D70432">
            <w:pPr>
              <w:pStyle w:val="122"/>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表4-</w:t>
            </w:r>
            <w:r>
              <w:rPr>
                <w:rFonts w:hint="eastAsia" w:cs="Times New Roman"/>
                <w:color w:val="auto"/>
                <w:sz w:val="21"/>
                <w:szCs w:val="21"/>
                <w:highlight w:val="none"/>
                <w:u w:val="none" w:color="auto"/>
                <w:lang w:val="en-US" w:eastAsia="zh-CN"/>
              </w:rPr>
              <w:t>27</w:t>
            </w:r>
            <w:r>
              <w:rPr>
                <w:rFonts w:hint="eastAsia" w:ascii="Times New Roman" w:hAnsi="Times New Roman" w:eastAsia="宋体" w:cs="Times New Roman"/>
                <w:color w:val="auto"/>
                <w:sz w:val="21"/>
                <w:szCs w:val="21"/>
                <w:highlight w:val="none"/>
                <w:u w:val="none" w:color="auto"/>
                <w:lang w:val="en-US" w:eastAsia="zh-CN"/>
              </w:rPr>
              <w:t xml:space="preserve">  </w:t>
            </w:r>
            <w:r>
              <w:rPr>
                <w:rFonts w:hint="eastAsia" w:cs="Times New Roman"/>
                <w:color w:val="auto"/>
                <w:sz w:val="21"/>
                <w:szCs w:val="21"/>
                <w:highlight w:val="none"/>
                <w:u w:val="none" w:color="auto"/>
                <w:lang w:val="en-US" w:eastAsia="zh-CN"/>
              </w:rPr>
              <w:t>项目变动前</w:t>
            </w:r>
            <w:r>
              <w:rPr>
                <w:rFonts w:ascii="Times New Roman" w:hAnsi="Times New Roman" w:eastAsia="宋体" w:cs="Times New Roman"/>
                <w:color w:val="auto"/>
                <w:sz w:val="21"/>
                <w:szCs w:val="21"/>
                <w:highlight w:val="none"/>
                <w:u w:val="none" w:color="auto"/>
              </w:rPr>
              <w:t>后</w:t>
            </w:r>
            <w:r>
              <w:rPr>
                <w:rFonts w:hint="eastAsia" w:cs="Times New Roman"/>
                <w:color w:val="auto"/>
                <w:sz w:val="21"/>
                <w:szCs w:val="21"/>
                <w:highlight w:val="none"/>
                <w:u w:val="none" w:color="auto"/>
                <w:lang w:eastAsia="zh-CN"/>
              </w:rPr>
              <w:t>三本账</w:t>
            </w:r>
            <w:r>
              <w:rPr>
                <w:rFonts w:ascii="Times New Roman" w:hAnsi="Times New Roman" w:eastAsia="宋体" w:cs="Times New Roman"/>
                <w:color w:val="auto"/>
                <w:sz w:val="21"/>
                <w:szCs w:val="21"/>
                <w:highlight w:val="none"/>
                <w:u w:val="none" w:color="auto"/>
              </w:rPr>
              <w:t>汇总表</w:t>
            </w:r>
            <w:r>
              <w:rPr>
                <w:rFonts w:hint="eastAsia" w:ascii="Times New Roman" w:hAnsi="Times New Roman" w:eastAsia="宋体" w:cs="Times New Roman"/>
                <w:color w:val="auto"/>
                <w:sz w:val="21"/>
                <w:szCs w:val="21"/>
                <w:highlight w:val="none"/>
                <w:u w:val="none" w:color="auto"/>
                <w:lang w:val="en-US" w:eastAsia="zh-CN"/>
              </w:rPr>
              <w:t xml:space="preserve">   单位：</w:t>
            </w:r>
            <w:r>
              <w:rPr>
                <w:rFonts w:hint="default" w:ascii="Times New Roman" w:hAnsi="Times New Roman" w:eastAsia="宋体" w:cs="Times New Roman"/>
                <w:color w:val="auto"/>
                <w:sz w:val="21"/>
                <w:szCs w:val="21"/>
                <w:highlight w:val="none"/>
                <w:u w:val="none" w:color="auto"/>
                <w:lang w:val="en-US" w:eastAsia="zh-CN"/>
              </w:rPr>
              <w:t>t/a</w:t>
            </w:r>
          </w:p>
          <w:tbl>
            <w:tblPr>
              <w:tblStyle w:val="34"/>
              <w:tblW w:w="5000" w:type="pct"/>
              <w:tblInd w:w="-1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732"/>
              <w:gridCol w:w="1185"/>
              <w:gridCol w:w="1284"/>
              <w:gridCol w:w="1281"/>
              <w:gridCol w:w="1136"/>
              <w:gridCol w:w="1210"/>
              <w:gridCol w:w="1171"/>
            </w:tblGrid>
            <w:tr w14:paraId="517489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tcBorders>
                    <w:tl2br w:val="nil"/>
                    <w:tr2bl w:val="nil"/>
                  </w:tcBorders>
                  <w:noWrap w:val="0"/>
                  <w:vAlign w:val="center"/>
                </w:tcPr>
                <w:p w14:paraId="3D25854D">
                  <w:pPr>
                    <w:pStyle w:val="46"/>
                    <w:bidi w:val="0"/>
                    <w:ind w:left="0" w:leftChars="0" w:right="0" w:rightChars="0" w:firstLine="0" w:firstLineChars="0"/>
                    <w:rPr>
                      <w:rFonts w:hint="default" w:ascii="Times New Roman" w:hAnsi="Times New Roman" w:eastAsia="宋体" w:cs="Times New Roman"/>
                      <w:b/>
                      <w:bCs/>
                      <w:color w:val="auto"/>
                      <w:sz w:val="21"/>
                      <w:szCs w:val="21"/>
                      <w:highlight w:val="none"/>
                      <w:u w:val="none" w:color="auto"/>
                      <w:vertAlign w:val="baseline"/>
                      <w:lang w:val="en-US" w:eastAsia="zh-CN"/>
                    </w:rPr>
                  </w:pPr>
                  <w:r>
                    <w:rPr>
                      <w:rFonts w:hint="default" w:ascii="Times New Roman" w:hAnsi="Times New Roman" w:eastAsia="宋体" w:cs="Times New Roman"/>
                      <w:b/>
                      <w:bCs/>
                      <w:color w:val="auto"/>
                      <w:sz w:val="21"/>
                      <w:szCs w:val="21"/>
                      <w:highlight w:val="none"/>
                      <w:u w:val="none" w:color="auto"/>
                      <w:lang w:val="en-US" w:eastAsia="zh-CN"/>
                    </w:rPr>
                    <w:t>分类</w:t>
                  </w:r>
                </w:p>
              </w:tc>
              <w:tc>
                <w:tcPr>
                  <w:tcW w:w="1284" w:type="dxa"/>
                  <w:tcBorders>
                    <w:tl2br w:val="nil"/>
                    <w:tr2bl w:val="nil"/>
                  </w:tcBorders>
                  <w:noWrap w:val="0"/>
                  <w:vAlign w:val="center"/>
                </w:tcPr>
                <w:p w14:paraId="0163B9DF">
                  <w:pPr>
                    <w:pStyle w:val="46"/>
                    <w:bidi w:val="0"/>
                    <w:ind w:left="0" w:leftChars="0" w:right="0" w:rightChars="0" w:firstLine="0" w:firstLineChars="0"/>
                    <w:rPr>
                      <w:rFonts w:hint="default" w:ascii="Times New Roman" w:hAnsi="Times New Roman" w:eastAsia="宋体" w:cs="Times New Roman"/>
                      <w:b/>
                      <w:bCs/>
                      <w:color w:val="auto"/>
                      <w:sz w:val="21"/>
                      <w:szCs w:val="21"/>
                      <w:highlight w:val="none"/>
                      <w:u w:val="none" w:color="auto"/>
                      <w:vertAlign w:val="baseline"/>
                      <w:lang w:val="en-US" w:eastAsia="zh-CN"/>
                    </w:rPr>
                  </w:pPr>
                  <w:r>
                    <w:rPr>
                      <w:rFonts w:hint="default" w:ascii="Times New Roman" w:hAnsi="Times New Roman" w:eastAsia="宋体" w:cs="Times New Roman"/>
                      <w:b/>
                      <w:bCs/>
                      <w:color w:val="auto"/>
                      <w:sz w:val="21"/>
                      <w:szCs w:val="21"/>
                      <w:highlight w:val="none"/>
                      <w:u w:val="none" w:color="auto"/>
                      <w:lang w:val="en-US" w:eastAsia="zh-CN"/>
                    </w:rPr>
                    <w:t>污染物</w:t>
                  </w:r>
                </w:p>
              </w:tc>
              <w:tc>
                <w:tcPr>
                  <w:tcW w:w="1414" w:type="dxa"/>
                  <w:tcBorders>
                    <w:tl2br w:val="nil"/>
                    <w:tr2bl w:val="nil"/>
                  </w:tcBorders>
                  <w:noWrap w:val="0"/>
                  <w:vAlign w:val="center"/>
                </w:tcPr>
                <w:p w14:paraId="4C15C537">
                  <w:pPr>
                    <w:pStyle w:val="46"/>
                    <w:bidi w:val="0"/>
                    <w:ind w:left="0" w:leftChars="0" w:right="0" w:rightChars="0" w:firstLine="0" w:firstLineChars="0"/>
                    <w:rPr>
                      <w:rFonts w:hint="default" w:ascii="Times New Roman" w:hAnsi="Times New Roman" w:eastAsia="宋体" w:cs="Times New Roman"/>
                      <w:b/>
                      <w:bCs/>
                      <w:color w:val="auto"/>
                      <w:sz w:val="21"/>
                      <w:szCs w:val="21"/>
                      <w:highlight w:val="none"/>
                      <w:u w:val="none" w:color="auto"/>
                      <w:vertAlign w:val="baseline"/>
                      <w:lang w:val="en-US" w:eastAsia="zh-CN"/>
                    </w:rPr>
                  </w:pPr>
                  <w:r>
                    <w:rPr>
                      <w:rFonts w:hint="eastAsia" w:ascii="Times New Roman" w:cs="Times New Roman"/>
                      <w:b/>
                      <w:bCs/>
                      <w:color w:val="auto"/>
                      <w:sz w:val="21"/>
                      <w:szCs w:val="21"/>
                      <w:highlight w:val="none"/>
                      <w:u w:val="none" w:color="auto"/>
                      <w:lang w:val="en-US" w:eastAsia="zh-CN"/>
                    </w:rPr>
                    <w:t>变动前</w:t>
                  </w:r>
                  <w:r>
                    <w:rPr>
                      <w:rFonts w:hint="default" w:ascii="Times New Roman" w:hAnsi="Times New Roman" w:eastAsia="宋体" w:cs="Times New Roman"/>
                      <w:b/>
                      <w:bCs/>
                      <w:color w:val="auto"/>
                      <w:sz w:val="21"/>
                      <w:szCs w:val="21"/>
                      <w:highlight w:val="none"/>
                      <w:u w:val="none" w:color="auto"/>
                      <w:lang w:val="en-US" w:eastAsia="zh-CN"/>
                    </w:rPr>
                    <w:t>工程</w:t>
                  </w:r>
                </w:p>
              </w:tc>
              <w:tc>
                <w:tcPr>
                  <w:tcW w:w="1410" w:type="dxa"/>
                  <w:tcBorders>
                    <w:tl2br w:val="nil"/>
                    <w:tr2bl w:val="nil"/>
                  </w:tcBorders>
                  <w:noWrap w:val="0"/>
                  <w:vAlign w:val="center"/>
                </w:tcPr>
                <w:p w14:paraId="35837387">
                  <w:pPr>
                    <w:pStyle w:val="46"/>
                    <w:bidi w:val="0"/>
                    <w:ind w:left="0" w:leftChars="0" w:right="0" w:rightChars="0" w:firstLine="0" w:firstLineChars="0"/>
                    <w:rPr>
                      <w:rFonts w:hint="default" w:ascii="Times New Roman" w:hAnsi="Times New Roman" w:eastAsia="宋体" w:cs="Times New Roman"/>
                      <w:b/>
                      <w:bCs/>
                      <w:color w:val="auto"/>
                      <w:sz w:val="21"/>
                      <w:szCs w:val="21"/>
                      <w:highlight w:val="none"/>
                      <w:u w:val="none" w:color="auto"/>
                      <w:vertAlign w:val="baseline"/>
                      <w:lang w:val="en-US" w:eastAsia="zh-CN"/>
                    </w:rPr>
                  </w:pPr>
                  <w:r>
                    <w:rPr>
                      <w:rFonts w:hint="eastAsia" w:ascii="Times New Roman" w:cs="Times New Roman"/>
                      <w:b/>
                      <w:bCs/>
                      <w:color w:val="auto"/>
                      <w:sz w:val="21"/>
                      <w:szCs w:val="21"/>
                      <w:highlight w:val="none"/>
                      <w:u w:val="none" w:color="auto"/>
                      <w:lang w:val="en-US" w:eastAsia="zh-CN"/>
                    </w:rPr>
                    <w:t>变动后</w:t>
                  </w:r>
                  <w:r>
                    <w:rPr>
                      <w:rFonts w:hint="default" w:ascii="Times New Roman" w:hAnsi="Times New Roman" w:eastAsia="宋体" w:cs="Times New Roman"/>
                      <w:b/>
                      <w:bCs/>
                      <w:color w:val="auto"/>
                      <w:sz w:val="21"/>
                      <w:szCs w:val="21"/>
                      <w:highlight w:val="none"/>
                      <w:u w:val="none" w:color="auto"/>
                      <w:lang w:val="en-US" w:eastAsia="zh-CN"/>
                    </w:rPr>
                    <w:t>排放量</w:t>
                  </w:r>
                </w:p>
              </w:tc>
              <w:tc>
                <w:tcPr>
                  <w:tcW w:w="1323" w:type="dxa"/>
                  <w:tcBorders>
                    <w:tl2br w:val="nil"/>
                    <w:tr2bl w:val="nil"/>
                  </w:tcBorders>
                  <w:noWrap w:val="0"/>
                  <w:vAlign w:val="center"/>
                </w:tcPr>
                <w:p w14:paraId="0F6176A4">
                  <w:pPr>
                    <w:pStyle w:val="46"/>
                    <w:bidi w:val="0"/>
                    <w:ind w:left="0" w:leftChars="0" w:right="0" w:rightChars="0" w:firstLine="0" w:firstLineChars="0"/>
                    <w:rPr>
                      <w:rFonts w:hint="default" w:ascii="Times New Roman" w:hAnsi="Times New Roman" w:eastAsia="宋体" w:cs="Times New Roman"/>
                      <w:b/>
                      <w:bCs/>
                      <w:color w:val="auto"/>
                      <w:sz w:val="21"/>
                      <w:szCs w:val="21"/>
                      <w:highlight w:val="none"/>
                      <w:u w:val="none" w:color="auto"/>
                      <w:vertAlign w:val="baseline"/>
                      <w:lang w:val="en-US" w:eastAsia="zh-CN"/>
                    </w:rPr>
                  </w:pPr>
                  <w:r>
                    <w:rPr>
                      <w:rFonts w:hint="default" w:ascii="Times New Roman" w:hAnsi="Times New Roman" w:eastAsia="宋体" w:cs="Times New Roman"/>
                      <w:b/>
                      <w:bCs/>
                      <w:color w:val="auto"/>
                      <w:sz w:val="21"/>
                      <w:szCs w:val="21"/>
                      <w:highlight w:val="none"/>
                      <w:u w:val="none" w:color="auto"/>
                      <w:lang w:val="en-US" w:eastAsia="zh-CN"/>
                    </w:rPr>
                    <w:t>以新带老削减量</w:t>
                  </w:r>
                </w:p>
              </w:tc>
              <w:tc>
                <w:tcPr>
                  <w:tcW w:w="1320" w:type="dxa"/>
                  <w:tcBorders>
                    <w:tl2br w:val="nil"/>
                    <w:tr2bl w:val="nil"/>
                  </w:tcBorders>
                  <w:noWrap w:val="0"/>
                  <w:vAlign w:val="center"/>
                </w:tcPr>
                <w:p w14:paraId="67FB23BD">
                  <w:pPr>
                    <w:pStyle w:val="46"/>
                    <w:bidi w:val="0"/>
                    <w:ind w:left="0" w:leftChars="0" w:right="0" w:rightChars="0" w:firstLine="0" w:firstLineChars="0"/>
                    <w:rPr>
                      <w:rFonts w:hint="default" w:ascii="Times New Roman" w:hAnsi="Times New Roman" w:eastAsia="宋体" w:cs="Times New Roman"/>
                      <w:b/>
                      <w:bCs/>
                      <w:color w:val="auto"/>
                      <w:sz w:val="21"/>
                      <w:szCs w:val="21"/>
                      <w:highlight w:val="none"/>
                      <w:u w:val="none" w:color="auto"/>
                      <w:vertAlign w:val="baseline"/>
                      <w:lang w:val="en-US" w:eastAsia="zh-CN"/>
                    </w:rPr>
                  </w:pPr>
                  <w:r>
                    <w:rPr>
                      <w:rFonts w:hint="eastAsia" w:ascii="Times New Roman" w:cs="Times New Roman"/>
                      <w:b/>
                      <w:bCs/>
                      <w:color w:val="auto"/>
                      <w:sz w:val="21"/>
                      <w:szCs w:val="21"/>
                      <w:highlight w:val="none"/>
                      <w:u w:val="none" w:color="auto"/>
                      <w:lang w:val="en-US" w:eastAsia="zh-CN"/>
                    </w:rPr>
                    <w:t>变动后</w:t>
                  </w:r>
                  <w:r>
                    <w:rPr>
                      <w:rFonts w:hint="default" w:ascii="Times New Roman" w:hAnsi="Times New Roman" w:eastAsia="宋体" w:cs="Times New Roman"/>
                      <w:b/>
                      <w:bCs/>
                      <w:color w:val="auto"/>
                      <w:sz w:val="21"/>
                      <w:szCs w:val="21"/>
                      <w:highlight w:val="none"/>
                      <w:u w:val="none" w:color="auto"/>
                      <w:lang w:val="en-US" w:eastAsia="zh-CN"/>
                    </w:rPr>
                    <w:t>排放量</w:t>
                  </w:r>
                </w:p>
              </w:tc>
              <w:tc>
                <w:tcPr>
                  <w:tcW w:w="1251" w:type="dxa"/>
                  <w:tcBorders>
                    <w:tl2br w:val="nil"/>
                    <w:tr2bl w:val="nil"/>
                  </w:tcBorders>
                  <w:noWrap w:val="0"/>
                  <w:vAlign w:val="center"/>
                </w:tcPr>
                <w:p w14:paraId="34B0866B">
                  <w:pPr>
                    <w:pStyle w:val="46"/>
                    <w:bidi w:val="0"/>
                    <w:ind w:left="0" w:leftChars="0" w:right="0" w:rightChars="0" w:firstLine="0" w:firstLineChars="0"/>
                    <w:rPr>
                      <w:rFonts w:hint="default" w:ascii="Times New Roman" w:hAnsi="Times New Roman" w:eastAsia="宋体" w:cs="Times New Roman"/>
                      <w:b/>
                      <w:bCs/>
                      <w:color w:val="auto"/>
                      <w:sz w:val="21"/>
                      <w:szCs w:val="21"/>
                      <w:highlight w:val="none"/>
                      <w:u w:val="none" w:color="auto"/>
                      <w:vertAlign w:val="baseline"/>
                      <w:lang w:val="en-US" w:eastAsia="zh-CN"/>
                    </w:rPr>
                  </w:pPr>
                  <w:r>
                    <w:rPr>
                      <w:rFonts w:hint="default" w:ascii="Times New Roman" w:hAnsi="Times New Roman" w:eastAsia="宋体" w:cs="Times New Roman"/>
                      <w:b/>
                      <w:bCs/>
                      <w:color w:val="auto"/>
                      <w:sz w:val="21"/>
                      <w:szCs w:val="21"/>
                      <w:highlight w:val="none"/>
                      <w:u w:val="none" w:color="auto"/>
                      <w:lang w:val="en-US" w:eastAsia="zh-CN"/>
                    </w:rPr>
                    <w:t>变化量</w:t>
                  </w:r>
                </w:p>
              </w:tc>
            </w:tr>
            <w:tr w14:paraId="7F1B79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vMerge w:val="restart"/>
                  <w:tcBorders>
                    <w:tl2br w:val="nil"/>
                    <w:tr2bl w:val="nil"/>
                  </w:tcBorders>
                  <w:noWrap w:val="0"/>
                  <w:vAlign w:val="center"/>
                </w:tcPr>
                <w:p w14:paraId="7E3A16A3">
                  <w:pPr>
                    <w:pStyle w:val="46"/>
                    <w:bidi w:val="0"/>
                    <w:ind w:left="0" w:leftChars="0" w:right="0" w:rightChars="0" w:firstLine="0" w:firstLineChars="0"/>
                    <w:jc w:val="center"/>
                    <w:rPr>
                      <w:rFonts w:hint="default" w:ascii="Times New Roman" w:hAnsi="Times New Roman" w:eastAsia="宋体" w:cs="Times New Roman"/>
                      <w:color w:val="auto"/>
                      <w:sz w:val="21"/>
                      <w:szCs w:val="21"/>
                      <w:highlight w:val="none"/>
                      <w:u w:val="none" w:color="auto"/>
                      <w:vertAlign w:val="baseline"/>
                      <w:lang w:val="en-US" w:eastAsia="zh-CN"/>
                    </w:rPr>
                  </w:pPr>
                  <w:r>
                    <w:rPr>
                      <w:rFonts w:hint="default" w:ascii="Times New Roman" w:hAnsi="Times New Roman" w:cs="Times New Roman"/>
                      <w:color w:val="auto"/>
                      <w:sz w:val="21"/>
                      <w:szCs w:val="21"/>
                      <w:highlight w:val="none"/>
                      <w:u w:val="none" w:color="auto"/>
                      <w:lang w:val="en-US" w:eastAsia="zh-CN"/>
                    </w:rPr>
                    <w:t>废气</w:t>
                  </w:r>
                </w:p>
              </w:tc>
              <w:tc>
                <w:tcPr>
                  <w:tcW w:w="1284" w:type="dxa"/>
                  <w:tcBorders>
                    <w:tl2br w:val="nil"/>
                    <w:tr2bl w:val="nil"/>
                  </w:tcBorders>
                  <w:noWrap w:val="0"/>
                  <w:vAlign w:val="center"/>
                </w:tcPr>
                <w:p w14:paraId="58DD33D7">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非甲烷总烃</w:t>
                  </w:r>
                </w:p>
              </w:tc>
              <w:tc>
                <w:tcPr>
                  <w:tcW w:w="1414" w:type="dxa"/>
                  <w:tcBorders>
                    <w:tl2br w:val="nil"/>
                    <w:tr2bl w:val="nil"/>
                  </w:tcBorders>
                  <w:noWrap w:val="0"/>
                  <w:vAlign w:val="center"/>
                </w:tcPr>
                <w:p w14:paraId="0CB12326">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kern w:val="0"/>
                      <w:sz w:val="21"/>
                      <w:szCs w:val="21"/>
                      <w:u w:val="none" w:color="auto"/>
                      <w:lang w:val="en-US" w:eastAsia="zh-CN"/>
                    </w:rPr>
                    <w:t>0.</w:t>
                  </w:r>
                  <w:r>
                    <w:rPr>
                      <w:rFonts w:hint="eastAsia" w:ascii="Times New Roman" w:cs="Times New Roman"/>
                      <w:color w:val="auto"/>
                      <w:kern w:val="0"/>
                      <w:sz w:val="21"/>
                      <w:szCs w:val="21"/>
                      <w:u w:val="none" w:color="auto"/>
                      <w:lang w:val="en-US" w:eastAsia="zh-CN"/>
                    </w:rPr>
                    <w:t>06</w:t>
                  </w:r>
                </w:p>
              </w:tc>
              <w:tc>
                <w:tcPr>
                  <w:tcW w:w="1410" w:type="dxa"/>
                  <w:tcBorders>
                    <w:tl2br w:val="nil"/>
                    <w:tr2bl w:val="nil"/>
                  </w:tcBorders>
                  <w:noWrap w:val="0"/>
                  <w:vAlign w:val="center"/>
                </w:tcPr>
                <w:p w14:paraId="04DAF52D">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kern w:val="0"/>
                      <w:sz w:val="21"/>
                      <w:szCs w:val="21"/>
                      <w:u w:val="none" w:color="auto"/>
                      <w:lang w:val="en-US" w:eastAsia="zh-CN"/>
                    </w:rPr>
                    <w:t>0.</w:t>
                  </w:r>
                  <w:r>
                    <w:rPr>
                      <w:rFonts w:hint="eastAsia" w:ascii="Times New Roman" w:cs="Times New Roman"/>
                      <w:color w:val="auto"/>
                      <w:kern w:val="0"/>
                      <w:sz w:val="21"/>
                      <w:szCs w:val="21"/>
                      <w:u w:val="none" w:color="auto"/>
                      <w:lang w:val="en-US" w:eastAsia="zh-CN"/>
                    </w:rPr>
                    <w:t>06</w:t>
                  </w:r>
                </w:p>
              </w:tc>
              <w:tc>
                <w:tcPr>
                  <w:tcW w:w="1323" w:type="dxa"/>
                  <w:tcBorders>
                    <w:tl2br w:val="nil"/>
                    <w:tr2bl w:val="nil"/>
                  </w:tcBorders>
                  <w:noWrap w:val="0"/>
                  <w:vAlign w:val="center"/>
                </w:tcPr>
                <w:p w14:paraId="6A0C5D17">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cs="Times New Roman"/>
                      <w:color w:val="auto"/>
                      <w:sz w:val="21"/>
                      <w:szCs w:val="21"/>
                      <w:highlight w:val="none"/>
                      <w:u w:val="none" w:color="auto"/>
                      <w:lang w:val="en-US" w:eastAsia="zh-CN"/>
                    </w:rPr>
                    <w:t>0</w:t>
                  </w:r>
                </w:p>
              </w:tc>
              <w:tc>
                <w:tcPr>
                  <w:tcW w:w="1320" w:type="dxa"/>
                  <w:tcBorders>
                    <w:tl2br w:val="nil"/>
                    <w:tr2bl w:val="nil"/>
                  </w:tcBorders>
                  <w:noWrap w:val="0"/>
                  <w:vAlign w:val="center"/>
                </w:tcPr>
                <w:p w14:paraId="1ABFC505">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kern w:val="0"/>
                      <w:sz w:val="21"/>
                      <w:szCs w:val="21"/>
                      <w:u w:val="none" w:color="auto"/>
                      <w:lang w:val="en-US" w:eastAsia="zh-CN"/>
                    </w:rPr>
                    <w:t>0.</w:t>
                  </w:r>
                  <w:r>
                    <w:rPr>
                      <w:rFonts w:hint="eastAsia" w:ascii="Times New Roman" w:cs="Times New Roman"/>
                      <w:color w:val="auto"/>
                      <w:kern w:val="0"/>
                      <w:sz w:val="21"/>
                      <w:szCs w:val="21"/>
                      <w:u w:val="none" w:color="auto"/>
                      <w:lang w:val="en-US" w:eastAsia="zh-CN"/>
                    </w:rPr>
                    <w:t>06</w:t>
                  </w:r>
                </w:p>
              </w:tc>
              <w:tc>
                <w:tcPr>
                  <w:tcW w:w="1251" w:type="dxa"/>
                  <w:tcBorders>
                    <w:tl2br w:val="nil"/>
                    <w:tr2bl w:val="nil"/>
                  </w:tcBorders>
                  <w:noWrap w:val="0"/>
                  <w:vAlign w:val="center"/>
                </w:tcPr>
                <w:p w14:paraId="66FA800A">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cs="Times New Roman"/>
                      <w:color w:val="auto"/>
                      <w:sz w:val="21"/>
                      <w:szCs w:val="21"/>
                      <w:highlight w:val="none"/>
                      <w:u w:val="none" w:color="auto"/>
                      <w:lang w:val="en-US" w:eastAsia="zh-CN"/>
                    </w:rPr>
                    <w:t>0</w:t>
                  </w:r>
                </w:p>
              </w:tc>
            </w:tr>
            <w:tr w14:paraId="2A85FE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vMerge w:val="continue"/>
                  <w:tcBorders>
                    <w:tl2br w:val="nil"/>
                    <w:tr2bl w:val="nil"/>
                  </w:tcBorders>
                  <w:noWrap w:val="0"/>
                  <w:vAlign w:val="center"/>
                </w:tcPr>
                <w:p w14:paraId="0754EA23">
                  <w:pPr>
                    <w:pStyle w:val="46"/>
                    <w:bidi w:val="0"/>
                    <w:ind w:left="0" w:leftChars="0" w:right="0" w:rightChars="0" w:firstLine="0" w:firstLineChars="0"/>
                    <w:jc w:val="center"/>
                    <w:rPr>
                      <w:rFonts w:hint="default" w:ascii="Times New Roman" w:hAnsi="Times New Roman" w:eastAsia="宋体" w:cs="Times New Roman"/>
                      <w:color w:val="auto"/>
                      <w:sz w:val="21"/>
                      <w:szCs w:val="21"/>
                      <w:highlight w:val="none"/>
                      <w:u w:val="none" w:color="auto"/>
                      <w:vertAlign w:val="baseline"/>
                      <w:lang w:val="en-US" w:eastAsia="zh-CN"/>
                    </w:rPr>
                  </w:pPr>
                </w:p>
              </w:tc>
              <w:tc>
                <w:tcPr>
                  <w:tcW w:w="1284" w:type="dxa"/>
                  <w:tcBorders>
                    <w:tl2br w:val="nil"/>
                    <w:tr2bl w:val="nil"/>
                  </w:tcBorders>
                  <w:shd w:val="clear" w:color="auto" w:fill="auto"/>
                  <w:noWrap w:val="0"/>
                  <w:vAlign w:val="center"/>
                </w:tcPr>
                <w:p w14:paraId="38F24CED">
                  <w:pPr>
                    <w:pStyle w:val="63"/>
                    <w:tabs>
                      <w:tab w:val="left" w:pos="1021"/>
                    </w:tabs>
                    <w:ind w:firstLine="0" w:firstLineChars="0"/>
                    <w:jc w:val="center"/>
                    <w:rPr>
                      <w:rFonts w:hint="default" w:ascii="Times New Roman" w:hAnsi="楷体_GB2312"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highlight w:val="none"/>
                      <w:u w:val="none" w:color="auto"/>
                    </w:rPr>
                    <w:t>SO</w:t>
                  </w:r>
                  <w:r>
                    <w:rPr>
                      <w:rFonts w:hint="default" w:ascii="Times New Roman" w:hAnsi="Times New Roman" w:cs="Times New Roman"/>
                      <w:color w:val="auto"/>
                      <w:highlight w:val="none"/>
                      <w:u w:val="none" w:color="auto"/>
                      <w:vertAlign w:val="subscript"/>
                    </w:rPr>
                    <w:t>2</w:t>
                  </w:r>
                </w:p>
              </w:tc>
              <w:tc>
                <w:tcPr>
                  <w:tcW w:w="1414" w:type="dxa"/>
                  <w:tcBorders>
                    <w:tl2br w:val="nil"/>
                    <w:tr2bl w:val="nil"/>
                  </w:tcBorders>
                  <w:shd w:val="clear" w:color="auto" w:fill="auto"/>
                  <w:noWrap w:val="0"/>
                  <w:vAlign w:val="center"/>
                </w:tcPr>
                <w:p w14:paraId="5B0D5EE6">
                  <w:pPr>
                    <w:pStyle w:val="63"/>
                    <w:tabs>
                      <w:tab w:val="left" w:pos="1021"/>
                    </w:tabs>
                    <w:ind w:firstLine="0" w:firstLineChars="0"/>
                    <w:jc w:val="center"/>
                    <w:rPr>
                      <w:rFonts w:hint="default" w:ascii="Times New Roman" w:hAnsi="楷体_GB2312"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highlight w:val="none"/>
                      <w:u w:val="none" w:color="auto"/>
                      <w:lang w:val="en-US" w:eastAsia="zh-CN"/>
                    </w:rPr>
                    <w:t>0.031</w:t>
                  </w:r>
                </w:p>
              </w:tc>
              <w:tc>
                <w:tcPr>
                  <w:tcW w:w="1410" w:type="dxa"/>
                  <w:tcBorders>
                    <w:tl2br w:val="nil"/>
                    <w:tr2bl w:val="nil"/>
                  </w:tcBorders>
                  <w:shd w:val="clear" w:color="auto" w:fill="auto"/>
                  <w:noWrap w:val="0"/>
                  <w:vAlign w:val="center"/>
                </w:tcPr>
                <w:p w14:paraId="3DE7F900">
                  <w:pPr>
                    <w:jc w:val="center"/>
                    <w:rPr>
                      <w:rFonts w:hint="default"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eastAsia="宋体" w:cs="Times New Roman"/>
                      <w:color w:val="auto"/>
                      <w:kern w:val="0"/>
                      <w:sz w:val="21"/>
                      <w:szCs w:val="20"/>
                      <w:highlight w:val="none"/>
                      <w:u w:val="none" w:color="auto"/>
                      <w:lang w:val="en-US" w:eastAsia="zh-CN" w:bidi="ar-SA"/>
                    </w:rPr>
                    <w:t>0.</w:t>
                  </w:r>
                  <w:r>
                    <w:rPr>
                      <w:rFonts w:hint="eastAsia" w:cs="Times New Roman"/>
                      <w:color w:val="auto"/>
                      <w:kern w:val="0"/>
                      <w:sz w:val="21"/>
                      <w:szCs w:val="20"/>
                      <w:highlight w:val="none"/>
                      <w:u w:val="none" w:color="auto"/>
                      <w:lang w:val="en-US" w:eastAsia="zh-CN" w:bidi="ar-SA"/>
                    </w:rPr>
                    <w:t>031</w:t>
                  </w:r>
                </w:p>
              </w:tc>
              <w:tc>
                <w:tcPr>
                  <w:tcW w:w="1323" w:type="dxa"/>
                  <w:tcBorders>
                    <w:tl2br w:val="nil"/>
                    <w:tr2bl w:val="nil"/>
                  </w:tcBorders>
                  <w:shd w:val="clear" w:color="auto" w:fill="auto"/>
                  <w:noWrap w:val="0"/>
                  <w:vAlign w:val="center"/>
                </w:tcPr>
                <w:p w14:paraId="79A5BFBF">
                  <w:pPr>
                    <w:bidi w:val="0"/>
                    <w:ind w:left="0" w:leftChars="0" w:right="0" w:rightChars="0" w:firstLine="0" w:firstLineChars="0"/>
                    <w:jc w:val="center"/>
                    <w:rPr>
                      <w:rFonts w:hint="default" w:ascii="Times New Roman" w:hAnsi="Times New Roman" w:eastAsia="宋体" w:cs="Times New Roman"/>
                      <w:color w:val="auto"/>
                      <w:kern w:val="0"/>
                      <w:sz w:val="21"/>
                      <w:szCs w:val="21"/>
                      <w:highlight w:val="none"/>
                      <w:u w:val="none" w:color="auto"/>
                      <w:lang w:val="en-US" w:eastAsia="zh-CN" w:bidi="ar-SA"/>
                    </w:rPr>
                  </w:pPr>
                  <w:r>
                    <w:rPr>
                      <w:rFonts w:hint="eastAsia" w:ascii="Times New Roman" w:cs="Times New Roman"/>
                      <w:color w:val="auto"/>
                      <w:sz w:val="21"/>
                      <w:szCs w:val="21"/>
                      <w:highlight w:val="none"/>
                      <w:u w:val="none" w:color="auto"/>
                      <w:lang w:val="en-US" w:eastAsia="zh-CN"/>
                    </w:rPr>
                    <w:t>0</w:t>
                  </w:r>
                </w:p>
              </w:tc>
              <w:tc>
                <w:tcPr>
                  <w:tcW w:w="1320" w:type="dxa"/>
                  <w:tcBorders>
                    <w:tl2br w:val="nil"/>
                    <w:tr2bl w:val="nil"/>
                  </w:tcBorders>
                  <w:shd w:val="clear" w:color="auto" w:fill="auto"/>
                  <w:noWrap w:val="0"/>
                  <w:vAlign w:val="center"/>
                </w:tcPr>
                <w:p w14:paraId="33FAA0DB">
                  <w:pPr>
                    <w:jc w:val="center"/>
                    <w:rPr>
                      <w:rFonts w:hint="default"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eastAsia="宋体" w:cs="Times New Roman"/>
                      <w:color w:val="auto"/>
                      <w:kern w:val="0"/>
                      <w:sz w:val="21"/>
                      <w:szCs w:val="20"/>
                      <w:highlight w:val="none"/>
                      <w:u w:val="none" w:color="auto"/>
                      <w:lang w:val="en-US" w:eastAsia="zh-CN" w:bidi="ar-SA"/>
                    </w:rPr>
                    <w:t>0.</w:t>
                  </w:r>
                  <w:r>
                    <w:rPr>
                      <w:rFonts w:hint="eastAsia" w:cs="Times New Roman"/>
                      <w:color w:val="auto"/>
                      <w:kern w:val="0"/>
                      <w:sz w:val="21"/>
                      <w:szCs w:val="20"/>
                      <w:highlight w:val="none"/>
                      <w:u w:val="none" w:color="auto"/>
                      <w:lang w:val="en-US" w:eastAsia="zh-CN" w:bidi="ar-SA"/>
                    </w:rPr>
                    <w:t>031</w:t>
                  </w:r>
                </w:p>
              </w:tc>
              <w:tc>
                <w:tcPr>
                  <w:tcW w:w="1251" w:type="dxa"/>
                  <w:tcBorders>
                    <w:tl2br w:val="nil"/>
                    <w:tr2bl w:val="nil"/>
                  </w:tcBorders>
                  <w:shd w:val="clear" w:color="auto" w:fill="auto"/>
                  <w:noWrap w:val="0"/>
                  <w:vAlign w:val="center"/>
                </w:tcPr>
                <w:p w14:paraId="49FCD03A">
                  <w:pPr>
                    <w:bidi w:val="0"/>
                    <w:ind w:left="0" w:leftChars="0" w:right="0" w:rightChars="0" w:firstLine="0" w:firstLineChars="0"/>
                    <w:jc w:val="center"/>
                    <w:rPr>
                      <w:rFonts w:hint="default" w:ascii="Times New Roman" w:hAnsi="Times New Roman" w:eastAsia="宋体" w:cs="Times New Roman"/>
                      <w:color w:val="auto"/>
                      <w:kern w:val="0"/>
                      <w:sz w:val="21"/>
                      <w:szCs w:val="20"/>
                      <w:highlight w:val="none"/>
                      <w:u w:val="none" w:color="auto"/>
                      <w:lang w:val="en-US" w:eastAsia="zh-CN" w:bidi="ar-SA"/>
                    </w:rPr>
                  </w:pPr>
                  <w:r>
                    <w:rPr>
                      <w:rFonts w:hint="eastAsia" w:ascii="Times New Roman" w:cs="Times New Roman"/>
                      <w:color w:val="auto"/>
                      <w:sz w:val="21"/>
                      <w:szCs w:val="21"/>
                      <w:highlight w:val="none"/>
                      <w:u w:val="none" w:color="auto"/>
                      <w:lang w:val="en-US" w:eastAsia="zh-CN"/>
                    </w:rPr>
                    <w:t>0</w:t>
                  </w:r>
                </w:p>
              </w:tc>
            </w:tr>
            <w:tr w14:paraId="269899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vMerge w:val="continue"/>
                  <w:tcBorders>
                    <w:tl2br w:val="nil"/>
                    <w:tr2bl w:val="nil"/>
                  </w:tcBorders>
                  <w:noWrap w:val="0"/>
                  <w:vAlign w:val="center"/>
                </w:tcPr>
                <w:p w14:paraId="4B15F7B3">
                  <w:pPr>
                    <w:pStyle w:val="46"/>
                    <w:bidi w:val="0"/>
                    <w:ind w:left="0" w:leftChars="0" w:right="0" w:rightChars="0" w:firstLine="0" w:firstLineChars="0"/>
                    <w:jc w:val="center"/>
                    <w:rPr>
                      <w:rFonts w:hint="default" w:ascii="Times New Roman" w:hAnsi="Times New Roman" w:eastAsia="宋体" w:cs="Times New Roman"/>
                      <w:color w:val="auto"/>
                      <w:sz w:val="21"/>
                      <w:szCs w:val="21"/>
                      <w:highlight w:val="none"/>
                      <w:u w:val="none" w:color="auto"/>
                      <w:vertAlign w:val="baseline"/>
                      <w:lang w:val="en-US" w:eastAsia="zh-CN"/>
                    </w:rPr>
                  </w:pPr>
                </w:p>
              </w:tc>
              <w:tc>
                <w:tcPr>
                  <w:tcW w:w="1284" w:type="dxa"/>
                  <w:tcBorders>
                    <w:tl2br w:val="nil"/>
                    <w:tr2bl w:val="nil"/>
                  </w:tcBorders>
                  <w:shd w:val="clear" w:color="auto" w:fill="auto"/>
                  <w:noWrap w:val="0"/>
                  <w:vAlign w:val="center"/>
                </w:tcPr>
                <w:p w14:paraId="22D678A8">
                  <w:pPr>
                    <w:pStyle w:val="63"/>
                    <w:tabs>
                      <w:tab w:val="left" w:pos="1021"/>
                    </w:tabs>
                    <w:ind w:firstLine="0" w:firstLineChars="0"/>
                    <w:jc w:val="center"/>
                    <w:rPr>
                      <w:rFonts w:hint="default" w:ascii="Times New Roman" w:hAnsi="楷体_GB2312"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highlight w:val="none"/>
                      <w:u w:val="none" w:color="auto"/>
                    </w:rPr>
                    <w:t>NO</w:t>
                  </w:r>
                  <w:r>
                    <w:rPr>
                      <w:rFonts w:hint="default" w:ascii="Times New Roman" w:hAnsi="Times New Roman" w:cs="Times New Roman"/>
                      <w:color w:val="auto"/>
                      <w:highlight w:val="none"/>
                      <w:u w:val="none" w:color="auto"/>
                      <w:vertAlign w:val="subscript"/>
                    </w:rPr>
                    <w:t>X</w:t>
                  </w:r>
                </w:p>
              </w:tc>
              <w:tc>
                <w:tcPr>
                  <w:tcW w:w="1414" w:type="dxa"/>
                  <w:tcBorders>
                    <w:tl2br w:val="nil"/>
                    <w:tr2bl w:val="nil"/>
                  </w:tcBorders>
                  <w:shd w:val="clear" w:color="auto" w:fill="auto"/>
                  <w:noWrap w:val="0"/>
                  <w:vAlign w:val="center"/>
                </w:tcPr>
                <w:p w14:paraId="1E2BA80D">
                  <w:pPr>
                    <w:pStyle w:val="63"/>
                    <w:tabs>
                      <w:tab w:val="left" w:pos="1021"/>
                    </w:tabs>
                    <w:ind w:firstLine="0" w:firstLineChars="0"/>
                    <w:jc w:val="center"/>
                    <w:rPr>
                      <w:rFonts w:hint="default" w:ascii="Times New Roman" w:hAnsi="楷体_GB2312"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highlight w:val="none"/>
                      <w:u w:val="none" w:color="auto"/>
                      <w:lang w:val="en-US" w:eastAsia="zh-CN"/>
                    </w:rPr>
                    <w:t>0.201</w:t>
                  </w:r>
                </w:p>
              </w:tc>
              <w:tc>
                <w:tcPr>
                  <w:tcW w:w="1410" w:type="dxa"/>
                  <w:tcBorders>
                    <w:tl2br w:val="nil"/>
                    <w:tr2bl w:val="nil"/>
                  </w:tcBorders>
                  <w:shd w:val="clear" w:color="auto" w:fill="auto"/>
                  <w:noWrap w:val="0"/>
                  <w:vAlign w:val="center"/>
                </w:tcPr>
                <w:p w14:paraId="7DBF3882">
                  <w:pPr>
                    <w:jc w:val="center"/>
                    <w:rPr>
                      <w:rFonts w:hint="default"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eastAsia="宋体" w:cs="Times New Roman"/>
                      <w:color w:val="auto"/>
                      <w:kern w:val="0"/>
                      <w:sz w:val="21"/>
                      <w:szCs w:val="20"/>
                      <w:highlight w:val="none"/>
                      <w:u w:val="none" w:color="auto"/>
                      <w:lang w:val="en-US" w:eastAsia="zh-CN" w:bidi="ar-SA"/>
                    </w:rPr>
                    <w:t>0.</w:t>
                  </w:r>
                  <w:r>
                    <w:rPr>
                      <w:rFonts w:hint="eastAsia" w:cs="Times New Roman"/>
                      <w:color w:val="auto"/>
                      <w:kern w:val="0"/>
                      <w:sz w:val="21"/>
                      <w:szCs w:val="20"/>
                      <w:highlight w:val="none"/>
                      <w:u w:val="none" w:color="auto"/>
                      <w:lang w:val="en-US" w:eastAsia="zh-CN" w:bidi="ar-SA"/>
                    </w:rPr>
                    <w:t>201</w:t>
                  </w:r>
                </w:p>
              </w:tc>
              <w:tc>
                <w:tcPr>
                  <w:tcW w:w="1323" w:type="dxa"/>
                  <w:tcBorders>
                    <w:tl2br w:val="nil"/>
                    <w:tr2bl w:val="nil"/>
                  </w:tcBorders>
                  <w:shd w:val="clear" w:color="auto" w:fill="auto"/>
                  <w:noWrap w:val="0"/>
                  <w:vAlign w:val="center"/>
                </w:tcPr>
                <w:p w14:paraId="3901BA0C">
                  <w:pPr>
                    <w:bidi w:val="0"/>
                    <w:ind w:left="0" w:leftChars="0" w:right="0" w:rightChars="0" w:firstLine="0" w:firstLineChars="0"/>
                    <w:jc w:val="center"/>
                    <w:rPr>
                      <w:rFonts w:hint="default" w:ascii="Times New Roman" w:hAnsi="Times New Roman" w:eastAsia="宋体" w:cs="Times New Roman"/>
                      <w:color w:val="auto"/>
                      <w:kern w:val="0"/>
                      <w:sz w:val="21"/>
                      <w:szCs w:val="21"/>
                      <w:highlight w:val="none"/>
                      <w:u w:val="none" w:color="auto"/>
                      <w:lang w:val="en-US" w:eastAsia="zh-CN" w:bidi="ar-SA"/>
                    </w:rPr>
                  </w:pPr>
                  <w:r>
                    <w:rPr>
                      <w:rFonts w:hint="eastAsia" w:ascii="Times New Roman" w:cs="Times New Roman"/>
                      <w:color w:val="auto"/>
                      <w:sz w:val="21"/>
                      <w:szCs w:val="21"/>
                      <w:highlight w:val="none"/>
                      <w:u w:val="none" w:color="auto"/>
                      <w:lang w:val="en-US" w:eastAsia="zh-CN"/>
                    </w:rPr>
                    <w:t>0</w:t>
                  </w:r>
                </w:p>
              </w:tc>
              <w:tc>
                <w:tcPr>
                  <w:tcW w:w="1320" w:type="dxa"/>
                  <w:tcBorders>
                    <w:tl2br w:val="nil"/>
                    <w:tr2bl w:val="nil"/>
                  </w:tcBorders>
                  <w:shd w:val="clear" w:color="auto" w:fill="auto"/>
                  <w:noWrap w:val="0"/>
                  <w:vAlign w:val="center"/>
                </w:tcPr>
                <w:p w14:paraId="7BE940CA">
                  <w:pPr>
                    <w:jc w:val="center"/>
                    <w:rPr>
                      <w:rFonts w:hint="eastAsia"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eastAsia="宋体" w:cs="Times New Roman"/>
                      <w:color w:val="auto"/>
                      <w:kern w:val="0"/>
                      <w:sz w:val="21"/>
                      <w:szCs w:val="20"/>
                      <w:highlight w:val="none"/>
                      <w:u w:val="none" w:color="auto"/>
                      <w:lang w:val="en-US" w:eastAsia="zh-CN" w:bidi="ar-SA"/>
                    </w:rPr>
                    <w:t>0.</w:t>
                  </w:r>
                  <w:r>
                    <w:rPr>
                      <w:rFonts w:hint="eastAsia" w:cs="Times New Roman"/>
                      <w:color w:val="auto"/>
                      <w:kern w:val="0"/>
                      <w:sz w:val="21"/>
                      <w:szCs w:val="20"/>
                      <w:highlight w:val="none"/>
                      <w:u w:val="none" w:color="auto"/>
                      <w:lang w:val="en-US" w:eastAsia="zh-CN" w:bidi="ar-SA"/>
                    </w:rPr>
                    <w:t>201</w:t>
                  </w:r>
                </w:p>
              </w:tc>
              <w:tc>
                <w:tcPr>
                  <w:tcW w:w="1251" w:type="dxa"/>
                  <w:tcBorders>
                    <w:tl2br w:val="nil"/>
                    <w:tr2bl w:val="nil"/>
                  </w:tcBorders>
                  <w:shd w:val="clear" w:color="auto" w:fill="auto"/>
                  <w:noWrap w:val="0"/>
                  <w:vAlign w:val="center"/>
                </w:tcPr>
                <w:p w14:paraId="621FAC05">
                  <w:pPr>
                    <w:bidi w:val="0"/>
                    <w:ind w:left="0" w:leftChars="0" w:right="0" w:rightChars="0" w:firstLine="0" w:firstLineChars="0"/>
                    <w:jc w:val="center"/>
                    <w:rPr>
                      <w:rFonts w:hint="default" w:ascii="Times New Roman" w:hAnsi="Times New Roman" w:eastAsia="宋体" w:cs="Times New Roman"/>
                      <w:color w:val="auto"/>
                      <w:kern w:val="0"/>
                      <w:sz w:val="21"/>
                      <w:szCs w:val="20"/>
                      <w:highlight w:val="none"/>
                      <w:u w:val="none" w:color="auto"/>
                      <w:lang w:val="en-US" w:eastAsia="zh-CN" w:bidi="ar-SA"/>
                    </w:rPr>
                  </w:pPr>
                  <w:r>
                    <w:rPr>
                      <w:rFonts w:hint="eastAsia" w:ascii="Times New Roman" w:cs="Times New Roman"/>
                      <w:color w:val="auto"/>
                      <w:sz w:val="21"/>
                      <w:szCs w:val="21"/>
                      <w:highlight w:val="none"/>
                      <w:u w:val="none" w:color="auto"/>
                      <w:lang w:val="en-US" w:eastAsia="zh-CN"/>
                    </w:rPr>
                    <w:t>0</w:t>
                  </w:r>
                </w:p>
              </w:tc>
            </w:tr>
            <w:tr w14:paraId="7030D4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93" w:hRule="atLeast"/>
              </w:trPr>
              <w:tc>
                <w:tcPr>
                  <w:tcW w:w="813" w:type="dxa"/>
                  <w:vMerge w:val="continue"/>
                  <w:tcBorders>
                    <w:tl2br w:val="nil"/>
                    <w:tr2bl w:val="nil"/>
                  </w:tcBorders>
                  <w:noWrap w:val="0"/>
                  <w:vAlign w:val="center"/>
                </w:tcPr>
                <w:p w14:paraId="15D114CC">
                  <w:pPr>
                    <w:pStyle w:val="46"/>
                    <w:bidi w:val="0"/>
                    <w:ind w:left="0" w:leftChars="0" w:right="0" w:rightChars="0" w:firstLine="0" w:firstLineChars="0"/>
                    <w:jc w:val="center"/>
                    <w:rPr>
                      <w:rFonts w:hint="default" w:ascii="Times New Roman" w:hAnsi="Times New Roman" w:eastAsia="宋体" w:cs="Times New Roman"/>
                      <w:color w:val="auto"/>
                      <w:sz w:val="21"/>
                      <w:szCs w:val="21"/>
                      <w:highlight w:val="none"/>
                      <w:u w:val="none" w:color="auto"/>
                      <w:vertAlign w:val="baseline"/>
                      <w:lang w:val="en-US" w:eastAsia="zh-CN"/>
                    </w:rPr>
                  </w:pPr>
                </w:p>
              </w:tc>
              <w:tc>
                <w:tcPr>
                  <w:tcW w:w="1284" w:type="dxa"/>
                  <w:tcBorders>
                    <w:tl2br w:val="nil"/>
                    <w:tr2bl w:val="nil"/>
                  </w:tcBorders>
                  <w:shd w:val="clear" w:color="auto" w:fill="auto"/>
                  <w:noWrap w:val="0"/>
                  <w:vAlign w:val="center"/>
                </w:tcPr>
                <w:p w14:paraId="32E0A95B">
                  <w:pPr>
                    <w:pStyle w:val="63"/>
                    <w:tabs>
                      <w:tab w:val="left" w:pos="1021"/>
                    </w:tabs>
                    <w:ind w:firstLine="0" w:firstLineChars="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highlight w:val="none"/>
                      <w:u w:val="none" w:color="auto"/>
                    </w:rPr>
                    <w:t>颗粒物</w:t>
                  </w:r>
                </w:p>
              </w:tc>
              <w:tc>
                <w:tcPr>
                  <w:tcW w:w="1414" w:type="dxa"/>
                  <w:tcBorders>
                    <w:tl2br w:val="nil"/>
                    <w:tr2bl w:val="nil"/>
                  </w:tcBorders>
                  <w:shd w:val="clear" w:color="auto" w:fill="auto"/>
                  <w:noWrap w:val="0"/>
                  <w:vAlign w:val="center"/>
                </w:tcPr>
                <w:p w14:paraId="14985C3E">
                  <w:pPr>
                    <w:pStyle w:val="46"/>
                    <w:bidi w:val="0"/>
                    <w:ind w:left="0" w:leftChars="0" w:right="0" w:rightChars="0" w:firstLine="0" w:firstLineChars="0"/>
                    <w:rPr>
                      <w:rFonts w:hint="default" w:ascii="Times New Roman" w:hAnsi="Times New Roman" w:eastAsia="宋体" w:cs="Times New Roman"/>
                      <w:color w:val="auto"/>
                      <w:kern w:val="0"/>
                      <w:sz w:val="21"/>
                      <w:szCs w:val="21"/>
                      <w:highlight w:val="none"/>
                      <w:u w:val="none" w:color="auto"/>
                      <w:lang w:val="en-US" w:eastAsia="zh-CN" w:bidi="ar-SA"/>
                    </w:rPr>
                  </w:pPr>
                  <w:r>
                    <w:rPr>
                      <w:rFonts w:hint="eastAsia" w:ascii="Times New Roman" w:cs="Times New Roman"/>
                      <w:color w:val="auto"/>
                      <w:kern w:val="0"/>
                      <w:sz w:val="21"/>
                      <w:szCs w:val="20"/>
                      <w:highlight w:val="none"/>
                      <w:u w:val="none" w:color="auto"/>
                      <w:lang w:val="en-US" w:eastAsia="zh-CN" w:bidi="ar-SA"/>
                    </w:rPr>
                    <w:t>0.0095</w:t>
                  </w:r>
                </w:p>
              </w:tc>
              <w:tc>
                <w:tcPr>
                  <w:tcW w:w="1410" w:type="dxa"/>
                  <w:tcBorders>
                    <w:tl2br w:val="nil"/>
                    <w:tr2bl w:val="nil"/>
                  </w:tcBorders>
                  <w:shd w:val="clear" w:color="auto" w:fill="auto"/>
                  <w:noWrap w:val="0"/>
                  <w:vAlign w:val="center"/>
                </w:tcPr>
                <w:p w14:paraId="5744960E">
                  <w:pPr>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0"/>
                      <w:sz w:val="21"/>
                      <w:szCs w:val="20"/>
                      <w:highlight w:val="none"/>
                      <w:u w:val="none" w:color="auto"/>
                      <w:lang w:val="en-US" w:eastAsia="zh-CN" w:bidi="ar-SA"/>
                    </w:rPr>
                    <w:t>0.00</w:t>
                  </w:r>
                  <w:r>
                    <w:rPr>
                      <w:rFonts w:hint="eastAsia" w:ascii="Times New Roman" w:hAnsi="Times New Roman" w:eastAsia="宋体" w:cs="Times New Roman"/>
                      <w:color w:val="auto"/>
                      <w:kern w:val="0"/>
                      <w:sz w:val="21"/>
                      <w:szCs w:val="20"/>
                      <w:highlight w:val="none"/>
                      <w:u w:val="none" w:color="auto"/>
                      <w:lang w:val="en-US" w:eastAsia="zh-CN" w:bidi="ar-SA"/>
                    </w:rPr>
                    <w:t>57</w:t>
                  </w:r>
                </w:p>
              </w:tc>
              <w:tc>
                <w:tcPr>
                  <w:tcW w:w="1323" w:type="dxa"/>
                  <w:tcBorders>
                    <w:tl2br w:val="nil"/>
                    <w:tr2bl w:val="nil"/>
                  </w:tcBorders>
                  <w:shd w:val="clear" w:color="auto" w:fill="auto"/>
                  <w:noWrap w:val="0"/>
                  <w:vAlign w:val="center"/>
                </w:tcPr>
                <w:p w14:paraId="305656F2">
                  <w:pPr>
                    <w:pStyle w:val="46"/>
                    <w:bidi w:val="0"/>
                    <w:ind w:left="0" w:leftChars="0" w:right="0" w:rightChars="0" w:firstLine="0" w:firstLineChars="0"/>
                    <w:rPr>
                      <w:rFonts w:hint="default"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shd w:val="clear" w:color="auto" w:fill="auto"/>
                  <w:noWrap w:val="0"/>
                  <w:vAlign w:val="center"/>
                </w:tcPr>
                <w:p w14:paraId="72966B91">
                  <w:pPr>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0"/>
                      <w:sz w:val="21"/>
                      <w:szCs w:val="20"/>
                      <w:highlight w:val="none"/>
                      <w:u w:val="none" w:color="auto"/>
                      <w:lang w:val="en-US" w:eastAsia="zh-CN" w:bidi="ar-SA"/>
                    </w:rPr>
                    <w:t>0.00</w:t>
                  </w:r>
                  <w:r>
                    <w:rPr>
                      <w:rFonts w:hint="eastAsia" w:ascii="Times New Roman" w:hAnsi="Times New Roman" w:eastAsia="宋体" w:cs="Times New Roman"/>
                      <w:color w:val="auto"/>
                      <w:kern w:val="0"/>
                      <w:sz w:val="21"/>
                      <w:szCs w:val="20"/>
                      <w:highlight w:val="none"/>
                      <w:u w:val="none" w:color="auto"/>
                      <w:lang w:val="en-US" w:eastAsia="zh-CN" w:bidi="ar-SA"/>
                    </w:rPr>
                    <w:t>57</w:t>
                  </w:r>
                </w:p>
              </w:tc>
              <w:tc>
                <w:tcPr>
                  <w:tcW w:w="1251" w:type="dxa"/>
                  <w:tcBorders>
                    <w:tl2br w:val="nil"/>
                    <w:tr2bl w:val="nil"/>
                  </w:tcBorders>
                  <w:shd w:val="clear" w:color="auto" w:fill="auto"/>
                  <w:noWrap w:val="0"/>
                  <w:vAlign w:val="center"/>
                </w:tcPr>
                <w:p w14:paraId="09A39E37">
                  <w:pPr>
                    <w:jc w:val="center"/>
                    <w:rPr>
                      <w:rFonts w:hint="default" w:ascii="Times New Roman" w:hAnsi="Times New Roman" w:eastAsia="宋体" w:cs="Times New Roman"/>
                      <w:color w:val="auto"/>
                      <w:kern w:val="0"/>
                      <w:sz w:val="21"/>
                      <w:szCs w:val="20"/>
                      <w:highlight w:val="none"/>
                      <w:u w:val="none" w:color="auto"/>
                      <w:lang w:val="en-US" w:eastAsia="zh-CN" w:bidi="ar-SA"/>
                    </w:rPr>
                  </w:pPr>
                  <w:r>
                    <w:rPr>
                      <w:rFonts w:hint="eastAsia" w:ascii="Times New Roman" w:hAnsi="Times New Roman" w:eastAsia="宋体" w:cs="Times New Roman"/>
                      <w:color w:val="auto"/>
                      <w:kern w:val="0"/>
                      <w:sz w:val="21"/>
                      <w:szCs w:val="20"/>
                      <w:highlight w:val="none"/>
                      <w:u w:val="none" w:color="auto"/>
                      <w:lang w:val="en-US" w:eastAsia="zh-CN" w:bidi="ar-SA"/>
                    </w:rPr>
                    <w:t>-</w:t>
                  </w:r>
                  <w:r>
                    <w:rPr>
                      <w:rFonts w:hint="eastAsia" w:cs="Times New Roman"/>
                      <w:color w:val="auto"/>
                      <w:kern w:val="0"/>
                      <w:sz w:val="21"/>
                      <w:szCs w:val="20"/>
                      <w:highlight w:val="none"/>
                      <w:u w:val="none" w:color="auto"/>
                      <w:lang w:val="en-US" w:eastAsia="zh-CN" w:bidi="ar-SA"/>
                    </w:rPr>
                    <w:t>0.0039</w:t>
                  </w:r>
                </w:p>
              </w:tc>
            </w:tr>
            <w:tr w14:paraId="12437D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vMerge w:val="restart"/>
                  <w:tcBorders>
                    <w:tl2br w:val="nil"/>
                    <w:tr2bl w:val="nil"/>
                  </w:tcBorders>
                  <w:noWrap w:val="0"/>
                  <w:vAlign w:val="center"/>
                </w:tcPr>
                <w:p w14:paraId="3F33FDF1">
                  <w:pPr>
                    <w:pStyle w:val="46"/>
                    <w:bidi w:val="0"/>
                    <w:ind w:left="0" w:leftChars="0" w:right="0" w:rightChars="0" w:firstLine="0" w:firstLineChars="0"/>
                    <w:jc w:val="center"/>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废水</w:t>
                  </w:r>
                </w:p>
              </w:tc>
              <w:tc>
                <w:tcPr>
                  <w:tcW w:w="1284" w:type="dxa"/>
                  <w:tcBorders>
                    <w:tl2br w:val="nil"/>
                    <w:tr2bl w:val="nil"/>
                  </w:tcBorders>
                  <w:noWrap w:val="0"/>
                  <w:vAlign w:val="center"/>
                </w:tcPr>
                <w:p w14:paraId="35CAC142">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废水量</w:t>
                  </w:r>
                </w:p>
              </w:tc>
              <w:tc>
                <w:tcPr>
                  <w:tcW w:w="1414" w:type="dxa"/>
                  <w:tcBorders>
                    <w:tl2br w:val="nil"/>
                    <w:tr2bl w:val="nil"/>
                  </w:tcBorders>
                  <w:noWrap w:val="0"/>
                  <w:vAlign w:val="center"/>
                </w:tcPr>
                <w:p w14:paraId="57ADFAAA">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152</w:t>
                  </w:r>
                </w:p>
              </w:tc>
              <w:tc>
                <w:tcPr>
                  <w:tcW w:w="1410" w:type="dxa"/>
                  <w:tcBorders>
                    <w:tl2br w:val="nil"/>
                    <w:tr2bl w:val="nil"/>
                  </w:tcBorders>
                  <w:noWrap w:val="0"/>
                  <w:vAlign w:val="center"/>
                </w:tcPr>
                <w:p w14:paraId="2F25BACE">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152</w:t>
                  </w:r>
                </w:p>
              </w:tc>
              <w:tc>
                <w:tcPr>
                  <w:tcW w:w="1323" w:type="dxa"/>
                  <w:tcBorders>
                    <w:tl2br w:val="nil"/>
                    <w:tr2bl w:val="nil"/>
                  </w:tcBorders>
                  <w:noWrap w:val="0"/>
                  <w:vAlign w:val="center"/>
                </w:tcPr>
                <w:p w14:paraId="4C115942">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noWrap w:val="0"/>
                  <w:vAlign w:val="center"/>
                </w:tcPr>
                <w:p w14:paraId="086E0D50">
                  <w:pPr>
                    <w:pStyle w:val="46"/>
                    <w:bidi w:val="0"/>
                    <w:ind w:left="0" w:leftChars="0" w:right="0" w:rightChars="0" w:firstLine="0" w:firstLineChars="0"/>
                    <w:rPr>
                      <w:rFonts w:hint="default" w:ascii="Times New Roman" w:hAnsi="Times New Roman" w:eastAsia="宋体" w:cs="Times New Roman"/>
                      <w:color w:val="auto"/>
                      <w:sz w:val="21"/>
                      <w:szCs w:val="21"/>
                      <w:highlight w:val="red"/>
                      <w:u w:val="none" w:color="auto"/>
                      <w:vertAlign w:val="baseline"/>
                      <w:lang w:val="en-US" w:eastAsia="zh-CN"/>
                    </w:rPr>
                  </w:pPr>
                  <w:r>
                    <w:rPr>
                      <w:rFonts w:hint="eastAsia" w:ascii="Times New Roman" w:hAnsi="Times New Roman" w:eastAsia="宋体" w:cs="Times New Roman"/>
                      <w:color w:val="auto"/>
                      <w:sz w:val="21"/>
                      <w:szCs w:val="21"/>
                      <w:highlight w:val="none"/>
                      <w:u w:val="none" w:color="auto"/>
                      <w:lang w:val="en-US" w:eastAsia="zh-CN"/>
                    </w:rPr>
                    <w:t>152</w:t>
                  </w:r>
                </w:p>
              </w:tc>
              <w:tc>
                <w:tcPr>
                  <w:tcW w:w="1251" w:type="dxa"/>
                  <w:tcBorders>
                    <w:tl2br w:val="nil"/>
                    <w:tr2bl w:val="nil"/>
                  </w:tcBorders>
                  <w:noWrap w:val="0"/>
                  <w:vAlign w:val="center"/>
                </w:tcPr>
                <w:p w14:paraId="7996BD0F">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w:t>
                  </w:r>
                </w:p>
              </w:tc>
            </w:tr>
            <w:tr w14:paraId="1D72AA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vMerge w:val="continue"/>
                  <w:tcBorders>
                    <w:tl2br w:val="nil"/>
                    <w:tr2bl w:val="nil"/>
                  </w:tcBorders>
                  <w:noWrap w:val="0"/>
                  <w:vAlign w:val="center"/>
                </w:tcPr>
                <w:p w14:paraId="59B52767">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vertAlign w:val="baseline"/>
                      <w:lang w:val="en-US" w:eastAsia="zh-CN"/>
                    </w:rPr>
                  </w:pPr>
                </w:p>
              </w:tc>
              <w:tc>
                <w:tcPr>
                  <w:tcW w:w="1284" w:type="dxa"/>
                  <w:tcBorders>
                    <w:tl2br w:val="nil"/>
                    <w:tr2bl w:val="nil"/>
                  </w:tcBorders>
                  <w:shd w:val="clear" w:color="auto" w:fill="auto"/>
                  <w:noWrap w:val="0"/>
                  <w:vAlign w:val="center"/>
                </w:tcPr>
                <w:p w14:paraId="451D9D8D">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COD</w:t>
                  </w:r>
                </w:p>
              </w:tc>
              <w:tc>
                <w:tcPr>
                  <w:tcW w:w="1414" w:type="dxa"/>
                  <w:tcBorders>
                    <w:tl2br w:val="nil"/>
                    <w:tr2bl w:val="nil"/>
                  </w:tcBorders>
                  <w:shd w:val="clear" w:color="auto" w:fill="auto"/>
                  <w:noWrap w:val="0"/>
                  <w:vAlign w:val="center"/>
                </w:tcPr>
                <w:p w14:paraId="74969011">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0.0303</w:t>
                  </w:r>
                </w:p>
              </w:tc>
              <w:tc>
                <w:tcPr>
                  <w:tcW w:w="1410" w:type="dxa"/>
                  <w:tcBorders>
                    <w:tl2br w:val="nil"/>
                    <w:tr2bl w:val="nil"/>
                  </w:tcBorders>
                  <w:shd w:val="clear" w:color="auto" w:fill="auto"/>
                  <w:noWrap w:val="0"/>
                  <w:vAlign w:val="center"/>
                </w:tcPr>
                <w:p w14:paraId="2B1888FB">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0.0303</w:t>
                  </w:r>
                </w:p>
              </w:tc>
              <w:tc>
                <w:tcPr>
                  <w:tcW w:w="1323" w:type="dxa"/>
                  <w:tcBorders>
                    <w:tl2br w:val="nil"/>
                    <w:tr2bl w:val="nil"/>
                  </w:tcBorders>
                  <w:noWrap w:val="0"/>
                  <w:vAlign w:val="center"/>
                </w:tcPr>
                <w:p w14:paraId="220A1DA2">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noWrap w:val="0"/>
                  <w:vAlign w:val="center"/>
                </w:tcPr>
                <w:p w14:paraId="76306926">
                  <w:pPr>
                    <w:pStyle w:val="46"/>
                    <w:bidi w:val="0"/>
                    <w:ind w:left="0" w:leftChars="0" w:right="0" w:rightChars="0" w:firstLine="0" w:firstLineChars="0"/>
                    <w:rPr>
                      <w:rFonts w:hint="default" w:ascii="Times New Roman" w:hAnsi="Times New Roman" w:eastAsia="宋体" w:cs="Times New Roman"/>
                      <w:color w:val="auto"/>
                      <w:sz w:val="21"/>
                      <w:szCs w:val="21"/>
                      <w:highlight w:val="red"/>
                      <w:u w:val="none" w:color="auto"/>
                      <w:vertAlign w:val="baseline"/>
                      <w:lang w:val="en-US" w:eastAsia="zh-CN"/>
                    </w:rPr>
                  </w:pPr>
                  <w:r>
                    <w:rPr>
                      <w:rFonts w:hint="default" w:ascii="Times New Roman" w:hAnsi="Times New Roman" w:eastAsia="宋体" w:cs="Times New Roman"/>
                      <w:color w:val="auto"/>
                      <w:sz w:val="21"/>
                      <w:szCs w:val="21"/>
                      <w:highlight w:val="none"/>
                      <w:u w:val="none" w:color="auto"/>
                      <w:lang w:val="en-US" w:eastAsia="zh-CN"/>
                    </w:rPr>
                    <w:t>0.0303</w:t>
                  </w:r>
                </w:p>
              </w:tc>
              <w:tc>
                <w:tcPr>
                  <w:tcW w:w="1251" w:type="dxa"/>
                  <w:tcBorders>
                    <w:tl2br w:val="nil"/>
                    <w:tr2bl w:val="nil"/>
                  </w:tcBorders>
                  <w:shd w:val="clear" w:color="auto" w:fill="auto"/>
                  <w:noWrap w:val="0"/>
                  <w:vAlign w:val="center"/>
                </w:tcPr>
                <w:p w14:paraId="305AD5CD">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highlight w:val="none"/>
                      <w:u w:val="none" w:color="auto"/>
                      <w:lang w:val="en-US" w:eastAsia="zh-CN"/>
                    </w:rPr>
                    <w:t>0</w:t>
                  </w:r>
                </w:p>
              </w:tc>
            </w:tr>
            <w:tr w14:paraId="4CD08F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vMerge w:val="continue"/>
                  <w:tcBorders>
                    <w:tl2br w:val="nil"/>
                    <w:tr2bl w:val="nil"/>
                  </w:tcBorders>
                  <w:noWrap w:val="0"/>
                  <w:vAlign w:val="center"/>
                </w:tcPr>
                <w:p w14:paraId="34822292">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vertAlign w:val="baseline"/>
                      <w:lang w:val="en-US" w:eastAsia="zh-CN"/>
                    </w:rPr>
                  </w:pPr>
                </w:p>
              </w:tc>
              <w:tc>
                <w:tcPr>
                  <w:tcW w:w="1284" w:type="dxa"/>
                  <w:tcBorders>
                    <w:tl2br w:val="nil"/>
                    <w:tr2bl w:val="nil"/>
                  </w:tcBorders>
                  <w:shd w:val="clear" w:color="auto" w:fill="auto"/>
                  <w:noWrap w:val="0"/>
                  <w:vAlign w:val="center"/>
                </w:tcPr>
                <w:p w14:paraId="1747C19E">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BOD</w:t>
                  </w:r>
                  <w:r>
                    <w:rPr>
                      <w:rFonts w:hint="default" w:ascii="Times New Roman" w:hAnsi="Times New Roman" w:eastAsia="宋体" w:cs="Times New Roman"/>
                      <w:color w:val="auto"/>
                      <w:sz w:val="21"/>
                      <w:szCs w:val="21"/>
                      <w:highlight w:val="none"/>
                      <w:u w:val="none" w:color="auto"/>
                      <w:vertAlign w:val="subscript"/>
                      <w:lang w:val="en-US" w:eastAsia="zh-CN"/>
                    </w:rPr>
                    <w:t>5</w:t>
                  </w:r>
                </w:p>
              </w:tc>
              <w:tc>
                <w:tcPr>
                  <w:tcW w:w="1414" w:type="dxa"/>
                  <w:tcBorders>
                    <w:tl2br w:val="nil"/>
                    <w:tr2bl w:val="nil"/>
                  </w:tcBorders>
                  <w:shd w:val="clear" w:color="auto" w:fill="auto"/>
                  <w:noWrap w:val="0"/>
                  <w:vAlign w:val="center"/>
                </w:tcPr>
                <w:p w14:paraId="65172481">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0.020</w:t>
                  </w:r>
                  <w:r>
                    <w:rPr>
                      <w:rFonts w:hint="eastAsia" w:ascii="Times New Roman" w:hAnsi="Times New Roman" w:eastAsia="宋体" w:cs="Times New Roman"/>
                      <w:color w:val="auto"/>
                      <w:sz w:val="21"/>
                      <w:szCs w:val="21"/>
                      <w:highlight w:val="none"/>
                      <w:u w:val="none" w:color="auto"/>
                      <w:lang w:val="en-US" w:eastAsia="zh-CN"/>
                    </w:rPr>
                    <w:t>8</w:t>
                  </w:r>
                </w:p>
              </w:tc>
              <w:tc>
                <w:tcPr>
                  <w:tcW w:w="1410" w:type="dxa"/>
                  <w:tcBorders>
                    <w:tl2br w:val="nil"/>
                    <w:tr2bl w:val="nil"/>
                  </w:tcBorders>
                  <w:shd w:val="clear" w:color="auto" w:fill="auto"/>
                  <w:noWrap w:val="0"/>
                  <w:vAlign w:val="center"/>
                </w:tcPr>
                <w:p w14:paraId="3EDC0BA7">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0.020</w:t>
                  </w:r>
                  <w:r>
                    <w:rPr>
                      <w:rFonts w:hint="eastAsia" w:ascii="Times New Roman" w:hAnsi="Times New Roman" w:eastAsia="宋体" w:cs="Times New Roman"/>
                      <w:color w:val="auto"/>
                      <w:sz w:val="21"/>
                      <w:szCs w:val="21"/>
                      <w:highlight w:val="none"/>
                      <w:u w:val="none" w:color="auto"/>
                      <w:lang w:val="en-US" w:eastAsia="zh-CN"/>
                    </w:rPr>
                    <w:t>8</w:t>
                  </w:r>
                </w:p>
              </w:tc>
              <w:tc>
                <w:tcPr>
                  <w:tcW w:w="1323" w:type="dxa"/>
                  <w:tcBorders>
                    <w:tl2br w:val="nil"/>
                    <w:tr2bl w:val="nil"/>
                  </w:tcBorders>
                  <w:noWrap w:val="0"/>
                  <w:vAlign w:val="center"/>
                </w:tcPr>
                <w:p w14:paraId="30314F35">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noWrap w:val="0"/>
                  <w:vAlign w:val="center"/>
                </w:tcPr>
                <w:p w14:paraId="7C4C0C2B">
                  <w:pPr>
                    <w:pStyle w:val="46"/>
                    <w:bidi w:val="0"/>
                    <w:ind w:left="0" w:leftChars="0" w:right="0" w:rightChars="0" w:firstLine="0" w:firstLineChars="0"/>
                    <w:rPr>
                      <w:rFonts w:hint="default" w:ascii="Times New Roman" w:hAnsi="Times New Roman" w:eastAsia="宋体" w:cs="Times New Roman"/>
                      <w:color w:val="auto"/>
                      <w:sz w:val="21"/>
                      <w:szCs w:val="21"/>
                      <w:highlight w:val="red"/>
                      <w:u w:val="none" w:color="auto"/>
                      <w:vertAlign w:val="baseline"/>
                      <w:lang w:val="en-US" w:eastAsia="zh-CN"/>
                    </w:rPr>
                  </w:pPr>
                  <w:r>
                    <w:rPr>
                      <w:rFonts w:hint="default" w:ascii="Times New Roman" w:hAnsi="Times New Roman" w:eastAsia="宋体" w:cs="Times New Roman"/>
                      <w:color w:val="auto"/>
                      <w:sz w:val="21"/>
                      <w:szCs w:val="21"/>
                      <w:highlight w:val="none"/>
                      <w:u w:val="none" w:color="auto"/>
                      <w:lang w:val="en-US" w:eastAsia="zh-CN"/>
                    </w:rPr>
                    <w:t>0.020</w:t>
                  </w:r>
                  <w:r>
                    <w:rPr>
                      <w:rFonts w:hint="eastAsia" w:ascii="Times New Roman" w:hAnsi="Times New Roman" w:eastAsia="宋体" w:cs="Times New Roman"/>
                      <w:color w:val="auto"/>
                      <w:sz w:val="21"/>
                      <w:szCs w:val="21"/>
                      <w:highlight w:val="none"/>
                      <w:u w:val="none" w:color="auto"/>
                      <w:lang w:val="en-US" w:eastAsia="zh-CN"/>
                    </w:rPr>
                    <w:t>8</w:t>
                  </w:r>
                </w:p>
              </w:tc>
              <w:tc>
                <w:tcPr>
                  <w:tcW w:w="1251" w:type="dxa"/>
                  <w:tcBorders>
                    <w:tl2br w:val="nil"/>
                    <w:tr2bl w:val="nil"/>
                  </w:tcBorders>
                  <w:shd w:val="clear" w:color="auto" w:fill="auto"/>
                  <w:noWrap w:val="0"/>
                  <w:vAlign w:val="center"/>
                </w:tcPr>
                <w:p w14:paraId="3C578E42">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0</w:t>
                  </w:r>
                </w:p>
              </w:tc>
            </w:tr>
            <w:tr w14:paraId="3F123A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vMerge w:val="continue"/>
                  <w:tcBorders>
                    <w:tl2br w:val="nil"/>
                    <w:tr2bl w:val="nil"/>
                  </w:tcBorders>
                  <w:noWrap w:val="0"/>
                  <w:vAlign w:val="center"/>
                </w:tcPr>
                <w:p w14:paraId="74359F4D">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vertAlign w:val="baseline"/>
                      <w:lang w:val="en-US" w:eastAsia="zh-CN"/>
                    </w:rPr>
                  </w:pPr>
                </w:p>
              </w:tc>
              <w:tc>
                <w:tcPr>
                  <w:tcW w:w="1284" w:type="dxa"/>
                  <w:tcBorders>
                    <w:tl2br w:val="nil"/>
                    <w:tr2bl w:val="nil"/>
                  </w:tcBorders>
                  <w:shd w:val="clear" w:color="auto" w:fill="auto"/>
                  <w:noWrap w:val="0"/>
                  <w:vAlign w:val="center"/>
                </w:tcPr>
                <w:p w14:paraId="67A5447A">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NH</w:t>
                  </w:r>
                  <w:r>
                    <w:rPr>
                      <w:rFonts w:hint="default" w:ascii="Times New Roman" w:hAnsi="Times New Roman" w:eastAsia="宋体" w:cs="Times New Roman"/>
                      <w:color w:val="auto"/>
                      <w:sz w:val="21"/>
                      <w:szCs w:val="21"/>
                      <w:highlight w:val="none"/>
                      <w:u w:val="none" w:color="auto"/>
                      <w:vertAlign w:val="subscript"/>
                      <w:lang w:val="en-US" w:eastAsia="zh-CN"/>
                    </w:rPr>
                    <w:t>3</w:t>
                  </w:r>
                  <w:r>
                    <w:rPr>
                      <w:rFonts w:hint="default" w:ascii="Times New Roman" w:hAnsi="Times New Roman" w:eastAsia="宋体" w:cs="Times New Roman"/>
                      <w:color w:val="auto"/>
                      <w:sz w:val="21"/>
                      <w:szCs w:val="21"/>
                      <w:highlight w:val="none"/>
                      <w:u w:val="none" w:color="auto"/>
                      <w:lang w:val="en-US" w:eastAsia="zh-CN"/>
                    </w:rPr>
                    <w:t>-N</w:t>
                  </w:r>
                </w:p>
              </w:tc>
              <w:tc>
                <w:tcPr>
                  <w:tcW w:w="1414" w:type="dxa"/>
                  <w:tcBorders>
                    <w:tl2br w:val="nil"/>
                    <w:tr2bl w:val="nil"/>
                  </w:tcBorders>
                  <w:shd w:val="clear" w:color="auto" w:fill="auto"/>
                  <w:noWrap w:val="0"/>
                  <w:vAlign w:val="center"/>
                </w:tcPr>
                <w:p w14:paraId="647A0702">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0.004</w:t>
                  </w:r>
                  <w:r>
                    <w:rPr>
                      <w:rFonts w:hint="eastAsia" w:ascii="Times New Roman" w:hAnsi="Times New Roman" w:eastAsia="宋体" w:cs="Times New Roman"/>
                      <w:color w:val="auto"/>
                      <w:sz w:val="21"/>
                      <w:szCs w:val="21"/>
                      <w:highlight w:val="none"/>
                      <w:u w:val="none" w:color="auto"/>
                      <w:lang w:val="en-US" w:eastAsia="zh-CN"/>
                    </w:rPr>
                    <w:t>2</w:t>
                  </w:r>
                </w:p>
              </w:tc>
              <w:tc>
                <w:tcPr>
                  <w:tcW w:w="1410" w:type="dxa"/>
                  <w:tcBorders>
                    <w:tl2br w:val="nil"/>
                    <w:tr2bl w:val="nil"/>
                  </w:tcBorders>
                  <w:shd w:val="clear" w:color="auto" w:fill="auto"/>
                  <w:noWrap w:val="0"/>
                  <w:vAlign w:val="center"/>
                </w:tcPr>
                <w:p w14:paraId="6064ECAE">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0.004</w:t>
                  </w:r>
                  <w:r>
                    <w:rPr>
                      <w:rFonts w:hint="eastAsia" w:ascii="Times New Roman" w:hAnsi="Times New Roman" w:eastAsia="宋体" w:cs="Times New Roman"/>
                      <w:color w:val="auto"/>
                      <w:sz w:val="21"/>
                      <w:szCs w:val="21"/>
                      <w:highlight w:val="none"/>
                      <w:u w:val="none" w:color="auto"/>
                      <w:lang w:val="en-US" w:eastAsia="zh-CN"/>
                    </w:rPr>
                    <w:t>2</w:t>
                  </w:r>
                </w:p>
              </w:tc>
              <w:tc>
                <w:tcPr>
                  <w:tcW w:w="1323" w:type="dxa"/>
                  <w:tcBorders>
                    <w:tl2br w:val="nil"/>
                    <w:tr2bl w:val="nil"/>
                  </w:tcBorders>
                  <w:noWrap w:val="0"/>
                  <w:vAlign w:val="center"/>
                </w:tcPr>
                <w:p w14:paraId="754C8ECD">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noWrap w:val="0"/>
                  <w:vAlign w:val="center"/>
                </w:tcPr>
                <w:p w14:paraId="6CCEBEEB">
                  <w:pPr>
                    <w:pStyle w:val="46"/>
                    <w:bidi w:val="0"/>
                    <w:ind w:left="0" w:leftChars="0" w:right="0" w:rightChars="0" w:firstLine="0" w:firstLineChars="0"/>
                    <w:rPr>
                      <w:rFonts w:hint="default" w:ascii="Times New Roman" w:hAnsi="Times New Roman" w:eastAsia="宋体" w:cs="Times New Roman"/>
                      <w:color w:val="auto"/>
                      <w:sz w:val="21"/>
                      <w:szCs w:val="21"/>
                      <w:highlight w:val="red"/>
                      <w:u w:val="none" w:color="auto"/>
                      <w:vertAlign w:val="baseline"/>
                      <w:lang w:val="en-US" w:eastAsia="zh-CN"/>
                    </w:rPr>
                  </w:pPr>
                  <w:r>
                    <w:rPr>
                      <w:rFonts w:hint="default" w:ascii="Times New Roman" w:hAnsi="Times New Roman" w:eastAsia="宋体" w:cs="Times New Roman"/>
                      <w:color w:val="auto"/>
                      <w:sz w:val="21"/>
                      <w:szCs w:val="21"/>
                      <w:highlight w:val="none"/>
                      <w:u w:val="none" w:color="auto"/>
                      <w:lang w:val="en-US" w:eastAsia="zh-CN"/>
                    </w:rPr>
                    <w:t>0.004</w:t>
                  </w:r>
                  <w:r>
                    <w:rPr>
                      <w:rFonts w:hint="eastAsia" w:ascii="Times New Roman" w:hAnsi="Times New Roman" w:eastAsia="宋体" w:cs="Times New Roman"/>
                      <w:color w:val="auto"/>
                      <w:sz w:val="21"/>
                      <w:szCs w:val="21"/>
                      <w:highlight w:val="none"/>
                      <w:u w:val="none" w:color="auto"/>
                      <w:lang w:val="en-US" w:eastAsia="zh-CN"/>
                    </w:rPr>
                    <w:t>2</w:t>
                  </w:r>
                </w:p>
              </w:tc>
              <w:tc>
                <w:tcPr>
                  <w:tcW w:w="1251" w:type="dxa"/>
                  <w:tcBorders>
                    <w:tl2br w:val="nil"/>
                    <w:tr2bl w:val="nil"/>
                  </w:tcBorders>
                  <w:shd w:val="clear" w:color="auto" w:fill="auto"/>
                  <w:noWrap w:val="0"/>
                  <w:vAlign w:val="center"/>
                </w:tcPr>
                <w:p w14:paraId="59ED23AE">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0</w:t>
                  </w:r>
                </w:p>
              </w:tc>
            </w:tr>
            <w:tr w14:paraId="5E4D19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3" w:hRule="atLeast"/>
              </w:trPr>
              <w:tc>
                <w:tcPr>
                  <w:tcW w:w="813" w:type="dxa"/>
                  <w:vMerge w:val="restart"/>
                  <w:tcBorders>
                    <w:tl2br w:val="nil"/>
                    <w:tr2bl w:val="nil"/>
                  </w:tcBorders>
                  <w:noWrap w:val="0"/>
                  <w:vAlign w:val="center"/>
                </w:tcPr>
                <w:p w14:paraId="5E80C670">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vertAlign w:val="baseline"/>
                      <w:lang w:val="en-US" w:eastAsia="zh-CN"/>
                    </w:rPr>
                  </w:pPr>
                  <w:r>
                    <w:rPr>
                      <w:rFonts w:hint="default" w:ascii="Times New Roman" w:hAnsi="Times New Roman" w:cs="Times New Roman"/>
                      <w:color w:val="auto"/>
                      <w:sz w:val="21"/>
                      <w:szCs w:val="21"/>
                      <w:highlight w:val="none"/>
                      <w:u w:val="none" w:color="auto"/>
                      <w:lang w:val="en-US" w:eastAsia="zh-CN"/>
                    </w:rPr>
                    <w:t>一般固体废物</w:t>
                  </w:r>
                </w:p>
              </w:tc>
              <w:tc>
                <w:tcPr>
                  <w:tcW w:w="1284" w:type="dxa"/>
                  <w:tcBorders>
                    <w:tl2br w:val="nil"/>
                    <w:tr2bl w:val="nil"/>
                  </w:tcBorders>
                  <w:shd w:val="clear" w:color="auto" w:fill="auto"/>
                  <w:noWrap w:val="0"/>
                  <w:vAlign w:val="center"/>
                </w:tcPr>
                <w:p w14:paraId="4D500DA8">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废角阀</w:t>
                  </w:r>
                </w:p>
              </w:tc>
              <w:tc>
                <w:tcPr>
                  <w:tcW w:w="1414" w:type="dxa"/>
                  <w:tcBorders>
                    <w:tl2br w:val="nil"/>
                    <w:tr2bl w:val="nil"/>
                  </w:tcBorders>
                  <w:shd w:val="clear" w:color="auto" w:fill="auto"/>
                  <w:noWrap w:val="0"/>
                  <w:vAlign w:val="center"/>
                </w:tcPr>
                <w:p w14:paraId="55DC7A73">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lang w:val="en-US" w:eastAsia="zh-CN"/>
                    </w:rPr>
                    <w:t>12万只</w:t>
                  </w:r>
                </w:p>
              </w:tc>
              <w:tc>
                <w:tcPr>
                  <w:tcW w:w="1410" w:type="dxa"/>
                  <w:tcBorders>
                    <w:tl2br w:val="nil"/>
                    <w:tr2bl w:val="nil"/>
                  </w:tcBorders>
                  <w:shd w:val="clear" w:color="auto" w:fill="auto"/>
                  <w:noWrap w:val="0"/>
                  <w:vAlign w:val="center"/>
                </w:tcPr>
                <w:p w14:paraId="0E50D9F3">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lang w:val="en-US" w:eastAsia="zh-CN"/>
                    </w:rPr>
                    <w:t>12万只</w:t>
                  </w:r>
                </w:p>
              </w:tc>
              <w:tc>
                <w:tcPr>
                  <w:tcW w:w="1323" w:type="dxa"/>
                  <w:tcBorders>
                    <w:tl2br w:val="nil"/>
                    <w:tr2bl w:val="nil"/>
                  </w:tcBorders>
                  <w:noWrap w:val="0"/>
                  <w:vAlign w:val="center"/>
                </w:tcPr>
                <w:p w14:paraId="667A2E8A">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shd w:val="clear" w:color="auto" w:fill="auto"/>
                  <w:noWrap w:val="0"/>
                  <w:vAlign w:val="center"/>
                </w:tcPr>
                <w:p w14:paraId="0C64121A">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lang w:val="en-US" w:eastAsia="zh-CN"/>
                    </w:rPr>
                    <w:t>12万只</w:t>
                  </w:r>
                </w:p>
              </w:tc>
              <w:tc>
                <w:tcPr>
                  <w:tcW w:w="1251" w:type="dxa"/>
                  <w:tcBorders>
                    <w:tl2br w:val="nil"/>
                    <w:tr2bl w:val="nil"/>
                  </w:tcBorders>
                  <w:noWrap w:val="0"/>
                  <w:vAlign w:val="center"/>
                </w:tcPr>
                <w:p w14:paraId="5807A8D1">
                  <w:pPr>
                    <w:adjustRightInd w:val="0"/>
                    <w:snapToGrid w:val="0"/>
                    <w:spacing w:line="240" w:lineRule="exact"/>
                    <w:jc w:val="center"/>
                    <w:rPr>
                      <w:rFonts w:hint="eastAsia" w:ascii="Times New Roman" w:hAnsi="Times New Roman" w:eastAsia="宋体" w:cs="Times New Roman"/>
                      <w:color w:val="auto"/>
                      <w:sz w:val="21"/>
                      <w:szCs w:val="21"/>
                      <w:highlight w:val="none"/>
                      <w:u w:val="none" w:color="auto"/>
                      <w:vertAlign w:val="baseline"/>
                      <w:lang w:val="en-US" w:eastAsia="zh-CN"/>
                    </w:rPr>
                  </w:pPr>
                  <w:r>
                    <w:rPr>
                      <w:rFonts w:hint="eastAsia" w:cs="Times New Roman"/>
                      <w:color w:val="auto"/>
                      <w:highlight w:val="none"/>
                      <w:u w:val="none" w:color="auto"/>
                      <w:lang w:val="en-US" w:eastAsia="zh-CN"/>
                    </w:rPr>
                    <w:t>0</w:t>
                  </w:r>
                </w:p>
              </w:tc>
            </w:tr>
            <w:tr w14:paraId="65465E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vMerge w:val="continue"/>
                  <w:tcBorders>
                    <w:tl2br w:val="nil"/>
                    <w:tr2bl w:val="nil"/>
                  </w:tcBorders>
                  <w:noWrap w:val="0"/>
                  <w:vAlign w:val="center"/>
                </w:tcPr>
                <w:p w14:paraId="5A99F876">
                  <w:pPr>
                    <w:pStyle w:val="46"/>
                    <w:bidi w:val="0"/>
                    <w:ind w:left="0" w:leftChars="0" w:right="0" w:rightChars="0" w:firstLine="0" w:firstLineChars="0"/>
                    <w:rPr>
                      <w:rFonts w:hint="default" w:ascii="Times New Roman" w:hAnsi="Times New Roman" w:cs="Times New Roman"/>
                      <w:color w:val="auto"/>
                      <w:sz w:val="21"/>
                      <w:szCs w:val="21"/>
                      <w:highlight w:val="none"/>
                      <w:u w:val="none" w:color="auto"/>
                      <w:lang w:val="en-US" w:eastAsia="zh-CN"/>
                    </w:rPr>
                  </w:pPr>
                </w:p>
              </w:tc>
              <w:tc>
                <w:tcPr>
                  <w:tcW w:w="1284" w:type="dxa"/>
                  <w:tcBorders>
                    <w:tl2br w:val="nil"/>
                    <w:tr2bl w:val="nil"/>
                  </w:tcBorders>
                  <w:shd w:val="clear" w:color="auto" w:fill="auto"/>
                  <w:noWrap w:val="0"/>
                  <w:vAlign w:val="center"/>
                </w:tcPr>
                <w:p w14:paraId="3959E763">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eastAsia="宋体" w:cs="Times New Roman"/>
                      <w:color w:val="auto"/>
                      <w:kern w:val="2"/>
                      <w:sz w:val="21"/>
                      <w:szCs w:val="24"/>
                      <w:highlight w:val="none"/>
                      <w:u w:val="none" w:color="auto"/>
                      <w:lang w:val="en-US" w:eastAsia="zh-CN" w:bidi="ar-SA"/>
                    </w:rPr>
                    <w:t>收集粉尘</w:t>
                  </w:r>
                </w:p>
              </w:tc>
              <w:tc>
                <w:tcPr>
                  <w:tcW w:w="1414" w:type="dxa"/>
                  <w:tcBorders>
                    <w:tl2br w:val="nil"/>
                    <w:tr2bl w:val="nil"/>
                  </w:tcBorders>
                  <w:shd w:val="clear" w:color="auto" w:fill="auto"/>
                  <w:noWrap w:val="0"/>
                  <w:vAlign w:val="center"/>
                </w:tcPr>
                <w:p w14:paraId="5E124754">
                  <w:pPr>
                    <w:keepNext w:val="0"/>
                    <w:keepLines w:val="0"/>
                    <w:pageBreakBefore w:val="0"/>
                    <w:widowControl/>
                    <w:kinsoku/>
                    <w:wordWrap/>
                    <w:overflowPunct/>
                    <w:topLinePunct w:val="0"/>
                    <w:bidi w:val="0"/>
                    <w:spacing w:line="240" w:lineRule="auto"/>
                    <w:ind w:firstLine="0" w:firstLineChars="0"/>
                    <w:jc w:val="center"/>
                    <w:rPr>
                      <w:rFonts w:hint="default" w:ascii="Times New Roman" w:hAnsi="Times New Roman" w:eastAsia="宋体" w:cs="Times New Roman"/>
                      <w:color w:val="auto"/>
                      <w:spacing w:val="0"/>
                      <w:kern w:val="2"/>
                      <w:sz w:val="21"/>
                      <w:szCs w:val="21"/>
                      <w:u w:val="none" w:color="auto"/>
                      <w:lang w:val="en-US" w:eastAsia="zh-CN" w:bidi="ar-SA"/>
                    </w:rPr>
                  </w:pPr>
                  <w:r>
                    <w:rPr>
                      <w:rFonts w:hint="eastAsia" w:cs="Times New Roman"/>
                      <w:color w:val="auto"/>
                      <w:spacing w:val="0"/>
                      <w:sz w:val="21"/>
                      <w:szCs w:val="21"/>
                      <w:u w:val="none" w:color="auto"/>
                      <w:lang w:val="en-US" w:eastAsia="zh-CN"/>
                    </w:rPr>
                    <w:t>1.9</w:t>
                  </w:r>
                </w:p>
              </w:tc>
              <w:tc>
                <w:tcPr>
                  <w:tcW w:w="1410" w:type="dxa"/>
                  <w:tcBorders>
                    <w:tl2br w:val="nil"/>
                    <w:tr2bl w:val="nil"/>
                  </w:tcBorders>
                  <w:shd w:val="clear" w:color="auto" w:fill="auto"/>
                  <w:noWrap w:val="0"/>
                  <w:vAlign w:val="center"/>
                </w:tcPr>
                <w:p w14:paraId="0FE71474">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1.9</w:t>
                  </w:r>
                </w:p>
              </w:tc>
              <w:tc>
                <w:tcPr>
                  <w:tcW w:w="1323" w:type="dxa"/>
                  <w:tcBorders>
                    <w:tl2br w:val="nil"/>
                    <w:tr2bl w:val="nil"/>
                  </w:tcBorders>
                  <w:shd w:val="clear" w:color="auto" w:fill="auto"/>
                  <w:noWrap w:val="0"/>
                  <w:vAlign w:val="center"/>
                </w:tcPr>
                <w:p w14:paraId="614D1B78">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shd w:val="clear" w:color="auto" w:fill="auto"/>
                  <w:noWrap w:val="0"/>
                  <w:vAlign w:val="center"/>
                </w:tcPr>
                <w:p w14:paraId="13D95993">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1.9</w:t>
                  </w:r>
                </w:p>
              </w:tc>
              <w:tc>
                <w:tcPr>
                  <w:tcW w:w="1251" w:type="dxa"/>
                  <w:tcBorders>
                    <w:tl2br w:val="nil"/>
                    <w:tr2bl w:val="nil"/>
                  </w:tcBorders>
                  <w:shd w:val="clear" w:color="auto" w:fill="auto"/>
                  <w:noWrap w:val="0"/>
                  <w:vAlign w:val="center"/>
                </w:tcPr>
                <w:p w14:paraId="308AD688">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0</w:t>
                  </w:r>
                </w:p>
              </w:tc>
            </w:tr>
            <w:tr w14:paraId="78DBFA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vMerge w:val="continue"/>
                  <w:tcBorders>
                    <w:tl2br w:val="nil"/>
                    <w:tr2bl w:val="nil"/>
                  </w:tcBorders>
                  <w:noWrap w:val="0"/>
                  <w:vAlign w:val="center"/>
                </w:tcPr>
                <w:p w14:paraId="36C7F368">
                  <w:pPr>
                    <w:pStyle w:val="46"/>
                    <w:bidi w:val="0"/>
                    <w:ind w:left="0" w:leftChars="0" w:right="0" w:rightChars="0" w:firstLine="0" w:firstLineChars="0"/>
                    <w:rPr>
                      <w:rFonts w:hint="default" w:ascii="Times New Roman" w:hAnsi="Times New Roman" w:cs="Times New Roman"/>
                      <w:color w:val="auto"/>
                      <w:sz w:val="21"/>
                      <w:szCs w:val="21"/>
                      <w:highlight w:val="none"/>
                      <w:u w:val="none" w:color="auto"/>
                      <w:lang w:val="en-US" w:eastAsia="zh-CN"/>
                    </w:rPr>
                  </w:pPr>
                </w:p>
              </w:tc>
              <w:tc>
                <w:tcPr>
                  <w:tcW w:w="1284" w:type="dxa"/>
                  <w:tcBorders>
                    <w:tl2br w:val="nil"/>
                    <w:tr2bl w:val="nil"/>
                  </w:tcBorders>
                  <w:shd w:val="clear" w:color="auto" w:fill="auto"/>
                  <w:noWrap w:val="0"/>
                  <w:vAlign w:val="center"/>
                </w:tcPr>
                <w:p w14:paraId="25F593FE">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kern w:val="2"/>
                      <w:sz w:val="21"/>
                      <w:szCs w:val="21"/>
                      <w:highlight w:val="none"/>
                      <w:u w:val="none" w:color="auto"/>
                      <w:lang w:val="en-US" w:eastAsia="zh-CN" w:bidi="ar-SA"/>
                    </w:rPr>
                    <w:t>废布袋</w:t>
                  </w:r>
                </w:p>
              </w:tc>
              <w:tc>
                <w:tcPr>
                  <w:tcW w:w="1414" w:type="dxa"/>
                  <w:tcBorders>
                    <w:tl2br w:val="nil"/>
                    <w:tr2bl w:val="nil"/>
                  </w:tcBorders>
                  <w:shd w:val="clear" w:color="auto" w:fill="auto"/>
                  <w:noWrap w:val="0"/>
                  <w:vAlign w:val="center"/>
                </w:tcPr>
                <w:p w14:paraId="34829183">
                  <w:pPr>
                    <w:keepNext w:val="0"/>
                    <w:keepLines w:val="0"/>
                    <w:pageBreakBefore w:val="0"/>
                    <w:widowControl/>
                    <w:kinsoku/>
                    <w:wordWrap/>
                    <w:overflowPunct/>
                    <w:topLinePunct w:val="0"/>
                    <w:bidi w:val="0"/>
                    <w:spacing w:line="240" w:lineRule="auto"/>
                    <w:ind w:firstLine="0" w:firstLineChars="0"/>
                    <w:jc w:val="center"/>
                    <w:rPr>
                      <w:rFonts w:hint="default" w:ascii="Times New Roman" w:hAnsi="Times New Roman" w:eastAsia="宋体" w:cs="Times New Roman"/>
                      <w:color w:val="auto"/>
                      <w:spacing w:val="0"/>
                      <w:kern w:val="2"/>
                      <w:sz w:val="21"/>
                      <w:szCs w:val="21"/>
                      <w:u w:val="none" w:color="auto"/>
                      <w:lang w:val="en-US" w:eastAsia="zh-CN" w:bidi="ar-SA"/>
                    </w:rPr>
                  </w:pPr>
                  <w:r>
                    <w:rPr>
                      <w:rFonts w:hint="eastAsia" w:cs="Times New Roman"/>
                      <w:color w:val="auto"/>
                      <w:spacing w:val="0"/>
                      <w:sz w:val="21"/>
                      <w:szCs w:val="21"/>
                      <w:u w:val="none" w:color="auto"/>
                      <w:lang w:val="en-US" w:eastAsia="zh-CN"/>
                    </w:rPr>
                    <w:t>0.3</w:t>
                  </w:r>
                </w:p>
              </w:tc>
              <w:tc>
                <w:tcPr>
                  <w:tcW w:w="1410" w:type="dxa"/>
                  <w:tcBorders>
                    <w:tl2br w:val="nil"/>
                    <w:tr2bl w:val="nil"/>
                  </w:tcBorders>
                  <w:shd w:val="clear" w:color="auto" w:fill="auto"/>
                  <w:noWrap w:val="0"/>
                  <w:vAlign w:val="center"/>
                </w:tcPr>
                <w:p w14:paraId="3290D1B6">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sz w:val="21"/>
                      <w:szCs w:val="21"/>
                      <w:highlight w:val="none"/>
                      <w:u w:val="none" w:color="auto"/>
                      <w:lang w:val="en-US" w:eastAsia="zh-CN"/>
                    </w:rPr>
                    <w:t>0.</w:t>
                  </w:r>
                  <w:r>
                    <w:rPr>
                      <w:rFonts w:hint="eastAsia" w:cs="Times New Roman"/>
                      <w:color w:val="auto"/>
                      <w:sz w:val="21"/>
                      <w:szCs w:val="21"/>
                      <w:highlight w:val="none"/>
                      <w:u w:val="none" w:color="auto"/>
                      <w:lang w:val="en-US" w:eastAsia="zh-CN"/>
                    </w:rPr>
                    <w:t>2</w:t>
                  </w:r>
                </w:p>
              </w:tc>
              <w:tc>
                <w:tcPr>
                  <w:tcW w:w="1323" w:type="dxa"/>
                  <w:tcBorders>
                    <w:tl2br w:val="nil"/>
                    <w:tr2bl w:val="nil"/>
                  </w:tcBorders>
                  <w:shd w:val="clear" w:color="auto" w:fill="auto"/>
                  <w:noWrap w:val="0"/>
                  <w:vAlign w:val="center"/>
                </w:tcPr>
                <w:p w14:paraId="7896DB6E">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shd w:val="clear" w:color="auto" w:fill="auto"/>
                  <w:noWrap w:val="0"/>
                  <w:vAlign w:val="center"/>
                </w:tcPr>
                <w:p w14:paraId="40655A13">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sz w:val="21"/>
                      <w:szCs w:val="21"/>
                      <w:highlight w:val="none"/>
                      <w:u w:val="none" w:color="auto"/>
                      <w:lang w:val="en-US" w:eastAsia="zh-CN"/>
                    </w:rPr>
                    <w:t>0.</w:t>
                  </w:r>
                  <w:r>
                    <w:rPr>
                      <w:rFonts w:hint="eastAsia" w:cs="Times New Roman"/>
                      <w:color w:val="auto"/>
                      <w:sz w:val="21"/>
                      <w:szCs w:val="21"/>
                      <w:highlight w:val="none"/>
                      <w:u w:val="none" w:color="auto"/>
                      <w:lang w:val="en-US" w:eastAsia="zh-CN"/>
                    </w:rPr>
                    <w:t>2</w:t>
                  </w:r>
                </w:p>
              </w:tc>
              <w:tc>
                <w:tcPr>
                  <w:tcW w:w="1251" w:type="dxa"/>
                  <w:tcBorders>
                    <w:tl2br w:val="nil"/>
                    <w:tr2bl w:val="nil"/>
                  </w:tcBorders>
                  <w:shd w:val="clear" w:color="auto" w:fill="auto"/>
                  <w:noWrap w:val="0"/>
                  <w:vAlign w:val="center"/>
                </w:tcPr>
                <w:p w14:paraId="21D41C2A">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-0.1</w:t>
                  </w:r>
                </w:p>
              </w:tc>
            </w:tr>
            <w:tr w14:paraId="09C380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8" w:hRule="atLeast"/>
              </w:trPr>
              <w:tc>
                <w:tcPr>
                  <w:tcW w:w="813" w:type="dxa"/>
                  <w:vMerge w:val="continue"/>
                  <w:tcBorders>
                    <w:tl2br w:val="nil"/>
                    <w:tr2bl w:val="nil"/>
                  </w:tcBorders>
                  <w:noWrap w:val="0"/>
                  <w:vAlign w:val="center"/>
                </w:tcPr>
                <w:p w14:paraId="72D47AD7">
                  <w:pPr>
                    <w:pStyle w:val="46"/>
                    <w:bidi w:val="0"/>
                    <w:ind w:left="0" w:leftChars="0" w:right="0" w:rightChars="0" w:firstLine="0" w:firstLineChars="0"/>
                    <w:rPr>
                      <w:rFonts w:hint="default" w:ascii="Times New Roman" w:hAnsi="Times New Roman" w:cs="Times New Roman"/>
                      <w:color w:val="auto"/>
                      <w:sz w:val="21"/>
                      <w:szCs w:val="21"/>
                      <w:highlight w:val="none"/>
                      <w:u w:val="none" w:color="auto"/>
                      <w:lang w:val="en-US" w:eastAsia="zh-CN"/>
                    </w:rPr>
                  </w:pPr>
                </w:p>
              </w:tc>
              <w:tc>
                <w:tcPr>
                  <w:tcW w:w="1284" w:type="dxa"/>
                  <w:tcBorders>
                    <w:tl2br w:val="nil"/>
                    <w:tr2bl w:val="nil"/>
                  </w:tcBorders>
                  <w:shd w:val="clear" w:color="auto" w:fill="auto"/>
                  <w:noWrap w:val="0"/>
                  <w:vAlign w:val="center"/>
                </w:tcPr>
                <w:p w14:paraId="72F3796F">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灰</w:t>
                  </w:r>
                  <w:r>
                    <w:rPr>
                      <w:rFonts w:hint="default" w:ascii="Times New Roman" w:hAnsi="Times New Roman" w:eastAsia="宋体" w:cs="Times New Roman"/>
                      <w:color w:val="auto"/>
                      <w:kern w:val="2"/>
                      <w:sz w:val="21"/>
                      <w:szCs w:val="21"/>
                      <w:highlight w:val="none"/>
                      <w:u w:val="none" w:color="auto"/>
                      <w:lang w:val="en-US" w:eastAsia="zh-CN" w:bidi="ar-SA"/>
                    </w:rPr>
                    <w:t>渣</w:t>
                  </w:r>
                </w:p>
              </w:tc>
              <w:tc>
                <w:tcPr>
                  <w:tcW w:w="1414" w:type="dxa"/>
                  <w:tcBorders>
                    <w:tl2br w:val="nil"/>
                    <w:tr2bl w:val="nil"/>
                  </w:tcBorders>
                  <w:shd w:val="clear" w:color="auto" w:fill="auto"/>
                  <w:noWrap w:val="0"/>
                  <w:vAlign w:val="center"/>
                </w:tcPr>
                <w:p w14:paraId="78EC2F33">
                  <w:pPr>
                    <w:spacing w:line="300" w:lineRule="exact"/>
                    <w:jc w:val="center"/>
                    <w:rPr>
                      <w:rFonts w:hint="default" w:ascii="Times New Roman" w:hAnsi="Times New Roman" w:eastAsia="宋体" w:cs="Times New Roman"/>
                      <w:color w:val="auto"/>
                      <w:kern w:val="2"/>
                      <w:sz w:val="21"/>
                      <w:szCs w:val="21"/>
                      <w:u w:val="none" w:color="auto"/>
                      <w:lang w:val="en-US" w:eastAsia="zh-CN" w:bidi="ar-SA"/>
                    </w:rPr>
                  </w:pPr>
                  <w:r>
                    <w:rPr>
                      <w:rFonts w:hint="eastAsia"/>
                      <w:color w:val="auto"/>
                      <w:szCs w:val="21"/>
                      <w:u w:val="none" w:color="auto"/>
                      <w:lang w:val="en-US" w:eastAsia="zh-CN"/>
                    </w:rPr>
                    <w:t>6.93</w:t>
                  </w:r>
                </w:p>
              </w:tc>
              <w:tc>
                <w:tcPr>
                  <w:tcW w:w="1410" w:type="dxa"/>
                  <w:tcBorders>
                    <w:tl2br w:val="nil"/>
                    <w:tr2bl w:val="nil"/>
                  </w:tcBorders>
                  <w:shd w:val="clear" w:color="auto" w:fill="auto"/>
                  <w:noWrap w:val="0"/>
                  <w:vAlign w:val="center"/>
                </w:tcPr>
                <w:p w14:paraId="69895795">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6.93</w:t>
                  </w:r>
                </w:p>
              </w:tc>
              <w:tc>
                <w:tcPr>
                  <w:tcW w:w="1323" w:type="dxa"/>
                  <w:tcBorders>
                    <w:tl2br w:val="nil"/>
                    <w:tr2bl w:val="nil"/>
                  </w:tcBorders>
                  <w:shd w:val="clear" w:color="auto" w:fill="auto"/>
                  <w:noWrap w:val="0"/>
                  <w:vAlign w:val="center"/>
                </w:tcPr>
                <w:p w14:paraId="3EA165ED">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shd w:val="clear" w:color="auto" w:fill="auto"/>
                  <w:noWrap w:val="0"/>
                  <w:vAlign w:val="center"/>
                </w:tcPr>
                <w:p w14:paraId="4D0241F8">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6.93</w:t>
                  </w:r>
                </w:p>
              </w:tc>
              <w:tc>
                <w:tcPr>
                  <w:tcW w:w="1251" w:type="dxa"/>
                  <w:tcBorders>
                    <w:tl2br w:val="nil"/>
                    <w:tr2bl w:val="nil"/>
                  </w:tcBorders>
                  <w:shd w:val="clear" w:color="auto" w:fill="auto"/>
                  <w:noWrap w:val="0"/>
                  <w:vAlign w:val="center"/>
                </w:tcPr>
                <w:p w14:paraId="094AB429">
                  <w:pPr>
                    <w:adjustRightInd w:val="0"/>
                    <w:snapToGrid w:val="0"/>
                    <w:spacing w:line="240" w:lineRule="exact"/>
                    <w:jc w:val="center"/>
                    <w:rPr>
                      <w:rFonts w:hint="default" w:ascii="Times New Roman" w:hAnsi="Times New Roman" w:eastAsia="Times New Roman" w:cs="Times New Roman"/>
                      <w:snapToGrid w:val="0"/>
                      <w:color w:val="auto"/>
                      <w:kern w:val="0"/>
                      <w:sz w:val="21"/>
                      <w:szCs w:val="21"/>
                      <w:highlight w:val="none"/>
                      <w:u w:val="none" w:color="auto"/>
                      <w:shd w:val="clear" w:color="auto" w:fill="auto"/>
                      <w:lang w:val="en-US" w:eastAsia="zh-CN" w:bidi="en-US"/>
                    </w:rPr>
                  </w:pPr>
                  <w:r>
                    <w:rPr>
                      <w:rFonts w:hint="eastAsia" w:cs="Times New Roman"/>
                      <w:color w:val="auto"/>
                      <w:sz w:val="21"/>
                      <w:szCs w:val="21"/>
                      <w:highlight w:val="none"/>
                      <w:u w:val="none" w:color="auto"/>
                      <w:lang w:val="en-US" w:eastAsia="zh-CN"/>
                    </w:rPr>
                    <w:t>0</w:t>
                  </w:r>
                </w:p>
              </w:tc>
            </w:tr>
            <w:tr w14:paraId="053C39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vMerge w:val="continue"/>
                  <w:tcBorders>
                    <w:tl2br w:val="nil"/>
                    <w:tr2bl w:val="nil"/>
                  </w:tcBorders>
                  <w:noWrap w:val="0"/>
                  <w:vAlign w:val="center"/>
                </w:tcPr>
                <w:p w14:paraId="2C488861">
                  <w:pPr>
                    <w:pStyle w:val="46"/>
                    <w:bidi w:val="0"/>
                    <w:ind w:left="0" w:leftChars="0" w:right="0" w:rightChars="0" w:firstLine="0" w:firstLineChars="0"/>
                    <w:rPr>
                      <w:rFonts w:hint="default" w:ascii="Times New Roman" w:hAnsi="Times New Roman" w:cs="Times New Roman"/>
                      <w:color w:val="auto"/>
                      <w:sz w:val="21"/>
                      <w:szCs w:val="21"/>
                      <w:highlight w:val="none"/>
                      <w:u w:val="none" w:color="auto"/>
                      <w:lang w:val="en-US" w:eastAsia="zh-CN"/>
                    </w:rPr>
                  </w:pPr>
                </w:p>
              </w:tc>
              <w:tc>
                <w:tcPr>
                  <w:tcW w:w="1284" w:type="dxa"/>
                  <w:tcBorders>
                    <w:tl2br w:val="nil"/>
                    <w:tr2bl w:val="nil"/>
                  </w:tcBorders>
                  <w:shd w:val="clear" w:color="auto" w:fill="auto"/>
                  <w:noWrap w:val="0"/>
                  <w:vAlign w:val="center"/>
                </w:tcPr>
                <w:p w14:paraId="5681AB01">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废包装材料</w:t>
                  </w:r>
                </w:p>
              </w:tc>
              <w:tc>
                <w:tcPr>
                  <w:tcW w:w="1414" w:type="dxa"/>
                  <w:tcBorders>
                    <w:tl2br w:val="nil"/>
                    <w:tr2bl w:val="nil"/>
                  </w:tcBorders>
                  <w:shd w:val="clear" w:color="auto" w:fill="auto"/>
                  <w:noWrap w:val="0"/>
                  <w:vAlign w:val="center"/>
                </w:tcPr>
                <w:p w14:paraId="44091EB4">
                  <w:pPr>
                    <w:spacing w:line="300" w:lineRule="exact"/>
                    <w:jc w:val="center"/>
                    <w:rPr>
                      <w:rFonts w:hint="default" w:ascii="Times New Roman" w:hAnsi="Times New Roman" w:eastAsia="宋体" w:cs="Times New Roman"/>
                      <w:color w:val="auto"/>
                      <w:kern w:val="2"/>
                      <w:sz w:val="21"/>
                      <w:szCs w:val="21"/>
                      <w:u w:val="none" w:color="auto"/>
                      <w:lang w:val="en-US" w:eastAsia="zh-CN" w:bidi="ar-SA"/>
                    </w:rPr>
                  </w:pPr>
                  <w:r>
                    <w:rPr>
                      <w:rFonts w:hint="eastAsia"/>
                      <w:color w:val="auto"/>
                      <w:szCs w:val="21"/>
                      <w:u w:val="none" w:color="auto"/>
                      <w:lang w:val="en-US" w:eastAsia="zh-CN"/>
                    </w:rPr>
                    <w:t>0.2</w:t>
                  </w:r>
                </w:p>
              </w:tc>
              <w:tc>
                <w:tcPr>
                  <w:tcW w:w="1410" w:type="dxa"/>
                  <w:tcBorders>
                    <w:tl2br w:val="nil"/>
                    <w:tr2bl w:val="nil"/>
                  </w:tcBorders>
                  <w:shd w:val="clear" w:color="auto" w:fill="auto"/>
                  <w:noWrap w:val="0"/>
                  <w:vAlign w:val="center"/>
                </w:tcPr>
                <w:p w14:paraId="63598CF4">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0.3</w:t>
                  </w:r>
                </w:p>
              </w:tc>
              <w:tc>
                <w:tcPr>
                  <w:tcW w:w="1323" w:type="dxa"/>
                  <w:tcBorders>
                    <w:tl2br w:val="nil"/>
                    <w:tr2bl w:val="nil"/>
                  </w:tcBorders>
                  <w:shd w:val="clear" w:color="auto" w:fill="auto"/>
                  <w:noWrap w:val="0"/>
                  <w:vAlign w:val="center"/>
                </w:tcPr>
                <w:p w14:paraId="406FA92C">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shd w:val="clear" w:color="auto" w:fill="auto"/>
                  <w:noWrap w:val="0"/>
                  <w:vAlign w:val="center"/>
                </w:tcPr>
                <w:p w14:paraId="0C9EB57C">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0.3</w:t>
                  </w:r>
                </w:p>
              </w:tc>
              <w:tc>
                <w:tcPr>
                  <w:tcW w:w="1251" w:type="dxa"/>
                  <w:tcBorders>
                    <w:tl2br w:val="nil"/>
                    <w:tr2bl w:val="nil"/>
                  </w:tcBorders>
                  <w:shd w:val="clear" w:color="auto" w:fill="auto"/>
                  <w:noWrap w:val="0"/>
                  <w:vAlign w:val="center"/>
                </w:tcPr>
                <w:p w14:paraId="595C289E">
                  <w:pPr>
                    <w:adjustRightInd w:val="0"/>
                    <w:snapToGrid w:val="0"/>
                    <w:spacing w:line="240" w:lineRule="exact"/>
                    <w:jc w:val="center"/>
                    <w:rPr>
                      <w:rFonts w:hint="default" w:ascii="Times New Roman" w:hAnsi="Times New Roman" w:eastAsia="Times New Roman" w:cs="Times New Roman"/>
                      <w:snapToGrid w:val="0"/>
                      <w:color w:val="auto"/>
                      <w:kern w:val="0"/>
                      <w:sz w:val="21"/>
                      <w:szCs w:val="21"/>
                      <w:highlight w:val="none"/>
                      <w:u w:val="none" w:color="auto"/>
                      <w:shd w:val="clear" w:color="auto" w:fill="auto"/>
                      <w:lang w:val="en-US" w:eastAsia="zh-CN" w:bidi="en-US"/>
                    </w:rPr>
                  </w:pPr>
                  <w:r>
                    <w:rPr>
                      <w:rFonts w:hint="eastAsia" w:eastAsia="Times New Roman" w:cs="Times New Roman"/>
                      <w:snapToGrid w:val="0"/>
                      <w:color w:val="auto"/>
                      <w:kern w:val="0"/>
                      <w:sz w:val="21"/>
                      <w:szCs w:val="21"/>
                      <w:highlight w:val="none"/>
                      <w:u w:val="none" w:color="auto"/>
                      <w:shd w:val="clear" w:color="auto" w:fill="auto"/>
                      <w:lang w:val="en-US" w:eastAsia="zh-CN" w:bidi="en-US"/>
                    </w:rPr>
                    <w:t>+0.1</w:t>
                  </w:r>
                </w:p>
              </w:tc>
            </w:tr>
            <w:tr w14:paraId="6C391C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vMerge w:val="restart"/>
                  <w:tcBorders>
                    <w:tl2br w:val="nil"/>
                    <w:tr2bl w:val="nil"/>
                  </w:tcBorders>
                  <w:noWrap w:val="0"/>
                  <w:vAlign w:val="center"/>
                </w:tcPr>
                <w:p w14:paraId="34DE0425">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vertAlign w:val="baseline"/>
                      <w:lang w:val="en-US" w:eastAsia="zh-CN"/>
                    </w:rPr>
                  </w:pPr>
                  <w:r>
                    <w:rPr>
                      <w:rFonts w:hint="default" w:ascii="Times New Roman" w:hAnsi="Times New Roman" w:cs="Times New Roman"/>
                      <w:color w:val="auto"/>
                      <w:sz w:val="21"/>
                      <w:szCs w:val="21"/>
                      <w:highlight w:val="none"/>
                      <w:u w:val="none" w:color="auto"/>
                      <w:lang w:val="en-US" w:eastAsia="zh-CN"/>
                    </w:rPr>
                    <w:t>危险废物</w:t>
                  </w:r>
                </w:p>
              </w:tc>
              <w:tc>
                <w:tcPr>
                  <w:tcW w:w="1284" w:type="dxa"/>
                  <w:tcBorders>
                    <w:tl2br w:val="nil"/>
                    <w:tr2bl w:val="nil"/>
                  </w:tcBorders>
                  <w:shd w:val="clear" w:color="auto" w:fill="auto"/>
                  <w:noWrap w:val="0"/>
                  <w:vAlign w:val="center"/>
                </w:tcPr>
                <w:p w14:paraId="084B12D7">
                  <w:pPr>
                    <w:adjustRightInd w:val="0"/>
                    <w:snapToGrid w:val="0"/>
                    <w:spacing w:line="240" w:lineRule="exact"/>
                    <w:jc w:val="center"/>
                    <w:rPr>
                      <w:rFonts w:hint="default" w:ascii="Times New Roman" w:hAnsi="Times New Roman" w:eastAsia="宋体" w:cs="Times New Roman"/>
                      <w:color w:val="auto"/>
                      <w:spacing w:val="0"/>
                      <w:kern w:val="2"/>
                      <w:sz w:val="21"/>
                      <w:szCs w:val="21"/>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废机油</w:t>
                  </w:r>
                </w:p>
              </w:tc>
              <w:tc>
                <w:tcPr>
                  <w:tcW w:w="1414" w:type="dxa"/>
                  <w:tcBorders>
                    <w:tl2br w:val="nil"/>
                    <w:tr2bl w:val="nil"/>
                  </w:tcBorders>
                  <w:shd w:val="clear" w:color="auto" w:fill="auto"/>
                  <w:noWrap w:val="0"/>
                  <w:vAlign w:val="center"/>
                </w:tcPr>
                <w:p w14:paraId="7D51C697">
                  <w:pPr>
                    <w:adjustRightInd w:val="0"/>
                    <w:snapToGrid w:val="0"/>
                    <w:spacing w:line="240" w:lineRule="exact"/>
                    <w:jc w:val="center"/>
                    <w:rPr>
                      <w:rFonts w:hint="default" w:ascii="Times New Roman" w:hAnsi="Times New Roman" w:eastAsia="宋体" w:cs="Times New Roman"/>
                      <w:color w:val="auto"/>
                      <w:spacing w:val="0"/>
                      <w:kern w:val="2"/>
                      <w:sz w:val="21"/>
                      <w:szCs w:val="21"/>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0.0</w:t>
                  </w:r>
                  <w:r>
                    <w:rPr>
                      <w:rFonts w:hint="eastAsia" w:ascii="Times New Roman" w:hAnsi="Times New Roman" w:eastAsia="宋体" w:cs="Times New Roman"/>
                      <w:color w:val="auto"/>
                      <w:kern w:val="2"/>
                      <w:sz w:val="21"/>
                      <w:szCs w:val="21"/>
                      <w:highlight w:val="none"/>
                      <w:u w:val="none" w:color="auto"/>
                      <w:lang w:val="en-US" w:eastAsia="zh-CN" w:bidi="ar-SA"/>
                    </w:rPr>
                    <w:t>1</w:t>
                  </w:r>
                </w:p>
              </w:tc>
              <w:tc>
                <w:tcPr>
                  <w:tcW w:w="1410" w:type="dxa"/>
                  <w:tcBorders>
                    <w:tl2br w:val="nil"/>
                    <w:tr2bl w:val="nil"/>
                  </w:tcBorders>
                  <w:shd w:val="clear" w:color="auto" w:fill="auto"/>
                  <w:noWrap w:val="0"/>
                  <w:vAlign w:val="center"/>
                </w:tcPr>
                <w:p w14:paraId="5E4C27C7">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vertAlign w:val="baseline"/>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0.0</w:t>
                  </w:r>
                  <w:r>
                    <w:rPr>
                      <w:rFonts w:hint="eastAsia" w:ascii="Times New Roman" w:hAnsi="Times New Roman" w:eastAsia="宋体" w:cs="Times New Roman"/>
                      <w:color w:val="auto"/>
                      <w:kern w:val="2"/>
                      <w:sz w:val="21"/>
                      <w:szCs w:val="21"/>
                      <w:highlight w:val="none"/>
                      <w:u w:val="none" w:color="auto"/>
                      <w:lang w:val="en-US" w:eastAsia="zh-CN" w:bidi="ar-SA"/>
                    </w:rPr>
                    <w:t>1</w:t>
                  </w:r>
                </w:p>
              </w:tc>
              <w:tc>
                <w:tcPr>
                  <w:tcW w:w="1323" w:type="dxa"/>
                  <w:tcBorders>
                    <w:tl2br w:val="nil"/>
                    <w:tr2bl w:val="nil"/>
                  </w:tcBorders>
                  <w:shd w:val="clear" w:color="auto" w:fill="auto"/>
                  <w:noWrap w:val="0"/>
                  <w:vAlign w:val="center"/>
                </w:tcPr>
                <w:p w14:paraId="520FC8B3">
                  <w:pPr>
                    <w:pStyle w:val="46"/>
                    <w:bidi w:val="0"/>
                    <w:ind w:left="0" w:leftChars="0" w:right="0" w:rightChars="0" w:firstLine="0" w:firstLineChars="0"/>
                    <w:rPr>
                      <w:rFonts w:hint="default"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shd w:val="clear" w:color="auto" w:fill="auto"/>
                  <w:noWrap w:val="0"/>
                  <w:vAlign w:val="center"/>
                </w:tcPr>
                <w:p w14:paraId="2A12CEA4">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0.0</w:t>
                  </w:r>
                  <w:r>
                    <w:rPr>
                      <w:rFonts w:hint="eastAsia" w:ascii="Times New Roman" w:hAnsi="Times New Roman" w:eastAsia="宋体" w:cs="Times New Roman"/>
                      <w:color w:val="auto"/>
                      <w:kern w:val="2"/>
                      <w:sz w:val="21"/>
                      <w:szCs w:val="21"/>
                      <w:highlight w:val="none"/>
                      <w:u w:val="none" w:color="auto"/>
                      <w:lang w:val="en-US" w:eastAsia="zh-CN" w:bidi="ar-SA"/>
                    </w:rPr>
                    <w:t>1</w:t>
                  </w:r>
                </w:p>
              </w:tc>
              <w:tc>
                <w:tcPr>
                  <w:tcW w:w="1251" w:type="dxa"/>
                  <w:tcBorders>
                    <w:tl2br w:val="nil"/>
                    <w:tr2bl w:val="nil"/>
                  </w:tcBorders>
                  <w:shd w:val="clear" w:color="auto" w:fill="auto"/>
                  <w:noWrap w:val="0"/>
                  <w:vAlign w:val="center"/>
                </w:tcPr>
                <w:p w14:paraId="25D30116">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0</w:t>
                  </w:r>
                </w:p>
              </w:tc>
            </w:tr>
            <w:tr w14:paraId="49D8A0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vMerge w:val="continue"/>
                  <w:tcBorders>
                    <w:tl2br w:val="nil"/>
                    <w:tr2bl w:val="nil"/>
                  </w:tcBorders>
                  <w:noWrap w:val="0"/>
                  <w:vAlign w:val="center"/>
                </w:tcPr>
                <w:p w14:paraId="6491B498">
                  <w:pPr>
                    <w:pStyle w:val="46"/>
                    <w:bidi w:val="0"/>
                    <w:ind w:left="0" w:leftChars="0" w:right="0" w:rightChars="0" w:firstLine="0" w:firstLineChars="0"/>
                    <w:rPr>
                      <w:rFonts w:hint="default" w:ascii="Times New Roman" w:hAnsi="Times New Roman" w:cs="Times New Roman"/>
                      <w:color w:val="auto"/>
                      <w:sz w:val="21"/>
                      <w:szCs w:val="21"/>
                      <w:highlight w:val="none"/>
                      <w:u w:val="none" w:color="auto"/>
                      <w:lang w:val="en-US" w:eastAsia="zh-CN"/>
                    </w:rPr>
                  </w:pPr>
                </w:p>
              </w:tc>
              <w:tc>
                <w:tcPr>
                  <w:tcW w:w="1284" w:type="dxa"/>
                  <w:tcBorders>
                    <w:tl2br w:val="nil"/>
                    <w:tr2bl w:val="nil"/>
                  </w:tcBorders>
                  <w:shd w:val="clear" w:color="auto" w:fill="auto"/>
                  <w:noWrap w:val="0"/>
                  <w:vAlign w:val="center"/>
                </w:tcPr>
                <w:p w14:paraId="012CA70A">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kern w:val="2"/>
                      <w:sz w:val="21"/>
                      <w:szCs w:val="24"/>
                      <w:highlight w:val="none"/>
                      <w:u w:val="none" w:color="auto"/>
                      <w:lang w:val="en-US" w:eastAsia="zh-CN" w:bidi="ar-SA"/>
                    </w:rPr>
                    <w:t>废机油桶</w:t>
                  </w:r>
                </w:p>
              </w:tc>
              <w:tc>
                <w:tcPr>
                  <w:tcW w:w="1414" w:type="dxa"/>
                  <w:tcBorders>
                    <w:tl2br w:val="nil"/>
                    <w:tr2bl w:val="nil"/>
                  </w:tcBorders>
                  <w:shd w:val="clear" w:color="auto" w:fill="auto"/>
                  <w:noWrap w:val="0"/>
                  <w:vAlign w:val="center"/>
                </w:tcPr>
                <w:p w14:paraId="57EFF51A">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eastAsia="宋体" w:cs="Times New Roman"/>
                      <w:color w:val="auto"/>
                      <w:kern w:val="2"/>
                      <w:sz w:val="21"/>
                      <w:szCs w:val="24"/>
                      <w:highlight w:val="none"/>
                      <w:u w:val="none" w:color="auto"/>
                      <w:lang w:val="en-US" w:eastAsia="zh-CN" w:bidi="ar-SA"/>
                    </w:rPr>
                    <w:t>0.</w:t>
                  </w:r>
                  <w:r>
                    <w:rPr>
                      <w:rFonts w:hint="eastAsia" w:cs="Times New Roman"/>
                      <w:color w:val="auto"/>
                      <w:kern w:val="2"/>
                      <w:sz w:val="21"/>
                      <w:szCs w:val="24"/>
                      <w:highlight w:val="none"/>
                      <w:u w:val="none" w:color="auto"/>
                      <w:lang w:val="en-US" w:eastAsia="zh-CN" w:bidi="ar-SA"/>
                    </w:rPr>
                    <w:t>05</w:t>
                  </w:r>
                </w:p>
              </w:tc>
              <w:tc>
                <w:tcPr>
                  <w:tcW w:w="1410" w:type="dxa"/>
                  <w:tcBorders>
                    <w:tl2br w:val="nil"/>
                    <w:tr2bl w:val="nil"/>
                  </w:tcBorders>
                  <w:shd w:val="clear" w:color="auto" w:fill="auto"/>
                  <w:noWrap w:val="0"/>
                  <w:vAlign w:val="center"/>
                </w:tcPr>
                <w:p w14:paraId="7F8627D7">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kern w:val="2"/>
                      <w:sz w:val="21"/>
                      <w:szCs w:val="24"/>
                      <w:highlight w:val="none"/>
                      <w:u w:val="none" w:color="auto"/>
                      <w:lang w:val="en-US" w:eastAsia="zh-CN" w:bidi="ar-SA"/>
                    </w:rPr>
                    <w:t>0.</w:t>
                  </w:r>
                  <w:r>
                    <w:rPr>
                      <w:rFonts w:hint="eastAsia" w:cs="Times New Roman"/>
                      <w:color w:val="auto"/>
                      <w:kern w:val="2"/>
                      <w:sz w:val="21"/>
                      <w:szCs w:val="24"/>
                      <w:highlight w:val="none"/>
                      <w:u w:val="none" w:color="auto"/>
                      <w:lang w:val="en-US" w:eastAsia="zh-CN" w:bidi="ar-SA"/>
                    </w:rPr>
                    <w:t>05</w:t>
                  </w:r>
                </w:p>
              </w:tc>
              <w:tc>
                <w:tcPr>
                  <w:tcW w:w="1323" w:type="dxa"/>
                  <w:tcBorders>
                    <w:tl2br w:val="nil"/>
                    <w:tr2bl w:val="nil"/>
                  </w:tcBorders>
                  <w:shd w:val="clear" w:color="auto" w:fill="auto"/>
                  <w:noWrap w:val="0"/>
                  <w:vAlign w:val="center"/>
                </w:tcPr>
                <w:p w14:paraId="5DA70DA3">
                  <w:pPr>
                    <w:pStyle w:val="46"/>
                    <w:bidi w:val="0"/>
                    <w:ind w:left="0" w:leftChars="0" w:right="0" w:rightChars="0" w:firstLine="0" w:firstLineChars="0"/>
                    <w:rPr>
                      <w:rFonts w:hint="default"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shd w:val="clear" w:color="auto" w:fill="auto"/>
                  <w:noWrap w:val="0"/>
                  <w:vAlign w:val="center"/>
                </w:tcPr>
                <w:p w14:paraId="54F3B240">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kern w:val="2"/>
                      <w:sz w:val="21"/>
                      <w:szCs w:val="24"/>
                      <w:highlight w:val="none"/>
                      <w:u w:val="none" w:color="auto"/>
                      <w:lang w:val="en-US" w:eastAsia="zh-CN" w:bidi="ar-SA"/>
                    </w:rPr>
                    <w:t>0.</w:t>
                  </w:r>
                  <w:r>
                    <w:rPr>
                      <w:rFonts w:hint="eastAsia" w:cs="Times New Roman"/>
                      <w:color w:val="auto"/>
                      <w:kern w:val="2"/>
                      <w:sz w:val="21"/>
                      <w:szCs w:val="24"/>
                      <w:highlight w:val="none"/>
                      <w:u w:val="none" w:color="auto"/>
                      <w:lang w:val="en-US" w:eastAsia="zh-CN" w:bidi="ar-SA"/>
                    </w:rPr>
                    <w:t>05</w:t>
                  </w:r>
                </w:p>
              </w:tc>
              <w:tc>
                <w:tcPr>
                  <w:tcW w:w="1251" w:type="dxa"/>
                  <w:tcBorders>
                    <w:tl2br w:val="nil"/>
                    <w:tr2bl w:val="nil"/>
                  </w:tcBorders>
                  <w:shd w:val="clear" w:color="auto" w:fill="auto"/>
                  <w:noWrap w:val="0"/>
                  <w:vAlign w:val="center"/>
                </w:tcPr>
                <w:p w14:paraId="59BAA754">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0</w:t>
                  </w:r>
                </w:p>
              </w:tc>
            </w:tr>
            <w:tr w14:paraId="5A52D0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3" w:type="dxa"/>
                  <w:tcBorders>
                    <w:tl2br w:val="nil"/>
                    <w:tr2bl w:val="nil"/>
                  </w:tcBorders>
                  <w:noWrap w:val="0"/>
                  <w:vAlign w:val="center"/>
                </w:tcPr>
                <w:p w14:paraId="607DA2C9">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vertAlign w:val="baseline"/>
                      <w:lang w:val="en-US" w:eastAsia="zh-CN"/>
                    </w:rPr>
                  </w:pPr>
                  <w:r>
                    <w:rPr>
                      <w:rFonts w:hint="default" w:ascii="Times New Roman" w:hAnsi="Times New Roman" w:cs="Times New Roman"/>
                      <w:color w:val="auto"/>
                      <w:sz w:val="21"/>
                      <w:szCs w:val="21"/>
                      <w:highlight w:val="none"/>
                      <w:u w:val="none" w:color="auto"/>
                      <w:lang w:val="en-US" w:eastAsia="zh-CN"/>
                    </w:rPr>
                    <w:t>生活垃圾</w:t>
                  </w:r>
                </w:p>
              </w:tc>
              <w:tc>
                <w:tcPr>
                  <w:tcW w:w="1284" w:type="dxa"/>
                  <w:tcBorders>
                    <w:tl2br w:val="nil"/>
                    <w:tr2bl w:val="nil"/>
                  </w:tcBorders>
                  <w:noWrap w:val="0"/>
                  <w:vAlign w:val="center"/>
                </w:tcPr>
                <w:p w14:paraId="6CCF8FB8">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vertAlign w:val="baseline"/>
                      <w:lang w:val="en-US" w:eastAsia="zh-CN"/>
                    </w:rPr>
                  </w:pPr>
                  <w:r>
                    <w:rPr>
                      <w:rFonts w:hint="default" w:ascii="Times New Roman" w:hAnsi="Times New Roman" w:cs="Times New Roman"/>
                      <w:color w:val="auto"/>
                      <w:sz w:val="21"/>
                      <w:szCs w:val="21"/>
                      <w:highlight w:val="none"/>
                      <w:u w:val="none" w:color="auto"/>
                      <w:lang w:val="en-US" w:eastAsia="zh-CN"/>
                    </w:rPr>
                    <w:t>生活垃圾</w:t>
                  </w:r>
                </w:p>
              </w:tc>
              <w:tc>
                <w:tcPr>
                  <w:tcW w:w="1414" w:type="dxa"/>
                  <w:tcBorders>
                    <w:tl2br w:val="nil"/>
                    <w:tr2bl w:val="nil"/>
                  </w:tcBorders>
                  <w:noWrap w:val="0"/>
                  <w:vAlign w:val="center"/>
                </w:tcPr>
                <w:p w14:paraId="27FAA6B6">
                  <w:pPr>
                    <w:jc w:val="center"/>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cs="Times New Roman"/>
                      <w:snapToGrid w:val="0"/>
                      <w:color w:val="auto"/>
                      <w:kern w:val="21"/>
                      <w:sz w:val="21"/>
                      <w:szCs w:val="21"/>
                      <w:highlight w:val="none"/>
                      <w:u w:val="none" w:color="auto"/>
                      <w:lang w:val="en-US" w:eastAsia="zh-CN"/>
                    </w:rPr>
                    <w:t>1.5</w:t>
                  </w:r>
                </w:p>
              </w:tc>
              <w:tc>
                <w:tcPr>
                  <w:tcW w:w="1410" w:type="dxa"/>
                  <w:tcBorders>
                    <w:tl2br w:val="nil"/>
                    <w:tr2bl w:val="nil"/>
                  </w:tcBorders>
                  <w:noWrap w:val="0"/>
                  <w:vAlign w:val="center"/>
                </w:tcPr>
                <w:p w14:paraId="48E20660">
                  <w:pPr>
                    <w:adjustRightInd w:val="0"/>
                    <w:snapToGrid w:val="0"/>
                    <w:spacing w:line="240" w:lineRule="exact"/>
                    <w:jc w:val="center"/>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cs="Times New Roman"/>
                      <w:color w:val="auto"/>
                      <w:sz w:val="21"/>
                      <w:szCs w:val="21"/>
                      <w:highlight w:val="none"/>
                      <w:u w:val="none" w:color="auto"/>
                      <w:lang w:val="en-US" w:eastAsia="zh-CN"/>
                    </w:rPr>
                    <w:t>1.5</w:t>
                  </w:r>
                </w:p>
              </w:tc>
              <w:tc>
                <w:tcPr>
                  <w:tcW w:w="1323" w:type="dxa"/>
                  <w:tcBorders>
                    <w:tl2br w:val="nil"/>
                    <w:tr2bl w:val="nil"/>
                  </w:tcBorders>
                  <w:noWrap w:val="0"/>
                  <w:vAlign w:val="center"/>
                </w:tcPr>
                <w:p w14:paraId="78671441">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w:t>
                  </w:r>
                </w:p>
              </w:tc>
              <w:tc>
                <w:tcPr>
                  <w:tcW w:w="1320" w:type="dxa"/>
                  <w:tcBorders>
                    <w:tl2br w:val="nil"/>
                    <w:tr2bl w:val="nil"/>
                  </w:tcBorders>
                  <w:noWrap w:val="0"/>
                  <w:vAlign w:val="center"/>
                </w:tcPr>
                <w:p w14:paraId="6D16B7F8">
                  <w:pPr>
                    <w:pStyle w:val="46"/>
                    <w:bidi w:val="0"/>
                    <w:ind w:left="0" w:leftChars="0" w:right="0" w:rightChars="0" w:firstLine="0" w:firstLineChars="0"/>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cs="Times New Roman"/>
                      <w:color w:val="auto"/>
                      <w:sz w:val="21"/>
                      <w:szCs w:val="21"/>
                      <w:highlight w:val="none"/>
                      <w:u w:val="none" w:color="auto"/>
                      <w:lang w:val="en-US" w:eastAsia="zh-CN"/>
                    </w:rPr>
                    <w:t>1.5</w:t>
                  </w:r>
                </w:p>
              </w:tc>
              <w:tc>
                <w:tcPr>
                  <w:tcW w:w="1251" w:type="dxa"/>
                  <w:tcBorders>
                    <w:tl2br w:val="nil"/>
                    <w:tr2bl w:val="nil"/>
                  </w:tcBorders>
                  <w:noWrap w:val="0"/>
                  <w:vAlign w:val="center"/>
                </w:tcPr>
                <w:p w14:paraId="5C0AA008">
                  <w:pPr>
                    <w:adjustRightInd w:val="0"/>
                    <w:snapToGrid w:val="0"/>
                    <w:spacing w:line="240" w:lineRule="exact"/>
                    <w:jc w:val="center"/>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cs="Times New Roman"/>
                      <w:color w:val="auto"/>
                      <w:sz w:val="21"/>
                      <w:szCs w:val="21"/>
                      <w:highlight w:val="none"/>
                      <w:u w:val="none" w:color="auto"/>
                      <w:lang w:val="en-US" w:eastAsia="zh-CN"/>
                    </w:rPr>
                    <w:t>0</w:t>
                  </w:r>
                </w:p>
              </w:tc>
            </w:tr>
          </w:tbl>
          <w:p w14:paraId="7C7D72BE">
            <w:pPr>
              <w:rPr>
                <w:color w:val="auto"/>
                <w:highlight w:val="none"/>
                <w:vertAlign w:val="baseline"/>
              </w:rPr>
            </w:pPr>
          </w:p>
        </w:tc>
      </w:tr>
    </w:tbl>
    <w:p w14:paraId="58796FA7">
      <w:pPr>
        <w:rPr>
          <w:color w:val="auto"/>
        </w:rPr>
        <w:sectPr>
          <w:pgSz w:w="11907" w:h="16840"/>
          <w:pgMar w:top="1134" w:right="1531" w:bottom="1134" w:left="1531" w:header="851" w:footer="850" w:gutter="0"/>
          <w:pgBorders>
            <w:top w:val="none" w:sz="0" w:space="0"/>
            <w:left w:val="none" w:sz="0" w:space="0"/>
            <w:bottom w:val="none" w:sz="0" w:space="0"/>
            <w:right w:val="none" w:sz="0" w:space="0"/>
          </w:pgBorders>
          <w:pgNumType w:fmt="decimal"/>
          <w:cols w:space="720" w:num="1"/>
          <w:docGrid w:linePitch="312" w:charSpace="0"/>
        </w:sectPr>
      </w:pPr>
    </w:p>
    <w:p w14:paraId="446DF162">
      <w:pPr>
        <w:pStyle w:val="28"/>
        <w:jc w:val="center"/>
        <w:outlineLvl w:val="0"/>
        <w:rPr>
          <w:rFonts w:ascii="Times New Roman" w:hAnsi="Times New Roman" w:eastAsia="黑体"/>
          <w:snapToGrid w:val="0"/>
          <w:color w:val="auto"/>
          <w:sz w:val="30"/>
          <w:szCs w:val="30"/>
          <w:highlight w:val="none"/>
        </w:rPr>
      </w:pPr>
      <w:bookmarkStart w:id="51" w:name="_Toc30619"/>
      <w:bookmarkStart w:id="52" w:name="_Toc7756"/>
      <w:bookmarkStart w:id="53" w:name="_Toc18380_WPSOffice_Level1"/>
      <w:r>
        <w:rPr>
          <w:rFonts w:ascii="Times New Roman" w:hAnsi="Times New Roman" w:eastAsia="黑体"/>
          <w:snapToGrid w:val="0"/>
          <w:color w:val="auto"/>
          <w:sz w:val="30"/>
          <w:szCs w:val="30"/>
          <w:highlight w:val="none"/>
        </w:rPr>
        <w:t>五、</w:t>
      </w:r>
      <w:bookmarkStart w:id="54" w:name="_Hlk54167917"/>
      <w:r>
        <w:rPr>
          <w:rFonts w:ascii="Times New Roman" w:hAnsi="Times New Roman" w:eastAsia="黑体"/>
          <w:snapToGrid w:val="0"/>
          <w:color w:val="auto"/>
          <w:sz w:val="30"/>
          <w:szCs w:val="30"/>
          <w:highlight w:val="none"/>
        </w:rPr>
        <w:t>环境保护措施监督检查清单</w:t>
      </w:r>
      <w:bookmarkEnd w:id="51"/>
      <w:bookmarkEnd w:id="52"/>
      <w:bookmarkEnd w:id="53"/>
      <w:bookmarkEnd w:id="54"/>
    </w:p>
    <w:tbl>
      <w:tblPr>
        <w:tblStyle w:val="33"/>
        <w:tblW w:w="906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61"/>
        <w:gridCol w:w="1261"/>
        <w:gridCol w:w="1547"/>
        <w:gridCol w:w="2214"/>
        <w:gridCol w:w="3077"/>
      </w:tblGrid>
      <w:tr w14:paraId="7F85FA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5" w:hRule="atLeast"/>
          <w:jc w:val="center"/>
        </w:trPr>
        <w:tc>
          <w:tcPr>
            <w:tcW w:w="961" w:type="dxa"/>
            <w:noWrap w:val="0"/>
            <w:vAlign w:val="top"/>
          </w:tcPr>
          <w:p w14:paraId="2107FB53">
            <w:pPr>
              <w:adjustRightInd w:val="0"/>
              <w:snapToGrid w:val="0"/>
              <w:rPr>
                <w:rFonts w:hint="default" w:ascii="Times New Roman" w:hAnsi="Times New Roman" w:cs="Times New Roman"/>
                <w:b/>
                <w:bCs/>
                <w:color w:val="auto"/>
                <w:sz w:val="24"/>
                <w:szCs w:val="24"/>
                <w:highlight w:val="none"/>
                <w:u w:val="none"/>
              </w:rPr>
            </w:pPr>
            <w:r>
              <w:rPr>
                <w:rFonts w:hint="default" w:ascii="Times New Roman" w:hAnsi="Times New Roman" w:cs="Times New Roman"/>
                <w:b/>
                <w:bCs/>
                <w:color w:val="auto"/>
                <w:sz w:val="24"/>
                <w:szCs w:val="24"/>
                <w:highlight w:val="none"/>
                <w:u w:val="none"/>
              </w:rPr>
              <w:t>内容</w:t>
            </w:r>
          </w:p>
          <w:p w14:paraId="4AD9F2BD">
            <w:pPr>
              <w:adjustRightInd w:val="0"/>
              <w:snapToGrid w:val="0"/>
              <w:rPr>
                <w:rFonts w:hint="default" w:ascii="Times New Roman" w:hAnsi="Times New Roman" w:cs="Times New Roman"/>
                <w:b/>
                <w:bCs/>
                <w:color w:val="auto"/>
                <w:sz w:val="24"/>
                <w:szCs w:val="24"/>
                <w:highlight w:val="none"/>
                <w:u w:val="none"/>
              </w:rPr>
            </w:pPr>
            <w:r>
              <w:rPr>
                <w:rFonts w:hint="default" w:ascii="Times New Roman" w:hAnsi="Times New Roman" w:cs="Times New Roman"/>
                <w:b/>
                <w:bCs/>
                <w:color w:val="auto"/>
                <w:sz w:val="24"/>
                <w:szCs w:val="24"/>
                <w:highlight w:val="none"/>
                <w:u w:val="none"/>
              </w:rPr>
              <w:t>要素</w:t>
            </w:r>
          </w:p>
        </w:tc>
        <w:tc>
          <w:tcPr>
            <w:tcW w:w="1261" w:type="dxa"/>
            <w:noWrap w:val="0"/>
            <w:vAlign w:val="center"/>
          </w:tcPr>
          <w:p w14:paraId="4B953943">
            <w:pPr>
              <w:adjustRightInd w:val="0"/>
              <w:snapToGrid w:val="0"/>
              <w:jc w:val="center"/>
              <w:rPr>
                <w:rFonts w:hint="default" w:ascii="Times New Roman" w:hAnsi="Times New Roman" w:cs="Times New Roman"/>
                <w:b/>
                <w:bCs/>
                <w:color w:val="auto"/>
                <w:sz w:val="24"/>
                <w:szCs w:val="24"/>
                <w:highlight w:val="none"/>
                <w:u w:val="none"/>
              </w:rPr>
            </w:pPr>
            <w:r>
              <w:rPr>
                <w:rFonts w:hint="default" w:ascii="Times New Roman" w:hAnsi="Times New Roman" w:cs="Times New Roman"/>
                <w:b/>
                <w:bCs/>
                <w:color w:val="auto"/>
                <w:sz w:val="24"/>
                <w:szCs w:val="24"/>
                <w:highlight w:val="none"/>
                <w:u w:val="none"/>
              </w:rPr>
              <w:t>排放口(编号、名称)/污染源</w:t>
            </w:r>
          </w:p>
        </w:tc>
        <w:tc>
          <w:tcPr>
            <w:tcW w:w="1547" w:type="dxa"/>
            <w:noWrap w:val="0"/>
            <w:vAlign w:val="center"/>
          </w:tcPr>
          <w:p w14:paraId="29120F02">
            <w:pPr>
              <w:adjustRightInd w:val="0"/>
              <w:snapToGrid w:val="0"/>
              <w:jc w:val="center"/>
              <w:rPr>
                <w:rFonts w:hint="default" w:ascii="Times New Roman" w:hAnsi="Times New Roman" w:cs="Times New Roman"/>
                <w:b/>
                <w:bCs/>
                <w:color w:val="auto"/>
                <w:sz w:val="24"/>
                <w:szCs w:val="24"/>
                <w:highlight w:val="none"/>
                <w:u w:val="none"/>
              </w:rPr>
            </w:pPr>
            <w:r>
              <w:rPr>
                <w:rFonts w:hint="default" w:ascii="Times New Roman" w:hAnsi="Times New Roman" w:cs="Times New Roman"/>
                <w:b/>
                <w:bCs/>
                <w:color w:val="auto"/>
                <w:sz w:val="24"/>
                <w:szCs w:val="24"/>
                <w:highlight w:val="none"/>
                <w:u w:val="none"/>
              </w:rPr>
              <w:t>污染物项目</w:t>
            </w:r>
          </w:p>
        </w:tc>
        <w:tc>
          <w:tcPr>
            <w:tcW w:w="2214" w:type="dxa"/>
            <w:noWrap w:val="0"/>
            <w:vAlign w:val="center"/>
          </w:tcPr>
          <w:p w14:paraId="2D6F6A02">
            <w:pPr>
              <w:adjustRightInd w:val="0"/>
              <w:snapToGrid w:val="0"/>
              <w:jc w:val="center"/>
              <w:rPr>
                <w:rFonts w:hint="default" w:ascii="Times New Roman" w:hAnsi="Times New Roman" w:cs="Times New Roman"/>
                <w:b/>
                <w:bCs/>
                <w:color w:val="auto"/>
                <w:sz w:val="24"/>
                <w:szCs w:val="24"/>
                <w:highlight w:val="none"/>
                <w:u w:val="none"/>
              </w:rPr>
            </w:pPr>
            <w:r>
              <w:rPr>
                <w:rFonts w:hint="default" w:ascii="Times New Roman" w:hAnsi="Times New Roman" w:cs="Times New Roman"/>
                <w:b/>
                <w:bCs/>
                <w:color w:val="auto"/>
                <w:sz w:val="24"/>
                <w:szCs w:val="24"/>
                <w:highlight w:val="none"/>
                <w:u w:val="none"/>
              </w:rPr>
              <w:t>环境保护措施</w:t>
            </w:r>
          </w:p>
        </w:tc>
        <w:tc>
          <w:tcPr>
            <w:tcW w:w="3077" w:type="dxa"/>
            <w:noWrap w:val="0"/>
            <w:vAlign w:val="center"/>
          </w:tcPr>
          <w:p w14:paraId="3C0B9B5F">
            <w:pPr>
              <w:adjustRightInd w:val="0"/>
              <w:snapToGrid w:val="0"/>
              <w:jc w:val="center"/>
              <w:rPr>
                <w:rFonts w:hint="default" w:ascii="Times New Roman" w:hAnsi="Times New Roman" w:cs="Times New Roman"/>
                <w:b/>
                <w:bCs/>
                <w:color w:val="auto"/>
                <w:sz w:val="24"/>
                <w:szCs w:val="24"/>
                <w:highlight w:val="none"/>
                <w:u w:val="none"/>
              </w:rPr>
            </w:pPr>
            <w:r>
              <w:rPr>
                <w:rFonts w:hint="default" w:ascii="Times New Roman" w:hAnsi="Times New Roman" w:cs="Times New Roman"/>
                <w:b/>
                <w:bCs/>
                <w:color w:val="auto"/>
                <w:sz w:val="24"/>
                <w:szCs w:val="24"/>
                <w:highlight w:val="none"/>
                <w:u w:val="none"/>
              </w:rPr>
              <w:t>执行标准</w:t>
            </w:r>
          </w:p>
        </w:tc>
      </w:tr>
      <w:tr w14:paraId="3FAA2C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37" w:hRule="atLeast"/>
          <w:jc w:val="center"/>
        </w:trPr>
        <w:tc>
          <w:tcPr>
            <w:tcW w:w="961" w:type="dxa"/>
            <w:vMerge w:val="restart"/>
            <w:noWrap w:val="0"/>
            <w:vAlign w:val="center"/>
          </w:tcPr>
          <w:p w14:paraId="444D9239">
            <w:pPr>
              <w:adjustRightInd w:val="0"/>
              <w:snapToGrid w:val="0"/>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大气环境</w:t>
            </w:r>
          </w:p>
        </w:tc>
        <w:tc>
          <w:tcPr>
            <w:tcW w:w="1261" w:type="dxa"/>
            <w:tcBorders>
              <w:bottom w:val="single" w:color="000000" w:sz="8" w:space="0"/>
            </w:tcBorders>
            <w:shd w:val="clear" w:color="auto" w:fill="auto"/>
            <w:noWrap w:val="0"/>
            <w:vAlign w:val="center"/>
          </w:tcPr>
          <w:p w14:paraId="39C87A53">
            <w:pPr>
              <w:pStyle w:val="115"/>
              <w:spacing w:line="240" w:lineRule="auto"/>
              <w:jc w:val="center"/>
              <w:rPr>
                <w:rFonts w:hint="default" w:ascii="Times New Roman" w:hAnsi="Times New Roman" w:eastAsia="宋体" w:cs="Times New Roman"/>
                <w:color w:val="auto"/>
                <w:kern w:val="0"/>
                <w:sz w:val="24"/>
                <w:szCs w:val="24"/>
                <w:highlight w:val="none"/>
                <w:u w:val="none" w:color="auto"/>
                <w:lang w:val="en-US" w:eastAsia="zh-CN" w:bidi="ar-SA"/>
              </w:rPr>
            </w:pPr>
            <w:r>
              <w:rPr>
                <w:rFonts w:hint="eastAsia" w:ascii="Times New Roman" w:hAnsi="Times New Roman" w:eastAsia="宋体" w:cs="Times New Roman"/>
                <w:color w:val="auto"/>
                <w:sz w:val="24"/>
                <w:szCs w:val="24"/>
                <w:highlight w:val="none"/>
                <w:u w:val="none" w:color="auto"/>
                <w:lang w:val="en-US" w:eastAsia="zh-CN"/>
              </w:rPr>
              <w:t>焚烧工序DA</w:t>
            </w:r>
            <w:r>
              <w:rPr>
                <w:rFonts w:hint="eastAsia" w:cs="Times New Roman"/>
                <w:color w:val="auto"/>
                <w:sz w:val="24"/>
                <w:szCs w:val="24"/>
                <w:highlight w:val="none"/>
                <w:u w:val="none" w:color="auto"/>
                <w:lang w:val="en-US" w:eastAsia="zh-CN"/>
              </w:rPr>
              <w:t>001</w:t>
            </w:r>
          </w:p>
        </w:tc>
        <w:tc>
          <w:tcPr>
            <w:tcW w:w="1547" w:type="dxa"/>
            <w:tcBorders>
              <w:bottom w:val="single" w:color="auto" w:sz="4" w:space="0"/>
            </w:tcBorders>
            <w:shd w:val="clear" w:color="auto" w:fill="auto"/>
            <w:noWrap w:val="0"/>
            <w:vAlign w:val="center"/>
          </w:tcPr>
          <w:p w14:paraId="31027164">
            <w:pPr>
              <w:pStyle w:val="114"/>
              <w:keepNext w:val="0"/>
              <w:keepLines w:val="0"/>
              <w:pageBreakBefore w:val="0"/>
              <w:widowControl w:val="0"/>
              <w:kinsoku/>
              <w:wordWrap w:val="0"/>
              <w:overflowPunct/>
              <w:topLinePunct/>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4"/>
                <w:szCs w:val="24"/>
                <w:highlight w:val="none"/>
                <w:u w:val="none" w:color="auto"/>
                <w:lang w:val="en-US" w:eastAsia="zh-CN" w:bidi="ar-SA"/>
              </w:rPr>
            </w:pPr>
            <w:r>
              <w:rPr>
                <w:rFonts w:hint="eastAsia" w:ascii="Times New Roman" w:hAnsi="Times New Roman" w:cs="Times New Roman"/>
                <w:color w:val="auto"/>
                <w:sz w:val="24"/>
                <w:szCs w:val="24"/>
                <w:highlight w:val="none"/>
                <w:u w:val="none" w:color="auto"/>
                <w:lang w:val="en-US" w:eastAsia="zh-CN"/>
              </w:rPr>
              <w:t>颗粒物、SO</w:t>
            </w:r>
            <w:r>
              <w:rPr>
                <w:rFonts w:hint="eastAsia" w:ascii="Times New Roman" w:hAnsi="Times New Roman" w:cs="Times New Roman"/>
                <w:color w:val="auto"/>
                <w:sz w:val="24"/>
                <w:szCs w:val="24"/>
                <w:highlight w:val="none"/>
                <w:u w:val="none" w:color="auto"/>
                <w:vertAlign w:val="subscript"/>
                <w:lang w:val="en-US" w:eastAsia="zh-CN"/>
              </w:rPr>
              <w:t>2</w:t>
            </w:r>
            <w:r>
              <w:rPr>
                <w:rFonts w:hint="eastAsia" w:ascii="Times New Roman" w:hAnsi="Times New Roman" w:cs="Times New Roman"/>
                <w:color w:val="auto"/>
                <w:sz w:val="24"/>
                <w:szCs w:val="24"/>
                <w:highlight w:val="none"/>
                <w:u w:val="none" w:color="auto"/>
                <w:lang w:val="en-US" w:eastAsia="zh-CN"/>
              </w:rPr>
              <w:t>、NOx</w:t>
            </w:r>
          </w:p>
        </w:tc>
        <w:tc>
          <w:tcPr>
            <w:tcW w:w="2214" w:type="dxa"/>
            <w:tcBorders>
              <w:bottom w:val="single" w:color="auto" w:sz="4" w:space="0"/>
            </w:tcBorders>
            <w:noWrap w:val="0"/>
            <w:vAlign w:val="center"/>
          </w:tcPr>
          <w:p w14:paraId="2F240CD9">
            <w:pPr>
              <w:pStyle w:val="115"/>
              <w:spacing w:line="240" w:lineRule="auto"/>
              <w:jc w:val="center"/>
              <w:rPr>
                <w:rFonts w:hint="default" w:ascii="Times New Roman" w:hAnsi="Times New Roman" w:eastAsia="宋体" w:cs="Times New Roman"/>
                <w:color w:val="auto"/>
                <w:sz w:val="24"/>
                <w:szCs w:val="24"/>
                <w:highlight w:val="none"/>
                <w:u w:val="none" w:color="auto"/>
                <w:lang w:val="en-US" w:eastAsia="zh-CN"/>
              </w:rPr>
            </w:pPr>
            <w:r>
              <w:rPr>
                <w:rFonts w:hint="eastAsia" w:ascii="Times New Roman" w:hAnsi="Times New Roman" w:eastAsia="宋体" w:cs="Times New Roman"/>
                <w:color w:val="auto"/>
                <w:sz w:val="24"/>
                <w:szCs w:val="24"/>
                <w:highlight w:val="none"/>
                <w:u w:val="none" w:color="auto"/>
                <w:lang w:val="en-US" w:eastAsia="zh-CN"/>
              </w:rPr>
              <w:t>密闭管道收集</w:t>
            </w:r>
            <w:r>
              <w:rPr>
                <w:rFonts w:hint="default" w:ascii="Times New Roman" w:hAnsi="Times New Roman" w:eastAsia="宋体" w:cs="Times New Roman"/>
                <w:color w:val="auto"/>
                <w:sz w:val="24"/>
                <w:szCs w:val="24"/>
                <w:highlight w:val="none"/>
                <w:u w:val="none" w:color="auto"/>
                <w:lang w:val="en-US" w:eastAsia="en-US"/>
              </w:rPr>
              <w:t>+</w:t>
            </w:r>
            <w:r>
              <w:rPr>
                <w:rFonts w:hint="eastAsia" w:ascii="Times New Roman" w:hAnsi="Times New Roman" w:eastAsia="宋体" w:cs="Times New Roman"/>
                <w:color w:val="auto"/>
                <w:sz w:val="24"/>
                <w:szCs w:val="24"/>
                <w:highlight w:val="none"/>
                <w:u w:val="none" w:color="auto"/>
                <w:lang w:val="en-US" w:eastAsia="zh-CN"/>
              </w:rPr>
              <w:t>“</w:t>
            </w:r>
            <w:r>
              <w:rPr>
                <w:rFonts w:hint="eastAsia" w:cs="Times New Roman"/>
                <w:color w:val="auto"/>
                <w:sz w:val="24"/>
                <w:szCs w:val="24"/>
                <w:highlight w:val="none"/>
                <w:u w:val="none" w:color="auto"/>
                <w:lang w:val="en-US" w:eastAsia="zh-CN"/>
              </w:rPr>
              <w:t>旋风除尘+高温布袋除尘</w:t>
            </w:r>
            <w:r>
              <w:rPr>
                <w:rFonts w:hint="eastAsia" w:ascii="Times New Roman" w:hAnsi="Times New Roman" w:eastAsia="宋体" w:cs="Times New Roman"/>
                <w:color w:val="auto"/>
                <w:sz w:val="24"/>
                <w:szCs w:val="24"/>
                <w:highlight w:val="none"/>
                <w:u w:val="none" w:color="auto"/>
                <w:lang w:val="en-US" w:eastAsia="zh-CN"/>
              </w:rPr>
              <w:t>”+15m排气筒</w:t>
            </w:r>
          </w:p>
        </w:tc>
        <w:tc>
          <w:tcPr>
            <w:tcW w:w="3077" w:type="dxa"/>
            <w:tcBorders>
              <w:bottom w:val="single" w:color="auto" w:sz="4" w:space="0"/>
            </w:tcBorders>
            <w:noWrap w:val="0"/>
            <w:vAlign w:val="center"/>
          </w:tcPr>
          <w:p w14:paraId="1EF929FC">
            <w:pPr>
              <w:spacing w:line="240" w:lineRule="auto"/>
              <w:jc w:val="center"/>
              <w:rPr>
                <w:rFonts w:hint="eastAsia" w:ascii="Times New Roman" w:hAnsi="Times New Roman" w:eastAsia="宋体" w:cs="Times New Roman"/>
                <w:color w:val="auto"/>
                <w:sz w:val="24"/>
                <w:szCs w:val="24"/>
                <w:highlight w:val="none"/>
                <w:u w:val="none" w:color="auto"/>
                <w:lang w:eastAsia="zh-CN"/>
              </w:rPr>
            </w:pPr>
            <w:r>
              <w:rPr>
                <w:rFonts w:hint="eastAsia"/>
                <w:color w:val="auto"/>
                <w:sz w:val="24"/>
                <w:szCs w:val="24"/>
                <w:highlight w:val="none"/>
                <w:u w:val="none" w:color="auto"/>
                <w:lang w:val="en-US" w:eastAsia="zh-CN"/>
              </w:rPr>
              <w:t>《湖南省工业炉窑大气污染综合治理实施方案》附件</w:t>
            </w:r>
            <w:r>
              <w:rPr>
                <w:rFonts w:hint="default"/>
                <w:color w:val="auto"/>
                <w:sz w:val="24"/>
                <w:szCs w:val="24"/>
                <w:highlight w:val="none"/>
                <w:u w:val="none" w:color="auto"/>
                <w:lang w:val="en-US" w:eastAsia="zh-CN"/>
              </w:rPr>
              <w:t>1</w:t>
            </w:r>
            <w:r>
              <w:rPr>
                <w:rFonts w:hint="eastAsia"/>
                <w:color w:val="auto"/>
                <w:sz w:val="24"/>
                <w:szCs w:val="24"/>
                <w:highlight w:val="none"/>
                <w:u w:val="none" w:color="auto"/>
                <w:lang w:val="en-US" w:eastAsia="zh-CN"/>
              </w:rPr>
              <w:t>中相关排放限值（颗粒物：30mg/m</w:t>
            </w:r>
            <w:r>
              <w:rPr>
                <w:rFonts w:hint="eastAsia"/>
                <w:color w:val="auto"/>
                <w:sz w:val="24"/>
                <w:szCs w:val="24"/>
                <w:highlight w:val="none"/>
                <w:u w:val="none" w:color="auto"/>
                <w:vertAlign w:val="superscript"/>
                <w:lang w:val="en-US" w:eastAsia="zh-CN"/>
              </w:rPr>
              <w:t>3</w:t>
            </w:r>
            <w:r>
              <w:rPr>
                <w:rFonts w:hint="eastAsia"/>
                <w:color w:val="auto"/>
                <w:sz w:val="24"/>
                <w:szCs w:val="24"/>
                <w:highlight w:val="none"/>
                <w:u w:val="none" w:color="auto"/>
                <w:lang w:val="en-US" w:eastAsia="zh-CN"/>
              </w:rPr>
              <w:t>、</w:t>
            </w:r>
            <w:r>
              <w:rPr>
                <w:rFonts w:hint="eastAsia" w:ascii="Times New Roman" w:hAnsi="Times New Roman" w:cs="Times New Roman"/>
                <w:color w:val="auto"/>
                <w:sz w:val="24"/>
                <w:szCs w:val="24"/>
                <w:highlight w:val="none"/>
                <w:u w:val="none" w:color="auto"/>
                <w:lang w:val="en-US" w:eastAsia="zh-CN"/>
              </w:rPr>
              <w:t>SO</w:t>
            </w:r>
            <w:r>
              <w:rPr>
                <w:rFonts w:hint="eastAsia" w:ascii="Times New Roman" w:hAnsi="Times New Roman" w:cs="Times New Roman"/>
                <w:color w:val="auto"/>
                <w:sz w:val="24"/>
                <w:szCs w:val="24"/>
                <w:highlight w:val="none"/>
                <w:u w:val="none" w:color="auto"/>
                <w:vertAlign w:val="subscript"/>
                <w:lang w:val="en-US" w:eastAsia="zh-CN"/>
              </w:rPr>
              <w:t>2</w:t>
            </w:r>
            <w:r>
              <w:rPr>
                <w:rFonts w:hint="eastAsia" w:ascii="Times New Roman" w:hAnsi="Times New Roman" w:cs="Times New Roman"/>
                <w:color w:val="auto"/>
                <w:sz w:val="24"/>
                <w:szCs w:val="24"/>
                <w:highlight w:val="none"/>
                <w:u w:val="none" w:color="auto"/>
                <w:lang w:val="en-US" w:eastAsia="zh-CN"/>
              </w:rPr>
              <w:t>：</w:t>
            </w:r>
            <w:r>
              <w:rPr>
                <w:rFonts w:hint="eastAsia"/>
                <w:color w:val="auto"/>
                <w:sz w:val="24"/>
                <w:szCs w:val="24"/>
                <w:highlight w:val="none"/>
                <w:u w:val="none" w:color="auto"/>
                <w:lang w:val="en-US" w:eastAsia="zh-CN"/>
              </w:rPr>
              <w:t>200mg/m</w:t>
            </w:r>
            <w:r>
              <w:rPr>
                <w:rFonts w:hint="eastAsia"/>
                <w:color w:val="auto"/>
                <w:sz w:val="24"/>
                <w:szCs w:val="24"/>
                <w:highlight w:val="none"/>
                <w:u w:val="none" w:color="auto"/>
                <w:vertAlign w:val="superscript"/>
                <w:lang w:val="en-US" w:eastAsia="zh-CN"/>
              </w:rPr>
              <w:t>3</w:t>
            </w:r>
            <w:r>
              <w:rPr>
                <w:rFonts w:hint="eastAsia"/>
                <w:color w:val="auto"/>
                <w:sz w:val="24"/>
                <w:szCs w:val="24"/>
                <w:highlight w:val="none"/>
                <w:u w:val="none" w:color="auto"/>
                <w:lang w:val="en-US" w:eastAsia="zh-CN"/>
              </w:rPr>
              <w:t>、</w:t>
            </w:r>
            <w:r>
              <w:rPr>
                <w:rFonts w:hint="eastAsia" w:ascii="Times New Roman" w:hAnsi="Times New Roman" w:cs="Times New Roman"/>
                <w:color w:val="auto"/>
                <w:sz w:val="24"/>
                <w:szCs w:val="24"/>
                <w:highlight w:val="none"/>
                <w:u w:val="none" w:color="auto"/>
                <w:lang w:val="en-US" w:eastAsia="zh-CN"/>
              </w:rPr>
              <w:t>NOx：</w:t>
            </w:r>
            <w:r>
              <w:rPr>
                <w:rFonts w:hint="eastAsia"/>
                <w:color w:val="auto"/>
                <w:sz w:val="24"/>
                <w:szCs w:val="24"/>
                <w:highlight w:val="none"/>
                <w:u w:val="none" w:color="auto"/>
                <w:lang w:val="en-US" w:eastAsia="zh-CN"/>
              </w:rPr>
              <w:t>300mg/m</w:t>
            </w:r>
            <w:r>
              <w:rPr>
                <w:rFonts w:hint="eastAsia"/>
                <w:color w:val="auto"/>
                <w:sz w:val="24"/>
                <w:szCs w:val="24"/>
                <w:highlight w:val="none"/>
                <w:u w:val="none" w:color="auto"/>
                <w:vertAlign w:val="superscript"/>
                <w:lang w:val="en-US" w:eastAsia="zh-CN"/>
              </w:rPr>
              <w:t>3</w:t>
            </w:r>
            <w:r>
              <w:rPr>
                <w:rFonts w:hint="eastAsia"/>
                <w:color w:val="auto"/>
                <w:sz w:val="24"/>
                <w:szCs w:val="24"/>
                <w:highlight w:val="none"/>
                <w:u w:val="none" w:color="auto"/>
                <w:lang w:val="en-US" w:eastAsia="zh-CN"/>
              </w:rPr>
              <w:t>）</w:t>
            </w:r>
          </w:p>
        </w:tc>
      </w:tr>
      <w:tr w14:paraId="7CD5A4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48" w:hRule="atLeast"/>
          <w:jc w:val="center"/>
        </w:trPr>
        <w:tc>
          <w:tcPr>
            <w:tcW w:w="961" w:type="dxa"/>
            <w:vMerge w:val="continue"/>
            <w:noWrap w:val="0"/>
            <w:vAlign w:val="center"/>
          </w:tcPr>
          <w:p w14:paraId="0C24D34A">
            <w:pPr>
              <w:adjustRightInd w:val="0"/>
              <w:snapToGrid w:val="0"/>
              <w:jc w:val="center"/>
              <w:rPr>
                <w:rFonts w:hint="default" w:ascii="Times New Roman" w:hAnsi="Times New Roman" w:cs="Times New Roman"/>
                <w:color w:val="auto"/>
                <w:sz w:val="24"/>
                <w:szCs w:val="24"/>
                <w:highlight w:val="none"/>
                <w:u w:val="none"/>
              </w:rPr>
            </w:pPr>
          </w:p>
        </w:tc>
        <w:tc>
          <w:tcPr>
            <w:tcW w:w="1261" w:type="dxa"/>
            <w:vMerge w:val="restart"/>
            <w:tcBorders>
              <w:top w:val="single" w:color="000000" w:sz="8" w:space="0"/>
            </w:tcBorders>
            <w:noWrap w:val="0"/>
            <w:vAlign w:val="center"/>
          </w:tcPr>
          <w:p w14:paraId="2C2A0B98">
            <w:pPr>
              <w:pStyle w:val="115"/>
              <w:spacing w:line="240" w:lineRule="auto"/>
              <w:jc w:val="center"/>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无组织废气</w:t>
            </w:r>
          </w:p>
        </w:tc>
        <w:tc>
          <w:tcPr>
            <w:tcW w:w="1547" w:type="dxa"/>
            <w:tcBorders>
              <w:top w:val="single" w:color="auto" w:sz="4" w:space="0"/>
              <w:bottom w:val="single" w:color="auto" w:sz="4" w:space="0"/>
            </w:tcBorders>
            <w:shd w:val="clear" w:color="auto" w:fill="auto"/>
            <w:noWrap w:val="0"/>
            <w:vAlign w:val="center"/>
          </w:tcPr>
          <w:p w14:paraId="7C05D1EB">
            <w:pPr>
              <w:keepNext w:val="0"/>
              <w:keepLines w:val="0"/>
              <w:pageBreakBefore w:val="0"/>
              <w:widowControl w:val="0"/>
              <w:kinsoku/>
              <w:overflowPunct/>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kern w:val="0"/>
                <w:sz w:val="24"/>
                <w:szCs w:val="24"/>
                <w:highlight w:val="none"/>
                <w:u w:val="none" w:color="auto"/>
                <w:lang w:val="en-US" w:eastAsia="zh-CN" w:bidi="ar-SA"/>
              </w:rPr>
            </w:pPr>
            <w:r>
              <w:rPr>
                <w:rFonts w:hint="eastAsia" w:cs="Times New Roman"/>
                <w:color w:val="auto"/>
                <w:sz w:val="24"/>
                <w:szCs w:val="24"/>
                <w:highlight w:val="none"/>
                <w:u w:val="none" w:color="auto"/>
                <w:lang w:val="en-US" w:eastAsia="zh-CN"/>
              </w:rPr>
              <w:t>非甲烷总烃</w:t>
            </w:r>
          </w:p>
        </w:tc>
        <w:tc>
          <w:tcPr>
            <w:tcW w:w="2214" w:type="dxa"/>
            <w:vMerge w:val="restart"/>
            <w:tcBorders>
              <w:top w:val="single" w:color="auto" w:sz="4" w:space="0"/>
            </w:tcBorders>
            <w:shd w:val="clear" w:color="auto" w:fill="auto"/>
            <w:noWrap w:val="0"/>
            <w:vAlign w:val="center"/>
          </w:tcPr>
          <w:p w14:paraId="0CC00C42">
            <w:pPr>
              <w:spacing w:line="240" w:lineRule="auto"/>
              <w:jc w:val="center"/>
              <w:rPr>
                <w:rFonts w:hint="default" w:ascii="Times New Roman" w:hAnsi="Times New Roman" w:eastAsia="宋体" w:cs="Times New Roman"/>
                <w:color w:val="auto"/>
                <w:kern w:val="2"/>
                <w:sz w:val="24"/>
                <w:szCs w:val="24"/>
                <w:highlight w:val="none"/>
                <w:u w:val="none" w:color="auto"/>
                <w:lang w:val="en-US" w:eastAsia="zh-CN" w:bidi="ar-SA"/>
              </w:rPr>
            </w:pPr>
            <w:r>
              <w:rPr>
                <w:rFonts w:hint="default" w:ascii="Times New Roman" w:hAnsi="Times New Roman" w:eastAsia="宋体" w:cs="Times New Roman"/>
                <w:color w:val="auto"/>
                <w:kern w:val="2"/>
                <w:sz w:val="24"/>
                <w:szCs w:val="24"/>
                <w:highlight w:val="none"/>
                <w:u w:val="none" w:color="auto"/>
                <w:lang w:val="en-US" w:eastAsia="zh-CN" w:bidi="ar-SA"/>
              </w:rPr>
              <w:t>巡检预警、加强绿化、加强车间通风</w:t>
            </w:r>
          </w:p>
        </w:tc>
        <w:tc>
          <w:tcPr>
            <w:tcW w:w="3077" w:type="dxa"/>
            <w:tcBorders>
              <w:top w:val="single" w:color="auto" w:sz="4" w:space="0"/>
              <w:bottom w:val="single" w:color="auto" w:sz="4" w:space="0"/>
            </w:tcBorders>
            <w:shd w:val="clear" w:color="auto" w:fill="auto"/>
            <w:noWrap w:val="0"/>
            <w:vAlign w:val="center"/>
          </w:tcPr>
          <w:p w14:paraId="3A8550EB">
            <w:pPr>
              <w:spacing w:line="240" w:lineRule="auto"/>
              <w:jc w:val="center"/>
              <w:rPr>
                <w:rFonts w:hint="default" w:ascii="Times New Roman" w:hAnsi="Times New Roman" w:eastAsia="宋体" w:cs="Times New Roman"/>
                <w:color w:val="auto"/>
                <w:sz w:val="24"/>
                <w:szCs w:val="24"/>
                <w:highlight w:val="none"/>
                <w:u w:val="none" w:color="auto"/>
                <w:lang w:val="en-US" w:eastAsia="zh-CN"/>
              </w:rPr>
            </w:pPr>
            <w:r>
              <w:rPr>
                <w:rFonts w:hint="eastAsia" w:ascii="Times New Roman" w:hAnsi="Times New Roman" w:eastAsia="宋体" w:cs="Times New Roman"/>
                <w:color w:val="auto"/>
                <w:sz w:val="24"/>
                <w:szCs w:val="24"/>
                <w:highlight w:val="none"/>
                <w:u w:val="none" w:color="auto"/>
                <w:lang w:val="en-US" w:eastAsia="zh-CN"/>
              </w:rPr>
              <w:t>《大气污染物综合排放标准》（GB16297-1996）（</w:t>
            </w:r>
            <w:r>
              <w:rPr>
                <w:rFonts w:hint="eastAsia" w:cs="Times New Roman"/>
                <w:color w:val="auto"/>
                <w:sz w:val="24"/>
                <w:szCs w:val="24"/>
                <w:highlight w:val="none"/>
                <w:u w:val="none" w:color="auto"/>
                <w:lang w:val="en-US" w:eastAsia="zh-CN"/>
              </w:rPr>
              <w:t>4.0</w:t>
            </w:r>
            <w:r>
              <w:rPr>
                <w:rFonts w:hint="default" w:ascii="Times New Roman" w:hAnsi="Times New Roman" w:eastAsia="宋体" w:cs="Times New Roman"/>
                <w:color w:val="auto"/>
                <w:sz w:val="24"/>
                <w:szCs w:val="24"/>
                <w:highlight w:val="none"/>
                <w:u w:val="none" w:color="auto"/>
                <w:lang w:val="en-US" w:eastAsia="zh-CN"/>
              </w:rPr>
              <w:t>mg/m</w:t>
            </w:r>
            <w:r>
              <w:rPr>
                <w:rFonts w:hint="default" w:ascii="Times New Roman" w:hAnsi="Times New Roman" w:eastAsia="宋体" w:cs="Times New Roman"/>
                <w:color w:val="auto"/>
                <w:sz w:val="24"/>
                <w:szCs w:val="24"/>
                <w:highlight w:val="none"/>
                <w:u w:val="none" w:color="auto"/>
                <w:vertAlign w:val="superscript"/>
                <w:lang w:val="en-US" w:eastAsia="zh-CN"/>
              </w:rPr>
              <w:t>3</w:t>
            </w:r>
            <w:r>
              <w:rPr>
                <w:rFonts w:hint="eastAsia" w:ascii="Times New Roman" w:hAnsi="Times New Roman" w:eastAsia="宋体" w:cs="Times New Roman"/>
                <w:color w:val="auto"/>
                <w:sz w:val="24"/>
                <w:szCs w:val="24"/>
                <w:highlight w:val="none"/>
                <w:u w:val="none" w:color="auto"/>
                <w:lang w:val="en-US" w:eastAsia="zh-CN"/>
              </w:rPr>
              <w:t>）</w:t>
            </w:r>
          </w:p>
        </w:tc>
      </w:tr>
      <w:tr w14:paraId="237B45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65" w:hRule="atLeast"/>
          <w:jc w:val="center"/>
        </w:trPr>
        <w:tc>
          <w:tcPr>
            <w:tcW w:w="961" w:type="dxa"/>
            <w:vMerge w:val="continue"/>
            <w:noWrap w:val="0"/>
            <w:vAlign w:val="center"/>
          </w:tcPr>
          <w:p w14:paraId="59CEBA88">
            <w:pPr>
              <w:adjustRightInd w:val="0"/>
              <w:snapToGrid w:val="0"/>
              <w:jc w:val="center"/>
              <w:rPr>
                <w:rFonts w:hint="default" w:ascii="Times New Roman" w:hAnsi="Times New Roman" w:cs="Times New Roman"/>
                <w:color w:val="auto"/>
                <w:sz w:val="24"/>
                <w:szCs w:val="24"/>
                <w:highlight w:val="none"/>
                <w:u w:val="none"/>
              </w:rPr>
            </w:pPr>
          </w:p>
        </w:tc>
        <w:tc>
          <w:tcPr>
            <w:tcW w:w="1261" w:type="dxa"/>
            <w:vMerge w:val="continue"/>
            <w:noWrap w:val="0"/>
            <w:vAlign w:val="center"/>
          </w:tcPr>
          <w:p w14:paraId="4826AD5D">
            <w:pPr>
              <w:pStyle w:val="115"/>
              <w:spacing w:line="240" w:lineRule="auto"/>
              <w:jc w:val="center"/>
              <w:rPr>
                <w:rFonts w:hint="default" w:ascii="Times New Roman" w:hAnsi="Times New Roman" w:cs="Times New Roman"/>
                <w:color w:val="auto"/>
                <w:sz w:val="24"/>
                <w:szCs w:val="24"/>
                <w:highlight w:val="none"/>
                <w:u w:val="none" w:color="auto"/>
              </w:rPr>
            </w:pPr>
          </w:p>
        </w:tc>
        <w:tc>
          <w:tcPr>
            <w:tcW w:w="1547" w:type="dxa"/>
            <w:tcBorders>
              <w:top w:val="single" w:color="auto" w:sz="4" w:space="0"/>
            </w:tcBorders>
            <w:shd w:val="clear" w:color="auto" w:fill="auto"/>
            <w:noWrap w:val="0"/>
            <w:vAlign w:val="center"/>
          </w:tcPr>
          <w:p w14:paraId="0A5E06C2">
            <w:pPr>
              <w:keepNext w:val="0"/>
              <w:keepLines w:val="0"/>
              <w:pageBreakBefore w:val="0"/>
              <w:widowControl w:val="0"/>
              <w:kinsoku/>
              <w:overflowPunct/>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kern w:val="0"/>
                <w:sz w:val="24"/>
                <w:szCs w:val="24"/>
                <w:highlight w:val="none"/>
                <w:u w:val="none" w:color="auto"/>
                <w:lang w:val="en-US" w:eastAsia="zh-CN" w:bidi="ar-SA"/>
              </w:rPr>
            </w:pPr>
            <w:r>
              <w:rPr>
                <w:rFonts w:hint="eastAsia"/>
                <w:color w:val="auto"/>
                <w:sz w:val="24"/>
                <w:szCs w:val="24"/>
                <w:highlight w:val="none"/>
                <w:u w:val="none" w:color="auto"/>
                <w:lang w:val="en-US" w:eastAsia="zh-CN"/>
              </w:rPr>
              <w:t>恶臭（以臭气浓度为表征）</w:t>
            </w:r>
          </w:p>
        </w:tc>
        <w:tc>
          <w:tcPr>
            <w:tcW w:w="2214" w:type="dxa"/>
            <w:vMerge w:val="continue"/>
            <w:noWrap w:val="0"/>
            <w:vAlign w:val="center"/>
          </w:tcPr>
          <w:p w14:paraId="1C7C393B">
            <w:pPr>
              <w:spacing w:line="240" w:lineRule="auto"/>
              <w:jc w:val="center"/>
              <w:rPr>
                <w:rFonts w:hint="default" w:ascii="Times New Roman" w:hAnsi="Times New Roman" w:cs="Times New Roman"/>
                <w:color w:val="auto"/>
                <w:sz w:val="24"/>
                <w:szCs w:val="24"/>
                <w:highlight w:val="none"/>
                <w:u w:val="none" w:color="auto"/>
                <w:lang w:val="en-US" w:eastAsia="zh-CN"/>
              </w:rPr>
            </w:pPr>
          </w:p>
        </w:tc>
        <w:tc>
          <w:tcPr>
            <w:tcW w:w="3077" w:type="dxa"/>
            <w:tcBorders>
              <w:top w:val="single" w:color="auto" w:sz="4" w:space="0"/>
            </w:tcBorders>
            <w:noWrap w:val="0"/>
            <w:vAlign w:val="center"/>
          </w:tcPr>
          <w:p w14:paraId="68BD4E91">
            <w:pPr>
              <w:spacing w:line="240" w:lineRule="auto"/>
              <w:jc w:val="center"/>
              <w:rPr>
                <w:rFonts w:hint="eastAsia"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lang w:val="en-US" w:eastAsia="zh-CN"/>
              </w:rPr>
              <w:t>《恶臭污染物排放标准》（GB14554-1993）2级标准</w:t>
            </w:r>
            <w:r>
              <w:rPr>
                <w:rFonts w:hint="eastAsia" w:ascii="Times New Roman" w:hAnsi="Times New Roman" w:eastAsia="宋体" w:cs="Times New Roman"/>
                <w:color w:val="auto"/>
                <w:sz w:val="24"/>
                <w:szCs w:val="24"/>
                <w:highlight w:val="none"/>
                <w:u w:val="none" w:color="auto"/>
                <w:lang w:val="en-US" w:eastAsia="zh-CN"/>
              </w:rPr>
              <w:t>（20（无量纲））</w:t>
            </w:r>
          </w:p>
        </w:tc>
      </w:tr>
      <w:tr w14:paraId="2D1CB7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67" w:hRule="atLeast"/>
          <w:jc w:val="center"/>
        </w:trPr>
        <w:tc>
          <w:tcPr>
            <w:tcW w:w="961" w:type="dxa"/>
            <w:noWrap w:val="0"/>
            <w:vAlign w:val="center"/>
          </w:tcPr>
          <w:p w14:paraId="3FC5B83C">
            <w:pPr>
              <w:adjustRightInd w:val="0"/>
              <w:snapToGrid w:val="0"/>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地表水环境</w:t>
            </w:r>
          </w:p>
        </w:tc>
        <w:tc>
          <w:tcPr>
            <w:tcW w:w="1261" w:type="dxa"/>
            <w:noWrap w:val="0"/>
            <w:vAlign w:val="center"/>
          </w:tcPr>
          <w:p w14:paraId="0CAA3EA5">
            <w:pPr>
              <w:pStyle w:val="118"/>
              <w:rPr>
                <w:rFonts w:hint="default" w:ascii="Times New Roman" w:hAnsi="Times New Roman" w:eastAsia="宋体" w:cs="Times New Roman"/>
                <w:color w:val="auto"/>
                <w:kern w:val="2"/>
                <w:sz w:val="24"/>
                <w:szCs w:val="24"/>
                <w:highlight w:val="none"/>
                <w:u w:val="none"/>
                <w:lang w:val="en-US" w:eastAsia="zh-CN" w:bidi="ar-SA"/>
              </w:rPr>
            </w:pPr>
            <w:r>
              <w:rPr>
                <w:rFonts w:hint="default" w:ascii="Times New Roman" w:hAnsi="Times New Roman" w:cs="Times New Roman"/>
                <w:color w:val="auto"/>
                <w:sz w:val="24"/>
                <w:szCs w:val="24"/>
                <w:highlight w:val="none"/>
                <w:u w:val="none"/>
              </w:rPr>
              <w:t>生活污水</w:t>
            </w:r>
          </w:p>
        </w:tc>
        <w:tc>
          <w:tcPr>
            <w:tcW w:w="1547" w:type="dxa"/>
            <w:noWrap w:val="0"/>
            <w:vAlign w:val="center"/>
          </w:tcPr>
          <w:p w14:paraId="3A49E827">
            <w:pPr>
              <w:jc w:val="center"/>
              <w:rPr>
                <w:rFonts w:hint="default" w:ascii="Times New Roman" w:hAnsi="Times New Roman" w:cs="Times New Roman"/>
                <w:color w:val="auto"/>
                <w:kern w:val="2"/>
                <w:sz w:val="24"/>
                <w:szCs w:val="24"/>
                <w:highlight w:val="none"/>
                <w:u w:val="none"/>
                <w:lang w:val="en-US" w:eastAsia="zh-CN" w:bidi="ar-SA"/>
              </w:rPr>
            </w:pPr>
            <w:r>
              <w:rPr>
                <w:rFonts w:hint="default" w:ascii="Times New Roman" w:hAnsi="Times New Roman" w:cs="Times New Roman"/>
                <w:color w:val="auto"/>
                <w:sz w:val="24"/>
                <w:szCs w:val="24"/>
                <w:highlight w:val="none"/>
                <w:u w:val="none"/>
              </w:rPr>
              <w:t>COD、BOD、氨氮等</w:t>
            </w:r>
          </w:p>
        </w:tc>
        <w:tc>
          <w:tcPr>
            <w:tcW w:w="2214" w:type="dxa"/>
            <w:noWrap w:val="0"/>
            <w:vAlign w:val="center"/>
          </w:tcPr>
          <w:p w14:paraId="27ADF0FA">
            <w:pPr>
              <w:keepNext w:val="0"/>
              <w:keepLines w:val="0"/>
              <w:pageBreakBefore w:val="0"/>
              <w:widowControl w:val="0"/>
              <w:kinsoku/>
              <w:overflowPunct/>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kern w:val="2"/>
                <w:sz w:val="24"/>
                <w:szCs w:val="24"/>
                <w:highlight w:val="none"/>
                <w:u w:val="none"/>
                <w:lang w:val="en-US" w:eastAsia="zh-CN" w:bidi="ar-SA"/>
              </w:rPr>
            </w:pPr>
            <w:r>
              <w:rPr>
                <w:rFonts w:hint="default" w:ascii="Times New Roman" w:hAnsi="Times New Roman" w:cs="Times New Roman"/>
                <w:color w:val="auto"/>
                <w:sz w:val="24"/>
                <w:szCs w:val="24"/>
                <w:highlight w:val="none"/>
                <w:u w:val="none" w:color="auto"/>
              </w:rPr>
              <w:t>经</w:t>
            </w:r>
            <w:r>
              <w:rPr>
                <w:rFonts w:hint="eastAsia" w:cs="Times New Roman"/>
                <w:color w:val="auto"/>
                <w:sz w:val="24"/>
                <w:szCs w:val="24"/>
                <w:highlight w:val="none"/>
                <w:u w:val="none" w:color="auto"/>
                <w:lang w:eastAsia="zh-CN"/>
              </w:rPr>
              <w:t>三级化粪池处理后</w:t>
            </w:r>
            <w:r>
              <w:rPr>
                <w:rFonts w:hint="default"/>
                <w:color w:val="auto"/>
                <w:sz w:val="24"/>
                <w:szCs w:val="24"/>
                <w:highlight w:val="none"/>
                <w:u w:val="none" w:color="auto"/>
              </w:rPr>
              <w:t>用作</w:t>
            </w:r>
            <w:r>
              <w:rPr>
                <w:rFonts w:hint="eastAsia"/>
                <w:color w:val="auto"/>
                <w:sz w:val="24"/>
                <w:szCs w:val="24"/>
                <w:highlight w:val="none"/>
                <w:u w:val="none" w:color="auto"/>
                <w:lang w:val="en-US" w:eastAsia="zh-CN"/>
              </w:rPr>
              <w:t>农肥</w:t>
            </w:r>
          </w:p>
        </w:tc>
        <w:tc>
          <w:tcPr>
            <w:tcW w:w="3077" w:type="dxa"/>
            <w:noWrap w:val="0"/>
            <w:vAlign w:val="center"/>
          </w:tcPr>
          <w:p w14:paraId="002740E6">
            <w:pPr>
              <w:pStyle w:val="114"/>
              <w:keepNext w:val="0"/>
              <w:keepLines w:val="0"/>
              <w:pageBreakBefore w:val="0"/>
              <w:widowControl w:val="0"/>
              <w:kinsoku/>
              <w:overflowPunct/>
              <w:autoSpaceDE/>
              <w:autoSpaceDN/>
              <w:bidi w:val="0"/>
              <w:adjustRightInd/>
              <w:snapToGrid/>
              <w:spacing w:line="240" w:lineRule="auto"/>
              <w:ind w:left="0" w:leftChars="0"/>
              <w:jc w:val="center"/>
              <w:textAlignment w:val="auto"/>
              <w:rPr>
                <w:rFonts w:hint="default" w:ascii="Times New Roman" w:hAnsi="Times New Roman" w:cs="Times New Roman"/>
                <w:color w:val="auto"/>
                <w:sz w:val="24"/>
                <w:szCs w:val="24"/>
                <w:highlight w:val="none"/>
                <w:u w:val="none"/>
              </w:rPr>
            </w:pPr>
            <w:r>
              <w:rPr>
                <w:rFonts w:hint="eastAsia"/>
                <w:color w:val="auto"/>
                <w:sz w:val="24"/>
                <w:szCs w:val="24"/>
                <w:highlight w:val="none"/>
                <w:u w:val="none" w:color="auto"/>
                <w:lang w:val="en-US" w:eastAsia="zh-CN"/>
              </w:rPr>
              <w:t>/</w:t>
            </w:r>
          </w:p>
        </w:tc>
      </w:tr>
      <w:tr w14:paraId="20921F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5" w:hRule="atLeast"/>
          <w:jc w:val="center"/>
        </w:trPr>
        <w:tc>
          <w:tcPr>
            <w:tcW w:w="961" w:type="dxa"/>
            <w:noWrap w:val="0"/>
            <w:vAlign w:val="center"/>
          </w:tcPr>
          <w:p w14:paraId="28AD04EB">
            <w:pPr>
              <w:adjustRightInd w:val="0"/>
              <w:snapToGrid w:val="0"/>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声环境</w:t>
            </w:r>
          </w:p>
        </w:tc>
        <w:tc>
          <w:tcPr>
            <w:tcW w:w="1261" w:type="dxa"/>
            <w:noWrap w:val="0"/>
            <w:vAlign w:val="center"/>
          </w:tcPr>
          <w:p w14:paraId="09400E2A">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设备噪声</w:t>
            </w:r>
          </w:p>
        </w:tc>
        <w:tc>
          <w:tcPr>
            <w:tcW w:w="1547" w:type="dxa"/>
            <w:noWrap w:val="0"/>
            <w:vAlign w:val="center"/>
          </w:tcPr>
          <w:p w14:paraId="1ED2DDC3">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噪声</w:t>
            </w:r>
          </w:p>
        </w:tc>
        <w:tc>
          <w:tcPr>
            <w:tcW w:w="2214" w:type="dxa"/>
            <w:noWrap w:val="0"/>
            <w:vAlign w:val="center"/>
          </w:tcPr>
          <w:p w14:paraId="73B6478D">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主要设备的基础</w:t>
            </w:r>
            <w:r>
              <w:rPr>
                <w:rFonts w:hint="default" w:ascii="Times New Roman" w:hAnsi="Times New Roman" w:cs="Times New Roman"/>
                <w:color w:val="auto"/>
                <w:sz w:val="24"/>
                <w:szCs w:val="24"/>
                <w:highlight w:val="none"/>
                <w:u w:val="none"/>
                <w:lang w:eastAsia="zh-CN"/>
              </w:rPr>
              <w:t>减振</w:t>
            </w:r>
            <w:r>
              <w:rPr>
                <w:rFonts w:hint="default" w:ascii="Times New Roman" w:hAnsi="Times New Roman" w:cs="Times New Roman"/>
                <w:color w:val="auto"/>
                <w:sz w:val="24"/>
                <w:szCs w:val="24"/>
                <w:highlight w:val="none"/>
                <w:u w:val="none"/>
              </w:rPr>
              <w:t>、距离消声</w:t>
            </w:r>
          </w:p>
        </w:tc>
        <w:tc>
          <w:tcPr>
            <w:tcW w:w="3077" w:type="dxa"/>
            <w:noWrap w:val="0"/>
            <w:vAlign w:val="center"/>
          </w:tcPr>
          <w:p w14:paraId="24D311EC">
            <w:pPr>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《工业企业厂界环境噪声</w:t>
            </w:r>
            <w:r>
              <w:rPr>
                <w:rFonts w:hint="default" w:ascii="Times New Roman" w:hAnsi="Times New Roman" w:cs="Times New Roman"/>
                <w:color w:val="auto"/>
                <w:sz w:val="24"/>
                <w:szCs w:val="24"/>
                <w:highlight w:val="none"/>
                <w:u w:val="none"/>
                <w:lang w:val="en-US" w:eastAsia="zh-CN"/>
              </w:rPr>
              <w:t>排放</w:t>
            </w:r>
            <w:r>
              <w:rPr>
                <w:rFonts w:hint="default" w:ascii="Times New Roman" w:hAnsi="Times New Roman" w:cs="Times New Roman"/>
                <w:color w:val="auto"/>
                <w:sz w:val="24"/>
                <w:szCs w:val="24"/>
                <w:highlight w:val="none"/>
                <w:u w:val="none"/>
              </w:rPr>
              <w:t>标准》</w:t>
            </w:r>
            <w:r>
              <w:rPr>
                <w:rFonts w:hint="default" w:ascii="Times New Roman" w:hAnsi="Times New Roman" w:cs="Times New Roman"/>
                <w:color w:val="auto"/>
                <w:sz w:val="24"/>
                <w:highlight w:val="none"/>
                <w:u w:val="none"/>
              </w:rPr>
              <w:t>（GB12348-2008）</w:t>
            </w:r>
            <w:r>
              <w:rPr>
                <w:rFonts w:hint="default" w:ascii="Times New Roman" w:hAnsi="Times New Roman" w:cs="Times New Roman"/>
                <w:color w:val="auto"/>
                <w:sz w:val="24"/>
                <w:szCs w:val="24"/>
                <w:highlight w:val="none"/>
                <w:u w:val="none"/>
              </w:rPr>
              <w:t>中</w:t>
            </w:r>
            <w:r>
              <w:rPr>
                <w:rFonts w:hint="eastAsia" w:cs="Times New Roman"/>
                <w:color w:val="auto"/>
                <w:sz w:val="24"/>
                <w:szCs w:val="24"/>
                <w:highlight w:val="none"/>
                <w:u w:val="none"/>
                <w:lang w:val="en-US" w:eastAsia="zh-CN"/>
              </w:rPr>
              <w:t>2</w:t>
            </w:r>
            <w:r>
              <w:rPr>
                <w:rFonts w:hint="default" w:ascii="Times New Roman" w:hAnsi="Times New Roman" w:cs="Times New Roman"/>
                <w:color w:val="auto"/>
                <w:sz w:val="24"/>
                <w:szCs w:val="24"/>
                <w:highlight w:val="none"/>
                <w:u w:val="none"/>
              </w:rPr>
              <w:t>类标准的要求（昼间6</w:t>
            </w:r>
            <w:r>
              <w:rPr>
                <w:rFonts w:hint="eastAsia" w:cs="Times New Roman"/>
                <w:color w:val="auto"/>
                <w:sz w:val="24"/>
                <w:szCs w:val="24"/>
                <w:highlight w:val="none"/>
                <w:u w:val="none"/>
                <w:lang w:val="en-US" w:eastAsia="zh-CN"/>
              </w:rPr>
              <w:t>0</w:t>
            </w:r>
            <w:r>
              <w:rPr>
                <w:rFonts w:hint="default" w:ascii="Times New Roman" w:hAnsi="Times New Roman" w:cs="Times New Roman"/>
                <w:color w:val="auto"/>
                <w:sz w:val="24"/>
                <w:szCs w:val="24"/>
                <w:highlight w:val="none"/>
                <w:u w:val="none"/>
              </w:rPr>
              <w:t>dB）</w:t>
            </w:r>
          </w:p>
        </w:tc>
      </w:tr>
      <w:tr w14:paraId="586B13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643" w:hRule="atLeast"/>
          <w:jc w:val="center"/>
        </w:trPr>
        <w:tc>
          <w:tcPr>
            <w:tcW w:w="961" w:type="dxa"/>
            <w:noWrap w:val="0"/>
            <w:vAlign w:val="center"/>
          </w:tcPr>
          <w:p w14:paraId="10A879C6">
            <w:pPr>
              <w:adjustRightInd w:val="0"/>
              <w:snapToGrid w:val="0"/>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固体废物</w:t>
            </w:r>
          </w:p>
        </w:tc>
        <w:tc>
          <w:tcPr>
            <w:tcW w:w="8099" w:type="dxa"/>
            <w:gridSpan w:val="4"/>
            <w:noWrap w:val="0"/>
            <w:vAlign w:val="center"/>
          </w:tcPr>
          <w:p w14:paraId="44D0463B">
            <w:pP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按要求做好一般工业固废暂存区和危险废物暂存间设置工作，</w:t>
            </w:r>
            <w:r>
              <w:rPr>
                <w:rFonts w:hint="eastAsia" w:cs="Times New Roman"/>
                <w:color w:val="auto"/>
                <w:sz w:val="24"/>
                <w:highlight w:val="none"/>
                <w:u w:val="none"/>
                <w:lang w:val="en-US" w:eastAsia="zh-CN"/>
              </w:rPr>
              <w:t>本次搬迁后建设单位拟在厂区北侧建设一般固废暂存间及危废暂存间，面积分别为5m</w:t>
            </w:r>
            <w:r>
              <w:rPr>
                <w:rFonts w:hint="eastAsia" w:cs="Times New Roman"/>
                <w:color w:val="auto"/>
                <w:sz w:val="24"/>
                <w:highlight w:val="none"/>
                <w:u w:val="none"/>
                <w:vertAlign w:val="superscript"/>
                <w:lang w:val="en-US" w:eastAsia="zh-CN"/>
              </w:rPr>
              <w:t>2</w:t>
            </w:r>
            <w:r>
              <w:rPr>
                <w:rFonts w:hint="eastAsia" w:cs="Times New Roman"/>
                <w:color w:val="auto"/>
                <w:sz w:val="24"/>
                <w:highlight w:val="none"/>
                <w:u w:val="none"/>
                <w:vertAlign w:val="baseline"/>
                <w:lang w:val="en-US" w:eastAsia="zh-CN"/>
              </w:rPr>
              <w:t>。</w:t>
            </w:r>
            <w:r>
              <w:rPr>
                <w:rFonts w:hint="default" w:ascii="Times New Roman" w:hAnsi="Times New Roman" w:cs="Times New Roman"/>
                <w:color w:val="auto"/>
                <w:sz w:val="24"/>
                <w:szCs w:val="24"/>
                <w:highlight w:val="none"/>
                <w:u w:val="none"/>
              </w:rPr>
              <w:t>可达到</w:t>
            </w:r>
            <w:r>
              <w:rPr>
                <w:rFonts w:hint="default" w:ascii="Times New Roman" w:hAnsi="Times New Roman" w:cs="Times New Roman"/>
                <w:color w:val="auto"/>
                <w:sz w:val="24"/>
                <w:szCs w:val="24"/>
                <w:highlight w:val="none"/>
                <w:u w:val="none"/>
              </w:rPr>
              <w:fldChar w:fldCharType="begin"/>
            </w:r>
            <w:r>
              <w:rPr>
                <w:rFonts w:hint="default" w:ascii="Times New Roman" w:hAnsi="Times New Roman" w:cs="Times New Roman"/>
                <w:color w:val="auto"/>
                <w:sz w:val="24"/>
                <w:szCs w:val="24"/>
                <w:highlight w:val="none"/>
                <w:u w:val="none"/>
              </w:rPr>
              <w:instrText xml:space="preserve"> HYPERLINK "https://www.so.com/link?m=bMbw+CrH/nUr3S4dzqqRRzVUGCCRb7hSeAkrSqA6/yQsZYFrVljGzEsOsIAK/ZnU6u/h1F+7qOrFcaOehbiU0qnylLeuHM1YO/Q738OmdnxGFw5J5rLH1lWRxQ9LNnDxgZbQqAQ==" \t "https://www.so.com/_blank" </w:instrText>
            </w:r>
            <w:r>
              <w:rPr>
                <w:rFonts w:hint="default" w:ascii="Times New Roman" w:hAnsi="Times New Roman" w:cs="Times New Roman"/>
                <w:color w:val="auto"/>
                <w:sz w:val="24"/>
                <w:szCs w:val="24"/>
                <w:highlight w:val="none"/>
                <w:u w:val="none"/>
              </w:rPr>
              <w:fldChar w:fldCharType="separate"/>
            </w:r>
            <w:r>
              <w:rPr>
                <w:rFonts w:hint="default" w:ascii="Times New Roman" w:hAnsi="Times New Roman" w:cs="Times New Roman"/>
                <w:color w:val="auto"/>
                <w:sz w:val="24"/>
                <w:szCs w:val="24"/>
                <w:highlight w:val="none"/>
                <w:u w:val="none"/>
              </w:rPr>
              <w:t>《一般工业固体废物贮存和填埋污染控制标准》</w:t>
            </w:r>
            <w:r>
              <w:rPr>
                <w:rFonts w:hint="default" w:ascii="Times New Roman" w:hAnsi="Times New Roman" w:cs="Times New Roman"/>
                <w:color w:val="auto"/>
                <w:sz w:val="24"/>
                <w:szCs w:val="24"/>
                <w:highlight w:val="none"/>
                <w:u w:val="none"/>
              </w:rPr>
              <w:fldChar w:fldCharType="end"/>
            </w:r>
            <w:r>
              <w:rPr>
                <w:rFonts w:hint="default" w:ascii="Times New Roman" w:hAnsi="Times New Roman" w:cs="Times New Roman"/>
                <w:color w:val="auto"/>
                <w:sz w:val="24"/>
                <w:szCs w:val="24"/>
                <w:highlight w:val="none"/>
                <w:u w:val="none"/>
              </w:rPr>
              <w:t>（GB18599-2020）、《危险废物贮存污染控制标准》 (GB18597-2023)及相关国家及地方法律法规要求；生活垃圾</w:t>
            </w:r>
            <w:r>
              <w:rPr>
                <w:rFonts w:hint="default" w:ascii="Times New Roman" w:hAnsi="Times New Roman" w:cs="Times New Roman"/>
                <w:color w:val="auto"/>
                <w:sz w:val="24"/>
                <w:szCs w:val="24"/>
                <w:highlight w:val="none"/>
                <w:u w:val="none"/>
                <w:lang w:val="en-US" w:eastAsia="zh-CN"/>
              </w:rPr>
              <w:t>在</w:t>
            </w:r>
            <w:r>
              <w:rPr>
                <w:rFonts w:hint="default" w:ascii="Times New Roman" w:hAnsi="Times New Roman" w:cs="Times New Roman"/>
                <w:color w:val="auto"/>
                <w:sz w:val="24"/>
                <w:szCs w:val="24"/>
                <w:highlight w:val="none"/>
                <w:u w:val="none"/>
              </w:rPr>
              <w:t>厂区内分类收集，定期交由环卫部门清运。</w:t>
            </w:r>
          </w:p>
        </w:tc>
      </w:tr>
      <w:tr w14:paraId="72A8AC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97" w:hRule="atLeast"/>
          <w:jc w:val="center"/>
        </w:trPr>
        <w:tc>
          <w:tcPr>
            <w:tcW w:w="961" w:type="dxa"/>
            <w:noWrap w:val="0"/>
            <w:vAlign w:val="center"/>
          </w:tcPr>
          <w:p w14:paraId="77712845">
            <w:pPr>
              <w:adjustRightInd w:val="0"/>
              <w:snapToGrid w:val="0"/>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土壤及地下水</w:t>
            </w:r>
          </w:p>
          <w:p w14:paraId="32ED19EE">
            <w:pPr>
              <w:adjustRightInd w:val="0"/>
              <w:snapToGrid w:val="0"/>
              <w:jc w:val="center"/>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污染防治措施</w:t>
            </w:r>
          </w:p>
        </w:tc>
        <w:tc>
          <w:tcPr>
            <w:tcW w:w="8099" w:type="dxa"/>
            <w:gridSpan w:val="4"/>
            <w:noWrap w:val="0"/>
            <w:vAlign w:val="center"/>
          </w:tcPr>
          <w:p w14:paraId="142B1050">
            <w:pPr>
              <w:adjustRightInd w:val="0"/>
              <w:snapToGrid w:val="0"/>
              <w:jc w:val="left"/>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cs="Times New Roman"/>
                <w:color w:val="auto"/>
                <w:sz w:val="24"/>
                <w:szCs w:val="24"/>
                <w:highlight w:val="none"/>
                <w:u w:val="none"/>
              </w:rPr>
              <w:t>对厂区内设置的</w:t>
            </w:r>
            <w:r>
              <w:rPr>
                <w:rFonts w:hint="default" w:ascii="Times New Roman" w:hAnsi="Times New Roman" w:cs="Times New Roman"/>
                <w:color w:val="auto"/>
                <w:sz w:val="24"/>
                <w:szCs w:val="24"/>
                <w:highlight w:val="none"/>
                <w:u w:val="none"/>
                <w:lang w:val="en-US" w:eastAsia="zh-CN"/>
              </w:rPr>
              <w:t>生产区、</w:t>
            </w:r>
            <w:r>
              <w:rPr>
                <w:rFonts w:hint="eastAsia" w:cs="Times New Roman"/>
                <w:color w:val="auto"/>
                <w:sz w:val="24"/>
                <w:szCs w:val="24"/>
                <w:highlight w:val="none"/>
                <w:u w:val="none"/>
                <w:lang w:val="en-US" w:eastAsia="zh-CN"/>
              </w:rPr>
              <w:t>原料堆放区</w:t>
            </w:r>
            <w:r>
              <w:rPr>
                <w:rFonts w:hint="default" w:ascii="Times New Roman" w:hAnsi="Times New Roman" w:cs="Times New Roman"/>
                <w:color w:val="auto"/>
                <w:sz w:val="24"/>
                <w:szCs w:val="24"/>
                <w:highlight w:val="none"/>
                <w:u w:val="none"/>
              </w:rPr>
              <w:t>及危废暂存间等进行严格的防渗处理，避免对地下水</w:t>
            </w:r>
            <w:r>
              <w:rPr>
                <w:rFonts w:hint="default" w:ascii="Times New Roman" w:hAnsi="Times New Roman" w:cs="Times New Roman"/>
                <w:color w:val="auto"/>
                <w:sz w:val="24"/>
                <w:szCs w:val="24"/>
                <w:highlight w:val="none"/>
                <w:u w:val="none"/>
                <w:lang w:val="en-US" w:eastAsia="zh-CN"/>
              </w:rPr>
              <w:t>及土壤</w:t>
            </w:r>
            <w:r>
              <w:rPr>
                <w:rFonts w:hint="default" w:ascii="Times New Roman" w:hAnsi="Times New Roman" w:cs="Times New Roman"/>
                <w:color w:val="auto"/>
                <w:sz w:val="24"/>
                <w:szCs w:val="24"/>
                <w:highlight w:val="none"/>
                <w:u w:val="none"/>
              </w:rPr>
              <w:t>造成污染；严禁危废随意堆放，防止因雨淋导致污水外溢，污染区域地下水及</w:t>
            </w:r>
            <w:r>
              <w:rPr>
                <w:rFonts w:hint="default" w:ascii="Times New Roman" w:hAnsi="Times New Roman" w:cs="Times New Roman"/>
                <w:color w:val="auto"/>
                <w:sz w:val="24"/>
                <w:szCs w:val="24"/>
                <w:highlight w:val="none"/>
                <w:u w:val="none"/>
                <w:lang w:val="en-US" w:eastAsia="zh-CN"/>
              </w:rPr>
              <w:t>土壤。</w:t>
            </w:r>
          </w:p>
        </w:tc>
      </w:tr>
      <w:tr w14:paraId="0F2C0F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4" w:hRule="atLeast"/>
          <w:jc w:val="center"/>
        </w:trPr>
        <w:tc>
          <w:tcPr>
            <w:tcW w:w="961" w:type="dxa"/>
            <w:noWrap w:val="0"/>
            <w:vAlign w:val="center"/>
          </w:tcPr>
          <w:p w14:paraId="7E032615">
            <w:pPr>
              <w:adjustRightInd w:val="0"/>
              <w:snapToGrid w:val="0"/>
              <w:jc w:val="center"/>
              <w:rPr>
                <w:rFonts w:hint="default" w:ascii="Times New Roman" w:hAnsi="Times New Roman" w:cs="Times New Roman"/>
                <w:color w:val="auto"/>
                <w:sz w:val="24"/>
                <w:szCs w:val="24"/>
                <w:highlight w:val="none"/>
                <w:u w:val="none"/>
              </w:rPr>
            </w:pPr>
            <w:bookmarkStart w:id="55" w:name="OLE_LINK62"/>
            <w:r>
              <w:rPr>
                <w:rFonts w:hint="default" w:ascii="Times New Roman" w:hAnsi="Times New Roman" w:cs="Times New Roman"/>
                <w:color w:val="auto"/>
                <w:sz w:val="24"/>
                <w:szCs w:val="24"/>
                <w:highlight w:val="none"/>
                <w:u w:val="none"/>
              </w:rPr>
              <w:t>生态</w:t>
            </w:r>
            <w:bookmarkEnd w:id="55"/>
            <w:r>
              <w:rPr>
                <w:rFonts w:hint="default" w:ascii="Times New Roman" w:hAnsi="Times New Roman" w:cs="Times New Roman"/>
                <w:color w:val="auto"/>
                <w:sz w:val="24"/>
                <w:szCs w:val="24"/>
                <w:highlight w:val="none"/>
                <w:u w:val="none"/>
              </w:rPr>
              <w:t>保护措施</w:t>
            </w:r>
          </w:p>
        </w:tc>
        <w:tc>
          <w:tcPr>
            <w:tcW w:w="8099" w:type="dxa"/>
            <w:gridSpan w:val="4"/>
            <w:noWrap w:val="0"/>
            <w:vAlign w:val="center"/>
          </w:tcPr>
          <w:p w14:paraId="51CCC7B0">
            <w:pPr>
              <w:adjustRightInd w:val="0"/>
              <w:snapToGrid w:val="0"/>
              <w:jc w:val="left"/>
              <w:rPr>
                <w:rFonts w:hint="default" w:ascii="Times New Roman" w:hAnsi="Times New Roman" w:eastAsia="宋体" w:cs="Times New Roman"/>
                <w:color w:val="auto"/>
                <w:sz w:val="24"/>
                <w:szCs w:val="24"/>
                <w:highlight w:val="none"/>
                <w:u w:val="none"/>
                <w:lang w:eastAsia="zh-CN"/>
              </w:rPr>
            </w:pPr>
            <w:r>
              <w:rPr>
                <w:rFonts w:hint="default" w:ascii="Times New Roman" w:hAnsi="Times New Roman" w:cs="Times New Roman"/>
                <w:color w:val="auto"/>
                <w:sz w:val="24"/>
                <w:szCs w:val="24"/>
                <w:highlight w:val="none"/>
                <w:u w:val="none"/>
              </w:rPr>
              <w:t>本项目运营期执行严格有效的污染防治措施可以将生产中产生的污染物排放控制在较低的水平，从而保持区域环境质量，对生态影响不大</w:t>
            </w:r>
            <w:r>
              <w:rPr>
                <w:rFonts w:hint="default" w:ascii="Times New Roman" w:hAnsi="Times New Roman" w:cs="Times New Roman"/>
                <w:color w:val="auto"/>
                <w:sz w:val="24"/>
                <w:szCs w:val="24"/>
                <w:highlight w:val="none"/>
                <w:u w:val="none"/>
                <w:lang w:eastAsia="zh-CN"/>
              </w:rPr>
              <w:t>。</w:t>
            </w:r>
          </w:p>
        </w:tc>
      </w:tr>
      <w:tr w14:paraId="0CED8B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52" w:hRule="atLeast"/>
          <w:jc w:val="center"/>
        </w:trPr>
        <w:tc>
          <w:tcPr>
            <w:tcW w:w="961" w:type="dxa"/>
            <w:noWrap w:val="0"/>
            <w:vAlign w:val="center"/>
          </w:tcPr>
          <w:p w14:paraId="3AD2C455">
            <w:pPr>
              <w:adjustRightInd w:val="0"/>
              <w:snapToGrid w:val="0"/>
              <w:jc w:val="center"/>
              <w:rPr>
                <w:rFonts w:hint="default" w:ascii="Times New Roman" w:hAnsi="Times New Roman" w:cs="Times New Roman"/>
                <w:color w:val="auto"/>
                <w:spacing w:val="-8"/>
                <w:sz w:val="24"/>
                <w:szCs w:val="24"/>
                <w:highlight w:val="none"/>
                <w:u w:val="none"/>
              </w:rPr>
            </w:pPr>
            <w:r>
              <w:rPr>
                <w:rFonts w:hint="default" w:ascii="Times New Roman" w:hAnsi="Times New Roman" w:cs="Times New Roman"/>
                <w:color w:val="auto"/>
                <w:spacing w:val="-8"/>
                <w:sz w:val="24"/>
                <w:szCs w:val="24"/>
                <w:highlight w:val="none"/>
                <w:u w:val="none"/>
              </w:rPr>
              <w:t>环境风险防范措施</w:t>
            </w:r>
          </w:p>
        </w:tc>
        <w:tc>
          <w:tcPr>
            <w:tcW w:w="8099" w:type="dxa"/>
            <w:gridSpan w:val="4"/>
            <w:noWrap w:val="0"/>
            <w:vAlign w:val="center"/>
          </w:tcPr>
          <w:p w14:paraId="0FFB0204">
            <w:pPr>
              <w:adjustRightInd w:val="0"/>
              <w:snapToGrid w:val="0"/>
              <w:ind w:firstLine="480" w:firstLineChars="200"/>
              <w:jc w:val="left"/>
              <w:rPr>
                <w:rFonts w:hint="default" w:ascii="Times New Roman" w:hAnsi="Times New Roman" w:eastAsia="宋体" w:cs="Times New Roman"/>
                <w:color w:val="auto"/>
                <w:sz w:val="24"/>
                <w:szCs w:val="24"/>
                <w:highlight w:val="none"/>
                <w:u w:val="none"/>
              </w:rPr>
            </w:pPr>
            <w:r>
              <w:rPr>
                <w:rFonts w:hint="default" w:ascii="Times New Roman" w:hAnsi="Times New Roman" w:cs="Times New Roman"/>
                <w:color w:val="auto"/>
                <w:sz w:val="24"/>
                <w:szCs w:val="24"/>
                <w:highlight w:val="none"/>
                <w:u w:val="none"/>
              </w:rPr>
              <w:t>本项目环境风险为①</w:t>
            </w:r>
            <w:bookmarkStart w:id="56" w:name="OLE_LINK88"/>
            <w:r>
              <w:rPr>
                <w:rFonts w:hint="default" w:ascii="Times New Roman" w:hAnsi="Times New Roman" w:cs="Times New Roman"/>
                <w:color w:val="auto"/>
                <w:sz w:val="24"/>
                <w:szCs w:val="24"/>
                <w:highlight w:val="none"/>
                <w:u w:val="none"/>
                <w:lang w:val="en-US" w:eastAsia="zh-CN"/>
              </w:rPr>
              <w:t>废气处理装置</w:t>
            </w:r>
            <w:bookmarkEnd w:id="56"/>
            <w:r>
              <w:rPr>
                <w:rFonts w:hint="default" w:ascii="Times New Roman" w:hAnsi="Times New Roman" w:eastAsia="宋体" w:cs="Times New Roman"/>
                <w:color w:val="auto"/>
                <w:sz w:val="24"/>
                <w:szCs w:val="24"/>
                <w:highlight w:val="none"/>
                <w:u w:val="none"/>
                <w:lang w:val="en-US" w:eastAsia="zh-CN"/>
              </w:rPr>
              <w:t>故障</w:t>
            </w:r>
            <w:r>
              <w:rPr>
                <w:rFonts w:hint="default" w:ascii="Times New Roman" w:hAnsi="Times New Roman" w:eastAsia="宋体" w:cs="Times New Roman"/>
                <w:color w:val="auto"/>
                <w:sz w:val="24"/>
                <w:szCs w:val="24"/>
                <w:highlight w:val="none"/>
                <w:u w:val="none"/>
              </w:rPr>
              <w:t>；②</w:t>
            </w:r>
            <w:r>
              <w:rPr>
                <w:rFonts w:hint="eastAsia" w:ascii="Times New Roman" w:hAnsi="Times New Roman" w:eastAsia="宋体" w:cs="Times New Roman"/>
                <w:color w:val="auto"/>
                <w:sz w:val="24"/>
                <w:szCs w:val="24"/>
                <w:highlight w:val="none"/>
                <w:u w:val="none"/>
                <w:lang w:val="en-US" w:eastAsia="zh-CN"/>
              </w:rPr>
              <w:t>辅料</w:t>
            </w:r>
            <w:r>
              <w:rPr>
                <w:rFonts w:hint="default" w:ascii="Times New Roman" w:hAnsi="Times New Roman" w:eastAsia="宋体" w:cs="Times New Roman"/>
                <w:color w:val="auto"/>
                <w:sz w:val="24"/>
                <w:szCs w:val="24"/>
                <w:highlight w:val="none"/>
                <w:u w:val="none"/>
              </w:rPr>
              <w:t>泄漏</w:t>
            </w:r>
            <w:r>
              <w:rPr>
                <w:rFonts w:hint="default" w:ascii="Times New Roman" w:hAnsi="Times New Roman" w:eastAsia="宋体" w:cs="Times New Roman"/>
                <w:color w:val="auto"/>
                <w:sz w:val="24"/>
                <w:szCs w:val="24"/>
                <w:highlight w:val="none"/>
                <w:u w:val="none"/>
                <w:lang w:eastAsia="zh-CN"/>
              </w:rPr>
              <w:t>、</w:t>
            </w:r>
            <w:r>
              <w:rPr>
                <w:rFonts w:hint="default" w:ascii="Times New Roman" w:hAnsi="Times New Roman" w:eastAsia="宋体" w:cs="Times New Roman"/>
                <w:color w:val="auto"/>
                <w:sz w:val="24"/>
                <w:szCs w:val="24"/>
                <w:highlight w:val="none"/>
                <w:u w:val="none"/>
                <w:lang w:val="en-US" w:eastAsia="zh-CN"/>
              </w:rPr>
              <w:t>危废泄漏</w:t>
            </w:r>
            <w:r>
              <w:rPr>
                <w:rFonts w:hint="default" w:ascii="Times New Roman" w:hAnsi="Times New Roman" w:eastAsia="宋体" w:cs="Times New Roman"/>
                <w:color w:val="auto"/>
                <w:sz w:val="24"/>
                <w:szCs w:val="24"/>
                <w:highlight w:val="none"/>
                <w:u w:val="none"/>
              </w:rPr>
              <w:t>事故，环境风险等级低于三级。主要防范措施如下：</w:t>
            </w:r>
          </w:p>
          <w:p w14:paraId="3EBC849D">
            <w:pPr>
              <w:adjustRightInd w:val="0"/>
              <w:snapToGrid w:val="0"/>
              <w:ind w:firstLine="480" w:firstLineChars="200"/>
              <w:jc w:val="lef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A、车间内设置严禁烟火警示牌；配置相应的灭火装置和设施，设置火灾报警系统，严格执行安全和消防规范；</w:t>
            </w:r>
          </w:p>
          <w:p w14:paraId="26EA416D">
            <w:pPr>
              <w:adjustRightInd w:val="0"/>
              <w:snapToGrid w:val="0"/>
              <w:ind w:firstLine="480" w:firstLineChars="200"/>
              <w:jc w:val="lef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B、</w:t>
            </w:r>
            <w:r>
              <w:rPr>
                <w:rFonts w:hint="default" w:ascii="Times New Roman" w:hAnsi="Times New Roman" w:cs="Times New Roman"/>
                <w:color w:val="auto"/>
                <w:sz w:val="24"/>
                <w:szCs w:val="24"/>
                <w:highlight w:val="none"/>
                <w:u w:val="none"/>
                <w:lang w:val="en-US" w:eastAsia="zh-CN"/>
              </w:rPr>
              <w:t>生产区、仓库</w:t>
            </w:r>
            <w:r>
              <w:rPr>
                <w:rFonts w:hint="default" w:ascii="Times New Roman" w:hAnsi="Times New Roman" w:cs="Times New Roman"/>
                <w:color w:val="auto"/>
                <w:sz w:val="24"/>
                <w:szCs w:val="24"/>
                <w:highlight w:val="none"/>
                <w:u w:val="none"/>
              </w:rPr>
              <w:t>等均采用防渗材料处理，铺设防渗漏的材料；危废暂存间</w:t>
            </w:r>
            <w:r>
              <w:rPr>
                <w:rFonts w:hint="eastAsia" w:cs="Times New Roman"/>
                <w:color w:val="auto"/>
                <w:sz w:val="24"/>
                <w:szCs w:val="24"/>
                <w:highlight w:val="none"/>
                <w:u w:val="none"/>
                <w:lang w:eastAsia="zh-CN"/>
              </w:rPr>
              <w:t>做好</w:t>
            </w:r>
            <w:r>
              <w:rPr>
                <w:rFonts w:hint="default" w:ascii="Times New Roman" w:hAnsi="Times New Roman" w:cs="Times New Roman"/>
                <w:color w:val="auto"/>
                <w:sz w:val="24"/>
                <w:szCs w:val="24"/>
                <w:highlight w:val="none"/>
                <w:u w:val="none"/>
              </w:rPr>
              <w:t>防渗透处理，危险废物妥善收集，定期交有处理资质的单位处置，严禁随意排放。</w:t>
            </w:r>
          </w:p>
          <w:p w14:paraId="56F886CC">
            <w:pPr>
              <w:adjustRightInd w:val="0"/>
              <w:snapToGrid w:val="0"/>
              <w:ind w:firstLine="480" w:firstLineChars="200"/>
              <w:jc w:val="left"/>
              <w:rPr>
                <w:rFonts w:hint="default" w:ascii="Times New Roman" w:hAnsi="Times New Roman" w:eastAsia="宋体" w:cs="Times New Roman"/>
                <w:color w:val="auto"/>
                <w:sz w:val="24"/>
                <w:szCs w:val="24"/>
                <w:highlight w:val="none"/>
                <w:u w:val="none"/>
                <w:lang w:eastAsia="zh-CN"/>
              </w:rPr>
            </w:pPr>
            <w:r>
              <w:rPr>
                <w:rFonts w:hint="default" w:ascii="Times New Roman" w:hAnsi="Times New Roman" w:cs="Times New Roman"/>
                <w:color w:val="auto"/>
                <w:sz w:val="24"/>
                <w:szCs w:val="24"/>
                <w:highlight w:val="none"/>
                <w:u w:val="none"/>
              </w:rPr>
              <w:t>C、对</w:t>
            </w:r>
            <w:r>
              <w:rPr>
                <w:rFonts w:hint="default" w:ascii="Times New Roman" w:hAnsi="Times New Roman" w:cs="Times New Roman"/>
                <w:color w:val="auto"/>
                <w:sz w:val="24"/>
                <w:szCs w:val="24"/>
                <w:highlight w:val="none"/>
                <w:u w:val="none"/>
                <w:lang w:val="en-US" w:eastAsia="zh-CN"/>
              </w:rPr>
              <w:t>废气处理装置</w:t>
            </w:r>
            <w:r>
              <w:rPr>
                <w:rFonts w:hint="default" w:ascii="Times New Roman" w:hAnsi="Times New Roman" w:cs="Times New Roman"/>
                <w:color w:val="auto"/>
                <w:sz w:val="24"/>
                <w:szCs w:val="24"/>
                <w:highlight w:val="none"/>
                <w:u w:val="none"/>
              </w:rPr>
              <w:t>应定期检修、保养，以保证处理效率；当处理设施发生故障时，应立即停止生产，检修完毕后，确保处理设备正常运行，方能继续运营生产。</w:t>
            </w:r>
          </w:p>
          <w:p w14:paraId="62F47875">
            <w:pPr>
              <w:adjustRightInd w:val="0"/>
              <w:snapToGrid w:val="0"/>
              <w:ind w:firstLine="480" w:firstLineChars="200"/>
              <w:jc w:val="lef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D、加强生产管理，</w:t>
            </w:r>
            <w:r>
              <w:rPr>
                <w:rFonts w:hint="eastAsia" w:cs="Times New Roman"/>
                <w:color w:val="auto"/>
                <w:sz w:val="24"/>
                <w:szCs w:val="24"/>
                <w:highlight w:val="none"/>
                <w:u w:val="none"/>
                <w:lang w:eastAsia="zh-CN"/>
              </w:rPr>
              <w:t>增强</w:t>
            </w:r>
            <w:r>
              <w:rPr>
                <w:rFonts w:hint="default" w:ascii="Times New Roman" w:hAnsi="Times New Roman" w:cs="Times New Roman"/>
                <w:color w:val="auto"/>
                <w:sz w:val="24"/>
                <w:szCs w:val="24"/>
                <w:highlight w:val="none"/>
                <w:u w:val="none"/>
              </w:rPr>
              <w:t>职工的安全意识和风险防范能力。</w:t>
            </w:r>
          </w:p>
          <w:p w14:paraId="4048E4CE">
            <w:pPr>
              <w:adjustRightInd w:val="0"/>
              <w:snapToGrid w:val="0"/>
              <w:ind w:firstLine="480" w:firstLineChars="200"/>
              <w:jc w:val="lef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在严格落实本报告提出的各项事故防范和应急措施并加强管理的情况下，可最大限度地减少可能发生的环境风险。一旦发生事故，可将影响范围控制在较小程度内，</w:t>
            </w:r>
            <w:r>
              <w:rPr>
                <w:rFonts w:hint="eastAsia" w:cs="Times New Roman"/>
                <w:color w:val="auto"/>
                <w:sz w:val="24"/>
                <w:szCs w:val="24"/>
                <w:highlight w:val="none"/>
                <w:u w:val="none"/>
                <w:lang w:eastAsia="zh-CN"/>
              </w:rPr>
              <w:t>减少</w:t>
            </w:r>
            <w:r>
              <w:rPr>
                <w:rFonts w:hint="default" w:ascii="Times New Roman" w:hAnsi="Times New Roman" w:cs="Times New Roman"/>
                <w:color w:val="auto"/>
                <w:sz w:val="24"/>
                <w:szCs w:val="24"/>
                <w:highlight w:val="none"/>
                <w:u w:val="none"/>
              </w:rPr>
              <w:t>损失。企业在运营期间应不断完善企业事故防范和应急体系，实现企业联防联动，减少项目环境风险事故发生的概率，其影响危害可控制在厂区内，其风险在可接受范围内。</w:t>
            </w:r>
          </w:p>
        </w:tc>
      </w:tr>
      <w:tr w14:paraId="49FC51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96" w:hRule="atLeast"/>
          <w:jc w:val="center"/>
        </w:trPr>
        <w:tc>
          <w:tcPr>
            <w:tcW w:w="961" w:type="dxa"/>
            <w:noWrap w:val="0"/>
            <w:vAlign w:val="center"/>
          </w:tcPr>
          <w:p w14:paraId="3C4D780F">
            <w:pPr>
              <w:adjustRightInd w:val="0"/>
              <w:snapToGrid w:val="0"/>
              <w:jc w:val="center"/>
              <w:rPr>
                <w:rFonts w:hint="default" w:ascii="Times New Roman" w:hAnsi="Times New Roman" w:cs="Times New Roman"/>
                <w:color w:val="auto"/>
                <w:spacing w:val="-8"/>
                <w:sz w:val="24"/>
                <w:szCs w:val="24"/>
                <w:highlight w:val="none"/>
                <w:u w:val="none"/>
              </w:rPr>
            </w:pPr>
            <w:r>
              <w:rPr>
                <w:rFonts w:hint="default" w:ascii="Times New Roman" w:hAnsi="Times New Roman" w:cs="Times New Roman"/>
                <w:color w:val="auto"/>
                <w:spacing w:val="-8"/>
                <w:sz w:val="24"/>
                <w:szCs w:val="24"/>
                <w:highlight w:val="none"/>
                <w:u w:val="none"/>
              </w:rPr>
              <w:t>其他环境管理要求</w:t>
            </w:r>
          </w:p>
        </w:tc>
        <w:tc>
          <w:tcPr>
            <w:tcW w:w="8099" w:type="dxa"/>
            <w:gridSpan w:val="4"/>
            <w:noWrap w:val="0"/>
            <w:vAlign w:val="center"/>
          </w:tcPr>
          <w:p w14:paraId="6606575E">
            <w:pPr>
              <w:adjustRightInd w:val="0"/>
              <w:snapToGrid w:val="0"/>
              <w:jc w:val="lef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1、</w:t>
            </w:r>
            <w:r>
              <w:rPr>
                <w:rFonts w:hint="default" w:ascii="Times New Roman" w:hAnsi="Times New Roman" w:cs="Times New Roman"/>
                <w:color w:val="auto"/>
                <w:sz w:val="24"/>
                <w:szCs w:val="24"/>
                <w:highlight w:val="none"/>
                <w:u w:val="none"/>
                <w:lang w:val="en-US" w:eastAsia="zh-CN"/>
              </w:rPr>
              <w:t>根据《排污许可管理条例》第十五条规定，在排污许可证有效期内，</w:t>
            </w:r>
            <w:r>
              <w:rPr>
                <w:rFonts w:hint="default" w:ascii="Times New Roman" w:hAnsi="Times New Roman" w:cs="Times New Roman"/>
                <w:color w:val="auto"/>
                <w:sz w:val="24"/>
                <w:szCs w:val="24"/>
                <w:highlight w:val="none"/>
                <w:u w:val="none"/>
              </w:rPr>
              <w:t>新建、改建、扩建排放污染物的项目</w:t>
            </w:r>
            <w:r>
              <w:rPr>
                <w:rFonts w:hint="default" w:ascii="Times New Roman" w:hAnsi="Times New Roman" w:cs="Times New Roman"/>
                <w:color w:val="auto"/>
                <w:sz w:val="24"/>
                <w:szCs w:val="24"/>
                <w:highlight w:val="none"/>
                <w:u w:val="none"/>
                <w:lang w:val="en-US" w:eastAsia="zh-CN"/>
              </w:rPr>
              <w:t>应当在实际排污行为变化之前重新申请取得排污许可证</w:t>
            </w:r>
            <w:r>
              <w:rPr>
                <w:rFonts w:hint="eastAsia" w:cs="Times New Roman"/>
                <w:color w:val="auto"/>
                <w:sz w:val="24"/>
                <w:szCs w:val="24"/>
                <w:highlight w:val="none"/>
                <w:u w:val="none"/>
                <w:lang w:val="en-US" w:eastAsia="zh-CN"/>
              </w:rPr>
              <w:t>。本项目搬迁前未正式投产，本次搬迁后进行排污许可证申报申领后方可投入运营。</w:t>
            </w:r>
          </w:p>
          <w:p w14:paraId="35A34C96">
            <w:pPr>
              <w:adjustRightInd w:val="0"/>
              <w:snapToGrid w:val="0"/>
              <w:jc w:val="lef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2、</w:t>
            </w:r>
            <w:r>
              <w:rPr>
                <w:rFonts w:hint="default" w:ascii="Times New Roman" w:hAnsi="Times New Roman" w:cs="Times New Roman"/>
                <w:color w:val="auto"/>
                <w:sz w:val="24"/>
                <w:szCs w:val="24"/>
                <w:highlight w:val="none"/>
                <w:u w:val="single" w:color="auto"/>
              </w:rPr>
              <w:t>根据国家新修订的《建设项目环境保护管理条例》，建设单位自主验收，进一步强化建设单位的环境保护“三同时 ”主体责任，各级环境保护部门主要是加强对建设单位的指导和监督检查，确保验收内容不缺项，验收标准不降低，验收结果全公开。建设项目竣工后，建设单位应及时委托有能力的技术机构编制验收监测（调查）报告，如实查验、监测、记载建设项目环境保护设施的建设和调试情况</w:t>
            </w:r>
            <w:r>
              <w:rPr>
                <w:rFonts w:hint="eastAsia" w:cs="Times New Roman"/>
                <w:color w:val="auto"/>
                <w:sz w:val="24"/>
                <w:szCs w:val="24"/>
                <w:highlight w:val="none"/>
                <w:u w:val="single" w:color="auto"/>
                <w:lang w:eastAsia="zh-CN"/>
              </w:rPr>
              <w:t>，</w:t>
            </w:r>
            <w:r>
              <w:rPr>
                <w:rFonts w:hint="default" w:ascii="Times New Roman" w:hAnsi="Times New Roman" w:cs="Times New Roman"/>
                <w:color w:val="auto"/>
                <w:sz w:val="24"/>
                <w:szCs w:val="24"/>
                <w:highlight w:val="none"/>
                <w:u w:val="single" w:color="auto"/>
              </w:rPr>
              <w:t>经自主验收后方可投入运营。</w:t>
            </w:r>
          </w:p>
          <w:p w14:paraId="40D8E5D7">
            <w:pPr>
              <w:adjustRightInd w:val="0"/>
              <w:snapToGrid w:val="0"/>
              <w:jc w:val="left"/>
              <w:rPr>
                <w:rFonts w:hint="eastAsia"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 xml:space="preserve">3、污染防治设施应与其对应的生产工艺设备同步运转，保证在生产工艺设备运行波动情况下仍能正常运转，实现达标排放。 </w:t>
            </w:r>
          </w:p>
          <w:p w14:paraId="07768CEA">
            <w:pPr>
              <w:adjustRightInd w:val="0"/>
              <w:snapToGrid w:val="0"/>
              <w:jc w:val="left"/>
              <w:rPr>
                <w:rFonts w:hint="eastAsia"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4、加强除尘设备隐患，保证正常运行。除尘设备应定期检查设备和管线的气密性。除尘器应定期更换滤袋，保证滤袋完整无破损，</w:t>
            </w:r>
            <w:r>
              <w:rPr>
                <w:rFonts w:hint="default" w:ascii="Times New Roman" w:hAnsi="Times New Roman" w:cs="Times New Roman"/>
                <w:color w:val="auto"/>
                <w:sz w:val="24"/>
                <w:szCs w:val="24"/>
                <w:highlight w:val="none"/>
                <w:u w:val="none"/>
              </w:rPr>
              <w:t>保证废气处理设施正常运行，当废气处理设施出现故障不能正常运行时，应尽快停产进行维修。</w:t>
            </w:r>
          </w:p>
          <w:p w14:paraId="00B09F51">
            <w:pPr>
              <w:adjustRightInd w:val="0"/>
              <w:snapToGrid w:val="0"/>
              <w:jc w:val="left"/>
              <w:rPr>
                <w:rFonts w:hint="default"/>
                <w:color w:val="auto"/>
                <w:u w:val="none"/>
              </w:rPr>
            </w:pPr>
            <w:r>
              <w:rPr>
                <w:rFonts w:hint="eastAsia" w:cs="Times New Roman"/>
                <w:color w:val="auto"/>
                <w:sz w:val="24"/>
                <w:szCs w:val="24"/>
                <w:highlight w:val="none"/>
                <w:u w:val="none"/>
                <w:lang w:val="en-US" w:eastAsia="zh-CN"/>
              </w:rPr>
              <w:t>4</w:t>
            </w:r>
            <w:r>
              <w:rPr>
                <w:rFonts w:hint="default" w:ascii="Times New Roman" w:hAnsi="Times New Roman" w:cs="Times New Roman"/>
                <w:color w:val="auto"/>
                <w:sz w:val="24"/>
                <w:szCs w:val="24"/>
                <w:highlight w:val="none"/>
                <w:u w:val="none"/>
              </w:rPr>
              <w:t>、为了使各项污染防治措施达到较好的实际使用效果，企业应建立健全的环境保护制度，经常性的监督管理工作。加强各种处理设施的维修、保养及管理，确保污染治理设施的正常运转。</w:t>
            </w:r>
          </w:p>
        </w:tc>
      </w:tr>
    </w:tbl>
    <w:p w14:paraId="535C81E0">
      <w:pPr>
        <w:pStyle w:val="28"/>
        <w:jc w:val="center"/>
        <w:outlineLvl w:val="0"/>
        <w:rPr>
          <w:rFonts w:ascii="Times New Roman" w:hAnsi="Times New Roman" w:eastAsia="黑体"/>
          <w:snapToGrid w:val="0"/>
          <w:color w:val="auto"/>
          <w:sz w:val="30"/>
          <w:szCs w:val="30"/>
          <w:highlight w:val="none"/>
        </w:rPr>
      </w:pPr>
      <w:r>
        <w:rPr>
          <w:rFonts w:ascii="Times New Roman" w:hAnsi="Times New Roman"/>
          <w:snapToGrid w:val="0"/>
          <w:color w:val="auto"/>
          <w:highlight w:val="none"/>
        </w:rPr>
        <w:br w:type="page"/>
      </w:r>
      <w:bookmarkStart w:id="57" w:name="_Toc11157"/>
      <w:bookmarkStart w:id="58" w:name="_Toc7788_WPSOffice_Level1"/>
      <w:bookmarkStart w:id="59" w:name="_Toc4331"/>
      <w:r>
        <w:rPr>
          <w:rFonts w:ascii="Times New Roman" w:hAnsi="Times New Roman" w:eastAsia="黑体"/>
          <w:snapToGrid w:val="0"/>
          <w:color w:val="auto"/>
          <w:sz w:val="30"/>
          <w:szCs w:val="30"/>
          <w:highlight w:val="none"/>
        </w:rPr>
        <w:t>六、结论</w:t>
      </w:r>
      <w:bookmarkEnd w:id="57"/>
      <w:bookmarkEnd w:id="58"/>
      <w:bookmarkEnd w:id="59"/>
    </w:p>
    <w:tbl>
      <w:tblPr>
        <w:tblStyle w:val="33"/>
        <w:tblW w:w="8865"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865"/>
      </w:tblGrid>
      <w:tr w14:paraId="1C6A4A6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991" w:hRule="atLeast"/>
          <w:jc w:val="center"/>
        </w:trPr>
        <w:tc>
          <w:tcPr>
            <w:tcW w:w="8865" w:type="dxa"/>
            <w:noWrap w:val="0"/>
            <w:vAlign w:val="top"/>
          </w:tcPr>
          <w:p w14:paraId="0FD083C8">
            <w:pPr>
              <w:bidi w:val="0"/>
              <w:spacing w:line="360" w:lineRule="auto"/>
              <w:rPr>
                <w:rFonts w:hint="default"/>
                <w:b/>
                <w:bCs/>
                <w:color w:val="auto"/>
                <w:sz w:val="24"/>
                <w:szCs w:val="24"/>
              </w:rPr>
            </w:pPr>
            <w:bookmarkStart w:id="60" w:name="_Toc8505"/>
            <w:r>
              <w:rPr>
                <w:rFonts w:hint="default"/>
                <w:b/>
                <w:bCs/>
                <w:color w:val="auto"/>
                <w:sz w:val="24"/>
                <w:szCs w:val="24"/>
              </w:rPr>
              <w:t>1、结论</w:t>
            </w:r>
            <w:bookmarkEnd w:id="60"/>
          </w:p>
          <w:p w14:paraId="555C4F3C">
            <w:pPr>
              <w:spacing w:line="360" w:lineRule="auto"/>
              <w:ind w:firstLine="480" w:firstLineChars="200"/>
              <w:rPr>
                <w:color w:val="auto"/>
                <w:sz w:val="24"/>
                <w:highlight w:val="none"/>
              </w:rPr>
            </w:pPr>
            <w:r>
              <w:rPr>
                <w:rFonts w:hint="default" w:ascii="Times New Roman" w:hAnsi="Times New Roman" w:cs="Times New Roman"/>
                <w:bCs/>
                <w:color w:val="auto"/>
                <w:sz w:val="24"/>
                <w:highlight w:val="none"/>
                <w:u w:val="none"/>
              </w:rPr>
              <w:t>综上所述，</w:t>
            </w:r>
            <w:r>
              <w:rPr>
                <w:rFonts w:hint="eastAsia" w:cs="Times New Roman"/>
                <w:bCs/>
                <w:color w:val="auto"/>
                <w:sz w:val="24"/>
                <w:highlight w:val="none"/>
                <w:u w:val="none"/>
                <w:lang w:eastAsia="zh-CN"/>
              </w:rPr>
              <w:t>岳阳县长富钢瓶检测厂新墙分厂年处置 12 万只报废液化石油气钢瓶项目（重大变动）</w:t>
            </w:r>
            <w:r>
              <w:rPr>
                <w:rFonts w:hint="default" w:ascii="Times New Roman" w:hAnsi="Times New Roman" w:cs="Times New Roman"/>
                <w:bCs/>
                <w:color w:val="auto"/>
                <w:sz w:val="24"/>
                <w:highlight w:val="none"/>
                <w:u w:val="none"/>
              </w:rPr>
              <w:t>符合国家产业政策和土地利用规划，总平面布置基本合理。通过评价分析，建设单位在落实好环保资金和本环评提出的各项污染防治措施的前提下，各污染物均能达标排放，对周边环境影响较小</w:t>
            </w:r>
            <w:r>
              <w:rPr>
                <w:rFonts w:hint="default" w:ascii="Times New Roman" w:hAnsi="Times New Roman" w:cs="Times New Roman"/>
                <w:bCs/>
                <w:color w:val="auto"/>
                <w:sz w:val="24"/>
                <w:highlight w:val="none"/>
                <w:u w:val="none"/>
                <w:lang w:eastAsia="zh-CN"/>
              </w:rPr>
              <w:t>，</w:t>
            </w:r>
            <w:r>
              <w:rPr>
                <w:rFonts w:hint="default" w:ascii="Times New Roman" w:hAnsi="Times New Roman" w:cs="Times New Roman"/>
                <w:bCs/>
                <w:color w:val="auto"/>
                <w:sz w:val="24"/>
                <w:highlight w:val="none"/>
                <w:u w:val="none"/>
              </w:rPr>
              <w:t>因此，</w:t>
            </w:r>
            <w:r>
              <w:rPr>
                <w:rFonts w:hint="default" w:ascii="Times New Roman" w:hAnsi="Times New Roman" w:cs="Times New Roman"/>
                <w:bCs/>
                <w:color w:val="auto"/>
                <w:sz w:val="24"/>
                <w:highlight w:val="none"/>
                <w:u w:val="none"/>
                <w:lang w:eastAsia="zh-CN"/>
              </w:rPr>
              <w:t>从</w:t>
            </w:r>
            <w:r>
              <w:rPr>
                <w:rFonts w:hint="default" w:ascii="Times New Roman" w:hAnsi="Times New Roman" w:cs="Times New Roman"/>
                <w:bCs/>
                <w:color w:val="auto"/>
                <w:sz w:val="24"/>
                <w:highlight w:val="none"/>
                <w:u w:val="none"/>
                <w:lang w:val="en-US" w:eastAsia="zh-CN"/>
              </w:rPr>
              <w:t>环保</w:t>
            </w:r>
            <w:r>
              <w:rPr>
                <w:rFonts w:hint="default" w:ascii="Times New Roman" w:hAnsi="Times New Roman" w:cs="Times New Roman"/>
                <w:bCs/>
                <w:color w:val="auto"/>
                <w:sz w:val="24"/>
                <w:highlight w:val="none"/>
                <w:u w:val="none"/>
                <w:lang w:eastAsia="zh-CN"/>
              </w:rPr>
              <w:t>角度考虑，</w:t>
            </w:r>
            <w:r>
              <w:rPr>
                <w:rFonts w:hint="default" w:ascii="Times New Roman" w:hAnsi="Times New Roman" w:cs="Times New Roman"/>
                <w:bCs/>
                <w:color w:val="auto"/>
                <w:sz w:val="24"/>
                <w:highlight w:val="none"/>
                <w:u w:val="none"/>
              </w:rPr>
              <w:t>本项目的建设是可行的。</w:t>
            </w:r>
          </w:p>
        </w:tc>
      </w:tr>
    </w:tbl>
    <w:p w14:paraId="6EAC0B48">
      <w:pPr>
        <w:rPr>
          <w:color w:val="auto"/>
          <w:highlight w:val="none"/>
        </w:rPr>
        <w:sectPr>
          <w:pgSz w:w="11906" w:h="16838"/>
          <w:pgMar w:top="1134" w:right="1531" w:bottom="1134" w:left="1531" w:header="851" w:footer="850" w:gutter="0"/>
          <w:pgBorders>
            <w:top w:val="none" w:sz="0" w:space="0"/>
            <w:left w:val="none" w:sz="0" w:space="0"/>
            <w:bottom w:val="none" w:sz="0" w:space="0"/>
            <w:right w:val="none" w:sz="0" w:space="0"/>
          </w:pgBorders>
          <w:pgNumType w:fmt="decimal"/>
          <w:cols w:space="720" w:num="1"/>
          <w:docGrid w:linePitch="312" w:charSpace="0"/>
        </w:sectPr>
      </w:pPr>
    </w:p>
    <w:p w14:paraId="54747C4B">
      <w:pPr>
        <w:pStyle w:val="27"/>
        <w:bidi w:val="0"/>
        <w:spacing w:line="240" w:lineRule="auto"/>
        <w:rPr>
          <w:b/>
          <w:bCs/>
          <w:color w:val="auto"/>
          <w:sz w:val="36"/>
          <w:szCs w:val="36"/>
        </w:rPr>
      </w:pPr>
      <w:bookmarkStart w:id="61" w:name="_Toc9650_WPSOffice_Level1"/>
      <w:bookmarkStart w:id="62" w:name="_Toc1348"/>
      <w:bookmarkStart w:id="63" w:name="_Toc1027_WPSOffice_Level1"/>
      <w:bookmarkStart w:id="64" w:name="_Toc16736_WPSOffice_Level1"/>
      <w:r>
        <w:rPr>
          <w:b/>
          <w:bCs/>
          <w:color w:val="auto"/>
          <w:sz w:val="36"/>
          <w:szCs w:val="36"/>
        </w:rPr>
        <w:t>附表</w:t>
      </w:r>
      <w:bookmarkEnd w:id="61"/>
      <w:bookmarkEnd w:id="62"/>
      <w:bookmarkEnd w:id="63"/>
      <w:bookmarkEnd w:id="64"/>
    </w:p>
    <w:p w14:paraId="10CBB4F9">
      <w:pPr>
        <w:pStyle w:val="27"/>
        <w:bidi w:val="0"/>
        <w:spacing w:line="240" w:lineRule="auto"/>
        <w:jc w:val="center"/>
        <w:rPr>
          <w:rFonts w:hint="default"/>
          <w:b/>
          <w:bCs/>
          <w:color w:val="auto"/>
          <w:sz w:val="44"/>
          <w:szCs w:val="44"/>
          <w:u w:val="none" w:color="auto"/>
        </w:rPr>
      </w:pPr>
      <w:bookmarkStart w:id="65" w:name="_Toc7285_WPSOffice_Level1"/>
      <w:bookmarkStart w:id="66" w:name="_Toc23853"/>
      <w:bookmarkStart w:id="67" w:name="_Toc4605_WPSOffice_Level1"/>
      <w:bookmarkStart w:id="68" w:name="_Toc14427_WPSOffice_Level1"/>
      <w:r>
        <w:rPr>
          <w:rFonts w:hint="default"/>
          <w:b/>
          <w:bCs/>
          <w:color w:val="auto"/>
          <w:sz w:val="44"/>
          <w:szCs w:val="44"/>
          <w:u w:val="none" w:color="auto"/>
        </w:rPr>
        <w:t>建设项目污染物排放量汇总表</w:t>
      </w:r>
      <w:bookmarkEnd w:id="65"/>
      <w:bookmarkEnd w:id="66"/>
      <w:bookmarkEnd w:id="67"/>
      <w:bookmarkEnd w:id="68"/>
    </w:p>
    <w:tbl>
      <w:tblPr>
        <w:tblStyle w:val="33"/>
        <w:tblW w:w="14115"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11"/>
        <w:gridCol w:w="2411"/>
        <w:gridCol w:w="1596"/>
        <w:gridCol w:w="1306"/>
        <w:gridCol w:w="1741"/>
        <w:gridCol w:w="1596"/>
        <w:gridCol w:w="1348"/>
        <w:gridCol w:w="1805"/>
        <w:gridCol w:w="1501"/>
      </w:tblGrid>
      <w:tr w14:paraId="0FDDDE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noWrap w:val="0"/>
            <w:tcMar>
              <w:left w:w="28" w:type="dxa"/>
              <w:right w:w="28" w:type="dxa"/>
            </w:tcMar>
            <w:vAlign w:val="center"/>
          </w:tcPr>
          <w:p w14:paraId="3D15836C">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分类</w:t>
            </w:r>
          </w:p>
          <w:p w14:paraId="3A942E21">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项目</w:t>
            </w:r>
          </w:p>
        </w:tc>
        <w:tc>
          <w:tcPr>
            <w:tcW w:w="2411" w:type="dxa"/>
            <w:noWrap w:val="0"/>
            <w:tcMar>
              <w:left w:w="28" w:type="dxa"/>
              <w:right w:w="28" w:type="dxa"/>
            </w:tcMar>
            <w:vAlign w:val="center"/>
          </w:tcPr>
          <w:p w14:paraId="0D820F7C">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污染物名称</w:t>
            </w:r>
          </w:p>
        </w:tc>
        <w:tc>
          <w:tcPr>
            <w:tcW w:w="1596" w:type="dxa"/>
            <w:noWrap w:val="0"/>
            <w:tcMar>
              <w:left w:w="28" w:type="dxa"/>
              <w:right w:w="28" w:type="dxa"/>
            </w:tcMar>
            <w:vAlign w:val="center"/>
          </w:tcPr>
          <w:p w14:paraId="40D2B8F6">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现有工程</w:t>
            </w:r>
          </w:p>
          <w:p w14:paraId="3EE6080D">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排放量（固体废物产生量）</w:t>
            </w:r>
            <w:r>
              <w:rPr>
                <w:rFonts w:hint="default" w:ascii="Times New Roman" w:hAnsi="Times New Roman" w:cs="Times New Roman"/>
                <w:b/>
                <w:bCs/>
                <w:snapToGrid w:val="0"/>
                <w:color w:val="auto"/>
                <w:kern w:val="21"/>
                <w:sz w:val="24"/>
                <w:szCs w:val="24"/>
                <w:highlight w:val="none"/>
                <w:u w:val="none" w:color="auto"/>
                <w:lang w:val="en-US" w:eastAsia="zh-CN"/>
              </w:rPr>
              <w:fldChar w:fldCharType="begin"/>
            </w:r>
            <w:r>
              <w:rPr>
                <w:rFonts w:hint="default" w:ascii="Times New Roman" w:hAnsi="Times New Roman" w:cs="Times New Roman"/>
                <w:b/>
                <w:bCs/>
                <w:snapToGrid w:val="0"/>
                <w:color w:val="auto"/>
                <w:kern w:val="21"/>
                <w:sz w:val="24"/>
                <w:szCs w:val="24"/>
                <w:highlight w:val="none"/>
                <w:u w:val="none" w:color="auto"/>
                <w:lang w:val="en-US" w:eastAsia="zh-CN"/>
              </w:rPr>
              <w:instrText xml:space="preserve"> = 1 \* GB3 \* MERGEFORMAT </w:instrText>
            </w:r>
            <w:r>
              <w:rPr>
                <w:rFonts w:hint="default" w:ascii="Times New Roman" w:hAnsi="Times New Roman" w:cs="Times New Roman"/>
                <w:b/>
                <w:bCs/>
                <w:snapToGrid w:val="0"/>
                <w:color w:val="auto"/>
                <w:kern w:val="21"/>
                <w:sz w:val="24"/>
                <w:szCs w:val="24"/>
                <w:highlight w:val="none"/>
                <w:u w:val="none" w:color="auto"/>
                <w:lang w:val="en-US" w:eastAsia="zh-CN"/>
              </w:rPr>
              <w:fldChar w:fldCharType="separate"/>
            </w:r>
            <w:r>
              <w:rPr>
                <w:rFonts w:hint="default" w:ascii="Times New Roman" w:hAnsi="Times New Roman" w:cs="Times New Roman"/>
                <w:b/>
                <w:bCs/>
                <w:snapToGrid w:val="0"/>
                <w:color w:val="auto"/>
                <w:kern w:val="21"/>
                <w:sz w:val="24"/>
                <w:szCs w:val="24"/>
                <w:highlight w:val="none"/>
                <w:u w:val="none" w:color="auto"/>
                <w:lang w:val="en-US" w:eastAsia="zh-CN"/>
              </w:rPr>
              <w:t>①</w:t>
            </w:r>
            <w:r>
              <w:rPr>
                <w:rFonts w:hint="default" w:ascii="Times New Roman" w:hAnsi="Times New Roman" w:cs="Times New Roman"/>
                <w:b/>
                <w:bCs/>
                <w:snapToGrid w:val="0"/>
                <w:color w:val="auto"/>
                <w:kern w:val="21"/>
                <w:sz w:val="24"/>
                <w:szCs w:val="24"/>
                <w:highlight w:val="none"/>
                <w:u w:val="none" w:color="auto"/>
                <w:lang w:val="en-US" w:eastAsia="zh-CN"/>
              </w:rPr>
              <w:fldChar w:fldCharType="end"/>
            </w:r>
          </w:p>
        </w:tc>
        <w:tc>
          <w:tcPr>
            <w:tcW w:w="1306" w:type="dxa"/>
            <w:noWrap w:val="0"/>
            <w:tcMar>
              <w:left w:w="28" w:type="dxa"/>
              <w:right w:w="28" w:type="dxa"/>
            </w:tcMar>
            <w:vAlign w:val="center"/>
          </w:tcPr>
          <w:p w14:paraId="450E4ACB">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现有工程</w:t>
            </w:r>
          </w:p>
          <w:p w14:paraId="651AF561">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许可排放量</w:t>
            </w:r>
          </w:p>
          <w:p w14:paraId="6D7FE901">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fldChar w:fldCharType="begin"/>
            </w:r>
            <w:r>
              <w:rPr>
                <w:rFonts w:hint="default" w:ascii="Times New Roman" w:hAnsi="Times New Roman" w:cs="Times New Roman"/>
                <w:b/>
                <w:bCs/>
                <w:snapToGrid w:val="0"/>
                <w:color w:val="auto"/>
                <w:kern w:val="21"/>
                <w:sz w:val="24"/>
                <w:szCs w:val="24"/>
                <w:highlight w:val="none"/>
                <w:u w:val="none" w:color="auto"/>
                <w:lang w:val="en-US" w:eastAsia="zh-CN"/>
              </w:rPr>
              <w:instrText xml:space="preserve"> = 2 \* GB3 \* MERGEFORMAT </w:instrText>
            </w:r>
            <w:r>
              <w:rPr>
                <w:rFonts w:hint="default" w:ascii="Times New Roman" w:hAnsi="Times New Roman" w:cs="Times New Roman"/>
                <w:b/>
                <w:bCs/>
                <w:snapToGrid w:val="0"/>
                <w:color w:val="auto"/>
                <w:kern w:val="21"/>
                <w:sz w:val="24"/>
                <w:szCs w:val="24"/>
                <w:highlight w:val="none"/>
                <w:u w:val="none" w:color="auto"/>
                <w:lang w:val="en-US" w:eastAsia="zh-CN"/>
              </w:rPr>
              <w:fldChar w:fldCharType="separate"/>
            </w:r>
            <w:r>
              <w:rPr>
                <w:rFonts w:hint="default" w:ascii="Times New Roman" w:hAnsi="Times New Roman" w:cs="Times New Roman"/>
                <w:b/>
                <w:bCs/>
                <w:snapToGrid w:val="0"/>
                <w:color w:val="auto"/>
                <w:kern w:val="21"/>
                <w:sz w:val="24"/>
                <w:szCs w:val="24"/>
                <w:highlight w:val="none"/>
                <w:u w:val="none" w:color="auto"/>
                <w:lang w:val="en-US" w:eastAsia="zh-CN"/>
              </w:rPr>
              <w:t>②</w:t>
            </w:r>
            <w:r>
              <w:rPr>
                <w:rFonts w:hint="default" w:ascii="Times New Roman" w:hAnsi="Times New Roman" w:cs="Times New Roman"/>
                <w:b/>
                <w:bCs/>
                <w:snapToGrid w:val="0"/>
                <w:color w:val="auto"/>
                <w:kern w:val="21"/>
                <w:sz w:val="24"/>
                <w:szCs w:val="24"/>
                <w:highlight w:val="none"/>
                <w:u w:val="none" w:color="auto"/>
                <w:lang w:val="en-US" w:eastAsia="zh-CN"/>
              </w:rPr>
              <w:fldChar w:fldCharType="end"/>
            </w:r>
          </w:p>
        </w:tc>
        <w:tc>
          <w:tcPr>
            <w:tcW w:w="1741" w:type="dxa"/>
            <w:noWrap w:val="0"/>
            <w:tcMar>
              <w:left w:w="28" w:type="dxa"/>
              <w:right w:w="28" w:type="dxa"/>
            </w:tcMar>
            <w:vAlign w:val="center"/>
          </w:tcPr>
          <w:p w14:paraId="33F4E605">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在建工程</w:t>
            </w:r>
          </w:p>
          <w:p w14:paraId="0E3995E7">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排放量（固体废物产生量）</w:t>
            </w:r>
            <w:r>
              <w:rPr>
                <w:rFonts w:hint="default" w:ascii="Times New Roman" w:hAnsi="Times New Roman" w:cs="Times New Roman"/>
                <w:b/>
                <w:bCs/>
                <w:snapToGrid w:val="0"/>
                <w:color w:val="auto"/>
                <w:kern w:val="21"/>
                <w:sz w:val="24"/>
                <w:szCs w:val="24"/>
                <w:highlight w:val="none"/>
                <w:u w:val="none" w:color="auto"/>
                <w:lang w:val="en-US" w:eastAsia="zh-CN"/>
              </w:rPr>
              <w:fldChar w:fldCharType="begin"/>
            </w:r>
            <w:r>
              <w:rPr>
                <w:rFonts w:hint="default" w:ascii="Times New Roman" w:hAnsi="Times New Roman" w:cs="Times New Roman"/>
                <w:b/>
                <w:bCs/>
                <w:snapToGrid w:val="0"/>
                <w:color w:val="auto"/>
                <w:kern w:val="21"/>
                <w:sz w:val="24"/>
                <w:szCs w:val="24"/>
                <w:highlight w:val="none"/>
                <w:u w:val="none" w:color="auto"/>
                <w:lang w:val="en-US" w:eastAsia="zh-CN"/>
              </w:rPr>
              <w:instrText xml:space="preserve"> = 3 \* GB3 \* MERGEFORMAT </w:instrText>
            </w:r>
            <w:r>
              <w:rPr>
                <w:rFonts w:hint="default" w:ascii="Times New Roman" w:hAnsi="Times New Roman" w:cs="Times New Roman"/>
                <w:b/>
                <w:bCs/>
                <w:snapToGrid w:val="0"/>
                <w:color w:val="auto"/>
                <w:kern w:val="21"/>
                <w:sz w:val="24"/>
                <w:szCs w:val="24"/>
                <w:highlight w:val="none"/>
                <w:u w:val="none" w:color="auto"/>
                <w:lang w:val="en-US" w:eastAsia="zh-CN"/>
              </w:rPr>
              <w:fldChar w:fldCharType="separate"/>
            </w:r>
            <w:r>
              <w:rPr>
                <w:rFonts w:hint="default" w:ascii="Times New Roman" w:hAnsi="Times New Roman" w:cs="Times New Roman"/>
                <w:b/>
                <w:bCs/>
                <w:snapToGrid w:val="0"/>
                <w:color w:val="auto"/>
                <w:kern w:val="21"/>
                <w:sz w:val="24"/>
                <w:szCs w:val="24"/>
                <w:highlight w:val="none"/>
                <w:u w:val="none" w:color="auto"/>
                <w:lang w:val="en-US" w:eastAsia="zh-CN"/>
              </w:rPr>
              <w:t>③</w:t>
            </w:r>
            <w:r>
              <w:rPr>
                <w:rFonts w:hint="default" w:ascii="Times New Roman" w:hAnsi="Times New Roman" w:cs="Times New Roman"/>
                <w:b/>
                <w:bCs/>
                <w:snapToGrid w:val="0"/>
                <w:color w:val="auto"/>
                <w:kern w:val="21"/>
                <w:sz w:val="24"/>
                <w:szCs w:val="24"/>
                <w:highlight w:val="none"/>
                <w:u w:val="none" w:color="auto"/>
                <w:lang w:val="en-US" w:eastAsia="zh-CN"/>
              </w:rPr>
              <w:fldChar w:fldCharType="end"/>
            </w:r>
          </w:p>
        </w:tc>
        <w:tc>
          <w:tcPr>
            <w:tcW w:w="1596" w:type="dxa"/>
            <w:noWrap w:val="0"/>
            <w:tcMar>
              <w:left w:w="28" w:type="dxa"/>
              <w:right w:w="28" w:type="dxa"/>
            </w:tcMar>
            <w:vAlign w:val="center"/>
          </w:tcPr>
          <w:p w14:paraId="694875F1">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本项目</w:t>
            </w:r>
          </w:p>
          <w:p w14:paraId="4336CA69">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排放量（固体废物产生量）</w:t>
            </w:r>
            <w:r>
              <w:rPr>
                <w:rFonts w:hint="default" w:ascii="Times New Roman" w:hAnsi="Times New Roman" w:cs="Times New Roman"/>
                <w:b/>
                <w:bCs/>
                <w:snapToGrid w:val="0"/>
                <w:color w:val="auto"/>
                <w:kern w:val="21"/>
                <w:sz w:val="24"/>
                <w:szCs w:val="24"/>
                <w:highlight w:val="none"/>
                <w:u w:val="none" w:color="auto"/>
                <w:lang w:val="en-US" w:eastAsia="zh-CN"/>
              </w:rPr>
              <w:fldChar w:fldCharType="begin"/>
            </w:r>
            <w:r>
              <w:rPr>
                <w:rFonts w:hint="default" w:ascii="Times New Roman" w:hAnsi="Times New Roman" w:cs="Times New Roman"/>
                <w:b/>
                <w:bCs/>
                <w:snapToGrid w:val="0"/>
                <w:color w:val="auto"/>
                <w:kern w:val="21"/>
                <w:sz w:val="24"/>
                <w:szCs w:val="24"/>
                <w:highlight w:val="none"/>
                <w:u w:val="none" w:color="auto"/>
                <w:lang w:val="en-US" w:eastAsia="zh-CN"/>
              </w:rPr>
              <w:instrText xml:space="preserve"> = 4 \* GB3 \* MERGEFORMAT </w:instrText>
            </w:r>
            <w:r>
              <w:rPr>
                <w:rFonts w:hint="default" w:ascii="Times New Roman" w:hAnsi="Times New Roman" w:cs="Times New Roman"/>
                <w:b/>
                <w:bCs/>
                <w:snapToGrid w:val="0"/>
                <w:color w:val="auto"/>
                <w:kern w:val="21"/>
                <w:sz w:val="24"/>
                <w:szCs w:val="24"/>
                <w:highlight w:val="none"/>
                <w:u w:val="none" w:color="auto"/>
                <w:lang w:val="en-US" w:eastAsia="zh-CN"/>
              </w:rPr>
              <w:fldChar w:fldCharType="separate"/>
            </w:r>
            <w:r>
              <w:rPr>
                <w:rFonts w:hint="default" w:ascii="Times New Roman" w:hAnsi="Times New Roman" w:cs="Times New Roman"/>
                <w:b/>
                <w:bCs/>
                <w:snapToGrid w:val="0"/>
                <w:color w:val="auto"/>
                <w:kern w:val="21"/>
                <w:sz w:val="24"/>
                <w:szCs w:val="24"/>
                <w:highlight w:val="none"/>
                <w:u w:val="none" w:color="auto"/>
                <w:lang w:val="en-US" w:eastAsia="zh-CN"/>
              </w:rPr>
              <w:t>④</w:t>
            </w:r>
            <w:r>
              <w:rPr>
                <w:rFonts w:hint="default" w:ascii="Times New Roman" w:hAnsi="Times New Roman" w:cs="Times New Roman"/>
                <w:b/>
                <w:bCs/>
                <w:snapToGrid w:val="0"/>
                <w:color w:val="auto"/>
                <w:kern w:val="21"/>
                <w:sz w:val="24"/>
                <w:szCs w:val="24"/>
                <w:highlight w:val="none"/>
                <w:u w:val="none" w:color="auto"/>
                <w:lang w:val="en-US" w:eastAsia="zh-CN"/>
              </w:rPr>
              <w:fldChar w:fldCharType="end"/>
            </w:r>
          </w:p>
        </w:tc>
        <w:tc>
          <w:tcPr>
            <w:tcW w:w="1348" w:type="dxa"/>
            <w:noWrap w:val="0"/>
            <w:tcMar>
              <w:left w:w="28" w:type="dxa"/>
              <w:right w:w="28" w:type="dxa"/>
            </w:tcMar>
            <w:vAlign w:val="center"/>
          </w:tcPr>
          <w:p w14:paraId="7AD1E88D">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以新带老削减量</w:t>
            </w:r>
          </w:p>
          <w:p w14:paraId="5832452D">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（新建项目不填）</w:t>
            </w:r>
            <w:r>
              <w:rPr>
                <w:rFonts w:hint="default" w:ascii="Times New Roman" w:hAnsi="Times New Roman" w:cs="Times New Roman"/>
                <w:b/>
                <w:bCs/>
                <w:snapToGrid w:val="0"/>
                <w:color w:val="auto"/>
                <w:kern w:val="21"/>
                <w:sz w:val="24"/>
                <w:szCs w:val="24"/>
                <w:highlight w:val="none"/>
                <w:u w:val="none" w:color="auto"/>
                <w:lang w:val="en-US" w:eastAsia="zh-CN"/>
              </w:rPr>
              <w:fldChar w:fldCharType="begin"/>
            </w:r>
            <w:r>
              <w:rPr>
                <w:rFonts w:hint="default" w:ascii="Times New Roman" w:hAnsi="Times New Roman" w:cs="Times New Roman"/>
                <w:b/>
                <w:bCs/>
                <w:snapToGrid w:val="0"/>
                <w:color w:val="auto"/>
                <w:kern w:val="21"/>
                <w:sz w:val="24"/>
                <w:szCs w:val="24"/>
                <w:highlight w:val="none"/>
                <w:u w:val="none" w:color="auto"/>
                <w:lang w:val="en-US" w:eastAsia="zh-CN"/>
              </w:rPr>
              <w:instrText xml:space="preserve"> = 5 \* GB3 \* MERGEFORMAT </w:instrText>
            </w:r>
            <w:r>
              <w:rPr>
                <w:rFonts w:hint="default" w:ascii="Times New Roman" w:hAnsi="Times New Roman" w:cs="Times New Roman"/>
                <w:b/>
                <w:bCs/>
                <w:snapToGrid w:val="0"/>
                <w:color w:val="auto"/>
                <w:kern w:val="21"/>
                <w:sz w:val="24"/>
                <w:szCs w:val="24"/>
                <w:highlight w:val="none"/>
                <w:u w:val="none" w:color="auto"/>
                <w:lang w:val="en-US" w:eastAsia="zh-CN"/>
              </w:rPr>
              <w:fldChar w:fldCharType="separate"/>
            </w:r>
            <w:r>
              <w:rPr>
                <w:rFonts w:hint="default" w:ascii="Times New Roman" w:hAnsi="Times New Roman" w:cs="Times New Roman"/>
                <w:b/>
                <w:bCs/>
                <w:snapToGrid w:val="0"/>
                <w:color w:val="auto"/>
                <w:kern w:val="21"/>
                <w:sz w:val="24"/>
                <w:szCs w:val="24"/>
                <w:highlight w:val="none"/>
                <w:u w:val="none" w:color="auto"/>
                <w:lang w:val="en-US" w:eastAsia="zh-CN"/>
              </w:rPr>
              <w:t>⑤</w:t>
            </w:r>
            <w:r>
              <w:rPr>
                <w:rFonts w:hint="default" w:ascii="Times New Roman" w:hAnsi="Times New Roman" w:cs="Times New Roman"/>
                <w:b/>
                <w:bCs/>
                <w:snapToGrid w:val="0"/>
                <w:color w:val="auto"/>
                <w:kern w:val="21"/>
                <w:sz w:val="24"/>
                <w:szCs w:val="24"/>
                <w:highlight w:val="none"/>
                <w:u w:val="none" w:color="auto"/>
                <w:lang w:val="en-US" w:eastAsia="zh-CN"/>
              </w:rPr>
              <w:fldChar w:fldCharType="end"/>
            </w:r>
          </w:p>
        </w:tc>
        <w:tc>
          <w:tcPr>
            <w:tcW w:w="1805" w:type="dxa"/>
            <w:noWrap w:val="0"/>
            <w:tcMar>
              <w:left w:w="28" w:type="dxa"/>
              <w:right w:w="28" w:type="dxa"/>
            </w:tcMar>
            <w:vAlign w:val="center"/>
          </w:tcPr>
          <w:p w14:paraId="752177AF">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本项目建成后</w:t>
            </w:r>
          </w:p>
          <w:p w14:paraId="10DE71AB">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全厂排放量（固体废物产生量）</w:t>
            </w:r>
            <w:r>
              <w:rPr>
                <w:rFonts w:hint="default" w:ascii="Times New Roman" w:hAnsi="Times New Roman" w:cs="Times New Roman"/>
                <w:b/>
                <w:bCs/>
                <w:snapToGrid w:val="0"/>
                <w:color w:val="auto"/>
                <w:kern w:val="21"/>
                <w:sz w:val="24"/>
                <w:szCs w:val="24"/>
                <w:highlight w:val="none"/>
                <w:u w:val="none" w:color="auto"/>
                <w:lang w:val="en-US" w:eastAsia="zh-CN"/>
              </w:rPr>
              <w:fldChar w:fldCharType="begin"/>
            </w:r>
            <w:r>
              <w:rPr>
                <w:rFonts w:hint="default" w:ascii="Times New Roman" w:hAnsi="Times New Roman" w:cs="Times New Roman"/>
                <w:b/>
                <w:bCs/>
                <w:snapToGrid w:val="0"/>
                <w:color w:val="auto"/>
                <w:kern w:val="21"/>
                <w:sz w:val="24"/>
                <w:szCs w:val="24"/>
                <w:highlight w:val="none"/>
                <w:u w:val="none" w:color="auto"/>
                <w:lang w:val="en-US" w:eastAsia="zh-CN"/>
              </w:rPr>
              <w:instrText xml:space="preserve"> = 6 \* GB3 \* MERGEFORMAT </w:instrText>
            </w:r>
            <w:r>
              <w:rPr>
                <w:rFonts w:hint="default" w:ascii="Times New Roman" w:hAnsi="Times New Roman" w:cs="Times New Roman"/>
                <w:b/>
                <w:bCs/>
                <w:snapToGrid w:val="0"/>
                <w:color w:val="auto"/>
                <w:kern w:val="21"/>
                <w:sz w:val="24"/>
                <w:szCs w:val="24"/>
                <w:highlight w:val="none"/>
                <w:u w:val="none" w:color="auto"/>
                <w:lang w:val="en-US" w:eastAsia="zh-CN"/>
              </w:rPr>
              <w:fldChar w:fldCharType="separate"/>
            </w:r>
            <w:r>
              <w:rPr>
                <w:rFonts w:hint="default" w:ascii="Times New Roman" w:hAnsi="Times New Roman" w:cs="Times New Roman"/>
                <w:b/>
                <w:bCs/>
                <w:snapToGrid w:val="0"/>
                <w:color w:val="auto"/>
                <w:kern w:val="21"/>
                <w:sz w:val="24"/>
                <w:szCs w:val="24"/>
                <w:highlight w:val="none"/>
                <w:u w:val="none" w:color="auto"/>
                <w:lang w:val="en-US" w:eastAsia="zh-CN"/>
              </w:rPr>
              <w:t>⑥</w:t>
            </w:r>
            <w:r>
              <w:rPr>
                <w:rFonts w:hint="default" w:ascii="Times New Roman" w:hAnsi="Times New Roman" w:cs="Times New Roman"/>
                <w:b/>
                <w:bCs/>
                <w:snapToGrid w:val="0"/>
                <w:color w:val="auto"/>
                <w:kern w:val="21"/>
                <w:sz w:val="24"/>
                <w:szCs w:val="24"/>
                <w:highlight w:val="none"/>
                <w:u w:val="none" w:color="auto"/>
                <w:lang w:val="en-US" w:eastAsia="zh-CN"/>
              </w:rPr>
              <w:fldChar w:fldCharType="end"/>
            </w:r>
          </w:p>
        </w:tc>
        <w:tc>
          <w:tcPr>
            <w:tcW w:w="1501" w:type="dxa"/>
            <w:noWrap w:val="0"/>
            <w:tcMar>
              <w:left w:w="28" w:type="dxa"/>
              <w:right w:w="28" w:type="dxa"/>
            </w:tcMar>
            <w:vAlign w:val="center"/>
          </w:tcPr>
          <w:p w14:paraId="74C4E5B8">
            <w:pPr>
              <w:jc w:val="center"/>
              <w:rPr>
                <w:rFonts w:hint="default" w:ascii="Times New Roman" w:hAnsi="Times New Roman" w:cs="Times New Roman"/>
                <w:b/>
                <w:bCs/>
                <w:snapToGrid w:val="0"/>
                <w:color w:val="auto"/>
                <w:kern w:val="21"/>
                <w:sz w:val="24"/>
                <w:szCs w:val="24"/>
                <w:highlight w:val="none"/>
                <w:u w:val="none" w:color="auto"/>
                <w:lang w:val="en-US" w:eastAsia="zh-CN"/>
              </w:rPr>
            </w:pPr>
            <w:r>
              <w:rPr>
                <w:rFonts w:hint="default" w:ascii="Times New Roman" w:hAnsi="Times New Roman" w:cs="Times New Roman"/>
                <w:b/>
                <w:bCs/>
                <w:snapToGrid w:val="0"/>
                <w:color w:val="auto"/>
                <w:kern w:val="21"/>
                <w:sz w:val="24"/>
                <w:szCs w:val="24"/>
                <w:highlight w:val="none"/>
                <w:u w:val="none" w:color="auto"/>
                <w:lang w:val="en-US" w:eastAsia="zh-CN"/>
              </w:rPr>
              <w:t>变化量</w:t>
            </w:r>
            <w:r>
              <w:rPr>
                <w:rFonts w:hint="default" w:ascii="Times New Roman" w:hAnsi="Times New Roman" w:cs="Times New Roman"/>
                <w:b/>
                <w:bCs/>
                <w:snapToGrid w:val="0"/>
                <w:color w:val="auto"/>
                <w:kern w:val="21"/>
                <w:sz w:val="24"/>
                <w:szCs w:val="24"/>
                <w:highlight w:val="none"/>
                <w:u w:val="none" w:color="auto"/>
                <w:lang w:val="en-US" w:eastAsia="zh-CN"/>
              </w:rPr>
              <w:fldChar w:fldCharType="begin"/>
            </w:r>
            <w:r>
              <w:rPr>
                <w:rFonts w:hint="default" w:ascii="Times New Roman" w:hAnsi="Times New Roman" w:cs="Times New Roman"/>
                <w:b/>
                <w:bCs/>
                <w:snapToGrid w:val="0"/>
                <w:color w:val="auto"/>
                <w:kern w:val="21"/>
                <w:sz w:val="24"/>
                <w:szCs w:val="24"/>
                <w:highlight w:val="none"/>
                <w:u w:val="none" w:color="auto"/>
                <w:lang w:val="en-US" w:eastAsia="zh-CN"/>
              </w:rPr>
              <w:instrText xml:space="preserve"> = 7 \* GB3 \* MERGEFORMAT </w:instrText>
            </w:r>
            <w:r>
              <w:rPr>
                <w:rFonts w:hint="default" w:ascii="Times New Roman" w:hAnsi="Times New Roman" w:cs="Times New Roman"/>
                <w:b/>
                <w:bCs/>
                <w:snapToGrid w:val="0"/>
                <w:color w:val="auto"/>
                <w:kern w:val="21"/>
                <w:sz w:val="24"/>
                <w:szCs w:val="24"/>
                <w:highlight w:val="none"/>
                <w:u w:val="none" w:color="auto"/>
                <w:lang w:val="en-US" w:eastAsia="zh-CN"/>
              </w:rPr>
              <w:fldChar w:fldCharType="separate"/>
            </w:r>
            <w:r>
              <w:rPr>
                <w:rFonts w:hint="default" w:ascii="Times New Roman" w:hAnsi="Times New Roman" w:cs="Times New Roman"/>
                <w:b/>
                <w:bCs/>
                <w:snapToGrid w:val="0"/>
                <w:color w:val="auto"/>
                <w:kern w:val="21"/>
                <w:sz w:val="24"/>
                <w:szCs w:val="24"/>
                <w:highlight w:val="none"/>
                <w:u w:val="none" w:color="auto"/>
                <w:lang w:val="en-US" w:eastAsia="zh-CN"/>
              </w:rPr>
              <w:t>⑦</w:t>
            </w:r>
            <w:r>
              <w:rPr>
                <w:rFonts w:hint="default" w:ascii="Times New Roman" w:hAnsi="Times New Roman" w:cs="Times New Roman"/>
                <w:b/>
                <w:bCs/>
                <w:snapToGrid w:val="0"/>
                <w:color w:val="auto"/>
                <w:kern w:val="21"/>
                <w:sz w:val="24"/>
                <w:szCs w:val="24"/>
                <w:highlight w:val="none"/>
                <w:u w:val="none" w:color="auto"/>
                <w:lang w:val="en-US" w:eastAsia="zh-CN"/>
              </w:rPr>
              <w:fldChar w:fldCharType="end"/>
            </w:r>
          </w:p>
        </w:tc>
      </w:tr>
      <w:tr w14:paraId="146543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restart"/>
            <w:noWrap w:val="0"/>
            <w:vAlign w:val="center"/>
          </w:tcPr>
          <w:p w14:paraId="176B675A">
            <w:pPr>
              <w:jc w:val="center"/>
              <w:rPr>
                <w:rFonts w:hint="default" w:ascii="Times New Roman" w:hAnsi="Times New Roman" w:cs="Times New Roman"/>
                <w:b/>
                <w:bCs/>
                <w:snapToGrid w:val="0"/>
                <w:color w:val="auto"/>
                <w:kern w:val="21"/>
                <w:sz w:val="24"/>
                <w:szCs w:val="24"/>
                <w:highlight w:val="none"/>
                <w:u w:val="none" w:color="auto"/>
              </w:rPr>
            </w:pPr>
            <w:r>
              <w:rPr>
                <w:rFonts w:hint="default" w:ascii="Times New Roman" w:hAnsi="Times New Roman" w:cs="Times New Roman"/>
                <w:b/>
                <w:bCs/>
                <w:snapToGrid w:val="0"/>
                <w:color w:val="auto"/>
                <w:kern w:val="21"/>
                <w:sz w:val="24"/>
                <w:szCs w:val="24"/>
                <w:highlight w:val="none"/>
                <w:u w:val="none" w:color="auto"/>
              </w:rPr>
              <w:t>废气</w:t>
            </w:r>
          </w:p>
        </w:tc>
        <w:tc>
          <w:tcPr>
            <w:tcW w:w="2411" w:type="dxa"/>
            <w:tcBorders>
              <w:bottom w:val="single" w:color="auto" w:sz="4" w:space="0"/>
            </w:tcBorders>
            <w:noWrap w:val="0"/>
            <w:vAlign w:val="center"/>
          </w:tcPr>
          <w:p w14:paraId="035FFC92">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非甲烷总烃</w:t>
            </w:r>
          </w:p>
        </w:tc>
        <w:tc>
          <w:tcPr>
            <w:tcW w:w="1596" w:type="dxa"/>
            <w:shd w:val="clear" w:color="auto" w:fill="auto"/>
            <w:noWrap w:val="0"/>
            <w:vAlign w:val="center"/>
          </w:tcPr>
          <w:p w14:paraId="2890D8F3">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0.06</w:t>
            </w:r>
            <w:r>
              <w:rPr>
                <w:rFonts w:hint="eastAsia" w:ascii="Times New Roman" w:hAnsi="Times New Roman" w:eastAsia="宋体" w:cs="Times New Roman"/>
                <w:color w:val="auto"/>
                <w:kern w:val="0"/>
                <w:sz w:val="24"/>
                <w:szCs w:val="24"/>
                <w:u w:val="none" w:color="auto"/>
                <w:lang w:val="en-US" w:eastAsia="zh-CN"/>
              </w:rPr>
              <w:t>t/a</w:t>
            </w:r>
          </w:p>
        </w:tc>
        <w:tc>
          <w:tcPr>
            <w:tcW w:w="1306" w:type="dxa"/>
            <w:noWrap w:val="0"/>
            <w:vAlign w:val="center"/>
          </w:tcPr>
          <w:p w14:paraId="29C9BF6C">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w:t>
            </w:r>
          </w:p>
        </w:tc>
        <w:tc>
          <w:tcPr>
            <w:tcW w:w="1741" w:type="dxa"/>
            <w:noWrap w:val="0"/>
            <w:vAlign w:val="center"/>
          </w:tcPr>
          <w:p w14:paraId="463C63B5">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w:t>
            </w:r>
          </w:p>
        </w:tc>
        <w:tc>
          <w:tcPr>
            <w:tcW w:w="1596" w:type="dxa"/>
            <w:shd w:val="clear" w:color="auto" w:fill="auto"/>
            <w:noWrap w:val="0"/>
            <w:vAlign w:val="center"/>
          </w:tcPr>
          <w:p w14:paraId="0D637161">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0.06</w:t>
            </w:r>
            <w:r>
              <w:rPr>
                <w:rFonts w:hint="eastAsia" w:ascii="Times New Roman" w:hAnsi="Times New Roman" w:eastAsia="宋体" w:cs="Times New Roman"/>
                <w:color w:val="auto"/>
                <w:kern w:val="0"/>
                <w:sz w:val="24"/>
                <w:szCs w:val="24"/>
                <w:u w:val="none" w:color="auto"/>
                <w:lang w:val="en-US" w:eastAsia="zh-CN"/>
              </w:rPr>
              <w:t>t/a</w:t>
            </w:r>
          </w:p>
        </w:tc>
        <w:tc>
          <w:tcPr>
            <w:tcW w:w="1348" w:type="dxa"/>
            <w:noWrap w:val="0"/>
            <w:vAlign w:val="center"/>
          </w:tcPr>
          <w:p w14:paraId="057BAC3B">
            <w:pPr>
              <w:bidi w:val="0"/>
              <w:ind w:left="0" w:leftChars="0" w:right="0" w:rightChars="0" w:firstLine="0" w:firstLineChars="0"/>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805" w:type="dxa"/>
            <w:shd w:val="clear" w:color="auto" w:fill="auto"/>
            <w:noWrap w:val="0"/>
            <w:vAlign w:val="center"/>
          </w:tcPr>
          <w:p w14:paraId="43053834">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0.06</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77CCCDF6">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0</w:t>
            </w:r>
          </w:p>
        </w:tc>
      </w:tr>
      <w:tr w14:paraId="374921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continue"/>
            <w:noWrap w:val="0"/>
            <w:vAlign w:val="center"/>
          </w:tcPr>
          <w:p w14:paraId="4AEEA5F6">
            <w:pPr>
              <w:jc w:val="center"/>
              <w:rPr>
                <w:rFonts w:hint="default" w:ascii="Times New Roman" w:hAnsi="Times New Roman" w:cs="Times New Roman"/>
                <w:b/>
                <w:bCs/>
                <w:snapToGrid w:val="0"/>
                <w:color w:val="auto"/>
                <w:kern w:val="21"/>
                <w:sz w:val="24"/>
                <w:szCs w:val="24"/>
                <w:highlight w:val="none"/>
                <w:u w:val="none" w:color="auto"/>
              </w:rPr>
            </w:pPr>
          </w:p>
        </w:tc>
        <w:tc>
          <w:tcPr>
            <w:tcW w:w="2411" w:type="dxa"/>
            <w:tcBorders>
              <w:top w:val="single" w:color="auto" w:sz="4" w:space="0"/>
            </w:tcBorders>
            <w:shd w:val="clear" w:color="auto" w:fill="auto"/>
            <w:noWrap w:val="0"/>
            <w:vAlign w:val="center"/>
          </w:tcPr>
          <w:p w14:paraId="06BD141E">
            <w:pPr>
              <w:pStyle w:val="63"/>
              <w:tabs>
                <w:tab w:val="left" w:pos="1021"/>
              </w:tabs>
              <w:ind w:firstLine="0" w:firstLineChars="0"/>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SO</w:t>
            </w:r>
            <w:r>
              <w:rPr>
                <w:rFonts w:hint="default" w:ascii="Times New Roman" w:hAnsi="Times New Roman" w:eastAsia="宋体" w:cs="Times New Roman"/>
                <w:snapToGrid w:val="0"/>
                <w:color w:val="auto"/>
                <w:kern w:val="21"/>
                <w:sz w:val="24"/>
                <w:szCs w:val="24"/>
                <w:highlight w:val="none"/>
                <w:u w:val="none" w:color="auto"/>
                <w:vertAlign w:val="subscript"/>
                <w:lang w:val="en-US" w:eastAsia="zh-CN" w:bidi="ar-SA"/>
              </w:rPr>
              <w:t>2</w:t>
            </w:r>
          </w:p>
        </w:tc>
        <w:tc>
          <w:tcPr>
            <w:tcW w:w="1596" w:type="dxa"/>
            <w:shd w:val="clear" w:color="auto" w:fill="auto"/>
            <w:noWrap w:val="0"/>
            <w:vAlign w:val="center"/>
          </w:tcPr>
          <w:p w14:paraId="7692C697">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0.</w:t>
            </w:r>
            <w:r>
              <w:rPr>
                <w:rFonts w:hint="eastAsia" w:ascii="Times New Roman" w:cs="Times New Roman"/>
                <w:snapToGrid w:val="0"/>
                <w:color w:val="auto"/>
                <w:kern w:val="21"/>
                <w:sz w:val="24"/>
                <w:szCs w:val="24"/>
                <w:highlight w:val="none"/>
                <w:u w:val="none" w:color="auto"/>
                <w:lang w:val="en-US" w:eastAsia="zh-CN" w:bidi="ar-SA"/>
              </w:rPr>
              <w:t>031</w:t>
            </w:r>
            <w:r>
              <w:rPr>
                <w:rFonts w:hint="eastAsia" w:ascii="Times New Roman" w:hAnsi="Times New Roman" w:eastAsia="宋体" w:cs="Times New Roman"/>
                <w:color w:val="auto"/>
                <w:kern w:val="0"/>
                <w:sz w:val="24"/>
                <w:szCs w:val="24"/>
                <w:u w:val="none" w:color="auto"/>
                <w:lang w:val="en-US" w:eastAsia="zh-CN"/>
              </w:rPr>
              <w:t>t/a</w:t>
            </w:r>
          </w:p>
        </w:tc>
        <w:tc>
          <w:tcPr>
            <w:tcW w:w="1306" w:type="dxa"/>
            <w:shd w:val="clear" w:color="auto" w:fill="auto"/>
            <w:noWrap w:val="0"/>
            <w:vAlign w:val="center"/>
          </w:tcPr>
          <w:p w14:paraId="50265A31">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w:t>
            </w:r>
          </w:p>
        </w:tc>
        <w:tc>
          <w:tcPr>
            <w:tcW w:w="1741" w:type="dxa"/>
            <w:shd w:val="clear" w:color="auto" w:fill="auto"/>
            <w:noWrap w:val="0"/>
            <w:vAlign w:val="center"/>
          </w:tcPr>
          <w:p w14:paraId="280B45E0">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w:t>
            </w:r>
          </w:p>
        </w:tc>
        <w:tc>
          <w:tcPr>
            <w:tcW w:w="1596" w:type="dxa"/>
            <w:shd w:val="clear" w:color="auto" w:fill="auto"/>
            <w:noWrap w:val="0"/>
            <w:vAlign w:val="center"/>
          </w:tcPr>
          <w:p w14:paraId="2FB50442">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0.</w:t>
            </w:r>
            <w:r>
              <w:rPr>
                <w:rFonts w:hint="eastAsia" w:ascii="Times New Roman" w:cs="Times New Roman"/>
                <w:snapToGrid w:val="0"/>
                <w:color w:val="auto"/>
                <w:kern w:val="21"/>
                <w:sz w:val="24"/>
                <w:szCs w:val="24"/>
                <w:highlight w:val="none"/>
                <w:u w:val="none" w:color="auto"/>
                <w:lang w:val="en-US" w:eastAsia="zh-CN" w:bidi="ar-SA"/>
              </w:rPr>
              <w:t>031</w:t>
            </w:r>
            <w:r>
              <w:rPr>
                <w:rFonts w:hint="eastAsia" w:ascii="Times New Roman" w:hAnsi="Times New Roman" w:eastAsia="宋体" w:cs="Times New Roman"/>
                <w:color w:val="auto"/>
                <w:kern w:val="0"/>
                <w:sz w:val="24"/>
                <w:szCs w:val="24"/>
                <w:u w:val="none" w:color="auto"/>
                <w:lang w:val="en-US" w:eastAsia="zh-CN"/>
              </w:rPr>
              <w:t>t/a</w:t>
            </w:r>
          </w:p>
        </w:tc>
        <w:tc>
          <w:tcPr>
            <w:tcW w:w="1348" w:type="dxa"/>
            <w:shd w:val="clear" w:color="auto" w:fill="auto"/>
            <w:noWrap w:val="0"/>
            <w:vAlign w:val="center"/>
          </w:tcPr>
          <w:p w14:paraId="1A58FB18">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w:t>
            </w:r>
          </w:p>
        </w:tc>
        <w:tc>
          <w:tcPr>
            <w:tcW w:w="1805" w:type="dxa"/>
            <w:shd w:val="clear" w:color="auto" w:fill="auto"/>
            <w:noWrap w:val="0"/>
            <w:vAlign w:val="center"/>
          </w:tcPr>
          <w:p w14:paraId="7D42C7E1">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0.</w:t>
            </w:r>
            <w:r>
              <w:rPr>
                <w:rFonts w:hint="eastAsia" w:ascii="Times New Roman" w:cs="Times New Roman"/>
                <w:snapToGrid w:val="0"/>
                <w:color w:val="auto"/>
                <w:kern w:val="21"/>
                <w:sz w:val="24"/>
                <w:szCs w:val="24"/>
                <w:highlight w:val="none"/>
                <w:u w:val="none" w:color="auto"/>
                <w:lang w:val="en-US" w:eastAsia="zh-CN" w:bidi="ar-SA"/>
              </w:rPr>
              <w:t>031</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3A5C5929">
            <w:pPr>
              <w:bidi w:val="0"/>
              <w:ind w:left="0" w:leftChars="0" w:right="0" w:rightChars="0" w:firstLine="0" w:firstLineChars="0"/>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0</w:t>
            </w:r>
          </w:p>
        </w:tc>
      </w:tr>
      <w:tr w14:paraId="0E740E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continue"/>
            <w:noWrap w:val="0"/>
            <w:vAlign w:val="center"/>
          </w:tcPr>
          <w:p w14:paraId="435C7D4A">
            <w:pPr>
              <w:jc w:val="center"/>
              <w:rPr>
                <w:rFonts w:hint="default" w:ascii="Times New Roman" w:hAnsi="Times New Roman" w:cs="Times New Roman"/>
                <w:b/>
                <w:bCs/>
                <w:snapToGrid w:val="0"/>
                <w:color w:val="auto"/>
                <w:kern w:val="21"/>
                <w:sz w:val="24"/>
                <w:szCs w:val="24"/>
                <w:highlight w:val="none"/>
                <w:u w:val="none" w:color="auto"/>
              </w:rPr>
            </w:pPr>
          </w:p>
        </w:tc>
        <w:tc>
          <w:tcPr>
            <w:tcW w:w="2411" w:type="dxa"/>
            <w:tcBorders>
              <w:top w:val="single" w:color="auto" w:sz="4" w:space="0"/>
            </w:tcBorders>
            <w:shd w:val="clear" w:color="auto" w:fill="auto"/>
            <w:noWrap w:val="0"/>
            <w:vAlign w:val="center"/>
          </w:tcPr>
          <w:p w14:paraId="14AA8A04">
            <w:pPr>
              <w:pStyle w:val="63"/>
              <w:tabs>
                <w:tab w:val="left" w:pos="1021"/>
              </w:tabs>
              <w:ind w:firstLine="0" w:firstLineChars="0"/>
              <w:jc w:val="center"/>
              <w:rPr>
                <w:rFonts w:hint="eastAsia"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NO</w:t>
            </w:r>
            <w:r>
              <w:rPr>
                <w:rFonts w:hint="default" w:ascii="Times New Roman" w:hAnsi="Times New Roman" w:eastAsia="宋体" w:cs="Times New Roman"/>
                <w:snapToGrid w:val="0"/>
                <w:color w:val="auto"/>
                <w:kern w:val="21"/>
                <w:sz w:val="24"/>
                <w:szCs w:val="24"/>
                <w:highlight w:val="none"/>
                <w:u w:val="none" w:color="auto"/>
                <w:vertAlign w:val="subscript"/>
                <w:lang w:val="en-US" w:eastAsia="zh-CN" w:bidi="ar-SA"/>
              </w:rPr>
              <w:t>X</w:t>
            </w:r>
          </w:p>
        </w:tc>
        <w:tc>
          <w:tcPr>
            <w:tcW w:w="1596" w:type="dxa"/>
            <w:shd w:val="clear" w:color="auto" w:fill="auto"/>
            <w:noWrap w:val="0"/>
            <w:vAlign w:val="center"/>
          </w:tcPr>
          <w:p w14:paraId="75BD712C">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0.2</w:t>
            </w:r>
            <w:r>
              <w:rPr>
                <w:rFonts w:hint="eastAsia" w:ascii="Times New Roman" w:cs="Times New Roman"/>
                <w:snapToGrid w:val="0"/>
                <w:color w:val="auto"/>
                <w:kern w:val="21"/>
                <w:sz w:val="24"/>
                <w:szCs w:val="24"/>
                <w:highlight w:val="none"/>
                <w:u w:val="none" w:color="auto"/>
                <w:lang w:val="en-US" w:eastAsia="zh-CN" w:bidi="ar-SA"/>
              </w:rPr>
              <w:t>01</w:t>
            </w:r>
            <w:r>
              <w:rPr>
                <w:rFonts w:hint="eastAsia" w:ascii="Times New Roman" w:hAnsi="Times New Roman" w:eastAsia="宋体" w:cs="Times New Roman"/>
                <w:color w:val="auto"/>
                <w:kern w:val="0"/>
                <w:sz w:val="24"/>
                <w:szCs w:val="24"/>
                <w:u w:val="none" w:color="auto"/>
                <w:lang w:val="en-US" w:eastAsia="zh-CN"/>
              </w:rPr>
              <w:t>t/a</w:t>
            </w:r>
          </w:p>
        </w:tc>
        <w:tc>
          <w:tcPr>
            <w:tcW w:w="1306" w:type="dxa"/>
            <w:shd w:val="clear" w:color="auto" w:fill="auto"/>
            <w:noWrap w:val="0"/>
            <w:vAlign w:val="center"/>
          </w:tcPr>
          <w:p w14:paraId="5BB978DA">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w:t>
            </w:r>
          </w:p>
        </w:tc>
        <w:tc>
          <w:tcPr>
            <w:tcW w:w="1741" w:type="dxa"/>
            <w:shd w:val="clear" w:color="auto" w:fill="auto"/>
            <w:noWrap w:val="0"/>
            <w:vAlign w:val="center"/>
          </w:tcPr>
          <w:p w14:paraId="389E4A67">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w:t>
            </w:r>
          </w:p>
        </w:tc>
        <w:tc>
          <w:tcPr>
            <w:tcW w:w="1596" w:type="dxa"/>
            <w:shd w:val="clear" w:color="auto" w:fill="auto"/>
            <w:noWrap w:val="0"/>
            <w:vAlign w:val="center"/>
          </w:tcPr>
          <w:p w14:paraId="3A85FF19">
            <w:pPr>
              <w:pStyle w:val="46"/>
              <w:bidi w:val="0"/>
              <w:ind w:left="0" w:leftChars="0" w:right="0" w:rightChars="0" w:firstLine="0" w:firstLineChars="0"/>
              <w:rPr>
                <w:rFonts w:hint="eastAsia"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0.2</w:t>
            </w:r>
            <w:r>
              <w:rPr>
                <w:rFonts w:hint="eastAsia" w:ascii="Times New Roman" w:cs="Times New Roman"/>
                <w:snapToGrid w:val="0"/>
                <w:color w:val="auto"/>
                <w:kern w:val="21"/>
                <w:sz w:val="24"/>
                <w:szCs w:val="24"/>
                <w:highlight w:val="none"/>
                <w:u w:val="none" w:color="auto"/>
                <w:lang w:val="en-US" w:eastAsia="zh-CN" w:bidi="ar-SA"/>
              </w:rPr>
              <w:t>01</w:t>
            </w:r>
            <w:r>
              <w:rPr>
                <w:rFonts w:hint="eastAsia" w:ascii="Times New Roman" w:hAnsi="Times New Roman" w:eastAsia="宋体" w:cs="Times New Roman"/>
                <w:color w:val="auto"/>
                <w:kern w:val="0"/>
                <w:sz w:val="24"/>
                <w:szCs w:val="24"/>
                <w:u w:val="none" w:color="auto"/>
                <w:lang w:val="en-US" w:eastAsia="zh-CN"/>
              </w:rPr>
              <w:t>t/a</w:t>
            </w:r>
          </w:p>
        </w:tc>
        <w:tc>
          <w:tcPr>
            <w:tcW w:w="1348" w:type="dxa"/>
            <w:shd w:val="clear" w:color="auto" w:fill="auto"/>
            <w:noWrap w:val="0"/>
            <w:vAlign w:val="center"/>
          </w:tcPr>
          <w:p w14:paraId="32729629">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w:t>
            </w:r>
          </w:p>
        </w:tc>
        <w:tc>
          <w:tcPr>
            <w:tcW w:w="1805" w:type="dxa"/>
            <w:shd w:val="clear" w:color="auto" w:fill="auto"/>
            <w:noWrap w:val="0"/>
            <w:vAlign w:val="center"/>
          </w:tcPr>
          <w:p w14:paraId="03BB3E9A">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0.2</w:t>
            </w:r>
            <w:r>
              <w:rPr>
                <w:rFonts w:hint="eastAsia" w:ascii="Times New Roman" w:cs="Times New Roman"/>
                <w:snapToGrid w:val="0"/>
                <w:color w:val="auto"/>
                <w:kern w:val="21"/>
                <w:sz w:val="24"/>
                <w:szCs w:val="24"/>
                <w:highlight w:val="none"/>
                <w:u w:val="none" w:color="auto"/>
                <w:lang w:val="en-US" w:eastAsia="zh-CN" w:bidi="ar-SA"/>
              </w:rPr>
              <w:t>01</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35D8D402">
            <w:pPr>
              <w:bidi w:val="0"/>
              <w:ind w:left="0" w:leftChars="0" w:right="0" w:rightChars="0" w:firstLine="0" w:firstLineChars="0"/>
              <w:jc w:val="center"/>
              <w:rPr>
                <w:rFonts w:hint="eastAsia"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0</w:t>
            </w:r>
          </w:p>
        </w:tc>
      </w:tr>
      <w:tr w14:paraId="1E413B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continue"/>
            <w:noWrap w:val="0"/>
            <w:vAlign w:val="center"/>
          </w:tcPr>
          <w:p w14:paraId="46E741BE">
            <w:pPr>
              <w:jc w:val="center"/>
              <w:rPr>
                <w:rFonts w:hint="default" w:ascii="Times New Roman" w:hAnsi="Times New Roman" w:cs="Times New Roman"/>
                <w:b/>
                <w:bCs/>
                <w:snapToGrid w:val="0"/>
                <w:color w:val="auto"/>
                <w:kern w:val="21"/>
                <w:sz w:val="24"/>
                <w:szCs w:val="24"/>
                <w:highlight w:val="none"/>
                <w:u w:val="none" w:color="auto"/>
              </w:rPr>
            </w:pPr>
          </w:p>
        </w:tc>
        <w:tc>
          <w:tcPr>
            <w:tcW w:w="2411" w:type="dxa"/>
            <w:tcBorders>
              <w:top w:val="single" w:color="auto" w:sz="4" w:space="0"/>
            </w:tcBorders>
            <w:shd w:val="clear" w:color="auto" w:fill="auto"/>
            <w:noWrap w:val="0"/>
            <w:vAlign w:val="center"/>
          </w:tcPr>
          <w:p w14:paraId="3EE7B4DB">
            <w:pPr>
              <w:pStyle w:val="63"/>
              <w:tabs>
                <w:tab w:val="left" w:pos="1021"/>
              </w:tabs>
              <w:ind w:firstLine="0" w:firstLineChars="0"/>
              <w:jc w:val="center"/>
              <w:rPr>
                <w:rFonts w:hint="eastAsia"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颗粒物</w:t>
            </w:r>
          </w:p>
        </w:tc>
        <w:tc>
          <w:tcPr>
            <w:tcW w:w="1596" w:type="dxa"/>
            <w:shd w:val="clear" w:color="auto" w:fill="auto"/>
            <w:noWrap w:val="0"/>
            <w:vAlign w:val="center"/>
          </w:tcPr>
          <w:p w14:paraId="16A7A5FF">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0.</w:t>
            </w:r>
            <w:r>
              <w:rPr>
                <w:rFonts w:hint="eastAsia" w:ascii="Times New Roman" w:cs="Times New Roman"/>
                <w:snapToGrid w:val="0"/>
                <w:color w:val="auto"/>
                <w:kern w:val="21"/>
                <w:sz w:val="24"/>
                <w:szCs w:val="24"/>
                <w:highlight w:val="none"/>
                <w:u w:val="none" w:color="auto"/>
                <w:lang w:val="en-US" w:eastAsia="zh-CN" w:bidi="ar-SA"/>
              </w:rPr>
              <w:t>0095</w:t>
            </w:r>
            <w:r>
              <w:rPr>
                <w:rFonts w:hint="eastAsia" w:ascii="Times New Roman" w:hAnsi="Times New Roman" w:eastAsia="宋体" w:cs="Times New Roman"/>
                <w:color w:val="auto"/>
                <w:kern w:val="0"/>
                <w:sz w:val="24"/>
                <w:szCs w:val="24"/>
                <w:u w:val="none" w:color="auto"/>
                <w:lang w:val="en-US" w:eastAsia="zh-CN"/>
              </w:rPr>
              <w:t>t/a</w:t>
            </w:r>
          </w:p>
        </w:tc>
        <w:tc>
          <w:tcPr>
            <w:tcW w:w="1306" w:type="dxa"/>
            <w:shd w:val="clear" w:color="auto" w:fill="auto"/>
            <w:noWrap w:val="0"/>
            <w:vAlign w:val="center"/>
          </w:tcPr>
          <w:p w14:paraId="7B940BDF">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w:t>
            </w:r>
          </w:p>
        </w:tc>
        <w:tc>
          <w:tcPr>
            <w:tcW w:w="1741" w:type="dxa"/>
            <w:shd w:val="clear" w:color="auto" w:fill="auto"/>
            <w:noWrap w:val="0"/>
            <w:vAlign w:val="center"/>
          </w:tcPr>
          <w:p w14:paraId="4056E6BC">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w:t>
            </w:r>
          </w:p>
        </w:tc>
        <w:tc>
          <w:tcPr>
            <w:tcW w:w="1596" w:type="dxa"/>
            <w:shd w:val="clear" w:color="auto" w:fill="auto"/>
            <w:noWrap w:val="0"/>
            <w:vAlign w:val="center"/>
          </w:tcPr>
          <w:p w14:paraId="55C2028C">
            <w:pPr>
              <w:pStyle w:val="46"/>
              <w:bidi w:val="0"/>
              <w:ind w:left="0" w:leftChars="0" w:right="0" w:rightChars="0" w:firstLine="0" w:firstLineChars="0"/>
              <w:rPr>
                <w:rFonts w:hint="eastAsia"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0.00</w:t>
            </w:r>
            <w:r>
              <w:rPr>
                <w:rFonts w:hint="eastAsia" w:ascii="Times New Roman" w:hAnsi="Times New Roman" w:eastAsia="宋体" w:cs="Times New Roman"/>
                <w:snapToGrid w:val="0"/>
                <w:color w:val="auto"/>
                <w:kern w:val="21"/>
                <w:sz w:val="24"/>
                <w:szCs w:val="24"/>
                <w:highlight w:val="none"/>
                <w:u w:val="none" w:color="auto"/>
                <w:lang w:val="en-US" w:eastAsia="zh-CN" w:bidi="ar-SA"/>
              </w:rPr>
              <w:t>57</w:t>
            </w:r>
            <w:r>
              <w:rPr>
                <w:rFonts w:hint="eastAsia" w:ascii="Times New Roman" w:hAnsi="Times New Roman" w:eastAsia="宋体" w:cs="Times New Roman"/>
                <w:color w:val="auto"/>
                <w:kern w:val="0"/>
                <w:sz w:val="24"/>
                <w:szCs w:val="24"/>
                <w:u w:val="none" w:color="auto"/>
                <w:lang w:val="en-US" w:eastAsia="zh-CN"/>
              </w:rPr>
              <w:t>t/a</w:t>
            </w:r>
          </w:p>
        </w:tc>
        <w:tc>
          <w:tcPr>
            <w:tcW w:w="1348" w:type="dxa"/>
            <w:shd w:val="clear" w:color="auto" w:fill="auto"/>
            <w:noWrap w:val="0"/>
            <w:vAlign w:val="center"/>
          </w:tcPr>
          <w:p w14:paraId="417E379E">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w:t>
            </w:r>
          </w:p>
        </w:tc>
        <w:tc>
          <w:tcPr>
            <w:tcW w:w="1805" w:type="dxa"/>
            <w:shd w:val="clear" w:color="auto" w:fill="auto"/>
            <w:noWrap w:val="0"/>
            <w:vAlign w:val="center"/>
          </w:tcPr>
          <w:p w14:paraId="22893A27">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snapToGrid w:val="0"/>
                <w:color w:val="auto"/>
                <w:kern w:val="21"/>
                <w:sz w:val="24"/>
                <w:szCs w:val="24"/>
                <w:highlight w:val="none"/>
                <w:u w:val="none" w:color="auto"/>
                <w:lang w:val="en-US" w:eastAsia="zh-CN" w:bidi="ar-SA"/>
              </w:rPr>
              <w:t>0.00</w:t>
            </w:r>
            <w:r>
              <w:rPr>
                <w:rFonts w:hint="eastAsia" w:ascii="Times New Roman" w:hAnsi="Times New Roman" w:eastAsia="宋体" w:cs="Times New Roman"/>
                <w:snapToGrid w:val="0"/>
                <w:color w:val="auto"/>
                <w:kern w:val="21"/>
                <w:sz w:val="24"/>
                <w:szCs w:val="24"/>
                <w:highlight w:val="none"/>
                <w:u w:val="none" w:color="auto"/>
                <w:lang w:val="en-US" w:eastAsia="zh-CN" w:bidi="ar-SA"/>
              </w:rPr>
              <w:t>57</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3B354158">
            <w:pPr>
              <w:pStyle w:val="46"/>
              <w:bidi w:val="0"/>
              <w:ind w:left="0" w:leftChars="0" w:right="0" w:rightChars="0" w:firstLine="0" w:firstLineChars="0"/>
              <w:rPr>
                <w:rFonts w:hint="eastAsia" w:ascii="Times New Roman" w:hAnsi="Times New Roman" w:eastAsia="宋体" w:cs="Times New Roman"/>
                <w:snapToGrid w:val="0"/>
                <w:color w:val="auto"/>
                <w:kern w:val="21"/>
                <w:sz w:val="24"/>
                <w:szCs w:val="24"/>
                <w:highlight w:val="none"/>
                <w:u w:val="none" w:color="auto"/>
                <w:lang w:val="en-US" w:eastAsia="zh-CN" w:bidi="ar-SA"/>
              </w:rPr>
            </w:pPr>
            <w:r>
              <w:rPr>
                <w:rFonts w:hint="eastAsia" w:ascii="Times New Roman" w:hAnsi="Times New Roman" w:eastAsia="宋体" w:cs="Times New Roman"/>
                <w:snapToGrid w:val="0"/>
                <w:color w:val="auto"/>
                <w:kern w:val="21"/>
                <w:sz w:val="24"/>
                <w:szCs w:val="24"/>
                <w:highlight w:val="none"/>
                <w:u w:val="none" w:color="auto"/>
                <w:lang w:val="en-US" w:eastAsia="zh-CN" w:bidi="ar-SA"/>
              </w:rPr>
              <w:t>-</w:t>
            </w:r>
            <w:r>
              <w:rPr>
                <w:rFonts w:hint="eastAsia" w:ascii="Times New Roman" w:cs="Times New Roman"/>
                <w:snapToGrid w:val="0"/>
                <w:color w:val="auto"/>
                <w:kern w:val="21"/>
                <w:sz w:val="24"/>
                <w:szCs w:val="24"/>
                <w:highlight w:val="none"/>
                <w:u w:val="none" w:color="auto"/>
                <w:lang w:val="en-US" w:eastAsia="zh-CN" w:bidi="ar-SA"/>
              </w:rPr>
              <w:t>0.0039</w:t>
            </w:r>
            <w:r>
              <w:rPr>
                <w:rFonts w:hint="eastAsia" w:ascii="Times New Roman" w:hAnsi="Times New Roman" w:eastAsia="宋体" w:cs="Times New Roman"/>
                <w:color w:val="auto"/>
                <w:kern w:val="0"/>
                <w:sz w:val="24"/>
                <w:szCs w:val="24"/>
                <w:u w:val="none" w:color="auto"/>
                <w:lang w:val="en-US" w:eastAsia="zh-CN"/>
              </w:rPr>
              <w:t>t/a</w:t>
            </w:r>
          </w:p>
        </w:tc>
      </w:tr>
      <w:tr w14:paraId="45B57CB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restart"/>
            <w:noWrap w:val="0"/>
            <w:vAlign w:val="center"/>
          </w:tcPr>
          <w:p w14:paraId="14B533C2">
            <w:pPr>
              <w:jc w:val="center"/>
              <w:rPr>
                <w:rFonts w:hint="default" w:ascii="Times New Roman" w:hAnsi="Times New Roman" w:cs="Times New Roman"/>
                <w:b/>
                <w:bCs/>
                <w:snapToGrid w:val="0"/>
                <w:color w:val="auto"/>
                <w:kern w:val="21"/>
                <w:sz w:val="24"/>
                <w:szCs w:val="24"/>
                <w:highlight w:val="none"/>
                <w:u w:val="none" w:color="auto"/>
              </w:rPr>
            </w:pPr>
            <w:r>
              <w:rPr>
                <w:rFonts w:hint="default" w:ascii="Times New Roman" w:hAnsi="Times New Roman" w:cs="Times New Roman"/>
                <w:b/>
                <w:bCs/>
                <w:snapToGrid w:val="0"/>
                <w:color w:val="auto"/>
                <w:kern w:val="21"/>
                <w:sz w:val="24"/>
                <w:szCs w:val="24"/>
                <w:highlight w:val="none"/>
                <w:u w:val="none" w:color="auto"/>
              </w:rPr>
              <w:t>废水</w:t>
            </w:r>
          </w:p>
        </w:tc>
        <w:tc>
          <w:tcPr>
            <w:tcW w:w="2411" w:type="dxa"/>
            <w:tcBorders>
              <w:bottom w:val="single" w:color="auto" w:sz="4" w:space="0"/>
            </w:tcBorders>
            <w:noWrap w:val="0"/>
            <w:vAlign w:val="center"/>
          </w:tcPr>
          <w:p w14:paraId="38078A94">
            <w:pPr>
              <w:jc w:val="center"/>
              <w:rPr>
                <w:rFonts w:hint="default" w:ascii="Times New Roman" w:hAnsi="Times New Roman" w:cs="Times New Roman"/>
                <w:bCs/>
                <w:color w:val="auto"/>
                <w:sz w:val="24"/>
                <w:szCs w:val="24"/>
                <w:highlight w:val="none"/>
                <w:u w:val="none" w:color="auto"/>
              </w:rPr>
            </w:pPr>
            <w:r>
              <w:rPr>
                <w:rFonts w:hint="default" w:ascii="Times New Roman" w:hAnsi="Times New Roman" w:cs="Times New Roman"/>
                <w:bCs/>
                <w:color w:val="auto"/>
                <w:sz w:val="24"/>
                <w:szCs w:val="24"/>
                <w:highlight w:val="none"/>
                <w:u w:val="none" w:color="auto"/>
              </w:rPr>
              <w:t>COD</w:t>
            </w:r>
          </w:p>
        </w:tc>
        <w:tc>
          <w:tcPr>
            <w:tcW w:w="1596" w:type="dxa"/>
            <w:shd w:val="clear" w:color="auto" w:fill="auto"/>
            <w:noWrap w:val="0"/>
            <w:vAlign w:val="center"/>
          </w:tcPr>
          <w:p w14:paraId="637C97B9">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color w:val="auto"/>
                <w:sz w:val="24"/>
                <w:szCs w:val="24"/>
                <w:highlight w:val="none"/>
                <w:u w:val="none" w:color="auto"/>
                <w:lang w:val="en-US" w:eastAsia="zh-CN"/>
              </w:rPr>
              <w:t>0.0303</w:t>
            </w:r>
            <w:r>
              <w:rPr>
                <w:rFonts w:hint="eastAsia" w:ascii="Times New Roman" w:hAnsi="Times New Roman" w:eastAsia="宋体" w:cs="Times New Roman"/>
                <w:color w:val="auto"/>
                <w:kern w:val="0"/>
                <w:sz w:val="24"/>
                <w:szCs w:val="24"/>
                <w:u w:val="none" w:color="auto"/>
                <w:lang w:val="en-US" w:eastAsia="zh-CN"/>
              </w:rPr>
              <w:t>t/a</w:t>
            </w:r>
          </w:p>
        </w:tc>
        <w:tc>
          <w:tcPr>
            <w:tcW w:w="1306" w:type="dxa"/>
            <w:noWrap w:val="0"/>
            <w:vAlign w:val="center"/>
          </w:tcPr>
          <w:p w14:paraId="35B19F25">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741" w:type="dxa"/>
            <w:noWrap w:val="0"/>
            <w:vAlign w:val="center"/>
          </w:tcPr>
          <w:p w14:paraId="3B03C6D6">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596" w:type="dxa"/>
            <w:shd w:val="clear" w:color="auto" w:fill="auto"/>
            <w:noWrap w:val="0"/>
            <w:vAlign w:val="center"/>
          </w:tcPr>
          <w:p w14:paraId="6AF74FAF">
            <w:pPr>
              <w:pStyle w:val="46"/>
              <w:bidi w:val="0"/>
              <w:ind w:left="0" w:leftChars="0" w:right="0" w:rightChars="0" w:firstLine="0" w:firstLineChars="0"/>
              <w:rPr>
                <w:rFonts w:hint="default" w:ascii="Times New Roman" w:hAnsi="Times New Roman" w:eastAsia="宋体" w:cs="Times New Roman"/>
                <w:bCs/>
                <w:color w:val="auto"/>
                <w:kern w:val="2"/>
                <w:sz w:val="24"/>
                <w:szCs w:val="24"/>
                <w:highlight w:val="none"/>
                <w:u w:val="none" w:color="auto"/>
                <w:lang w:val="en-US" w:eastAsia="zh-CN" w:bidi="ar-SA"/>
              </w:rPr>
            </w:pPr>
            <w:r>
              <w:rPr>
                <w:rFonts w:hint="default" w:ascii="Times New Roman" w:hAnsi="Times New Roman" w:eastAsia="宋体" w:cs="Times New Roman"/>
                <w:color w:val="auto"/>
                <w:sz w:val="24"/>
                <w:szCs w:val="24"/>
                <w:highlight w:val="none"/>
                <w:u w:val="none" w:color="auto"/>
                <w:lang w:val="en-US" w:eastAsia="zh-CN"/>
              </w:rPr>
              <w:t>0.0303</w:t>
            </w:r>
            <w:r>
              <w:rPr>
                <w:rFonts w:hint="eastAsia" w:ascii="Times New Roman" w:hAnsi="Times New Roman" w:eastAsia="宋体" w:cs="Times New Roman"/>
                <w:color w:val="auto"/>
                <w:kern w:val="0"/>
                <w:sz w:val="24"/>
                <w:szCs w:val="24"/>
                <w:u w:val="none" w:color="auto"/>
                <w:lang w:val="en-US" w:eastAsia="zh-CN"/>
              </w:rPr>
              <w:t>t/a</w:t>
            </w:r>
          </w:p>
        </w:tc>
        <w:tc>
          <w:tcPr>
            <w:tcW w:w="1348" w:type="dxa"/>
            <w:noWrap w:val="0"/>
            <w:vAlign w:val="center"/>
          </w:tcPr>
          <w:p w14:paraId="434AF0CE">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805" w:type="dxa"/>
            <w:shd w:val="clear" w:color="auto" w:fill="auto"/>
            <w:noWrap w:val="0"/>
            <w:vAlign w:val="center"/>
          </w:tcPr>
          <w:p w14:paraId="67BF3AF1">
            <w:pPr>
              <w:pStyle w:val="46"/>
              <w:bidi w:val="0"/>
              <w:ind w:left="0" w:leftChars="0" w:right="0" w:rightChars="0" w:firstLine="0" w:firstLineChars="0"/>
              <w:rPr>
                <w:rFonts w:hint="default" w:ascii="Times New Roman" w:hAnsi="Times New Roman" w:eastAsia="宋体" w:cs="Times New Roman"/>
                <w:color w:val="auto"/>
                <w:kern w:val="2"/>
                <w:sz w:val="24"/>
                <w:szCs w:val="24"/>
                <w:highlight w:val="none"/>
                <w:u w:val="none" w:color="auto"/>
                <w:vertAlign w:val="baseline"/>
                <w:lang w:val="en-US" w:eastAsia="zh-CN" w:bidi="ar-SA"/>
              </w:rPr>
            </w:pPr>
            <w:r>
              <w:rPr>
                <w:rFonts w:hint="default" w:ascii="Times New Roman" w:hAnsi="Times New Roman" w:eastAsia="宋体" w:cs="Times New Roman"/>
                <w:color w:val="auto"/>
                <w:sz w:val="24"/>
                <w:szCs w:val="24"/>
                <w:highlight w:val="none"/>
                <w:u w:val="none" w:color="auto"/>
                <w:lang w:val="en-US" w:eastAsia="zh-CN"/>
              </w:rPr>
              <w:t>0.0303</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1B9BBBD4">
            <w:pPr>
              <w:adjustRightInd w:val="0"/>
              <w:snapToGrid w:val="0"/>
              <w:spacing w:line="240" w:lineRule="exact"/>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cs="Times New Roman"/>
                <w:color w:val="auto"/>
                <w:highlight w:val="none"/>
                <w:u w:val="none" w:color="auto"/>
                <w:lang w:val="en-US" w:eastAsia="zh-CN"/>
              </w:rPr>
              <w:t>0</w:t>
            </w:r>
          </w:p>
        </w:tc>
      </w:tr>
      <w:tr w14:paraId="322C2C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continue"/>
            <w:noWrap w:val="0"/>
            <w:vAlign w:val="center"/>
          </w:tcPr>
          <w:p w14:paraId="535787E0">
            <w:pPr>
              <w:jc w:val="center"/>
              <w:rPr>
                <w:rFonts w:hint="default" w:ascii="Times New Roman" w:hAnsi="Times New Roman" w:cs="Times New Roman"/>
                <w:b/>
                <w:bCs/>
                <w:snapToGrid w:val="0"/>
                <w:color w:val="auto"/>
                <w:kern w:val="21"/>
                <w:sz w:val="24"/>
                <w:szCs w:val="24"/>
                <w:highlight w:val="none"/>
                <w:u w:val="none" w:color="auto"/>
              </w:rPr>
            </w:pPr>
          </w:p>
        </w:tc>
        <w:tc>
          <w:tcPr>
            <w:tcW w:w="2411" w:type="dxa"/>
            <w:tcBorders>
              <w:top w:val="single" w:color="auto" w:sz="4" w:space="0"/>
              <w:bottom w:val="single" w:color="auto" w:sz="4" w:space="0"/>
            </w:tcBorders>
            <w:noWrap w:val="0"/>
            <w:vAlign w:val="center"/>
          </w:tcPr>
          <w:p w14:paraId="1BF420A9">
            <w:pPr>
              <w:jc w:val="center"/>
              <w:rPr>
                <w:rFonts w:hint="default" w:ascii="Times New Roman" w:hAnsi="Times New Roman" w:cs="Times New Roman"/>
                <w:bCs/>
                <w:color w:val="auto"/>
                <w:sz w:val="24"/>
                <w:szCs w:val="24"/>
                <w:highlight w:val="none"/>
                <w:u w:val="none" w:color="auto"/>
              </w:rPr>
            </w:pPr>
            <w:r>
              <w:rPr>
                <w:rFonts w:hint="default" w:ascii="Times New Roman" w:hAnsi="Times New Roman" w:cs="Times New Roman"/>
                <w:bCs/>
                <w:color w:val="auto"/>
                <w:sz w:val="24"/>
                <w:szCs w:val="24"/>
                <w:highlight w:val="none"/>
                <w:u w:val="none" w:color="auto"/>
              </w:rPr>
              <w:t>BOD</w:t>
            </w:r>
            <w:r>
              <w:rPr>
                <w:rFonts w:hint="default" w:ascii="Times New Roman" w:hAnsi="Times New Roman" w:cs="Times New Roman"/>
                <w:bCs/>
                <w:color w:val="auto"/>
                <w:sz w:val="24"/>
                <w:szCs w:val="24"/>
                <w:highlight w:val="none"/>
                <w:u w:val="none" w:color="auto"/>
                <w:vertAlign w:val="subscript"/>
              </w:rPr>
              <w:t>5</w:t>
            </w:r>
          </w:p>
        </w:tc>
        <w:tc>
          <w:tcPr>
            <w:tcW w:w="1596" w:type="dxa"/>
            <w:shd w:val="clear" w:color="auto" w:fill="auto"/>
            <w:noWrap w:val="0"/>
            <w:vAlign w:val="center"/>
          </w:tcPr>
          <w:p w14:paraId="4823CFAE">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color w:val="auto"/>
                <w:sz w:val="24"/>
                <w:szCs w:val="24"/>
                <w:highlight w:val="none"/>
                <w:u w:val="none" w:color="auto"/>
                <w:lang w:val="en-US" w:eastAsia="zh-CN"/>
              </w:rPr>
              <w:t>0.020</w:t>
            </w:r>
            <w:r>
              <w:rPr>
                <w:rFonts w:hint="eastAsia" w:ascii="Times New Roman" w:hAnsi="Times New Roman" w:eastAsia="宋体" w:cs="Times New Roman"/>
                <w:color w:val="auto"/>
                <w:sz w:val="24"/>
                <w:szCs w:val="24"/>
                <w:highlight w:val="none"/>
                <w:u w:val="none" w:color="auto"/>
                <w:lang w:val="en-US" w:eastAsia="zh-CN"/>
              </w:rPr>
              <w:t>8</w:t>
            </w:r>
            <w:r>
              <w:rPr>
                <w:rFonts w:hint="eastAsia" w:ascii="Times New Roman" w:hAnsi="Times New Roman" w:eastAsia="宋体" w:cs="Times New Roman"/>
                <w:color w:val="auto"/>
                <w:kern w:val="0"/>
                <w:sz w:val="24"/>
                <w:szCs w:val="24"/>
                <w:u w:val="none" w:color="auto"/>
                <w:lang w:val="en-US" w:eastAsia="zh-CN"/>
              </w:rPr>
              <w:t>t/a</w:t>
            </w:r>
          </w:p>
        </w:tc>
        <w:tc>
          <w:tcPr>
            <w:tcW w:w="1306" w:type="dxa"/>
            <w:noWrap w:val="0"/>
            <w:vAlign w:val="center"/>
          </w:tcPr>
          <w:p w14:paraId="0D71CA34">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741" w:type="dxa"/>
            <w:noWrap w:val="0"/>
            <w:vAlign w:val="center"/>
          </w:tcPr>
          <w:p w14:paraId="7A747868">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596" w:type="dxa"/>
            <w:shd w:val="clear" w:color="auto" w:fill="auto"/>
            <w:noWrap w:val="0"/>
            <w:vAlign w:val="center"/>
          </w:tcPr>
          <w:p w14:paraId="73800010">
            <w:pPr>
              <w:pStyle w:val="46"/>
              <w:bidi w:val="0"/>
              <w:ind w:left="0" w:leftChars="0" w:right="0" w:rightChars="0" w:firstLine="0" w:firstLineChars="0"/>
              <w:rPr>
                <w:rFonts w:hint="default" w:ascii="Times New Roman" w:hAnsi="Times New Roman" w:eastAsia="宋体" w:cs="Times New Roman"/>
                <w:bCs/>
                <w:color w:val="auto"/>
                <w:kern w:val="2"/>
                <w:sz w:val="24"/>
                <w:szCs w:val="24"/>
                <w:highlight w:val="none"/>
                <w:u w:val="none" w:color="auto"/>
                <w:lang w:val="en-US" w:eastAsia="zh-CN" w:bidi="ar-SA"/>
              </w:rPr>
            </w:pPr>
            <w:r>
              <w:rPr>
                <w:rFonts w:hint="default" w:ascii="Times New Roman" w:hAnsi="Times New Roman" w:eastAsia="宋体" w:cs="Times New Roman"/>
                <w:color w:val="auto"/>
                <w:sz w:val="24"/>
                <w:szCs w:val="24"/>
                <w:highlight w:val="none"/>
                <w:u w:val="none" w:color="auto"/>
                <w:lang w:val="en-US" w:eastAsia="zh-CN"/>
              </w:rPr>
              <w:t>0.020</w:t>
            </w:r>
            <w:r>
              <w:rPr>
                <w:rFonts w:hint="eastAsia" w:ascii="Times New Roman" w:hAnsi="Times New Roman" w:eastAsia="宋体" w:cs="Times New Roman"/>
                <w:color w:val="auto"/>
                <w:sz w:val="24"/>
                <w:szCs w:val="24"/>
                <w:highlight w:val="none"/>
                <w:u w:val="none" w:color="auto"/>
                <w:lang w:val="en-US" w:eastAsia="zh-CN"/>
              </w:rPr>
              <w:t>8</w:t>
            </w:r>
            <w:r>
              <w:rPr>
                <w:rFonts w:hint="eastAsia" w:ascii="Times New Roman" w:hAnsi="Times New Roman" w:eastAsia="宋体" w:cs="Times New Roman"/>
                <w:color w:val="auto"/>
                <w:kern w:val="0"/>
                <w:sz w:val="24"/>
                <w:szCs w:val="24"/>
                <w:u w:val="none" w:color="auto"/>
                <w:lang w:val="en-US" w:eastAsia="zh-CN"/>
              </w:rPr>
              <w:t>t/a</w:t>
            </w:r>
          </w:p>
        </w:tc>
        <w:tc>
          <w:tcPr>
            <w:tcW w:w="1348" w:type="dxa"/>
            <w:noWrap w:val="0"/>
            <w:vAlign w:val="center"/>
          </w:tcPr>
          <w:p w14:paraId="40792FC5">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805" w:type="dxa"/>
            <w:shd w:val="clear" w:color="auto" w:fill="auto"/>
            <w:noWrap w:val="0"/>
            <w:vAlign w:val="center"/>
          </w:tcPr>
          <w:p w14:paraId="0E77C766">
            <w:pPr>
              <w:pStyle w:val="46"/>
              <w:bidi w:val="0"/>
              <w:ind w:left="0" w:leftChars="0" w:right="0" w:rightChars="0" w:firstLine="0" w:firstLineChars="0"/>
              <w:rPr>
                <w:rFonts w:hint="default" w:ascii="Times New Roman" w:hAnsi="Times New Roman" w:eastAsia="宋体" w:cs="Times New Roman"/>
                <w:color w:val="auto"/>
                <w:kern w:val="2"/>
                <w:sz w:val="24"/>
                <w:szCs w:val="24"/>
                <w:highlight w:val="none"/>
                <w:u w:val="none" w:color="auto"/>
                <w:vertAlign w:val="baseline"/>
                <w:lang w:val="en-US" w:eastAsia="zh-CN" w:bidi="ar-SA"/>
              </w:rPr>
            </w:pPr>
            <w:r>
              <w:rPr>
                <w:rFonts w:hint="default" w:ascii="Times New Roman" w:hAnsi="Times New Roman" w:eastAsia="宋体" w:cs="Times New Roman"/>
                <w:color w:val="auto"/>
                <w:sz w:val="24"/>
                <w:szCs w:val="24"/>
                <w:highlight w:val="none"/>
                <w:u w:val="none" w:color="auto"/>
                <w:lang w:val="en-US" w:eastAsia="zh-CN"/>
              </w:rPr>
              <w:t>0.020</w:t>
            </w:r>
            <w:r>
              <w:rPr>
                <w:rFonts w:hint="eastAsia" w:ascii="Times New Roman" w:hAnsi="Times New Roman" w:eastAsia="宋体" w:cs="Times New Roman"/>
                <w:color w:val="auto"/>
                <w:sz w:val="24"/>
                <w:szCs w:val="24"/>
                <w:highlight w:val="none"/>
                <w:u w:val="none" w:color="auto"/>
                <w:lang w:val="en-US" w:eastAsia="zh-CN"/>
              </w:rPr>
              <w:t>8</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67BCBA9B">
            <w:pPr>
              <w:adjustRightInd w:val="0"/>
              <w:snapToGrid w:val="0"/>
              <w:spacing w:line="240" w:lineRule="exact"/>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cs="Times New Roman"/>
                <w:color w:val="auto"/>
                <w:sz w:val="21"/>
                <w:szCs w:val="21"/>
                <w:highlight w:val="none"/>
                <w:u w:val="none" w:color="auto"/>
                <w:lang w:val="en-US" w:eastAsia="zh-CN"/>
              </w:rPr>
              <w:t>0</w:t>
            </w:r>
          </w:p>
        </w:tc>
      </w:tr>
      <w:tr w14:paraId="0C8743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continue"/>
            <w:noWrap w:val="0"/>
            <w:vAlign w:val="center"/>
          </w:tcPr>
          <w:p w14:paraId="3E88A8FB">
            <w:pPr>
              <w:jc w:val="center"/>
              <w:rPr>
                <w:rFonts w:hint="default" w:ascii="Times New Roman" w:hAnsi="Times New Roman" w:cs="Times New Roman"/>
                <w:b/>
                <w:bCs/>
                <w:snapToGrid w:val="0"/>
                <w:color w:val="auto"/>
                <w:kern w:val="21"/>
                <w:sz w:val="24"/>
                <w:szCs w:val="24"/>
                <w:highlight w:val="none"/>
                <w:u w:val="none" w:color="auto"/>
              </w:rPr>
            </w:pPr>
          </w:p>
        </w:tc>
        <w:tc>
          <w:tcPr>
            <w:tcW w:w="2411" w:type="dxa"/>
            <w:tcBorders>
              <w:top w:val="single" w:color="auto" w:sz="4" w:space="0"/>
              <w:bottom w:val="single" w:color="auto" w:sz="4" w:space="0"/>
            </w:tcBorders>
            <w:noWrap w:val="0"/>
            <w:vAlign w:val="center"/>
          </w:tcPr>
          <w:p w14:paraId="6BC3A190">
            <w:pPr>
              <w:jc w:val="center"/>
              <w:rPr>
                <w:rFonts w:hint="default" w:ascii="Times New Roman" w:hAnsi="Times New Roman" w:cs="Times New Roman"/>
                <w:bCs/>
                <w:color w:val="auto"/>
                <w:sz w:val="24"/>
                <w:szCs w:val="24"/>
                <w:highlight w:val="none"/>
                <w:u w:val="none" w:color="auto"/>
              </w:rPr>
            </w:pPr>
            <w:r>
              <w:rPr>
                <w:rFonts w:hint="default" w:ascii="Times New Roman" w:hAnsi="Times New Roman" w:cs="Times New Roman"/>
                <w:bCs/>
                <w:color w:val="auto"/>
                <w:sz w:val="24"/>
                <w:szCs w:val="24"/>
                <w:highlight w:val="none"/>
                <w:u w:val="none" w:color="auto"/>
              </w:rPr>
              <w:t>NH</w:t>
            </w:r>
            <w:r>
              <w:rPr>
                <w:rFonts w:hint="default" w:ascii="Times New Roman" w:hAnsi="Times New Roman" w:cs="Times New Roman"/>
                <w:bCs/>
                <w:color w:val="auto"/>
                <w:sz w:val="24"/>
                <w:szCs w:val="24"/>
                <w:highlight w:val="none"/>
                <w:u w:val="none" w:color="auto"/>
                <w:vertAlign w:val="subscript"/>
              </w:rPr>
              <w:t>3</w:t>
            </w:r>
            <w:r>
              <w:rPr>
                <w:rFonts w:hint="default" w:ascii="Times New Roman" w:hAnsi="Times New Roman" w:cs="Times New Roman"/>
                <w:bCs/>
                <w:color w:val="auto"/>
                <w:sz w:val="24"/>
                <w:szCs w:val="24"/>
                <w:highlight w:val="none"/>
                <w:u w:val="none" w:color="auto"/>
              </w:rPr>
              <w:t>-N</w:t>
            </w:r>
          </w:p>
        </w:tc>
        <w:tc>
          <w:tcPr>
            <w:tcW w:w="1596" w:type="dxa"/>
            <w:shd w:val="clear" w:color="auto" w:fill="auto"/>
            <w:noWrap w:val="0"/>
            <w:vAlign w:val="center"/>
          </w:tcPr>
          <w:p w14:paraId="4E879DA2">
            <w:pPr>
              <w:pStyle w:val="46"/>
              <w:bidi w:val="0"/>
              <w:ind w:left="0" w:leftChars="0" w:right="0" w:rightChars="0" w:firstLine="0" w:firstLineChars="0"/>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eastAsia="宋体" w:cs="Times New Roman"/>
                <w:color w:val="auto"/>
                <w:sz w:val="24"/>
                <w:szCs w:val="24"/>
                <w:highlight w:val="none"/>
                <w:u w:val="none" w:color="auto"/>
                <w:lang w:val="en-US" w:eastAsia="zh-CN"/>
              </w:rPr>
              <w:t>0.004</w:t>
            </w:r>
            <w:r>
              <w:rPr>
                <w:rFonts w:hint="eastAsia" w:ascii="Times New Roman" w:hAnsi="Times New Roman" w:eastAsia="宋体" w:cs="Times New Roman"/>
                <w:color w:val="auto"/>
                <w:sz w:val="24"/>
                <w:szCs w:val="24"/>
                <w:highlight w:val="none"/>
                <w:u w:val="none" w:color="auto"/>
                <w:lang w:val="en-US" w:eastAsia="zh-CN"/>
              </w:rPr>
              <w:t>2</w:t>
            </w:r>
            <w:r>
              <w:rPr>
                <w:rFonts w:hint="eastAsia" w:ascii="Times New Roman" w:hAnsi="Times New Roman" w:eastAsia="宋体" w:cs="Times New Roman"/>
                <w:color w:val="auto"/>
                <w:kern w:val="0"/>
                <w:sz w:val="24"/>
                <w:szCs w:val="24"/>
                <w:u w:val="none" w:color="auto"/>
                <w:lang w:val="en-US" w:eastAsia="zh-CN"/>
              </w:rPr>
              <w:t>t/a</w:t>
            </w:r>
          </w:p>
        </w:tc>
        <w:tc>
          <w:tcPr>
            <w:tcW w:w="1306" w:type="dxa"/>
            <w:noWrap w:val="0"/>
            <w:vAlign w:val="center"/>
          </w:tcPr>
          <w:p w14:paraId="1F155D10">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741" w:type="dxa"/>
            <w:noWrap w:val="0"/>
            <w:vAlign w:val="center"/>
          </w:tcPr>
          <w:p w14:paraId="58227641">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596" w:type="dxa"/>
            <w:shd w:val="clear" w:color="auto" w:fill="auto"/>
            <w:noWrap w:val="0"/>
            <w:vAlign w:val="center"/>
          </w:tcPr>
          <w:p w14:paraId="4FBFAC6F">
            <w:pPr>
              <w:pStyle w:val="46"/>
              <w:bidi w:val="0"/>
              <w:ind w:left="0" w:leftChars="0" w:right="0" w:rightChars="0" w:firstLine="0" w:firstLineChars="0"/>
              <w:rPr>
                <w:rFonts w:hint="default" w:ascii="Times New Roman" w:hAnsi="Times New Roman" w:eastAsia="宋体" w:cs="Times New Roman"/>
                <w:bCs/>
                <w:color w:val="auto"/>
                <w:kern w:val="2"/>
                <w:sz w:val="24"/>
                <w:szCs w:val="24"/>
                <w:highlight w:val="none"/>
                <w:u w:val="none" w:color="auto"/>
                <w:lang w:val="en-US" w:eastAsia="zh-CN" w:bidi="ar-SA"/>
              </w:rPr>
            </w:pPr>
            <w:r>
              <w:rPr>
                <w:rFonts w:hint="default" w:ascii="Times New Roman" w:hAnsi="Times New Roman" w:eastAsia="宋体" w:cs="Times New Roman"/>
                <w:color w:val="auto"/>
                <w:sz w:val="24"/>
                <w:szCs w:val="24"/>
                <w:highlight w:val="none"/>
                <w:u w:val="none" w:color="auto"/>
                <w:lang w:val="en-US" w:eastAsia="zh-CN"/>
              </w:rPr>
              <w:t>0.004</w:t>
            </w:r>
            <w:r>
              <w:rPr>
                <w:rFonts w:hint="eastAsia" w:ascii="Times New Roman" w:hAnsi="Times New Roman" w:eastAsia="宋体" w:cs="Times New Roman"/>
                <w:color w:val="auto"/>
                <w:sz w:val="24"/>
                <w:szCs w:val="24"/>
                <w:highlight w:val="none"/>
                <w:u w:val="none" w:color="auto"/>
                <w:lang w:val="en-US" w:eastAsia="zh-CN"/>
              </w:rPr>
              <w:t>2</w:t>
            </w:r>
            <w:r>
              <w:rPr>
                <w:rFonts w:hint="eastAsia" w:ascii="Times New Roman" w:hAnsi="Times New Roman" w:eastAsia="宋体" w:cs="Times New Roman"/>
                <w:color w:val="auto"/>
                <w:kern w:val="0"/>
                <w:sz w:val="24"/>
                <w:szCs w:val="24"/>
                <w:u w:val="none" w:color="auto"/>
                <w:lang w:val="en-US" w:eastAsia="zh-CN"/>
              </w:rPr>
              <w:t>t/a</w:t>
            </w:r>
          </w:p>
        </w:tc>
        <w:tc>
          <w:tcPr>
            <w:tcW w:w="1348" w:type="dxa"/>
            <w:noWrap w:val="0"/>
            <w:vAlign w:val="center"/>
          </w:tcPr>
          <w:p w14:paraId="011CB60F">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805" w:type="dxa"/>
            <w:shd w:val="clear" w:color="auto" w:fill="auto"/>
            <w:noWrap w:val="0"/>
            <w:vAlign w:val="center"/>
          </w:tcPr>
          <w:p w14:paraId="5F5D2CDE">
            <w:pPr>
              <w:pStyle w:val="46"/>
              <w:bidi w:val="0"/>
              <w:ind w:left="0" w:leftChars="0" w:right="0" w:rightChars="0" w:firstLine="0" w:firstLineChars="0"/>
              <w:rPr>
                <w:rFonts w:hint="default" w:ascii="Times New Roman" w:hAnsi="Times New Roman" w:eastAsia="宋体" w:cs="Times New Roman"/>
                <w:color w:val="auto"/>
                <w:kern w:val="2"/>
                <w:sz w:val="24"/>
                <w:szCs w:val="24"/>
                <w:highlight w:val="none"/>
                <w:u w:val="none" w:color="auto"/>
                <w:vertAlign w:val="baseline"/>
                <w:lang w:val="en-US" w:eastAsia="zh-CN" w:bidi="ar-SA"/>
              </w:rPr>
            </w:pPr>
            <w:r>
              <w:rPr>
                <w:rFonts w:hint="default" w:ascii="Times New Roman" w:hAnsi="Times New Roman" w:eastAsia="宋体" w:cs="Times New Roman"/>
                <w:color w:val="auto"/>
                <w:sz w:val="24"/>
                <w:szCs w:val="24"/>
                <w:highlight w:val="none"/>
                <w:u w:val="none" w:color="auto"/>
                <w:lang w:val="en-US" w:eastAsia="zh-CN"/>
              </w:rPr>
              <w:t>0.004</w:t>
            </w:r>
            <w:r>
              <w:rPr>
                <w:rFonts w:hint="eastAsia" w:ascii="Times New Roman" w:hAnsi="Times New Roman" w:eastAsia="宋体" w:cs="Times New Roman"/>
                <w:color w:val="auto"/>
                <w:sz w:val="24"/>
                <w:szCs w:val="24"/>
                <w:highlight w:val="none"/>
                <w:u w:val="none" w:color="auto"/>
                <w:lang w:val="en-US" w:eastAsia="zh-CN"/>
              </w:rPr>
              <w:t>2</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37CDCCA3">
            <w:pPr>
              <w:adjustRightInd w:val="0"/>
              <w:snapToGrid w:val="0"/>
              <w:spacing w:line="240" w:lineRule="exact"/>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eastAsia" w:cs="Times New Roman"/>
                <w:color w:val="auto"/>
                <w:sz w:val="21"/>
                <w:szCs w:val="21"/>
                <w:highlight w:val="none"/>
                <w:u w:val="none" w:color="auto"/>
                <w:lang w:val="en-US" w:eastAsia="zh-CN"/>
              </w:rPr>
              <w:t>0</w:t>
            </w:r>
          </w:p>
        </w:tc>
      </w:tr>
      <w:tr w14:paraId="6D6F4B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restart"/>
            <w:noWrap w:val="0"/>
            <w:vAlign w:val="center"/>
          </w:tcPr>
          <w:p w14:paraId="3F01D67D">
            <w:pPr>
              <w:jc w:val="center"/>
              <w:rPr>
                <w:rFonts w:hint="default" w:ascii="Times New Roman" w:hAnsi="Times New Roman" w:cs="Times New Roman"/>
                <w:b/>
                <w:bCs/>
                <w:snapToGrid w:val="0"/>
                <w:color w:val="auto"/>
                <w:kern w:val="21"/>
                <w:sz w:val="24"/>
                <w:szCs w:val="24"/>
                <w:highlight w:val="none"/>
                <w:u w:val="none" w:color="auto"/>
              </w:rPr>
            </w:pPr>
            <w:r>
              <w:rPr>
                <w:rFonts w:hint="default" w:ascii="Times New Roman" w:hAnsi="Times New Roman" w:cs="Times New Roman"/>
                <w:b/>
                <w:bCs/>
                <w:snapToGrid w:val="0"/>
                <w:color w:val="auto"/>
                <w:kern w:val="21"/>
                <w:sz w:val="24"/>
                <w:szCs w:val="24"/>
                <w:highlight w:val="none"/>
                <w:u w:val="none" w:color="auto"/>
              </w:rPr>
              <w:t>一般</w:t>
            </w:r>
            <w:r>
              <w:rPr>
                <w:rFonts w:hint="eastAsia" w:ascii="Times New Roman" w:hAnsi="Times New Roman" w:cs="Times New Roman"/>
                <w:b/>
                <w:bCs/>
                <w:snapToGrid w:val="0"/>
                <w:color w:val="auto"/>
                <w:kern w:val="21"/>
                <w:sz w:val="24"/>
                <w:szCs w:val="24"/>
                <w:highlight w:val="none"/>
                <w:u w:val="none" w:color="auto"/>
                <w:lang w:val="en-US" w:eastAsia="zh-CN"/>
              </w:rPr>
              <w:t>固体废</w:t>
            </w:r>
            <w:r>
              <w:rPr>
                <w:rFonts w:hint="default" w:ascii="Times New Roman" w:hAnsi="Times New Roman" w:cs="Times New Roman"/>
                <w:b/>
                <w:bCs/>
                <w:snapToGrid w:val="0"/>
                <w:color w:val="auto"/>
                <w:kern w:val="21"/>
                <w:sz w:val="24"/>
                <w:szCs w:val="24"/>
                <w:highlight w:val="none"/>
                <w:u w:val="none" w:color="auto"/>
              </w:rPr>
              <w:t>物</w:t>
            </w:r>
          </w:p>
        </w:tc>
        <w:tc>
          <w:tcPr>
            <w:tcW w:w="2411" w:type="dxa"/>
            <w:shd w:val="clear" w:color="auto" w:fill="auto"/>
            <w:noWrap w:val="0"/>
            <w:vAlign w:val="center"/>
          </w:tcPr>
          <w:p w14:paraId="3120298C">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kern w:val="2"/>
                <w:sz w:val="21"/>
                <w:szCs w:val="24"/>
                <w:highlight w:val="none"/>
                <w:u w:val="none" w:color="auto"/>
                <w:lang w:val="en-US" w:eastAsia="zh-CN" w:bidi="ar-SA"/>
              </w:rPr>
              <w:t>废角阀</w:t>
            </w:r>
          </w:p>
        </w:tc>
        <w:tc>
          <w:tcPr>
            <w:tcW w:w="1596" w:type="dxa"/>
            <w:shd w:val="clear" w:color="auto" w:fill="auto"/>
            <w:noWrap w:val="0"/>
            <w:vAlign w:val="center"/>
          </w:tcPr>
          <w:p w14:paraId="4D960AC3">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lang w:val="en-US" w:eastAsia="zh-CN"/>
              </w:rPr>
              <w:t>12万只</w:t>
            </w:r>
            <w:r>
              <w:rPr>
                <w:rFonts w:hint="eastAsia" w:ascii="Times New Roman" w:hAnsi="Times New Roman" w:eastAsia="宋体" w:cs="Times New Roman"/>
                <w:color w:val="auto"/>
                <w:highlight w:val="none"/>
                <w:u w:val="none" w:color="auto"/>
                <w:lang w:val="en-US" w:eastAsia="zh-CN"/>
              </w:rPr>
              <w:t>/a</w:t>
            </w:r>
          </w:p>
        </w:tc>
        <w:tc>
          <w:tcPr>
            <w:tcW w:w="1306" w:type="dxa"/>
            <w:noWrap w:val="0"/>
            <w:vAlign w:val="center"/>
          </w:tcPr>
          <w:p w14:paraId="7493A1F0">
            <w:pPr>
              <w:jc w:val="center"/>
              <w:rPr>
                <w:rFonts w:hint="default" w:ascii="Times New Roman" w:hAnsi="Times New Roman" w:eastAsia="宋体" w:cs="Times New Roman"/>
                <w:snapToGrid w:val="0"/>
                <w:color w:val="auto"/>
                <w:kern w:val="21"/>
                <w:sz w:val="24"/>
                <w:szCs w:val="24"/>
                <w:highlight w:val="none"/>
                <w:u w:val="none" w:color="auto"/>
                <w:lang w:val="en-US" w:eastAsia="zh-CN"/>
              </w:rPr>
            </w:pPr>
            <w:r>
              <w:rPr>
                <w:rFonts w:hint="default" w:ascii="Times New Roman" w:hAnsi="Times New Roman" w:cs="Times New Roman"/>
                <w:snapToGrid w:val="0"/>
                <w:color w:val="auto"/>
                <w:kern w:val="21"/>
                <w:sz w:val="24"/>
                <w:szCs w:val="24"/>
                <w:highlight w:val="none"/>
                <w:u w:val="none" w:color="auto"/>
              </w:rPr>
              <w:t>/</w:t>
            </w:r>
          </w:p>
        </w:tc>
        <w:tc>
          <w:tcPr>
            <w:tcW w:w="1741" w:type="dxa"/>
            <w:noWrap w:val="0"/>
            <w:vAlign w:val="center"/>
          </w:tcPr>
          <w:p w14:paraId="45C34E60">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596" w:type="dxa"/>
            <w:shd w:val="clear" w:color="auto" w:fill="auto"/>
            <w:noWrap w:val="0"/>
            <w:vAlign w:val="center"/>
          </w:tcPr>
          <w:p w14:paraId="168F9119">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lang w:val="en-US" w:eastAsia="zh-CN"/>
              </w:rPr>
              <w:t>12万只</w:t>
            </w:r>
            <w:r>
              <w:rPr>
                <w:rFonts w:hint="eastAsia" w:ascii="Times New Roman" w:hAnsi="Times New Roman" w:eastAsia="宋体" w:cs="Times New Roman"/>
                <w:color w:val="auto"/>
                <w:highlight w:val="none"/>
                <w:u w:val="none" w:color="auto"/>
                <w:lang w:val="en-US" w:eastAsia="zh-CN"/>
              </w:rPr>
              <w:t>/a</w:t>
            </w:r>
          </w:p>
        </w:tc>
        <w:tc>
          <w:tcPr>
            <w:tcW w:w="1348" w:type="dxa"/>
            <w:noWrap w:val="0"/>
            <w:vAlign w:val="center"/>
          </w:tcPr>
          <w:p w14:paraId="1FFE9CAA">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805" w:type="dxa"/>
            <w:shd w:val="clear" w:color="auto" w:fill="auto"/>
            <w:noWrap w:val="0"/>
            <w:vAlign w:val="center"/>
          </w:tcPr>
          <w:p w14:paraId="37805254">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lang w:val="en-US" w:eastAsia="zh-CN"/>
              </w:rPr>
              <w:t>12万只</w:t>
            </w:r>
            <w:r>
              <w:rPr>
                <w:rFonts w:hint="eastAsia" w:ascii="Times New Roman" w:hAnsi="Times New Roman" w:eastAsia="宋体" w:cs="Times New Roman"/>
                <w:color w:val="auto"/>
                <w:highlight w:val="none"/>
                <w:u w:val="none" w:color="auto"/>
                <w:lang w:val="en-US" w:eastAsia="zh-CN"/>
              </w:rPr>
              <w:t>/a</w:t>
            </w:r>
          </w:p>
        </w:tc>
        <w:tc>
          <w:tcPr>
            <w:tcW w:w="1501" w:type="dxa"/>
            <w:shd w:val="clear" w:color="auto" w:fill="auto"/>
            <w:noWrap w:val="0"/>
            <w:vAlign w:val="center"/>
          </w:tcPr>
          <w:p w14:paraId="2590C244">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highlight w:val="none"/>
                <w:u w:val="none" w:color="auto"/>
                <w:lang w:val="en-US" w:eastAsia="zh-CN"/>
              </w:rPr>
              <w:t>0</w:t>
            </w:r>
          </w:p>
        </w:tc>
      </w:tr>
      <w:tr w14:paraId="57DD84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continue"/>
            <w:noWrap w:val="0"/>
            <w:vAlign w:val="center"/>
          </w:tcPr>
          <w:p w14:paraId="19CF0A0A">
            <w:pPr>
              <w:jc w:val="center"/>
              <w:rPr>
                <w:rFonts w:hint="default" w:ascii="Times New Roman" w:hAnsi="Times New Roman" w:cs="Times New Roman"/>
                <w:b/>
                <w:bCs/>
                <w:snapToGrid w:val="0"/>
                <w:color w:val="auto"/>
                <w:kern w:val="21"/>
                <w:sz w:val="24"/>
                <w:szCs w:val="24"/>
                <w:highlight w:val="none"/>
                <w:u w:val="none" w:color="auto"/>
              </w:rPr>
            </w:pPr>
          </w:p>
        </w:tc>
        <w:tc>
          <w:tcPr>
            <w:tcW w:w="2411" w:type="dxa"/>
            <w:shd w:val="clear" w:color="auto" w:fill="auto"/>
            <w:noWrap w:val="0"/>
            <w:vAlign w:val="center"/>
          </w:tcPr>
          <w:p w14:paraId="40BC8971">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eastAsia="宋体" w:cs="Times New Roman"/>
                <w:color w:val="auto"/>
                <w:kern w:val="2"/>
                <w:sz w:val="21"/>
                <w:szCs w:val="24"/>
                <w:highlight w:val="none"/>
                <w:u w:val="none" w:color="auto"/>
                <w:lang w:val="en-US" w:eastAsia="zh-CN" w:bidi="ar-SA"/>
              </w:rPr>
              <w:t>收集粉尘</w:t>
            </w:r>
          </w:p>
        </w:tc>
        <w:tc>
          <w:tcPr>
            <w:tcW w:w="1596" w:type="dxa"/>
            <w:shd w:val="clear" w:color="auto" w:fill="auto"/>
            <w:noWrap w:val="0"/>
            <w:vAlign w:val="center"/>
          </w:tcPr>
          <w:p w14:paraId="471C0F08">
            <w:pPr>
              <w:keepNext w:val="0"/>
              <w:keepLines w:val="0"/>
              <w:pageBreakBefore w:val="0"/>
              <w:widowControl/>
              <w:kinsoku/>
              <w:wordWrap/>
              <w:overflowPunct/>
              <w:topLinePunct w:val="0"/>
              <w:bidi w:val="0"/>
              <w:spacing w:line="240" w:lineRule="auto"/>
              <w:ind w:firstLine="0" w:firstLineChars="0"/>
              <w:jc w:val="center"/>
              <w:rPr>
                <w:rFonts w:hint="eastAsia" w:ascii="Times New Roman" w:hAnsi="Times New Roman" w:eastAsia="宋体" w:cs="Times New Roman"/>
                <w:color w:val="auto"/>
                <w:spacing w:val="0"/>
                <w:kern w:val="2"/>
                <w:sz w:val="21"/>
                <w:szCs w:val="21"/>
                <w:u w:val="none" w:color="auto"/>
                <w:lang w:val="en-US" w:eastAsia="zh-CN" w:bidi="ar-SA"/>
              </w:rPr>
            </w:pPr>
            <w:r>
              <w:rPr>
                <w:rFonts w:hint="eastAsia" w:cs="Times New Roman"/>
                <w:color w:val="auto"/>
                <w:spacing w:val="0"/>
                <w:sz w:val="21"/>
                <w:szCs w:val="21"/>
                <w:u w:val="none" w:color="auto"/>
                <w:lang w:val="en-US" w:eastAsia="zh-CN"/>
              </w:rPr>
              <w:t>1.9</w:t>
            </w:r>
            <w:r>
              <w:rPr>
                <w:rFonts w:hint="eastAsia" w:ascii="Times New Roman" w:hAnsi="Times New Roman" w:eastAsia="宋体" w:cs="Times New Roman"/>
                <w:color w:val="auto"/>
                <w:kern w:val="0"/>
                <w:sz w:val="24"/>
                <w:szCs w:val="24"/>
                <w:u w:val="none" w:color="auto"/>
                <w:lang w:val="en-US" w:eastAsia="zh-CN"/>
              </w:rPr>
              <w:t>t/a</w:t>
            </w:r>
          </w:p>
        </w:tc>
        <w:tc>
          <w:tcPr>
            <w:tcW w:w="1306" w:type="dxa"/>
            <w:shd w:val="clear" w:color="auto" w:fill="auto"/>
            <w:noWrap w:val="0"/>
            <w:vAlign w:val="center"/>
          </w:tcPr>
          <w:p w14:paraId="69DB207D">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741" w:type="dxa"/>
            <w:shd w:val="clear" w:color="auto" w:fill="auto"/>
            <w:noWrap w:val="0"/>
            <w:vAlign w:val="center"/>
          </w:tcPr>
          <w:p w14:paraId="306A19E2">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596" w:type="dxa"/>
            <w:shd w:val="clear" w:color="auto" w:fill="auto"/>
            <w:noWrap w:val="0"/>
            <w:vAlign w:val="center"/>
          </w:tcPr>
          <w:p w14:paraId="48E0151C">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1.9</w:t>
            </w:r>
            <w:r>
              <w:rPr>
                <w:rFonts w:hint="eastAsia" w:ascii="Times New Roman" w:hAnsi="Times New Roman" w:eastAsia="宋体" w:cs="Times New Roman"/>
                <w:color w:val="auto"/>
                <w:kern w:val="0"/>
                <w:sz w:val="24"/>
                <w:szCs w:val="24"/>
                <w:u w:val="none" w:color="auto"/>
                <w:lang w:val="en-US" w:eastAsia="zh-CN"/>
              </w:rPr>
              <w:t>t/a</w:t>
            </w:r>
          </w:p>
        </w:tc>
        <w:tc>
          <w:tcPr>
            <w:tcW w:w="1348" w:type="dxa"/>
            <w:shd w:val="clear" w:color="auto" w:fill="auto"/>
            <w:noWrap w:val="0"/>
            <w:vAlign w:val="center"/>
          </w:tcPr>
          <w:p w14:paraId="4AB83B56">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805" w:type="dxa"/>
            <w:shd w:val="clear" w:color="auto" w:fill="auto"/>
            <w:noWrap w:val="0"/>
            <w:vAlign w:val="center"/>
          </w:tcPr>
          <w:p w14:paraId="72B09C3A">
            <w:pPr>
              <w:adjustRightInd w:val="0"/>
              <w:snapToGrid w:val="0"/>
              <w:spacing w:line="240" w:lineRule="exact"/>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lang w:val="en-US" w:eastAsia="zh-CN"/>
              </w:rPr>
              <w:t>1.9</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62A81256">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0</w:t>
            </w:r>
          </w:p>
        </w:tc>
      </w:tr>
      <w:tr w14:paraId="05D810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continue"/>
            <w:noWrap w:val="0"/>
            <w:vAlign w:val="center"/>
          </w:tcPr>
          <w:p w14:paraId="0E9110B6">
            <w:pPr>
              <w:jc w:val="center"/>
              <w:rPr>
                <w:rFonts w:hint="default" w:ascii="Times New Roman" w:hAnsi="Times New Roman" w:cs="Times New Roman"/>
                <w:b/>
                <w:bCs/>
                <w:snapToGrid w:val="0"/>
                <w:color w:val="auto"/>
                <w:kern w:val="21"/>
                <w:sz w:val="24"/>
                <w:szCs w:val="24"/>
                <w:highlight w:val="none"/>
                <w:u w:val="none" w:color="auto"/>
              </w:rPr>
            </w:pPr>
          </w:p>
        </w:tc>
        <w:tc>
          <w:tcPr>
            <w:tcW w:w="2411" w:type="dxa"/>
            <w:shd w:val="clear" w:color="auto" w:fill="auto"/>
            <w:noWrap w:val="0"/>
            <w:vAlign w:val="center"/>
          </w:tcPr>
          <w:p w14:paraId="71A89D41">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kern w:val="2"/>
                <w:sz w:val="21"/>
                <w:szCs w:val="21"/>
                <w:highlight w:val="none"/>
                <w:u w:val="none" w:color="auto"/>
                <w:lang w:val="en-US" w:eastAsia="zh-CN" w:bidi="ar-SA"/>
              </w:rPr>
              <w:t>废布袋</w:t>
            </w:r>
          </w:p>
        </w:tc>
        <w:tc>
          <w:tcPr>
            <w:tcW w:w="1596" w:type="dxa"/>
            <w:shd w:val="clear" w:color="auto" w:fill="auto"/>
            <w:noWrap w:val="0"/>
            <w:vAlign w:val="center"/>
          </w:tcPr>
          <w:p w14:paraId="270DF4D5">
            <w:pPr>
              <w:keepNext w:val="0"/>
              <w:keepLines w:val="0"/>
              <w:pageBreakBefore w:val="0"/>
              <w:widowControl/>
              <w:kinsoku/>
              <w:wordWrap/>
              <w:overflowPunct/>
              <w:topLinePunct w:val="0"/>
              <w:bidi w:val="0"/>
              <w:spacing w:line="240" w:lineRule="auto"/>
              <w:ind w:firstLine="0" w:firstLineChars="0"/>
              <w:jc w:val="center"/>
              <w:rPr>
                <w:rFonts w:hint="eastAsia" w:ascii="Times New Roman" w:hAnsi="Times New Roman" w:eastAsia="宋体" w:cs="Times New Roman"/>
                <w:color w:val="auto"/>
                <w:spacing w:val="0"/>
                <w:kern w:val="2"/>
                <w:sz w:val="21"/>
                <w:szCs w:val="21"/>
                <w:u w:val="none" w:color="auto"/>
                <w:lang w:val="en-US" w:eastAsia="zh-CN" w:bidi="ar-SA"/>
              </w:rPr>
            </w:pPr>
            <w:r>
              <w:rPr>
                <w:rFonts w:hint="eastAsia" w:cs="Times New Roman"/>
                <w:color w:val="auto"/>
                <w:spacing w:val="0"/>
                <w:sz w:val="21"/>
                <w:szCs w:val="21"/>
                <w:u w:val="none" w:color="auto"/>
                <w:lang w:val="en-US" w:eastAsia="zh-CN"/>
              </w:rPr>
              <w:t>0.3</w:t>
            </w:r>
            <w:r>
              <w:rPr>
                <w:rFonts w:hint="eastAsia" w:ascii="Times New Roman" w:hAnsi="Times New Roman" w:eastAsia="宋体" w:cs="Times New Roman"/>
                <w:color w:val="auto"/>
                <w:kern w:val="0"/>
                <w:sz w:val="24"/>
                <w:szCs w:val="24"/>
                <w:u w:val="none" w:color="auto"/>
                <w:lang w:val="en-US" w:eastAsia="zh-CN"/>
              </w:rPr>
              <w:t>t/a</w:t>
            </w:r>
          </w:p>
        </w:tc>
        <w:tc>
          <w:tcPr>
            <w:tcW w:w="1306" w:type="dxa"/>
            <w:shd w:val="clear" w:color="auto" w:fill="auto"/>
            <w:noWrap w:val="0"/>
            <w:vAlign w:val="center"/>
          </w:tcPr>
          <w:p w14:paraId="2199E9EC">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741" w:type="dxa"/>
            <w:shd w:val="clear" w:color="auto" w:fill="auto"/>
            <w:noWrap w:val="0"/>
            <w:vAlign w:val="center"/>
          </w:tcPr>
          <w:p w14:paraId="053E23BA">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596" w:type="dxa"/>
            <w:shd w:val="clear" w:color="auto" w:fill="auto"/>
            <w:noWrap w:val="0"/>
            <w:vAlign w:val="center"/>
          </w:tcPr>
          <w:p w14:paraId="1671A505">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sz w:val="21"/>
                <w:szCs w:val="21"/>
                <w:highlight w:val="none"/>
                <w:u w:val="none" w:color="auto"/>
                <w:lang w:val="en-US" w:eastAsia="zh-CN"/>
              </w:rPr>
              <w:t>0.</w:t>
            </w:r>
            <w:r>
              <w:rPr>
                <w:rFonts w:hint="eastAsia" w:cs="Times New Roman"/>
                <w:color w:val="auto"/>
                <w:sz w:val="21"/>
                <w:szCs w:val="21"/>
                <w:highlight w:val="none"/>
                <w:u w:val="none" w:color="auto"/>
                <w:lang w:val="en-US" w:eastAsia="zh-CN"/>
              </w:rPr>
              <w:t>2</w:t>
            </w:r>
            <w:r>
              <w:rPr>
                <w:rFonts w:hint="eastAsia" w:ascii="Times New Roman" w:hAnsi="Times New Roman" w:eastAsia="宋体" w:cs="Times New Roman"/>
                <w:color w:val="auto"/>
                <w:kern w:val="0"/>
                <w:sz w:val="24"/>
                <w:szCs w:val="24"/>
                <w:u w:val="none" w:color="auto"/>
                <w:lang w:val="en-US" w:eastAsia="zh-CN"/>
              </w:rPr>
              <w:t>t/a</w:t>
            </w:r>
          </w:p>
        </w:tc>
        <w:tc>
          <w:tcPr>
            <w:tcW w:w="1348" w:type="dxa"/>
            <w:shd w:val="clear" w:color="auto" w:fill="auto"/>
            <w:noWrap w:val="0"/>
            <w:vAlign w:val="center"/>
          </w:tcPr>
          <w:p w14:paraId="757E82F7">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805" w:type="dxa"/>
            <w:shd w:val="clear" w:color="auto" w:fill="auto"/>
            <w:noWrap w:val="0"/>
            <w:vAlign w:val="center"/>
          </w:tcPr>
          <w:p w14:paraId="3747F942">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sz w:val="21"/>
                <w:szCs w:val="21"/>
                <w:highlight w:val="none"/>
                <w:u w:val="none" w:color="auto"/>
                <w:lang w:val="en-US" w:eastAsia="zh-CN"/>
              </w:rPr>
              <w:t>0.</w:t>
            </w:r>
            <w:r>
              <w:rPr>
                <w:rFonts w:hint="eastAsia" w:cs="Times New Roman"/>
                <w:color w:val="auto"/>
                <w:sz w:val="21"/>
                <w:szCs w:val="21"/>
                <w:highlight w:val="none"/>
                <w:u w:val="none" w:color="auto"/>
                <w:lang w:val="en-US" w:eastAsia="zh-CN"/>
              </w:rPr>
              <w:t>2</w:t>
            </w:r>
          </w:p>
        </w:tc>
        <w:tc>
          <w:tcPr>
            <w:tcW w:w="1501" w:type="dxa"/>
            <w:shd w:val="clear" w:color="auto" w:fill="auto"/>
            <w:noWrap w:val="0"/>
            <w:vAlign w:val="center"/>
          </w:tcPr>
          <w:p w14:paraId="2BE019FE">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-0.1</w:t>
            </w:r>
            <w:r>
              <w:rPr>
                <w:rFonts w:hint="eastAsia" w:ascii="Times New Roman" w:hAnsi="Times New Roman" w:eastAsia="宋体" w:cs="Times New Roman"/>
                <w:color w:val="auto"/>
                <w:kern w:val="0"/>
                <w:sz w:val="24"/>
                <w:szCs w:val="24"/>
                <w:u w:val="none" w:color="auto"/>
                <w:lang w:val="en-US" w:eastAsia="zh-CN"/>
              </w:rPr>
              <w:t>t/a</w:t>
            </w:r>
          </w:p>
        </w:tc>
      </w:tr>
      <w:tr w14:paraId="4D92ED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continue"/>
            <w:noWrap w:val="0"/>
            <w:vAlign w:val="center"/>
          </w:tcPr>
          <w:p w14:paraId="4817F77A">
            <w:pPr>
              <w:jc w:val="center"/>
              <w:rPr>
                <w:rFonts w:hint="default" w:ascii="Times New Roman" w:hAnsi="Times New Roman" w:cs="Times New Roman"/>
                <w:b/>
                <w:bCs/>
                <w:snapToGrid w:val="0"/>
                <w:color w:val="auto"/>
                <w:kern w:val="21"/>
                <w:sz w:val="24"/>
                <w:szCs w:val="24"/>
                <w:highlight w:val="none"/>
                <w:u w:val="none" w:color="auto"/>
              </w:rPr>
            </w:pPr>
          </w:p>
        </w:tc>
        <w:tc>
          <w:tcPr>
            <w:tcW w:w="2411" w:type="dxa"/>
            <w:shd w:val="clear" w:color="auto" w:fill="auto"/>
            <w:noWrap w:val="0"/>
            <w:vAlign w:val="center"/>
          </w:tcPr>
          <w:p w14:paraId="5851DC80">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灰</w:t>
            </w:r>
            <w:r>
              <w:rPr>
                <w:rFonts w:hint="default" w:ascii="Times New Roman" w:hAnsi="Times New Roman" w:eastAsia="宋体" w:cs="Times New Roman"/>
                <w:color w:val="auto"/>
                <w:kern w:val="2"/>
                <w:sz w:val="21"/>
                <w:szCs w:val="21"/>
                <w:highlight w:val="none"/>
                <w:u w:val="none" w:color="auto"/>
                <w:lang w:val="en-US" w:eastAsia="zh-CN" w:bidi="ar-SA"/>
              </w:rPr>
              <w:t>渣</w:t>
            </w:r>
          </w:p>
        </w:tc>
        <w:tc>
          <w:tcPr>
            <w:tcW w:w="1596" w:type="dxa"/>
            <w:shd w:val="clear" w:color="auto" w:fill="auto"/>
            <w:noWrap w:val="0"/>
            <w:vAlign w:val="center"/>
          </w:tcPr>
          <w:p w14:paraId="03B73536">
            <w:pPr>
              <w:spacing w:line="300" w:lineRule="exact"/>
              <w:jc w:val="center"/>
              <w:rPr>
                <w:rFonts w:hint="eastAsia" w:ascii="Times New Roman" w:hAnsi="Times New Roman" w:eastAsia="宋体" w:cs="Times New Roman"/>
                <w:color w:val="auto"/>
                <w:kern w:val="2"/>
                <w:sz w:val="21"/>
                <w:szCs w:val="21"/>
                <w:u w:val="none" w:color="auto"/>
                <w:lang w:val="en-US" w:eastAsia="zh-CN" w:bidi="ar-SA"/>
              </w:rPr>
            </w:pPr>
            <w:r>
              <w:rPr>
                <w:rFonts w:hint="eastAsia"/>
                <w:color w:val="auto"/>
                <w:szCs w:val="21"/>
                <w:u w:val="none" w:color="auto"/>
                <w:lang w:val="en-US" w:eastAsia="zh-CN"/>
              </w:rPr>
              <w:t>6.93</w:t>
            </w:r>
            <w:r>
              <w:rPr>
                <w:rFonts w:hint="eastAsia" w:ascii="Times New Roman" w:hAnsi="Times New Roman" w:eastAsia="宋体" w:cs="Times New Roman"/>
                <w:color w:val="auto"/>
                <w:kern w:val="0"/>
                <w:sz w:val="24"/>
                <w:szCs w:val="24"/>
                <w:u w:val="none" w:color="auto"/>
                <w:lang w:val="en-US" w:eastAsia="zh-CN"/>
              </w:rPr>
              <w:t>t/a</w:t>
            </w:r>
          </w:p>
        </w:tc>
        <w:tc>
          <w:tcPr>
            <w:tcW w:w="1306" w:type="dxa"/>
            <w:shd w:val="clear" w:color="auto" w:fill="auto"/>
            <w:noWrap w:val="0"/>
            <w:vAlign w:val="center"/>
          </w:tcPr>
          <w:p w14:paraId="0C3ADB70">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741" w:type="dxa"/>
            <w:shd w:val="clear" w:color="auto" w:fill="auto"/>
            <w:noWrap w:val="0"/>
            <w:vAlign w:val="center"/>
          </w:tcPr>
          <w:p w14:paraId="45CBA6E0">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596" w:type="dxa"/>
            <w:shd w:val="clear" w:color="auto" w:fill="auto"/>
            <w:noWrap w:val="0"/>
            <w:vAlign w:val="center"/>
          </w:tcPr>
          <w:p w14:paraId="386A985B">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6.93</w:t>
            </w:r>
            <w:r>
              <w:rPr>
                <w:rFonts w:hint="eastAsia" w:ascii="Times New Roman" w:hAnsi="Times New Roman" w:eastAsia="宋体" w:cs="Times New Roman"/>
                <w:color w:val="auto"/>
                <w:kern w:val="0"/>
                <w:sz w:val="24"/>
                <w:szCs w:val="24"/>
                <w:u w:val="none" w:color="auto"/>
                <w:lang w:val="en-US" w:eastAsia="zh-CN"/>
              </w:rPr>
              <w:t>t/a</w:t>
            </w:r>
          </w:p>
        </w:tc>
        <w:tc>
          <w:tcPr>
            <w:tcW w:w="1348" w:type="dxa"/>
            <w:shd w:val="clear" w:color="auto" w:fill="auto"/>
            <w:noWrap w:val="0"/>
            <w:vAlign w:val="center"/>
          </w:tcPr>
          <w:p w14:paraId="45BD2ED5">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805" w:type="dxa"/>
            <w:shd w:val="clear" w:color="auto" w:fill="auto"/>
            <w:noWrap w:val="0"/>
            <w:vAlign w:val="center"/>
          </w:tcPr>
          <w:p w14:paraId="0D7AB751">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6.93</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54FFE3AF">
            <w:pPr>
              <w:adjustRightInd w:val="0"/>
              <w:snapToGrid w:val="0"/>
              <w:spacing w:line="240" w:lineRule="exact"/>
              <w:jc w:val="center"/>
              <w:rPr>
                <w:rFonts w:hint="eastAsia" w:ascii="Times New Roman" w:hAnsi="Times New Roman" w:eastAsia="Times New Roman" w:cs="Times New Roman"/>
                <w:snapToGrid w:val="0"/>
                <w:color w:val="auto"/>
                <w:kern w:val="0"/>
                <w:sz w:val="21"/>
                <w:szCs w:val="21"/>
                <w:highlight w:val="none"/>
                <w:u w:val="none" w:color="auto"/>
                <w:shd w:val="clear" w:color="auto" w:fill="auto"/>
                <w:lang w:val="en-US" w:eastAsia="zh-CN" w:bidi="en-US"/>
              </w:rPr>
            </w:pPr>
            <w:r>
              <w:rPr>
                <w:rFonts w:hint="eastAsia" w:cs="Times New Roman"/>
                <w:color w:val="auto"/>
                <w:sz w:val="21"/>
                <w:szCs w:val="21"/>
                <w:highlight w:val="none"/>
                <w:u w:val="none" w:color="auto"/>
                <w:lang w:val="en-US" w:eastAsia="zh-CN"/>
              </w:rPr>
              <w:t>0</w:t>
            </w:r>
          </w:p>
        </w:tc>
      </w:tr>
      <w:tr w14:paraId="5DAA5A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continue"/>
            <w:noWrap w:val="0"/>
            <w:vAlign w:val="center"/>
          </w:tcPr>
          <w:p w14:paraId="6B27C00D">
            <w:pPr>
              <w:jc w:val="center"/>
              <w:rPr>
                <w:rFonts w:hint="default" w:ascii="Times New Roman" w:hAnsi="Times New Roman" w:cs="Times New Roman"/>
                <w:b/>
                <w:bCs/>
                <w:snapToGrid w:val="0"/>
                <w:color w:val="auto"/>
                <w:kern w:val="21"/>
                <w:sz w:val="24"/>
                <w:szCs w:val="24"/>
                <w:highlight w:val="none"/>
                <w:u w:val="none" w:color="auto"/>
              </w:rPr>
            </w:pPr>
          </w:p>
        </w:tc>
        <w:tc>
          <w:tcPr>
            <w:tcW w:w="2411" w:type="dxa"/>
            <w:shd w:val="clear" w:color="auto" w:fill="auto"/>
            <w:noWrap w:val="0"/>
            <w:vAlign w:val="center"/>
          </w:tcPr>
          <w:p w14:paraId="66199771">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废包装材料</w:t>
            </w:r>
          </w:p>
        </w:tc>
        <w:tc>
          <w:tcPr>
            <w:tcW w:w="1596" w:type="dxa"/>
            <w:shd w:val="clear" w:color="auto" w:fill="auto"/>
            <w:noWrap w:val="0"/>
            <w:vAlign w:val="center"/>
          </w:tcPr>
          <w:p w14:paraId="603D0D87">
            <w:pPr>
              <w:spacing w:line="300" w:lineRule="exact"/>
              <w:jc w:val="center"/>
              <w:rPr>
                <w:rFonts w:hint="eastAsia" w:ascii="Times New Roman" w:hAnsi="Times New Roman" w:eastAsia="宋体" w:cs="Times New Roman"/>
                <w:color w:val="auto"/>
                <w:kern w:val="2"/>
                <w:sz w:val="21"/>
                <w:szCs w:val="21"/>
                <w:u w:val="none" w:color="auto"/>
                <w:lang w:val="en-US" w:eastAsia="zh-CN" w:bidi="ar-SA"/>
              </w:rPr>
            </w:pPr>
            <w:r>
              <w:rPr>
                <w:rFonts w:hint="eastAsia"/>
                <w:color w:val="auto"/>
                <w:szCs w:val="21"/>
                <w:u w:val="none" w:color="auto"/>
                <w:lang w:val="en-US" w:eastAsia="zh-CN"/>
              </w:rPr>
              <w:t>0.2</w:t>
            </w:r>
            <w:r>
              <w:rPr>
                <w:rFonts w:hint="eastAsia" w:ascii="Times New Roman" w:hAnsi="Times New Roman" w:eastAsia="宋体" w:cs="Times New Roman"/>
                <w:color w:val="auto"/>
                <w:kern w:val="0"/>
                <w:sz w:val="24"/>
                <w:szCs w:val="24"/>
                <w:u w:val="none" w:color="auto"/>
                <w:lang w:val="en-US" w:eastAsia="zh-CN"/>
              </w:rPr>
              <w:t>t/a</w:t>
            </w:r>
          </w:p>
        </w:tc>
        <w:tc>
          <w:tcPr>
            <w:tcW w:w="1306" w:type="dxa"/>
            <w:shd w:val="clear" w:color="auto" w:fill="auto"/>
            <w:noWrap w:val="0"/>
            <w:vAlign w:val="center"/>
          </w:tcPr>
          <w:p w14:paraId="57C76D20">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741" w:type="dxa"/>
            <w:shd w:val="clear" w:color="auto" w:fill="auto"/>
            <w:noWrap w:val="0"/>
            <w:vAlign w:val="center"/>
          </w:tcPr>
          <w:p w14:paraId="2D331E13">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596" w:type="dxa"/>
            <w:shd w:val="clear" w:color="auto" w:fill="auto"/>
            <w:noWrap w:val="0"/>
            <w:vAlign w:val="center"/>
          </w:tcPr>
          <w:p w14:paraId="7AD7AB78">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0.3</w:t>
            </w:r>
            <w:r>
              <w:rPr>
                <w:rFonts w:hint="eastAsia" w:ascii="Times New Roman" w:hAnsi="Times New Roman" w:eastAsia="宋体" w:cs="Times New Roman"/>
                <w:color w:val="auto"/>
                <w:kern w:val="0"/>
                <w:sz w:val="24"/>
                <w:szCs w:val="24"/>
                <w:u w:val="none" w:color="auto"/>
                <w:lang w:val="en-US" w:eastAsia="zh-CN"/>
              </w:rPr>
              <w:t>t/a</w:t>
            </w:r>
          </w:p>
        </w:tc>
        <w:tc>
          <w:tcPr>
            <w:tcW w:w="1348" w:type="dxa"/>
            <w:shd w:val="clear" w:color="auto" w:fill="auto"/>
            <w:noWrap w:val="0"/>
            <w:vAlign w:val="center"/>
          </w:tcPr>
          <w:p w14:paraId="22CFDDF8">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805" w:type="dxa"/>
            <w:shd w:val="clear" w:color="auto" w:fill="auto"/>
            <w:noWrap w:val="0"/>
            <w:vAlign w:val="center"/>
          </w:tcPr>
          <w:p w14:paraId="76DE0D37">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0.3</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7826AD74">
            <w:pPr>
              <w:adjustRightInd w:val="0"/>
              <w:snapToGrid w:val="0"/>
              <w:spacing w:line="240" w:lineRule="exact"/>
              <w:jc w:val="center"/>
              <w:rPr>
                <w:rFonts w:hint="eastAsia" w:ascii="Times New Roman" w:hAnsi="Times New Roman" w:eastAsia="Times New Roman" w:cs="Times New Roman"/>
                <w:snapToGrid w:val="0"/>
                <w:color w:val="auto"/>
                <w:kern w:val="0"/>
                <w:sz w:val="21"/>
                <w:szCs w:val="21"/>
                <w:highlight w:val="none"/>
                <w:u w:val="none" w:color="auto"/>
                <w:shd w:val="clear" w:color="auto" w:fill="auto"/>
                <w:lang w:val="en-US" w:eastAsia="zh-CN" w:bidi="en-US"/>
              </w:rPr>
            </w:pPr>
            <w:r>
              <w:rPr>
                <w:rFonts w:hint="eastAsia" w:eastAsia="Times New Roman" w:cs="Times New Roman"/>
                <w:snapToGrid w:val="0"/>
                <w:color w:val="auto"/>
                <w:kern w:val="0"/>
                <w:sz w:val="21"/>
                <w:szCs w:val="21"/>
                <w:highlight w:val="none"/>
                <w:u w:val="none" w:color="auto"/>
                <w:shd w:val="clear" w:color="auto" w:fill="auto"/>
                <w:lang w:val="en-US" w:eastAsia="zh-CN" w:bidi="en-US"/>
              </w:rPr>
              <w:t>+0.1</w:t>
            </w:r>
            <w:r>
              <w:rPr>
                <w:rFonts w:hint="eastAsia" w:ascii="Times New Roman" w:hAnsi="Times New Roman" w:eastAsia="宋体" w:cs="Times New Roman"/>
                <w:color w:val="auto"/>
                <w:kern w:val="0"/>
                <w:sz w:val="24"/>
                <w:szCs w:val="24"/>
                <w:u w:val="none" w:color="auto"/>
                <w:lang w:val="en-US" w:eastAsia="zh-CN"/>
              </w:rPr>
              <w:t>t/a</w:t>
            </w:r>
          </w:p>
        </w:tc>
      </w:tr>
      <w:tr w14:paraId="05B2A3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restart"/>
            <w:tcBorders>
              <w:top w:val="single" w:color="auto" w:sz="4" w:space="0"/>
            </w:tcBorders>
            <w:noWrap w:val="0"/>
            <w:vAlign w:val="center"/>
          </w:tcPr>
          <w:p w14:paraId="0DCA2628">
            <w:pPr>
              <w:jc w:val="center"/>
              <w:rPr>
                <w:rFonts w:hint="default" w:ascii="Times New Roman" w:hAnsi="Times New Roman" w:cs="Times New Roman"/>
                <w:b/>
                <w:bCs/>
                <w:snapToGrid w:val="0"/>
                <w:color w:val="auto"/>
                <w:kern w:val="21"/>
                <w:sz w:val="24"/>
                <w:szCs w:val="24"/>
                <w:highlight w:val="none"/>
                <w:u w:val="none" w:color="auto"/>
              </w:rPr>
            </w:pPr>
            <w:r>
              <w:rPr>
                <w:rFonts w:hint="default" w:ascii="Times New Roman" w:hAnsi="Times New Roman" w:cs="Times New Roman"/>
                <w:b/>
                <w:bCs/>
                <w:snapToGrid w:val="0"/>
                <w:color w:val="auto"/>
                <w:kern w:val="21"/>
                <w:sz w:val="24"/>
                <w:szCs w:val="24"/>
                <w:highlight w:val="none"/>
                <w:u w:val="none" w:color="auto"/>
              </w:rPr>
              <w:t>危险废物</w:t>
            </w:r>
          </w:p>
        </w:tc>
        <w:tc>
          <w:tcPr>
            <w:tcW w:w="2411" w:type="dxa"/>
            <w:shd w:val="clear" w:color="auto" w:fill="auto"/>
            <w:noWrap w:val="0"/>
            <w:vAlign w:val="center"/>
          </w:tcPr>
          <w:p w14:paraId="611D0190">
            <w:pPr>
              <w:adjustRightInd w:val="0"/>
              <w:snapToGrid w:val="0"/>
              <w:spacing w:line="240" w:lineRule="exact"/>
              <w:jc w:val="center"/>
              <w:rPr>
                <w:rFonts w:hint="eastAsia" w:ascii="Times New Roman" w:hAnsi="Times New Roman" w:eastAsia="宋体" w:cs="Times New Roman"/>
                <w:color w:val="auto"/>
                <w:spacing w:val="0"/>
                <w:kern w:val="2"/>
                <w:sz w:val="21"/>
                <w:szCs w:val="21"/>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废机油</w:t>
            </w:r>
          </w:p>
        </w:tc>
        <w:tc>
          <w:tcPr>
            <w:tcW w:w="1596" w:type="dxa"/>
            <w:shd w:val="clear" w:color="auto" w:fill="auto"/>
            <w:noWrap w:val="0"/>
            <w:vAlign w:val="center"/>
          </w:tcPr>
          <w:p w14:paraId="20505261">
            <w:pPr>
              <w:adjustRightInd w:val="0"/>
              <w:snapToGrid w:val="0"/>
              <w:spacing w:line="240" w:lineRule="exact"/>
              <w:jc w:val="center"/>
              <w:rPr>
                <w:rFonts w:hint="default" w:ascii="Times New Roman" w:hAnsi="Times New Roman" w:eastAsia="宋体" w:cs="Times New Roman"/>
                <w:color w:val="auto"/>
                <w:spacing w:val="0"/>
                <w:kern w:val="2"/>
                <w:sz w:val="21"/>
                <w:szCs w:val="21"/>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0.0</w:t>
            </w:r>
            <w:r>
              <w:rPr>
                <w:rFonts w:hint="eastAsia" w:ascii="Times New Roman" w:hAnsi="Times New Roman" w:eastAsia="宋体" w:cs="Times New Roman"/>
                <w:color w:val="auto"/>
                <w:kern w:val="2"/>
                <w:sz w:val="21"/>
                <w:szCs w:val="21"/>
                <w:highlight w:val="none"/>
                <w:u w:val="none" w:color="auto"/>
                <w:lang w:val="en-US" w:eastAsia="zh-CN" w:bidi="ar-SA"/>
              </w:rPr>
              <w:t>1</w:t>
            </w:r>
            <w:r>
              <w:rPr>
                <w:rFonts w:hint="eastAsia" w:ascii="Times New Roman" w:hAnsi="Times New Roman" w:eastAsia="宋体" w:cs="Times New Roman"/>
                <w:color w:val="auto"/>
                <w:kern w:val="0"/>
                <w:sz w:val="24"/>
                <w:szCs w:val="24"/>
                <w:u w:val="none" w:color="auto"/>
                <w:lang w:val="en-US" w:eastAsia="zh-CN"/>
              </w:rPr>
              <w:t>t/a</w:t>
            </w:r>
          </w:p>
        </w:tc>
        <w:tc>
          <w:tcPr>
            <w:tcW w:w="1306" w:type="dxa"/>
            <w:shd w:val="clear" w:color="auto" w:fill="auto"/>
            <w:noWrap w:val="0"/>
            <w:vAlign w:val="center"/>
          </w:tcPr>
          <w:p w14:paraId="53929666">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741" w:type="dxa"/>
            <w:shd w:val="clear" w:color="auto" w:fill="auto"/>
            <w:noWrap w:val="0"/>
            <w:vAlign w:val="center"/>
          </w:tcPr>
          <w:p w14:paraId="4CE26CDF">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596" w:type="dxa"/>
            <w:shd w:val="clear" w:color="auto" w:fill="auto"/>
            <w:noWrap w:val="0"/>
            <w:vAlign w:val="center"/>
          </w:tcPr>
          <w:p w14:paraId="3C794A3F">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0.0</w:t>
            </w:r>
            <w:r>
              <w:rPr>
                <w:rFonts w:hint="eastAsia" w:ascii="Times New Roman" w:hAnsi="Times New Roman" w:eastAsia="宋体" w:cs="Times New Roman"/>
                <w:color w:val="auto"/>
                <w:kern w:val="2"/>
                <w:sz w:val="21"/>
                <w:szCs w:val="21"/>
                <w:highlight w:val="none"/>
                <w:u w:val="none" w:color="auto"/>
                <w:lang w:val="en-US" w:eastAsia="zh-CN" w:bidi="ar-SA"/>
              </w:rPr>
              <w:t>1</w:t>
            </w:r>
            <w:r>
              <w:rPr>
                <w:rFonts w:hint="eastAsia" w:ascii="Times New Roman" w:hAnsi="Times New Roman" w:eastAsia="宋体" w:cs="Times New Roman"/>
                <w:color w:val="auto"/>
                <w:kern w:val="0"/>
                <w:sz w:val="24"/>
                <w:szCs w:val="24"/>
                <w:u w:val="none" w:color="auto"/>
                <w:lang w:val="en-US" w:eastAsia="zh-CN"/>
              </w:rPr>
              <w:t>t/a</w:t>
            </w:r>
          </w:p>
        </w:tc>
        <w:tc>
          <w:tcPr>
            <w:tcW w:w="1348" w:type="dxa"/>
            <w:shd w:val="clear" w:color="auto" w:fill="auto"/>
            <w:noWrap w:val="0"/>
            <w:vAlign w:val="center"/>
          </w:tcPr>
          <w:p w14:paraId="6DC5DDA3">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805" w:type="dxa"/>
            <w:shd w:val="clear" w:color="auto" w:fill="auto"/>
            <w:noWrap w:val="0"/>
            <w:vAlign w:val="center"/>
          </w:tcPr>
          <w:p w14:paraId="4E493F28">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0.0</w:t>
            </w:r>
            <w:r>
              <w:rPr>
                <w:rFonts w:hint="eastAsia" w:ascii="Times New Roman" w:hAnsi="Times New Roman" w:eastAsia="宋体" w:cs="Times New Roman"/>
                <w:color w:val="auto"/>
                <w:kern w:val="2"/>
                <w:sz w:val="21"/>
                <w:szCs w:val="21"/>
                <w:highlight w:val="none"/>
                <w:u w:val="none" w:color="auto"/>
                <w:lang w:val="en-US" w:eastAsia="zh-CN" w:bidi="ar-SA"/>
              </w:rPr>
              <w:t>1</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09F2EFFC">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0</w:t>
            </w:r>
          </w:p>
        </w:tc>
      </w:tr>
      <w:tr w14:paraId="72A25E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vMerge w:val="continue"/>
            <w:noWrap w:val="0"/>
            <w:vAlign w:val="center"/>
          </w:tcPr>
          <w:p w14:paraId="312070FF">
            <w:pPr>
              <w:jc w:val="center"/>
              <w:rPr>
                <w:rFonts w:hint="default" w:ascii="Times New Roman" w:hAnsi="Times New Roman" w:cs="Times New Roman"/>
                <w:b/>
                <w:bCs/>
                <w:snapToGrid w:val="0"/>
                <w:color w:val="auto"/>
                <w:kern w:val="21"/>
                <w:sz w:val="24"/>
                <w:szCs w:val="24"/>
                <w:highlight w:val="none"/>
                <w:u w:val="none" w:color="auto"/>
              </w:rPr>
            </w:pPr>
          </w:p>
        </w:tc>
        <w:tc>
          <w:tcPr>
            <w:tcW w:w="2411" w:type="dxa"/>
            <w:shd w:val="clear" w:color="auto" w:fill="auto"/>
            <w:noWrap w:val="0"/>
            <w:vAlign w:val="center"/>
          </w:tcPr>
          <w:p w14:paraId="3EBF96E1">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kern w:val="2"/>
                <w:sz w:val="21"/>
                <w:szCs w:val="24"/>
                <w:highlight w:val="none"/>
                <w:u w:val="none" w:color="auto"/>
                <w:lang w:val="en-US" w:eastAsia="zh-CN" w:bidi="ar-SA"/>
              </w:rPr>
              <w:t>废机油桶</w:t>
            </w:r>
          </w:p>
        </w:tc>
        <w:tc>
          <w:tcPr>
            <w:tcW w:w="1596" w:type="dxa"/>
            <w:shd w:val="clear" w:color="auto" w:fill="auto"/>
            <w:noWrap w:val="0"/>
            <w:vAlign w:val="center"/>
          </w:tcPr>
          <w:p w14:paraId="485C5717">
            <w:pPr>
              <w:adjustRightInd w:val="0"/>
              <w:snapToGrid w:val="0"/>
              <w:spacing w:line="240" w:lineRule="exact"/>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eastAsia" w:ascii="Times New Roman" w:hAnsi="Times New Roman" w:eastAsia="宋体" w:cs="Times New Roman"/>
                <w:color w:val="auto"/>
                <w:kern w:val="2"/>
                <w:sz w:val="21"/>
                <w:szCs w:val="24"/>
                <w:highlight w:val="none"/>
                <w:u w:val="none" w:color="auto"/>
                <w:lang w:val="en-US" w:eastAsia="zh-CN" w:bidi="ar-SA"/>
              </w:rPr>
              <w:t>0.</w:t>
            </w:r>
            <w:r>
              <w:rPr>
                <w:rFonts w:hint="eastAsia" w:cs="Times New Roman"/>
                <w:color w:val="auto"/>
                <w:kern w:val="2"/>
                <w:sz w:val="21"/>
                <w:szCs w:val="24"/>
                <w:highlight w:val="none"/>
                <w:u w:val="none" w:color="auto"/>
                <w:lang w:val="en-US" w:eastAsia="zh-CN" w:bidi="ar-SA"/>
              </w:rPr>
              <w:t>05</w:t>
            </w:r>
            <w:r>
              <w:rPr>
                <w:rFonts w:hint="eastAsia" w:ascii="Times New Roman" w:hAnsi="Times New Roman" w:eastAsia="宋体" w:cs="Times New Roman"/>
                <w:color w:val="auto"/>
                <w:kern w:val="0"/>
                <w:sz w:val="24"/>
                <w:szCs w:val="24"/>
                <w:u w:val="none" w:color="auto"/>
                <w:lang w:val="en-US" w:eastAsia="zh-CN"/>
              </w:rPr>
              <w:t>t/a</w:t>
            </w:r>
          </w:p>
        </w:tc>
        <w:tc>
          <w:tcPr>
            <w:tcW w:w="1306" w:type="dxa"/>
            <w:shd w:val="clear" w:color="auto" w:fill="auto"/>
            <w:noWrap w:val="0"/>
            <w:vAlign w:val="center"/>
          </w:tcPr>
          <w:p w14:paraId="72C7AE86">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741" w:type="dxa"/>
            <w:shd w:val="clear" w:color="auto" w:fill="auto"/>
            <w:noWrap w:val="0"/>
            <w:vAlign w:val="center"/>
          </w:tcPr>
          <w:p w14:paraId="23BF471D">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596" w:type="dxa"/>
            <w:shd w:val="clear" w:color="auto" w:fill="auto"/>
            <w:noWrap w:val="0"/>
            <w:vAlign w:val="center"/>
          </w:tcPr>
          <w:p w14:paraId="7EC9602B">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kern w:val="2"/>
                <w:sz w:val="21"/>
                <w:szCs w:val="24"/>
                <w:highlight w:val="none"/>
                <w:u w:val="none" w:color="auto"/>
                <w:lang w:val="en-US" w:eastAsia="zh-CN" w:bidi="ar-SA"/>
              </w:rPr>
              <w:t>0.</w:t>
            </w:r>
            <w:r>
              <w:rPr>
                <w:rFonts w:hint="eastAsia" w:cs="Times New Roman"/>
                <w:color w:val="auto"/>
                <w:kern w:val="2"/>
                <w:sz w:val="21"/>
                <w:szCs w:val="24"/>
                <w:highlight w:val="none"/>
                <w:u w:val="none" w:color="auto"/>
                <w:lang w:val="en-US" w:eastAsia="zh-CN" w:bidi="ar-SA"/>
              </w:rPr>
              <w:t>05</w:t>
            </w:r>
            <w:r>
              <w:rPr>
                <w:rFonts w:hint="eastAsia" w:ascii="Times New Roman" w:hAnsi="Times New Roman" w:eastAsia="宋体" w:cs="Times New Roman"/>
                <w:color w:val="auto"/>
                <w:kern w:val="0"/>
                <w:sz w:val="24"/>
                <w:szCs w:val="24"/>
                <w:u w:val="none" w:color="auto"/>
                <w:lang w:val="en-US" w:eastAsia="zh-CN"/>
              </w:rPr>
              <w:t>t/a</w:t>
            </w:r>
          </w:p>
        </w:tc>
        <w:tc>
          <w:tcPr>
            <w:tcW w:w="1348" w:type="dxa"/>
            <w:shd w:val="clear" w:color="auto" w:fill="auto"/>
            <w:noWrap w:val="0"/>
            <w:vAlign w:val="center"/>
          </w:tcPr>
          <w:p w14:paraId="68481A1E">
            <w:pPr>
              <w:jc w:val="center"/>
              <w:rPr>
                <w:rFonts w:hint="default" w:ascii="Times New Roman" w:hAnsi="Times New Roman" w:eastAsia="宋体" w:cs="Times New Roman"/>
                <w:snapToGrid w:val="0"/>
                <w:color w:val="auto"/>
                <w:kern w:val="21"/>
                <w:sz w:val="24"/>
                <w:szCs w:val="24"/>
                <w:highlight w:val="none"/>
                <w:u w:val="none" w:color="auto"/>
                <w:lang w:val="en-US" w:eastAsia="zh-CN" w:bidi="ar-SA"/>
              </w:rPr>
            </w:pPr>
            <w:r>
              <w:rPr>
                <w:rFonts w:hint="default" w:ascii="Times New Roman" w:hAnsi="Times New Roman" w:cs="Times New Roman"/>
                <w:snapToGrid w:val="0"/>
                <w:color w:val="auto"/>
                <w:kern w:val="21"/>
                <w:sz w:val="24"/>
                <w:szCs w:val="24"/>
                <w:highlight w:val="none"/>
                <w:u w:val="none" w:color="auto"/>
              </w:rPr>
              <w:t>/</w:t>
            </w:r>
          </w:p>
        </w:tc>
        <w:tc>
          <w:tcPr>
            <w:tcW w:w="1805" w:type="dxa"/>
            <w:shd w:val="clear" w:color="auto" w:fill="auto"/>
            <w:noWrap w:val="0"/>
            <w:vAlign w:val="center"/>
          </w:tcPr>
          <w:p w14:paraId="33F48B33">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kern w:val="2"/>
                <w:sz w:val="21"/>
                <w:szCs w:val="24"/>
                <w:highlight w:val="none"/>
                <w:u w:val="none" w:color="auto"/>
                <w:lang w:val="en-US" w:eastAsia="zh-CN" w:bidi="ar-SA"/>
              </w:rPr>
              <w:t>0.</w:t>
            </w:r>
            <w:r>
              <w:rPr>
                <w:rFonts w:hint="eastAsia" w:cs="Times New Roman"/>
                <w:color w:val="auto"/>
                <w:kern w:val="2"/>
                <w:sz w:val="21"/>
                <w:szCs w:val="24"/>
                <w:highlight w:val="none"/>
                <w:u w:val="none" w:color="auto"/>
                <w:lang w:val="en-US" w:eastAsia="zh-CN" w:bidi="ar-SA"/>
              </w:rPr>
              <w:t>05</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15270B5C">
            <w:pPr>
              <w:adjustRightInd w:val="0"/>
              <w:snapToGrid w:val="0"/>
              <w:spacing w:line="240" w:lineRule="exact"/>
              <w:jc w:val="center"/>
              <w:rPr>
                <w:rFonts w:hint="eastAsia"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0</w:t>
            </w:r>
          </w:p>
        </w:tc>
      </w:tr>
      <w:tr w14:paraId="500C22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811" w:type="dxa"/>
            <w:noWrap w:val="0"/>
            <w:vAlign w:val="center"/>
          </w:tcPr>
          <w:p w14:paraId="2D52CF4E">
            <w:pPr>
              <w:jc w:val="center"/>
              <w:rPr>
                <w:rFonts w:hint="default" w:ascii="Times New Roman" w:hAnsi="Times New Roman" w:cs="Times New Roman"/>
                <w:b/>
                <w:bCs/>
                <w:snapToGrid w:val="0"/>
                <w:color w:val="auto"/>
                <w:kern w:val="21"/>
                <w:sz w:val="24"/>
                <w:szCs w:val="24"/>
                <w:highlight w:val="none"/>
                <w:u w:val="none" w:color="auto"/>
              </w:rPr>
            </w:pPr>
            <w:r>
              <w:rPr>
                <w:rFonts w:hint="default" w:ascii="Times New Roman" w:hAnsi="Times New Roman" w:cs="Times New Roman"/>
                <w:b/>
                <w:bCs/>
                <w:snapToGrid w:val="0"/>
                <w:color w:val="auto"/>
                <w:kern w:val="21"/>
                <w:sz w:val="24"/>
                <w:szCs w:val="24"/>
                <w:highlight w:val="none"/>
                <w:u w:val="none" w:color="auto"/>
              </w:rPr>
              <w:t>生活垃圾</w:t>
            </w:r>
          </w:p>
        </w:tc>
        <w:tc>
          <w:tcPr>
            <w:tcW w:w="2411" w:type="dxa"/>
            <w:shd w:val="clear" w:color="auto" w:fill="auto"/>
            <w:noWrap w:val="0"/>
            <w:vAlign w:val="center"/>
          </w:tcPr>
          <w:p w14:paraId="58710BAC">
            <w:pPr>
              <w:pStyle w:val="46"/>
              <w:bidi w:val="0"/>
              <w:ind w:left="0" w:leftChars="0" w:right="0" w:rightChars="0" w:firstLine="0" w:firstLineChars="0"/>
              <w:rPr>
                <w:rFonts w:hint="default" w:ascii="Times New Roman" w:hAnsi="Times New Roman" w:eastAsia="宋体" w:cs="Times New Roman"/>
                <w:color w:val="auto"/>
                <w:kern w:val="0"/>
                <w:sz w:val="21"/>
                <w:szCs w:val="21"/>
                <w:highlight w:val="none"/>
                <w:u w:val="none" w:color="auto"/>
                <w:vertAlign w:val="baseline"/>
                <w:lang w:val="en-US" w:eastAsia="zh-CN" w:bidi="ar-SA"/>
              </w:rPr>
            </w:pPr>
            <w:r>
              <w:rPr>
                <w:rFonts w:hint="default" w:ascii="Times New Roman" w:hAnsi="Times New Roman" w:cs="Times New Roman"/>
                <w:color w:val="auto"/>
                <w:sz w:val="21"/>
                <w:szCs w:val="21"/>
                <w:highlight w:val="none"/>
                <w:u w:val="none" w:color="auto"/>
                <w:lang w:val="en-US" w:eastAsia="zh-CN"/>
              </w:rPr>
              <w:t>生活垃圾</w:t>
            </w:r>
          </w:p>
        </w:tc>
        <w:tc>
          <w:tcPr>
            <w:tcW w:w="1596" w:type="dxa"/>
            <w:shd w:val="clear" w:color="auto" w:fill="auto"/>
            <w:noWrap w:val="0"/>
            <w:vAlign w:val="center"/>
          </w:tcPr>
          <w:p w14:paraId="18E4AA19">
            <w:pPr>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snapToGrid w:val="0"/>
                <w:color w:val="auto"/>
                <w:kern w:val="21"/>
                <w:sz w:val="21"/>
                <w:szCs w:val="21"/>
                <w:highlight w:val="none"/>
                <w:u w:val="none" w:color="auto"/>
                <w:lang w:val="en-US" w:eastAsia="zh-CN"/>
              </w:rPr>
              <w:t>1.5</w:t>
            </w:r>
            <w:r>
              <w:rPr>
                <w:rFonts w:hint="eastAsia" w:ascii="Times New Roman" w:hAnsi="Times New Roman" w:eastAsia="宋体" w:cs="Times New Roman"/>
                <w:color w:val="auto"/>
                <w:kern w:val="0"/>
                <w:sz w:val="24"/>
                <w:szCs w:val="24"/>
                <w:u w:val="none" w:color="auto"/>
                <w:lang w:val="en-US" w:eastAsia="zh-CN"/>
              </w:rPr>
              <w:t>t/a</w:t>
            </w:r>
          </w:p>
        </w:tc>
        <w:tc>
          <w:tcPr>
            <w:tcW w:w="1306" w:type="dxa"/>
            <w:noWrap w:val="0"/>
            <w:vAlign w:val="center"/>
          </w:tcPr>
          <w:p w14:paraId="3CE02D92">
            <w:pPr>
              <w:jc w:val="center"/>
              <w:rPr>
                <w:rFonts w:hint="default" w:ascii="Times New Roman" w:hAnsi="Times New Roman" w:eastAsia="宋体" w:cs="Times New Roman"/>
                <w:snapToGrid w:val="0"/>
                <w:color w:val="auto"/>
                <w:kern w:val="21"/>
                <w:sz w:val="24"/>
                <w:szCs w:val="24"/>
                <w:highlight w:val="none"/>
                <w:u w:val="none" w:color="auto"/>
                <w:lang w:val="en-US" w:eastAsia="zh-CN"/>
              </w:rPr>
            </w:pPr>
            <w:r>
              <w:rPr>
                <w:rFonts w:hint="default" w:ascii="Times New Roman" w:hAnsi="Times New Roman" w:cs="Times New Roman"/>
                <w:snapToGrid w:val="0"/>
                <w:color w:val="auto"/>
                <w:kern w:val="21"/>
                <w:sz w:val="24"/>
                <w:szCs w:val="24"/>
                <w:highlight w:val="none"/>
                <w:u w:val="none" w:color="auto"/>
              </w:rPr>
              <w:t>/</w:t>
            </w:r>
          </w:p>
        </w:tc>
        <w:tc>
          <w:tcPr>
            <w:tcW w:w="1741" w:type="dxa"/>
            <w:noWrap w:val="0"/>
            <w:vAlign w:val="center"/>
          </w:tcPr>
          <w:p w14:paraId="1FB721B3">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596" w:type="dxa"/>
            <w:shd w:val="clear" w:color="auto" w:fill="auto"/>
            <w:noWrap w:val="0"/>
            <w:vAlign w:val="center"/>
          </w:tcPr>
          <w:p w14:paraId="54717535">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1.5</w:t>
            </w:r>
            <w:r>
              <w:rPr>
                <w:rFonts w:hint="eastAsia" w:ascii="Times New Roman" w:hAnsi="Times New Roman" w:eastAsia="宋体" w:cs="Times New Roman"/>
                <w:color w:val="auto"/>
                <w:kern w:val="0"/>
                <w:sz w:val="24"/>
                <w:szCs w:val="24"/>
                <w:u w:val="none" w:color="auto"/>
                <w:lang w:val="en-US" w:eastAsia="zh-CN"/>
              </w:rPr>
              <w:t>t/a</w:t>
            </w:r>
          </w:p>
        </w:tc>
        <w:tc>
          <w:tcPr>
            <w:tcW w:w="1348" w:type="dxa"/>
            <w:noWrap w:val="0"/>
            <w:vAlign w:val="center"/>
          </w:tcPr>
          <w:p w14:paraId="745635A5">
            <w:pPr>
              <w:jc w:val="center"/>
              <w:rPr>
                <w:rFonts w:hint="default" w:ascii="Times New Roman" w:hAnsi="Times New Roman" w:cs="Times New Roman"/>
                <w:snapToGrid w:val="0"/>
                <w:color w:val="auto"/>
                <w:kern w:val="21"/>
                <w:sz w:val="24"/>
                <w:szCs w:val="24"/>
                <w:highlight w:val="none"/>
                <w:u w:val="none" w:color="auto"/>
              </w:rPr>
            </w:pPr>
            <w:r>
              <w:rPr>
                <w:rFonts w:hint="default" w:ascii="Times New Roman" w:hAnsi="Times New Roman" w:cs="Times New Roman"/>
                <w:snapToGrid w:val="0"/>
                <w:color w:val="auto"/>
                <w:kern w:val="21"/>
                <w:sz w:val="24"/>
                <w:szCs w:val="24"/>
                <w:highlight w:val="none"/>
                <w:u w:val="none" w:color="auto"/>
              </w:rPr>
              <w:t>/</w:t>
            </w:r>
          </w:p>
        </w:tc>
        <w:tc>
          <w:tcPr>
            <w:tcW w:w="1805" w:type="dxa"/>
            <w:shd w:val="clear" w:color="auto" w:fill="auto"/>
            <w:noWrap w:val="0"/>
            <w:vAlign w:val="center"/>
          </w:tcPr>
          <w:p w14:paraId="3F6237E8">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1.5</w:t>
            </w:r>
            <w:r>
              <w:rPr>
                <w:rFonts w:hint="eastAsia" w:ascii="Times New Roman" w:hAnsi="Times New Roman" w:eastAsia="宋体" w:cs="Times New Roman"/>
                <w:color w:val="auto"/>
                <w:kern w:val="0"/>
                <w:sz w:val="24"/>
                <w:szCs w:val="24"/>
                <w:u w:val="none" w:color="auto"/>
                <w:lang w:val="en-US" w:eastAsia="zh-CN"/>
              </w:rPr>
              <w:t>t/a</w:t>
            </w:r>
          </w:p>
        </w:tc>
        <w:tc>
          <w:tcPr>
            <w:tcW w:w="1501" w:type="dxa"/>
            <w:shd w:val="clear" w:color="auto" w:fill="auto"/>
            <w:noWrap w:val="0"/>
            <w:vAlign w:val="center"/>
          </w:tcPr>
          <w:p w14:paraId="0D9BAB2D">
            <w:pPr>
              <w:adjustRightInd w:val="0"/>
              <w:snapToGrid w:val="0"/>
              <w:spacing w:line="240" w:lineRule="exact"/>
              <w:jc w:val="center"/>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lang w:val="en-US" w:eastAsia="zh-CN"/>
              </w:rPr>
              <w:t>0</w:t>
            </w:r>
          </w:p>
        </w:tc>
      </w:tr>
    </w:tbl>
    <w:p w14:paraId="4F726DC8">
      <w:pPr>
        <w:pStyle w:val="46"/>
        <w:spacing w:before="192" w:beforeLines="80" w:after="24"/>
        <w:ind w:firstLine="0"/>
        <w:jc w:val="left"/>
        <w:rPr>
          <w:rFonts w:hint="default" w:ascii="Times New Roman" w:hAnsi="Times New Roman" w:cs="Times New Roman"/>
          <w:color w:val="auto"/>
          <w:highlight w:val="none"/>
          <w:u w:val="none" w:color="auto"/>
        </w:rPr>
      </w:pPr>
      <w:bookmarkStart w:id="69" w:name="_Toc10734_WPSOffice_Level1"/>
      <w:bookmarkStart w:id="70" w:name="_Toc9305_WPSOffice_Level1"/>
      <w:bookmarkStart w:id="71" w:name="_Toc21081_WPSOffice_Level1"/>
      <w:r>
        <w:rPr>
          <w:rFonts w:hint="default" w:ascii="Times New Roman" w:hAnsi="Times New Roman" w:cs="Times New Roman"/>
          <w:snapToGrid w:val="0"/>
          <w:color w:val="auto"/>
          <w:kern w:val="21"/>
          <w:szCs w:val="21"/>
          <w:highlight w:val="none"/>
          <w:u w:val="none" w:color="auto"/>
        </w:rPr>
        <w:t>注：</w:t>
      </w:r>
      <w:r>
        <w:rPr>
          <w:rFonts w:hint="default" w:ascii="Times New Roman" w:hAnsi="Times New Roman" w:cs="Times New Roman"/>
          <w:snapToGrid w:val="0"/>
          <w:color w:val="auto"/>
          <w:spacing w:val="-16"/>
          <w:kern w:val="21"/>
          <w:szCs w:val="21"/>
          <w:highlight w:val="none"/>
          <w:u w:val="none" w:color="auto"/>
        </w:rPr>
        <w:fldChar w:fldCharType="begin"/>
      </w:r>
      <w:r>
        <w:rPr>
          <w:rFonts w:hint="default" w:ascii="Times New Roman" w:hAnsi="Times New Roman" w:cs="Times New Roman"/>
          <w:snapToGrid w:val="0"/>
          <w:color w:val="auto"/>
          <w:spacing w:val="-16"/>
          <w:kern w:val="21"/>
          <w:szCs w:val="21"/>
          <w:highlight w:val="none"/>
          <w:u w:val="none" w:color="auto"/>
        </w:rPr>
        <w:instrText xml:space="preserve"> = 6 \* GB3 \*</w:instrText>
      </w:r>
      <w:bookmarkEnd w:id="69"/>
      <w:bookmarkEnd w:id="70"/>
      <w:bookmarkEnd w:id="71"/>
      <w:r>
        <w:rPr>
          <w:rFonts w:hint="default" w:ascii="Times New Roman" w:hAnsi="Times New Roman" w:cs="Times New Roman"/>
          <w:snapToGrid w:val="0"/>
          <w:color w:val="auto"/>
          <w:spacing w:val="-16"/>
          <w:kern w:val="21"/>
          <w:szCs w:val="21"/>
          <w:highlight w:val="none"/>
          <w:u w:val="none" w:color="auto"/>
        </w:rPr>
        <w:instrText xml:space="preserve"> MERGEFORMAT </w:instrText>
      </w:r>
      <w:r>
        <w:rPr>
          <w:rFonts w:hint="default" w:ascii="Times New Roman" w:hAnsi="Times New Roman" w:cs="Times New Roman"/>
          <w:snapToGrid w:val="0"/>
          <w:color w:val="auto"/>
          <w:spacing w:val="-16"/>
          <w:kern w:val="21"/>
          <w:szCs w:val="21"/>
          <w:highlight w:val="none"/>
          <w:u w:val="none" w:color="auto"/>
        </w:rPr>
        <w:fldChar w:fldCharType="separate"/>
      </w:r>
      <w:r>
        <w:rPr>
          <w:rFonts w:hint="default" w:ascii="Times New Roman" w:hAnsi="Times New Roman" w:cs="Times New Roman"/>
          <w:color w:val="auto"/>
          <w:szCs w:val="21"/>
          <w:highlight w:val="none"/>
          <w:u w:val="none" w:color="auto"/>
        </w:rPr>
        <w:t>⑥</w:t>
      </w:r>
      <w:r>
        <w:rPr>
          <w:rFonts w:hint="default" w:ascii="Times New Roman" w:hAnsi="Times New Roman" w:cs="Times New Roman"/>
          <w:snapToGrid w:val="0"/>
          <w:color w:val="auto"/>
          <w:spacing w:val="-16"/>
          <w:kern w:val="21"/>
          <w:szCs w:val="21"/>
          <w:highlight w:val="none"/>
          <w:u w:val="none" w:color="auto"/>
        </w:rPr>
        <w:fldChar w:fldCharType="end"/>
      </w:r>
      <w:r>
        <w:rPr>
          <w:rFonts w:hint="default" w:ascii="Times New Roman" w:hAnsi="Times New Roman" w:cs="Times New Roman"/>
          <w:snapToGrid w:val="0"/>
          <w:color w:val="auto"/>
          <w:spacing w:val="-16"/>
          <w:kern w:val="21"/>
          <w:szCs w:val="21"/>
          <w:highlight w:val="none"/>
          <w:u w:val="none" w:color="auto"/>
        </w:rPr>
        <w:t>=</w:t>
      </w:r>
      <w:r>
        <w:rPr>
          <w:rFonts w:hint="default" w:ascii="Times New Roman" w:hAnsi="Times New Roman" w:cs="Times New Roman"/>
          <w:snapToGrid w:val="0"/>
          <w:color w:val="auto"/>
          <w:spacing w:val="-6"/>
          <w:kern w:val="21"/>
          <w:szCs w:val="21"/>
          <w:highlight w:val="none"/>
          <w:u w:val="none" w:color="auto"/>
        </w:rPr>
        <w:fldChar w:fldCharType="begin"/>
      </w:r>
      <w:r>
        <w:rPr>
          <w:rFonts w:hint="default" w:ascii="Times New Roman" w:hAnsi="Times New Roman" w:cs="Times New Roman"/>
          <w:snapToGrid w:val="0"/>
          <w:color w:val="auto"/>
          <w:spacing w:val="-6"/>
          <w:kern w:val="21"/>
          <w:szCs w:val="21"/>
          <w:highlight w:val="none"/>
          <w:u w:val="none" w:color="auto"/>
        </w:rPr>
        <w:instrText xml:space="preserve"> = 1 \* GB3 \* MERGEFORMAT </w:instrText>
      </w:r>
      <w:r>
        <w:rPr>
          <w:rFonts w:hint="default" w:ascii="Times New Roman" w:hAnsi="Times New Roman" w:cs="Times New Roman"/>
          <w:snapToGrid w:val="0"/>
          <w:color w:val="auto"/>
          <w:spacing w:val="-6"/>
          <w:kern w:val="21"/>
          <w:szCs w:val="21"/>
          <w:highlight w:val="none"/>
          <w:u w:val="none" w:color="auto"/>
        </w:rPr>
        <w:fldChar w:fldCharType="separate"/>
      </w:r>
      <w:r>
        <w:rPr>
          <w:rFonts w:hint="default" w:ascii="Times New Roman" w:hAnsi="Times New Roman" w:cs="Times New Roman"/>
          <w:color w:val="auto"/>
          <w:szCs w:val="21"/>
          <w:highlight w:val="none"/>
          <w:u w:val="none" w:color="auto"/>
        </w:rPr>
        <w:t>①</w:t>
      </w:r>
      <w:r>
        <w:rPr>
          <w:rFonts w:hint="default" w:ascii="Times New Roman" w:hAnsi="Times New Roman" w:cs="Times New Roman"/>
          <w:snapToGrid w:val="0"/>
          <w:color w:val="auto"/>
          <w:spacing w:val="-6"/>
          <w:kern w:val="21"/>
          <w:szCs w:val="21"/>
          <w:highlight w:val="none"/>
          <w:u w:val="none" w:color="auto"/>
        </w:rPr>
        <w:fldChar w:fldCharType="end"/>
      </w:r>
      <w:r>
        <w:rPr>
          <w:rFonts w:hint="default" w:ascii="Times New Roman" w:hAnsi="Times New Roman" w:cs="Times New Roman"/>
          <w:snapToGrid w:val="0"/>
          <w:color w:val="auto"/>
          <w:spacing w:val="-6"/>
          <w:kern w:val="21"/>
          <w:szCs w:val="21"/>
          <w:highlight w:val="none"/>
          <w:u w:val="none" w:color="auto"/>
        </w:rPr>
        <w:t>+</w:t>
      </w:r>
      <w:r>
        <w:rPr>
          <w:rFonts w:hint="default" w:ascii="Times New Roman" w:hAnsi="Times New Roman" w:cs="Times New Roman"/>
          <w:snapToGrid w:val="0"/>
          <w:color w:val="auto"/>
          <w:spacing w:val="-6"/>
          <w:kern w:val="21"/>
          <w:szCs w:val="21"/>
          <w:highlight w:val="none"/>
          <w:u w:val="none" w:color="auto"/>
        </w:rPr>
        <w:fldChar w:fldCharType="begin"/>
      </w:r>
      <w:r>
        <w:rPr>
          <w:rFonts w:hint="default" w:ascii="Times New Roman" w:hAnsi="Times New Roman" w:cs="Times New Roman"/>
          <w:snapToGrid w:val="0"/>
          <w:color w:val="auto"/>
          <w:spacing w:val="-6"/>
          <w:kern w:val="21"/>
          <w:szCs w:val="21"/>
          <w:highlight w:val="none"/>
          <w:u w:val="none" w:color="auto"/>
        </w:rPr>
        <w:instrText xml:space="preserve"> = 3 \* GB3 \* MERGEFORMAT </w:instrText>
      </w:r>
      <w:r>
        <w:rPr>
          <w:rFonts w:hint="default" w:ascii="Times New Roman" w:hAnsi="Times New Roman" w:cs="Times New Roman"/>
          <w:snapToGrid w:val="0"/>
          <w:color w:val="auto"/>
          <w:spacing w:val="-6"/>
          <w:kern w:val="21"/>
          <w:szCs w:val="21"/>
          <w:highlight w:val="none"/>
          <w:u w:val="none" w:color="auto"/>
        </w:rPr>
        <w:fldChar w:fldCharType="separate"/>
      </w:r>
      <w:r>
        <w:rPr>
          <w:rFonts w:hint="default" w:ascii="Times New Roman" w:hAnsi="Times New Roman" w:cs="Times New Roman"/>
          <w:color w:val="auto"/>
          <w:szCs w:val="21"/>
          <w:highlight w:val="none"/>
          <w:u w:val="none" w:color="auto"/>
        </w:rPr>
        <w:t>③</w:t>
      </w:r>
      <w:r>
        <w:rPr>
          <w:rFonts w:hint="default" w:ascii="Times New Roman" w:hAnsi="Times New Roman" w:cs="Times New Roman"/>
          <w:snapToGrid w:val="0"/>
          <w:color w:val="auto"/>
          <w:spacing w:val="-6"/>
          <w:kern w:val="21"/>
          <w:szCs w:val="21"/>
          <w:highlight w:val="none"/>
          <w:u w:val="none" w:color="auto"/>
        </w:rPr>
        <w:fldChar w:fldCharType="end"/>
      </w:r>
      <w:r>
        <w:rPr>
          <w:rFonts w:hint="default" w:ascii="Times New Roman" w:hAnsi="Times New Roman" w:cs="Times New Roman"/>
          <w:snapToGrid w:val="0"/>
          <w:color w:val="auto"/>
          <w:spacing w:val="-6"/>
          <w:kern w:val="21"/>
          <w:szCs w:val="21"/>
          <w:highlight w:val="none"/>
          <w:u w:val="none" w:color="auto"/>
        </w:rPr>
        <w:t>+</w:t>
      </w:r>
      <w:r>
        <w:rPr>
          <w:rFonts w:hint="default" w:ascii="Times New Roman" w:hAnsi="Times New Roman" w:cs="Times New Roman"/>
          <w:snapToGrid w:val="0"/>
          <w:color w:val="auto"/>
          <w:spacing w:val="-6"/>
          <w:kern w:val="21"/>
          <w:szCs w:val="21"/>
          <w:highlight w:val="none"/>
          <w:u w:val="none" w:color="auto"/>
        </w:rPr>
        <w:fldChar w:fldCharType="begin"/>
      </w:r>
      <w:r>
        <w:rPr>
          <w:rFonts w:hint="default" w:ascii="Times New Roman" w:hAnsi="Times New Roman" w:cs="Times New Roman"/>
          <w:snapToGrid w:val="0"/>
          <w:color w:val="auto"/>
          <w:spacing w:val="-6"/>
          <w:kern w:val="21"/>
          <w:szCs w:val="21"/>
          <w:highlight w:val="none"/>
          <w:u w:val="none" w:color="auto"/>
        </w:rPr>
        <w:instrText xml:space="preserve"> = 4 \* GB3 \* MERGEFORMAT </w:instrText>
      </w:r>
      <w:r>
        <w:rPr>
          <w:rFonts w:hint="default" w:ascii="Times New Roman" w:hAnsi="Times New Roman" w:cs="Times New Roman"/>
          <w:snapToGrid w:val="0"/>
          <w:color w:val="auto"/>
          <w:spacing w:val="-6"/>
          <w:kern w:val="21"/>
          <w:szCs w:val="21"/>
          <w:highlight w:val="none"/>
          <w:u w:val="none" w:color="auto"/>
        </w:rPr>
        <w:fldChar w:fldCharType="separate"/>
      </w:r>
      <w:r>
        <w:rPr>
          <w:rFonts w:hint="default" w:ascii="Times New Roman" w:hAnsi="Times New Roman" w:cs="Times New Roman"/>
          <w:color w:val="auto"/>
          <w:szCs w:val="21"/>
          <w:highlight w:val="none"/>
          <w:u w:val="none" w:color="auto"/>
        </w:rPr>
        <w:t>④</w:t>
      </w:r>
      <w:r>
        <w:rPr>
          <w:rFonts w:hint="default" w:ascii="Times New Roman" w:hAnsi="Times New Roman" w:cs="Times New Roman"/>
          <w:snapToGrid w:val="0"/>
          <w:color w:val="auto"/>
          <w:spacing w:val="-6"/>
          <w:kern w:val="21"/>
          <w:szCs w:val="21"/>
          <w:highlight w:val="none"/>
          <w:u w:val="none" w:color="auto"/>
        </w:rPr>
        <w:fldChar w:fldCharType="end"/>
      </w:r>
      <w:r>
        <w:rPr>
          <w:rFonts w:hint="default" w:ascii="Times New Roman" w:hAnsi="Times New Roman" w:cs="Times New Roman"/>
          <w:snapToGrid w:val="0"/>
          <w:color w:val="auto"/>
          <w:spacing w:val="-6"/>
          <w:kern w:val="21"/>
          <w:szCs w:val="21"/>
          <w:highlight w:val="none"/>
          <w:u w:val="none" w:color="auto"/>
        </w:rPr>
        <w:t>-</w:t>
      </w:r>
      <w:r>
        <w:rPr>
          <w:rFonts w:hint="default" w:ascii="Times New Roman" w:hAnsi="Times New Roman" w:cs="Times New Roman"/>
          <w:snapToGrid w:val="0"/>
          <w:color w:val="auto"/>
          <w:spacing w:val="-16"/>
          <w:kern w:val="21"/>
          <w:szCs w:val="21"/>
          <w:highlight w:val="none"/>
          <w:u w:val="none" w:color="auto"/>
        </w:rPr>
        <w:fldChar w:fldCharType="begin"/>
      </w:r>
      <w:r>
        <w:rPr>
          <w:rFonts w:hint="default" w:ascii="Times New Roman" w:hAnsi="Times New Roman" w:cs="Times New Roman"/>
          <w:snapToGrid w:val="0"/>
          <w:color w:val="auto"/>
          <w:spacing w:val="-16"/>
          <w:kern w:val="21"/>
          <w:szCs w:val="21"/>
          <w:highlight w:val="none"/>
          <w:u w:val="none" w:color="auto"/>
        </w:rPr>
        <w:instrText xml:space="preserve"> = 5 \* GB3 \* MERGEFORMAT </w:instrText>
      </w:r>
      <w:r>
        <w:rPr>
          <w:rFonts w:hint="default" w:ascii="Times New Roman" w:hAnsi="Times New Roman" w:cs="Times New Roman"/>
          <w:snapToGrid w:val="0"/>
          <w:color w:val="auto"/>
          <w:spacing w:val="-16"/>
          <w:kern w:val="21"/>
          <w:szCs w:val="21"/>
          <w:highlight w:val="none"/>
          <w:u w:val="none" w:color="auto"/>
        </w:rPr>
        <w:fldChar w:fldCharType="separate"/>
      </w:r>
      <w:r>
        <w:rPr>
          <w:rFonts w:hint="default" w:ascii="Times New Roman" w:hAnsi="Times New Roman" w:cs="Times New Roman"/>
          <w:color w:val="auto"/>
          <w:szCs w:val="21"/>
          <w:highlight w:val="none"/>
          <w:u w:val="none" w:color="auto"/>
        </w:rPr>
        <w:t>⑤</w:t>
      </w:r>
      <w:r>
        <w:rPr>
          <w:rFonts w:hint="default" w:ascii="Times New Roman" w:hAnsi="Times New Roman" w:cs="Times New Roman"/>
          <w:snapToGrid w:val="0"/>
          <w:color w:val="auto"/>
          <w:spacing w:val="-16"/>
          <w:kern w:val="21"/>
          <w:szCs w:val="21"/>
          <w:highlight w:val="none"/>
          <w:u w:val="none" w:color="auto"/>
        </w:rPr>
        <w:fldChar w:fldCharType="end"/>
      </w:r>
      <w:r>
        <w:rPr>
          <w:rFonts w:hint="default" w:ascii="Times New Roman" w:hAnsi="Times New Roman" w:cs="Times New Roman"/>
          <w:snapToGrid w:val="0"/>
          <w:color w:val="auto"/>
          <w:spacing w:val="-16"/>
          <w:kern w:val="21"/>
          <w:szCs w:val="21"/>
          <w:highlight w:val="none"/>
          <w:u w:val="none" w:color="auto"/>
        </w:rPr>
        <w:t>；</w:t>
      </w:r>
      <w:r>
        <w:rPr>
          <w:rFonts w:hint="default" w:ascii="Times New Roman" w:hAnsi="Times New Roman" w:cs="Times New Roman"/>
          <w:snapToGrid w:val="0"/>
          <w:color w:val="auto"/>
          <w:spacing w:val="-6"/>
          <w:kern w:val="21"/>
          <w:szCs w:val="21"/>
          <w:highlight w:val="none"/>
          <w:u w:val="none" w:color="auto"/>
        </w:rPr>
        <w:fldChar w:fldCharType="begin"/>
      </w:r>
      <w:r>
        <w:rPr>
          <w:rFonts w:hint="default" w:ascii="Times New Roman" w:hAnsi="Times New Roman" w:cs="Times New Roman"/>
          <w:snapToGrid w:val="0"/>
          <w:color w:val="auto"/>
          <w:spacing w:val="-6"/>
          <w:kern w:val="21"/>
          <w:szCs w:val="21"/>
          <w:highlight w:val="none"/>
          <w:u w:val="none" w:color="auto"/>
        </w:rPr>
        <w:instrText xml:space="preserve"> = 7 \* GB3 \* MERGEFORMAT </w:instrText>
      </w:r>
      <w:r>
        <w:rPr>
          <w:rFonts w:hint="default" w:ascii="Times New Roman" w:hAnsi="Times New Roman" w:cs="Times New Roman"/>
          <w:snapToGrid w:val="0"/>
          <w:color w:val="auto"/>
          <w:spacing w:val="-6"/>
          <w:kern w:val="21"/>
          <w:szCs w:val="21"/>
          <w:highlight w:val="none"/>
          <w:u w:val="none" w:color="auto"/>
        </w:rPr>
        <w:fldChar w:fldCharType="separate"/>
      </w:r>
      <w:r>
        <w:rPr>
          <w:rFonts w:hint="default" w:ascii="Times New Roman" w:hAnsi="Times New Roman" w:cs="Times New Roman"/>
          <w:color w:val="auto"/>
          <w:szCs w:val="21"/>
          <w:highlight w:val="none"/>
          <w:u w:val="none" w:color="auto"/>
        </w:rPr>
        <w:t>⑦</w:t>
      </w:r>
      <w:r>
        <w:rPr>
          <w:rFonts w:hint="default" w:ascii="Times New Roman" w:hAnsi="Times New Roman" w:cs="Times New Roman"/>
          <w:snapToGrid w:val="0"/>
          <w:color w:val="auto"/>
          <w:spacing w:val="-6"/>
          <w:kern w:val="21"/>
          <w:szCs w:val="21"/>
          <w:highlight w:val="none"/>
          <w:u w:val="none" w:color="auto"/>
        </w:rPr>
        <w:fldChar w:fldCharType="end"/>
      </w:r>
      <w:r>
        <w:rPr>
          <w:rFonts w:hint="default" w:ascii="Times New Roman" w:hAnsi="Times New Roman" w:cs="Times New Roman"/>
          <w:snapToGrid w:val="0"/>
          <w:color w:val="auto"/>
          <w:spacing w:val="-6"/>
          <w:kern w:val="21"/>
          <w:szCs w:val="21"/>
          <w:highlight w:val="none"/>
          <w:u w:val="none" w:color="auto"/>
        </w:rPr>
        <w:t>=</w:t>
      </w:r>
      <w:r>
        <w:rPr>
          <w:rFonts w:hint="default" w:ascii="Times New Roman" w:hAnsi="Times New Roman" w:cs="Times New Roman"/>
          <w:snapToGrid w:val="0"/>
          <w:color w:val="auto"/>
          <w:spacing w:val="-16"/>
          <w:kern w:val="21"/>
          <w:szCs w:val="21"/>
          <w:highlight w:val="none"/>
          <w:u w:val="none" w:color="auto"/>
        </w:rPr>
        <w:fldChar w:fldCharType="begin"/>
      </w:r>
      <w:r>
        <w:rPr>
          <w:rFonts w:hint="default" w:ascii="Times New Roman" w:hAnsi="Times New Roman" w:cs="Times New Roman"/>
          <w:snapToGrid w:val="0"/>
          <w:color w:val="auto"/>
          <w:spacing w:val="-16"/>
          <w:kern w:val="21"/>
          <w:szCs w:val="21"/>
          <w:highlight w:val="none"/>
          <w:u w:val="none" w:color="auto"/>
        </w:rPr>
        <w:instrText xml:space="preserve"> = 6 \* GB3 \* MERGEFORMAT </w:instrText>
      </w:r>
      <w:r>
        <w:rPr>
          <w:rFonts w:hint="default" w:ascii="Times New Roman" w:hAnsi="Times New Roman" w:cs="Times New Roman"/>
          <w:snapToGrid w:val="0"/>
          <w:color w:val="auto"/>
          <w:spacing w:val="-16"/>
          <w:kern w:val="21"/>
          <w:szCs w:val="21"/>
          <w:highlight w:val="none"/>
          <w:u w:val="none" w:color="auto"/>
        </w:rPr>
        <w:fldChar w:fldCharType="separate"/>
      </w:r>
      <w:r>
        <w:rPr>
          <w:rFonts w:hint="default" w:ascii="Times New Roman" w:hAnsi="Times New Roman" w:cs="Times New Roman"/>
          <w:color w:val="auto"/>
          <w:szCs w:val="21"/>
          <w:highlight w:val="none"/>
          <w:u w:val="none" w:color="auto"/>
        </w:rPr>
        <w:t>⑥</w:t>
      </w:r>
      <w:r>
        <w:rPr>
          <w:rFonts w:hint="default" w:ascii="Times New Roman" w:hAnsi="Times New Roman" w:cs="Times New Roman"/>
          <w:snapToGrid w:val="0"/>
          <w:color w:val="auto"/>
          <w:spacing w:val="-16"/>
          <w:kern w:val="21"/>
          <w:szCs w:val="21"/>
          <w:highlight w:val="none"/>
          <w:u w:val="none" w:color="auto"/>
        </w:rPr>
        <w:fldChar w:fldCharType="end"/>
      </w:r>
      <w:r>
        <w:rPr>
          <w:rFonts w:hint="default" w:ascii="Times New Roman" w:hAnsi="Times New Roman" w:cs="Times New Roman"/>
          <w:snapToGrid w:val="0"/>
          <w:color w:val="auto"/>
          <w:spacing w:val="-16"/>
          <w:kern w:val="21"/>
          <w:szCs w:val="21"/>
          <w:highlight w:val="none"/>
          <w:u w:val="none" w:color="auto"/>
        </w:rPr>
        <w:t>-</w:t>
      </w:r>
      <w:r>
        <w:rPr>
          <w:rFonts w:hint="default" w:ascii="Times New Roman" w:hAnsi="Times New Roman" w:cs="Times New Roman"/>
          <w:snapToGrid w:val="0"/>
          <w:color w:val="auto"/>
          <w:spacing w:val="-6"/>
          <w:kern w:val="21"/>
          <w:szCs w:val="21"/>
          <w:highlight w:val="none"/>
          <w:u w:val="none" w:color="auto"/>
        </w:rPr>
        <w:fldChar w:fldCharType="begin"/>
      </w:r>
      <w:r>
        <w:rPr>
          <w:rFonts w:hint="default" w:ascii="Times New Roman" w:hAnsi="Times New Roman" w:cs="Times New Roman"/>
          <w:snapToGrid w:val="0"/>
          <w:color w:val="auto"/>
          <w:spacing w:val="-6"/>
          <w:kern w:val="21"/>
          <w:szCs w:val="21"/>
          <w:highlight w:val="none"/>
          <w:u w:val="none" w:color="auto"/>
        </w:rPr>
        <w:instrText xml:space="preserve"> = 1 \* GB3 \* MERGEFORMAT </w:instrText>
      </w:r>
      <w:r>
        <w:rPr>
          <w:rFonts w:hint="default" w:ascii="Times New Roman" w:hAnsi="Times New Roman" w:cs="Times New Roman"/>
          <w:snapToGrid w:val="0"/>
          <w:color w:val="auto"/>
          <w:spacing w:val="-6"/>
          <w:kern w:val="21"/>
          <w:szCs w:val="21"/>
          <w:highlight w:val="none"/>
          <w:u w:val="none" w:color="auto"/>
        </w:rPr>
        <w:fldChar w:fldCharType="separate"/>
      </w:r>
      <w:r>
        <w:rPr>
          <w:rFonts w:hint="default" w:ascii="Times New Roman" w:hAnsi="Times New Roman" w:cs="Times New Roman"/>
          <w:color w:val="auto"/>
          <w:szCs w:val="21"/>
          <w:highlight w:val="none"/>
          <w:u w:val="none" w:color="auto"/>
        </w:rPr>
        <w:t>①</w:t>
      </w:r>
      <w:r>
        <w:rPr>
          <w:rFonts w:hint="default" w:ascii="Times New Roman" w:hAnsi="Times New Roman" w:cs="Times New Roman"/>
          <w:snapToGrid w:val="0"/>
          <w:color w:val="auto"/>
          <w:spacing w:val="-6"/>
          <w:kern w:val="21"/>
          <w:szCs w:val="21"/>
          <w:highlight w:val="none"/>
          <w:u w:val="none" w:color="auto"/>
        </w:rPr>
        <w:fldChar w:fldCharType="end"/>
      </w:r>
    </w:p>
    <w:sectPr>
      <w:footerReference r:id="rId7" w:type="default"/>
      <w:pgSz w:w="16838" w:h="11906" w:orient="landscape"/>
      <w:pgMar w:top="1134" w:right="1701" w:bottom="1134" w:left="1701" w:header="851" w:footer="850"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4628654-745B-4D5C-A761-A3A67B917918}"/>
  </w:font>
  <w:font w:name="黑体">
    <w:panose1 w:val="02010609060101010101"/>
    <w:charset w:val="86"/>
    <w:family w:val="auto"/>
    <w:pitch w:val="default"/>
    <w:sig w:usb0="800002BF" w:usb1="38CF7CFA" w:usb2="00000016" w:usb3="00000000" w:csb0="00040001" w:csb1="00000000"/>
    <w:embedRegular r:id="rId2" w:fontKey="{42225AD4-167C-4C09-B019-D92C1C45714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6286A3EE-B87D-48BA-8B20-4A81242B7A82}"/>
  </w:font>
  <w:font w:name="BankGothic Lt BT">
    <w:altName w:val="Segoe Print"/>
    <w:panose1 w:val="020B0607020203060204"/>
    <w:charset w:val="00"/>
    <w:family w:val="swiss"/>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003" w:usb1="288F0000" w:usb2="00000006" w:usb3="00000000" w:csb0="00040001" w:csb1="00000000"/>
  </w:font>
  <w:font w:name="Consolas">
    <w:panose1 w:val="020B0609020204030204"/>
    <w:charset w:val="00"/>
    <w:family w:val="modern"/>
    <w:pitch w:val="default"/>
    <w:sig w:usb0="E10002FF" w:usb1="4000FCFF" w:usb2="00000009" w:usb3="00000000" w:csb0="6000019F" w:csb1="DFD70000"/>
  </w:font>
  <w:font w:name="新宋体-18030">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embedRegular r:id="rId4" w:fontKey="{F734A000-341A-4947-86B5-69974A049762}"/>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7EDC15D1-998B-4EC3-9662-D38B2D090753}"/>
  </w:font>
  <w:font w:name="华文仿宋">
    <w:panose1 w:val="02010600040101010101"/>
    <w:charset w:val="86"/>
    <w:family w:val="auto"/>
    <w:pitch w:val="default"/>
    <w:sig w:usb0="00000287" w:usb1="080F0000" w:usb2="00000000" w:usb3="00000000" w:csb0="0004009F" w:csb1="DFD70000"/>
    <w:embedRegular r:id="rId6" w:fontKey="{43FDE151-2C03-4497-BA47-E4342CCA331F}"/>
  </w:font>
  <w:font w:name="仿宋">
    <w:panose1 w:val="02010609060101010101"/>
    <w:charset w:val="86"/>
    <w:family w:val="modern"/>
    <w:pitch w:val="default"/>
    <w:sig w:usb0="800002BF" w:usb1="38CF7CFA" w:usb2="00000016" w:usb3="00000000" w:csb0="00040001" w:csb1="00000000"/>
    <w:embedRegular r:id="rId7" w:fontKey="{5DB10893-8414-4BDA-86F2-ABDADAD3C60D}"/>
  </w:font>
  <w:font w:name="楷体">
    <w:panose1 w:val="02010609060101010101"/>
    <w:charset w:val="86"/>
    <w:family w:val="auto"/>
    <w:pitch w:val="default"/>
    <w:sig w:usb0="800002BF" w:usb1="38CF7CFA" w:usb2="00000016" w:usb3="00000000" w:csb0="00040001" w:csb1="00000000"/>
    <w:embedRegular r:id="rId8" w:fontKey="{637F76D6-A40C-4B92-BE8D-2B5612440679}"/>
  </w:font>
  <w:font w:name="Wingdings 2">
    <w:panose1 w:val="05020102010507070707"/>
    <w:charset w:val="02"/>
    <w:family w:val="roman"/>
    <w:pitch w:val="default"/>
    <w:sig w:usb0="00000000" w:usb1="00000000" w:usb2="00000000" w:usb3="00000000" w:csb0="80000000" w:csb1="00000000"/>
    <w:embedRegular r:id="rId9" w:fontKey="{F16DD651-C9A4-4ABF-9484-F5FF5E4A127F}"/>
  </w:font>
  <w:font w:name="Segoe UI Emoji">
    <w:panose1 w:val="020B0502040204020203"/>
    <w:charset w:val="00"/>
    <w:family w:val="auto"/>
    <w:pitch w:val="default"/>
    <w:sig w:usb0="00000001" w:usb1="02000000" w:usb2="00000000" w:usb3="00000000" w:csb0="00000001" w:csb1="00000000"/>
    <w:embedRegular r:id="rId10" w:fontKey="{F6E2D9E7-D25D-4AF4-AE12-CFA67C095A08}"/>
  </w:font>
  <w:font w:name="Segoe UI">
    <w:panose1 w:val="020B0502040204020203"/>
    <w:charset w:val="00"/>
    <w:family w:val="auto"/>
    <w:pitch w:val="default"/>
    <w:sig w:usb0="E10022FF" w:usb1="C000E47F" w:usb2="00000029" w:usb3="00000000" w:csb0="200001DF" w:csb1="20000000"/>
    <w:embedRegular r:id="rId11" w:fontKey="{B23134AA-EB4F-464F-A9DE-04103F8A861D}"/>
  </w:font>
  <w:font w:name="TimesNewRomanPSMT">
    <w:altName w:val="Times New Roman"/>
    <w:panose1 w:val="00000000000000000000"/>
    <w:charset w:val="00"/>
    <w:family w:val="auto"/>
    <w:pitch w:val="default"/>
    <w:sig w:usb0="00000000" w:usb1="00000000" w:usb2="00000000" w:usb3="00000000" w:csb0="00040001" w:csb1="00000000"/>
    <w:embedRegular r:id="rId12" w:fontKey="{A05CBA2D-35BF-4556-9FB8-B12C6FA54905}"/>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0308C">
    <w:pPr>
      <w:pStyle w:val="2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72ABF">
    <w:pPr>
      <w:pStyle w:val="20"/>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E6E2E">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11CE6E2E">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B0653">
    <w:pPr>
      <w:pStyle w:val="20"/>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9A0D8A">
                          <w:pPr>
                            <w:pStyle w:val="2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14:paraId="489A0D8A">
                    <w:pPr>
                      <w:pStyle w:val="20"/>
                    </w:pPr>
                    <w:r>
                      <w:fldChar w:fldCharType="begin"/>
                    </w:r>
                    <w:r>
                      <w:instrText xml:space="preserve"> PAGE  \* MERGEFORMAT </w:instrText>
                    </w:r>
                    <w:r>
                      <w:fldChar w:fldCharType="separate"/>
                    </w:r>
                    <w:r>
                      <w:t>66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F79A5">
    <w:pPr>
      <w:pStyle w:val="21"/>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AA772">
    <w:pPr>
      <w:pStyle w:val="21"/>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D9AB3"/>
    <w:multiLevelType w:val="singleLevel"/>
    <w:tmpl w:val="A17D9AB3"/>
    <w:lvl w:ilvl="0" w:tentative="0">
      <w:start w:val="3"/>
      <w:numFmt w:val="chineseCounting"/>
      <w:suff w:val="nothing"/>
      <w:lvlText w:val="%1、"/>
      <w:lvlJc w:val="left"/>
      <w:rPr>
        <w:rFonts w:hint="eastAsia"/>
      </w:rPr>
    </w:lvl>
  </w:abstractNum>
  <w:abstractNum w:abstractNumId="1">
    <w:nsid w:val="BC81A228"/>
    <w:multiLevelType w:val="singleLevel"/>
    <w:tmpl w:val="BC81A228"/>
    <w:lvl w:ilvl="0" w:tentative="0">
      <w:start w:val="2"/>
      <w:numFmt w:val="decimal"/>
      <w:suff w:val="nothing"/>
      <w:lvlText w:val="%1、"/>
      <w:lvlJc w:val="left"/>
    </w:lvl>
  </w:abstractNum>
  <w:abstractNum w:abstractNumId="2">
    <w:nsid w:val="D2640674"/>
    <w:multiLevelType w:val="singleLevel"/>
    <w:tmpl w:val="D2640674"/>
    <w:lvl w:ilvl="0" w:tentative="0">
      <w:start w:val="1"/>
      <w:numFmt w:val="decimal"/>
      <w:suff w:val="nothing"/>
      <w:lvlText w:val="%1、"/>
      <w:lvlJc w:val="left"/>
    </w:lvl>
  </w:abstractNum>
  <w:abstractNum w:abstractNumId="3">
    <w:nsid w:val="F22888B6"/>
    <w:multiLevelType w:val="multilevel"/>
    <w:tmpl w:val="F22888B6"/>
    <w:lvl w:ilvl="0" w:tentative="0">
      <w:start w:val="1"/>
      <w:numFmt w:val="decimal"/>
      <w:suff w:val="nothing"/>
      <w:lvlText w:val="%1、"/>
      <w:lvlJc w:val="left"/>
      <w:pPr>
        <w:ind w:left="0" w:leftChars="0" w:firstLine="0" w:firstLineChars="0"/>
      </w:pPr>
      <w:rPr>
        <w:rFonts w:hint="default"/>
      </w:rPr>
    </w:lvl>
    <w:lvl w:ilvl="1" w:tentative="0">
      <w:start w:val="1"/>
      <w:numFmt w:val="decimal"/>
      <w:suff w:val="nothing"/>
      <w:lvlText w:val="%1.%2、"/>
      <w:lvlJc w:val="left"/>
      <w:pPr>
        <w:ind w:left="420" w:leftChars="0" w:firstLine="0" w:firstLineChars="0"/>
      </w:pPr>
      <w:rPr>
        <w:rFonts w:hint="default"/>
      </w:rPr>
    </w:lvl>
    <w:lvl w:ilvl="2" w:tentative="0">
      <w:start w:val="1"/>
      <w:numFmt w:val="decimal"/>
      <w:suff w:val="nothing"/>
      <w:lvlText w:val="%1.%2.%3、"/>
      <w:lvlJc w:val="left"/>
      <w:pPr>
        <w:ind w:left="-62" w:leftChars="0" w:firstLine="0" w:firstLineChars="0"/>
      </w:pPr>
      <w:rPr>
        <w:rFonts w:hint="default"/>
      </w:rPr>
    </w:lvl>
    <w:lvl w:ilvl="3" w:tentative="0">
      <w:start w:val="1"/>
      <w:numFmt w:val="decimal"/>
      <w:suff w:val="nothing"/>
      <w:lvlText w:val="%1.%2.%3.%4、"/>
      <w:lvlJc w:val="left"/>
      <w:pPr>
        <w:ind w:left="0" w:leftChars="0" w:firstLine="0" w:firstLineChars="0"/>
      </w:pPr>
      <w:rPr>
        <w:rFonts w:hint="default"/>
      </w:rPr>
    </w:lvl>
    <w:lvl w:ilvl="4" w:tentative="0">
      <w:start w:val="1"/>
      <w:numFmt w:val="decimal"/>
      <w:suff w:val="nothing"/>
      <w:lvlText w:val="%1.%2.%3.%4.%5、"/>
      <w:lvlJc w:val="left"/>
      <w:pPr>
        <w:ind w:left="0" w:leftChars="0" w:firstLine="0" w:firstLineChars="0"/>
      </w:pPr>
      <w:rPr>
        <w:rFonts w:hint="default"/>
      </w:rPr>
    </w:lvl>
    <w:lvl w:ilvl="5" w:tentative="0">
      <w:start w:val="1"/>
      <w:numFmt w:val="decimal"/>
      <w:suff w:val="nothing"/>
      <w:lvlText w:val="%1.%2.%3.%4.%5.%6、"/>
      <w:lvlJc w:val="left"/>
      <w:pPr>
        <w:ind w:left="0" w:leftChars="0" w:firstLine="0" w:firstLineChars="0"/>
      </w:pPr>
      <w:rPr>
        <w:rFonts w:hint="default"/>
      </w:rPr>
    </w:lvl>
    <w:lvl w:ilvl="6" w:tentative="0">
      <w:start w:val="1"/>
      <w:numFmt w:val="decimal"/>
      <w:suff w:val="nothing"/>
      <w:lvlText w:val="%1.%2.%3.%4.%5.%6.%7、"/>
      <w:lvlJc w:val="left"/>
      <w:pPr>
        <w:ind w:left="0" w:leftChars="0" w:firstLine="0" w:firstLineChars="0"/>
      </w:pPr>
      <w:rPr>
        <w:rFonts w:hint="default"/>
      </w:rPr>
    </w:lvl>
    <w:lvl w:ilvl="7" w:tentative="0">
      <w:start w:val="1"/>
      <w:numFmt w:val="decimal"/>
      <w:suff w:val="nothing"/>
      <w:lvlText w:val="%1.%2.%3.%4.%5.%6.%7.%8、"/>
      <w:lvlJc w:val="left"/>
      <w:pPr>
        <w:ind w:left="0" w:leftChars="0" w:firstLine="0" w:firstLineChars="0"/>
      </w:pPr>
      <w:rPr>
        <w:rFonts w:hint="default"/>
      </w:rPr>
    </w:lvl>
    <w:lvl w:ilvl="8" w:tentative="0">
      <w:start w:val="1"/>
      <w:numFmt w:val="decimal"/>
      <w:suff w:val="nothing"/>
      <w:lvlText w:val="%1.%2.%3.%4.%5.%6.%7.%8.%9、"/>
      <w:lvlJc w:val="left"/>
      <w:pPr>
        <w:ind w:left="0" w:leftChars="0" w:firstLine="0" w:firstLineChars="0"/>
      </w:pPr>
      <w:rPr>
        <w:rFonts w:hint="default"/>
      </w:rPr>
    </w:lvl>
  </w:abstractNum>
  <w:abstractNum w:abstractNumId="4">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58"/>
      <w:lvlText w:val="%3."/>
      <w:lvlJc w:val="right"/>
      <w:pPr>
        <w:tabs>
          <w:tab w:val="left" w:pos="1260"/>
        </w:tabs>
        <w:ind w:left="1260" w:hanging="420"/>
      </w:pPr>
    </w:lvl>
    <w:lvl w:ilvl="3" w:tentative="0">
      <w:start w:val="1"/>
      <w:numFmt w:val="decimal"/>
      <w:pStyle w:val="5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2C6CEE6"/>
    <w:multiLevelType w:val="singleLevel"/>
    <w:tmpl w:val="32C6CEE6"/>
    <w:lvl w:ilvl="0" w:tentative="0">
      <w:start w:val="1"/>
      <w:numFmt w:val="decimal"/>
      <w:pStyle w:val="139"/>
      <w:lvlText w:val="表2-%1"/>
      <w:lvlJc w:val="center"/>
      <w:pPr>
        <w:tabs>
          <w:tab w:val="left" w:pos="0"/>
        </w:tabs>
        <w:ind w:left="0" w:firstLine="0"/>
      </w:pPr>
      <w:rPr>
        <w:rFonts w:hint="default" w:eastAsia="黑体"/>
        <w:sz w:val="21"/>
      </w:rPr>
    </w:lvl>
  </w:abstractNum>
  <w:abstractNum w:abstractNumId="6">
    <w:nsid w:val="59C1ECC8"/>
    <w:multiLevelType w:val="singleLevel"/>
    <w:tmpl w:val="59C1ECC8"/>
    <w:lvl w:ilvl="0" w:tentative="0">
      <w:start w:val="1"/>
      <w:numFmt w:val="decimal"/>
      <w:suff w:val="nothing"/>
      <w:lvlText w:val="（%1）"/>
      <w:lvlJc w:val="left"/>
    </w:lvl>
  </w:abstractNum>
  <w:abstractNum w:abstractNumId="7">
    <w:nsid w:val="644E77B7"/>
    <w:multiLevelType w:val="singleLevel"/>
    <w:tmpl w:val="644E77B7"/>
    <w:lvl w:ilvl="0" w:tentative="0">
      <w:start w:val="2"/>
      <w:numFmt w:val="decimal"/>
      <w:suff w:val="nothing"/>
      <w:lvlText w:val="%1、"/>
      <w:lvlJc w:val="left"/>
    </w:lvl>
  </w:abstractNum>
  <w:num w:numId="1">
    <w:abstractNumId w:val="4"/>
  </w:num>
  <w:num w:numId="2">
    <w:abstractNumId w:val="5"/>
  </w:num>
  <w:num w:numId="3">
    <w:abstractNumId w:val="7"/>
  </w:num>
  <w:num w:numId="4">
    <w:abstractNumId w:val="1"/>
  </w:num>
  <w:num w:numId="5">
    <w:abstractNumId w:val="0"/>
  </w:num>
  <w:num w:numId="6">
    <w:abstractNumId w:val="3"/>
  </w:num>
  <w:num w:numId="7">
    <w:abstractNumId w:val="6"/>
  </w:num>
  <w:num w:numId="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环保加菲猫">
    <w15:presenceInfo w15:providerId="None" w15:userId="环保加菲猫"/>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iYzhlY2MwYjM5YzkwZTI5MzE0ZDM5MGQyOTBlZWQifQ=="/>
  </w:docVars>
  <w:rsids>
    <w:rsidRoot w:val="00172A27"/>
    <w:rsid w:val="000060B3"/>
    <w:rsid w:val="00006ECA"/>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5DA5"/>
    <w:rsid w:val="000C767F"/>
    <w:rsid w:val="000D5A44"/>
    <w:rsid w:val="000E3ED2"/>
    <w:rsid w:val="0011760F"/>
    <w:rsid w:val="00131F42"/>
    <w:rsid w:val="001357F1"/>
    <w:rsid w:val="00140FA8"/>
    <w:rsid w:val="00142FEB"/>
    <w:rsid w:val="00143A2D"/>
    <w:rsid w:val="00145A41"/>
    <w:rsid w:val="00151675"/>
    <w:rsid w:val="00157435"/>
    <w:rsid w:val="00166A8E"/>
    <w:rsid w:val="0017504D"/>
    <w:rsid w:val="0017671A"/>
    <w:rsid w:val="00177422"/>
    <w:rsid w:val="00184590"/>
    <w:rsid w:val="001870D1"/>
    <w:rsid w:val="0018781E"/>
    <w:rsid w:val="0019262D"/>
    <w:rsid w:val="001A1B35"/>
    <w:rsid w:val="001A48A2"/>
    <w:rsid w:val="001A4AAC"/>
    <w:rsid w:val="001A6F61"/>
    <w:rsid w:val="001B72B8"/>
    <w:rsid w:val="001C69B3"/>
    <w:rsid w:val="001D5595"/>
    <w:rsid w:val="001D7874"/>
    <w:rsid w:val="001D7F22"/>
    <w:rsid w:val="001E1745"/>
    <w:rsid w:val="001F0F17"/>
    <w:rsid w:val="001F3347"/>
    <w:rsid w:val="001F69E4"/>
    <w:rsid w:val="002125B4"/>
    <w:rsid w:val="002155B8"/>
    <w:rsid w:val="00224839"/>
    <w:rsid w:val="002249B2"/>
    <w:rsid w:val="00226574"/>
    <w:rsid w:val="002278EC"/>
    <w:rsid w:val="0023280E"/>
    <w:rsid w:val="002377D1"/>
    <w:rsid w:val="002506BC"/>
    <w:rsid w:val="00254345"/>
    <w:rsid w:val="00255732"/>
    <w:rsid w:val="002631F5"/>
    <w:rsid w:val="00264557"/>
    <w:rsid w:val="00275640"/>
    <w:rsid w:val="002805AB"/>
    <w:rsid w:val="00284204"/>
    <w:rsid w:val="00285085"/>
    <w:rsid w:val="00291773"/>
    <w:rsid w:val="002A168C"/>
    <w:rsid w:val="002A3DC7"/>
    <w:rsid w:val="002B49E2"/>
    <w:rsid w:val="002B7B00"/>
    <w:rsid w:val="002B7C44"/>
    <w:rsid w:val="002C2B17"/>
    <w:rsid w:val="002D3DD0"/>
    <w:rsid w:val="002E1F3A"/>
    <w:rsid w:val="002E298A"/>
    <w:rsid w:val="002E78CE"/>
    <w:rsid w:val="002F0FFE"/>
    <w:rsid w:val="002F34AB"/>
    <w:rsid w:val="00301978"/>
    <w:rsid w:val="0030332C"/>
    <w:rsid w:val="003051C2"/>
    <w:rsid w:val="003051E7"/>
    <w:rsid w:val="00311D72"/>
    <w:rsid w:val="00312296"/>
    <w:rsid w:val="00314F0E"/>
    <w:rsid w:val="00321D8E"/>
    <w:rsid w:val="00325928"/>
    <w:rsid w:val="00332863"/>
    <w:rsid w:val="00334751"/>
    <w:rsid w:val="0033684D"/>
    <w:rsid w:val="00337B42"/>
    <w:rsid w:val="00341B42"/>
    <w:rsid w:val="0034348F"/>
    <w:rsid w:val="00355CC0"/>
    <w:rsid w:val="00356653"/>
    <w:rsid w:val="0035743F"/>
    <w:rsid w:val="00357BE2"/>
    <w:rsid w:val="0036170C"/>
    <w:rsid w:val="00366E0F"/>
    <w:rsid w:val="00381A72"/>
    <w:rsid w:val="00384676"/>
    <w:rsid w:val="00390857"/>
    <w:rsid w:val="003A4BF3"/>
    <w:rsid w:val="003B420D"/>
    <w:rsid w:val="003B71F3"/>
    <w:rsid w:val="003C6C16"/>
    <w:rsid w:val="003D5C95"/>
    <w:rsid w:val="003D794D"/>
    <w:rsid w:val="003E3058"/>
    <w:rsid w:val="003E76A9"/>
    <w:rsid w:val="003F0809"/>
    <w:rsid w:val="003F6A8C"/>
    <w:rsid w:val="003F755C"/>
    <w:rsid w:val="00406F01"/>
    <w:rsid w:val="00416D50"/>
    <w:rsid w:val="00416FD5"/>
    <w:rsid w:val="00417772"/>
    <w:rsid w:val="00420E6A"/>
    <w:rsid w:val="00425A9E"/>
    <w:rsid w:val="00426D6B"/>
    <w:rsid w:val="004277C9"/>
    <w:rsid w:val="00431E6C"/>
    <w:rsid w:val="00433CE7"/>
    <w:rsid w:val="00452738"/>
    <w:rsid w:val="00456091"/>
    <w:rsid w:val="00466321"/>
    <w:rsid w:val="00484B9B"/>
    <w:rsid w:val="004855F6"/>
    <w:rsid w:val="0048661E"/>
    <w:rsid w:val="00494670"/>
    <w:rsid w:val="004A3823"/>
    <w:rsid w:val="004D0E28"/>
    <w:rsid w:val="004E6946"/>
    <w:rsid w:val="004F1AD8"/>
    <w:rsid w:val="004F3E15"/>
    <w:rsid w:val="004F4E52"/>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86FEC"/>
    <w:rsid w:val="00594D77"/>
    <w:rsid w:val="005969E4"/>
    <w:rsid w:val="005A06B7"/>
    <w:rsid w:val="005A1759"/>
    <w:rsid w:val="005A68A7"/>
    <w:rsid w:val="005C4789"/>
    <w:rsid w:val="005D36AB"/>
    <w:rsid w:val="005F5A95"/>
    <w:rsid w:val="005F7B40"/>
    <w:rsid w:val="00616F33"/>
    <w:rsid w:val="00617CC3"/>
    <w:rsid w:val="006267DC"/>
    <w:rsid w:val="006377A6"/>
    <w:rsid w:val="00637A3D"/>
    <w:rsid w:val="006411EF"/>
    <w:rsid w:val="006748B8"/>
    <w:rsid w:val="006775C3"/>
    <w:rsid w:val="006807EA"/>
    <w:rsid w:val="00687E30"/>
    <w:rsid w:val="0069290A"/>
    <w:rsid w:val="0069775A"/>
    <w:rsid w:val="00697813"/>
    <w:rsid w:val="006A3EE8"/>
    <w:rsid w:val="006A72BF"/>
    <w:rsid w:val="006B03F2"/>
    <w:rsid w:val="006B37DC"/>
    <w:rsid w:val="006B4F68"/>
    <w:rsid w:val="006B5D39"/>
    <w:rsid w:val="006B74A3"/>
    <w:rsid w:val="006C0592"/>
    <w:rsid w:val="006C272E"/>
    <w:rsid w:val="006C3C4D"/>
    <w:rsid w:val="006C5479"/>
    <w:rsid w:val="006D13B5"/>
    <w:rsid w:val="006E12FF"/>
    <w:rsid w:val="006E607E"/>
    <w:rsid w:val="006F6D94"/>
    <w:rsid w:val="006F7C92"/>
    <w:rsid w:val="007053D0"/>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3214"/>
    <w:rsid w:val="007B72B8"/>
    <w:rsid w:val="007B7A58"/>
    <w:rsid w:val="007C21B5"/>
    <w:rsid w:val="007E4BD2"/>
    <w:rsid w:val="007F7D46"/>
    <w:rsid w:val="00801393"/>
    <w:rsid w:val="00802F88"/>
    <w:rsid w:val="0081293E"/>
    <w:rsid w:val="00815465"/>
    <w:rsid w:val="00817E9A"/>
    <w:rsid w:val="00820C57"/>
    <w:rsid w:val="008306BD"/>
    <w:rsid w:val="00831A80"/>
    <w:rsid w:val="00833743"/>
    <w:rsid w:val="008340A4"/>
    <w:rsid w:val="00840BB5"/>
    <w:rsid w:val="0087135F"/>
    <w:rsid w:val="00872D94"/>
    <w:rsid w:val="00880364"/>
    <w:rsid w:val="00884EE3"/>
    <w:rsid w:val="00891592"/>
    <w:rsid w:val="0089194D"/>
    <w:rsid w:val="00891E9E"/>
    <w:rsid w:val="008A2F68"/>
    <w:rsid w:val="008B219F"/>
    <w:rsid w:val="008B4FA6"/>
    <w:rsid w:val="008B5282"/>
    <w:rsid w:val="008B76B0"/>
    <w:rsid w:val="008B7C17"/>
    <w:rsid w:val="008C2D01"/>
    <w:rsid w:val="008C40E6"/>
    <w:rsid w:val="008C4F70"/>
    <w:rsid w:val="008D0F7A"/>
    <w:rsid w:val="008D68E4"/>
    <w:rsid w:val="008E0506"/>
    <w:rsid w:val="008E0CFF"/>
    <w:rsid w:val="008E2A0E"/>
    <w:rsid w:val="008E5D6B"/>
    <w:rsid w:val="008E76F0"/>
    <w:rsid w:val="008F15FE"/>
    <w:rsid w:val="008F2D29"/>
    <w:rsid w:val="008F5187"/>
    <w:rsid w:val="008F60D8"/>
    <w:rsid w:val="00901AD5"/>
    <w:rsid w:val="00902727"/>
    <w:rsid w:val="0090312B"/>
    <w:rsid w:val="00905C77"/>
    <w:rsid w:val="0091736D"/>
    <w:rsid w:val="009258E1"/>
    <w:rsid w:val="0093037A"/>
    <w:rsid w:val="00934A1E"/>
    <w:rsid w:val="0094154D"/>
    <w:rsid w:val="0095155F"/>
    <w:rsid w:val="00954429"/>
    <w:rsid w:val="009546BB"/>
    <w:rsid w:val="009563CE"/>
    <w:rsid w:val="00976328"/>
    <w:rsid w:val="0097680D"/>
    <w:rsid w:val="00982438"/>
    <w:rsid w:val="0098404C"/>
    <w:rsid w:val="00985283"/>
    <w:rsid w:val="00994B24"/>
    <w:rsid w:val="00995992"/>
    <w:rsid w:val="009A03E5"/>
    <w:rsid w:val="009A0F3B"/>
    <w:rsid w:val="009A1BB4"/>
    <w:rsid w:val="009A2628"/>
    <w:rsid w:val="009A3200"/>
    <w:rsid w:val="009B0897"/>
    <w:rsid w:val="009B7BD9"/>
    <w:rsid w:val="009C7DD5"/>
    <w:rsid w:val="009E227D"/>
    <w:rsid w:val="009E468E"/>
    <w:rsid w:val="009E5019"/>
    <w:rsid w:val="009F3405"/>
    <w:rsid w:val="00A04F1B"/>
    <w:rsid w:val="00A0501B"/>
    <w:rsid w:val="00A14947"/>
    <w:rsid w:val="00A30A40"/>
    <w:rsid w:val="00A323C6"/>
    <w:rsid w:val="00A32A83"/>
    <w:rsid w:val="00A368DB"/>
    <w:rsid w:val="00A423AA"/>
    <w:rsid w:val="00A53EC6"/>
    <w:rsid w:val="00A55C0F"/>
    <w:rsid w:val="00A624D1"/>
    <w:rsid w:val="00A83EA3"/>
    <w:rsid w:val="00A8713F"/>
    <w:rsid w:val="00A90BA1"/>
    <w:rsid w:val="00A95BC2"/>
    <w:rsid w:val="00A97A9A"/>
    <w:rsid w:val="00AA0671"/>
    <w:rsid w:val="00AA2531"/>
    <w:rsid w:val="00AA7246"/>
    <w:rsid w:val="00AB1812"/>
    <w:rsid w:val="00AB1E09"/>
    <w:rsid w:val="00AB5330"/>
    <w:rsid w:val="00AB7747"/>
    <w:rsid w:val="00AB7A64"/>
    <w:rsid w:val="00AC14CE"/>
    <w:rsid w:val="00AC2A56"/>
    <w:rsid w:val="00AD055E"/>
    <w:rsid w:val="00AD47A7"/>
    <w:rsid w:val="00AF0CBF"/>
    <w:rsid w:val="00AF257F"/>
    <w:rsid w:val="00AF33CF"/>
    <w:rsid w:val="00AF4D50"/>
    <w:rsid w:val="00AF6179"/>
    <w:rsid w:val="00B03135"/>
    <w:rsid w:val="00B1295A"/>
    <w:rsid w:val="00B20A45"/>
    <w:rsid w:val="00B22C5C"/>
    <w:rsid w:val="00B24F30"/>
    <w:rsid w:val="00B25F4D"/>
    <w:rsid w:val="00B31ABF"/>
    <w:rsid w:val="00B33BE3"/>
    <w:rsid w:val="00B53B5D"/>
    <w:rsid w:val="00B561ED"/>
    <w:rsid w:val="00B6055E"/>
    <w:rsid w:val="00B6317D"/>
    <w:rsid w:val="00B7723F"/>
    <w:rsid w:val="00B80534"/>
    <w:rsid w:val="00B8433C"/>
    <w:rsid w:val="00B87491"/>
    <w:rsid w:val="00BA1C1E"/>
    <w:rsid w:val="00BA29E9"/>
    <w:rsid w:val="00BA7142"/>
    <w:rsid w:val="00BB018D"/>
    <w:rsid w:val="00BB17BB"/>
    <w:rsid w:val="00BB237C"/>
    <w:rsid w:val="00BB41A3"/>
    <w:rsid w:val="00BC32DC"/>
    <w:rsid w:val="00BC35B6"/>
    <w:rsid w:val="00BC757B"/>
    <w:rsid w:val="00BD1B51"/>
    <w:rsid w:val="00BD4596"/>
    <w:rsid w:val="00BE1405"/>
    <w:rsid w:val="00BE312D"/>
    <w:rsid w:val="00BF1C20"/>
    <w:rsid w:val="00C10578"/>
    <w:rsid w:val="00C105EB"/>
    <w:rsid w:val="00C135BC"/>
    <w:rsid w:val="00C15C95"/>
    <w:rsid w:val="00C2596A"/>
    <w:rsid w:val="00C27537"/>
    <w:rsid w:val="00C3006F"/>
    <w:rsid w:val="00C328FE"/>
    <w:rsid w:val="00C33507"/>
    <w:rsid w:val="00C43075"/>
    <w:rsid w:val="00C4409D"/>
    <w:rsid w:val="00C44E72"/>
    <w:rsid w:val="00C45A06"/>
    <w:rsid w:val="00C47E5B"/>
    <w:rsid w:val="00C528D4"/>
    <w:rsid w:val="00C61E4B"/>
    <w:rsid w:val="00C64BFF"/>
    <w:rsid w:val="00C656AB"/>
    <w:rsid w:val="00C704E9"/>
    <w:rsid w:val="00C763C9"/>
    <w:rsid w:val="00C80057"/>
    <w:rsid w:val="00C82232"/>
    <w:rsid w:val="00C82913"/>
    <w:rsid w:val="00C972B1"/>
    <w:rsid w:val="00CA2CCE"/>
    <w:rsid w:val="00CA43FD"/>
    <w:rsid w:val="00CA7EF8"/>
    <w:rsid w:val="00CC3178"/>
    <w:rsid w:val="00CC3243"/>
    <w:rsid w:val="00CC489B"/>
    <w:rsid w:val="00CD2BCD"/>
    <w:rsid w:val="00CD3536"/>
    <w:rsid w:val="00CD3A4C"/>
    <w:rsid w:val="00CE10E9"/>
    <w:rsid w:val="00CE2910"/>
    <w:rsid w:val="00CE5393"/>
    <w:rsid w:val="00CF1588"/>
    <w:rsid w:val="00CF36BE"/>
    <w:rsid w:val="00CF6000"/>
    <w:rsid w:val="00D003F3"/>
    <w:rsid w:val="00D00F3C"/>
    <w:rsid w:val="00D0364F"/>
    <w:rsid w:val="00D06834"/>
    <w:rsid w:val="00D15436"/>
    <w:rsid w:val="00D308ED"/>
    <w:rsid w:val="00D36D86"/>
    <w:rsid w:val="00D428AA"/>
    <w:rsid w:val="00D451D3"/>
    <w:rsid w:val="00D50A34"/>
    <w:rsid w:val="00D53EFA"/>
    <w:rsid w:val="00D57EFA"/>
    <w:rsid w:val="00D72607"/>
    <w:rsid w:val="00D83E43"/>
    <w:rsid w:val="00D94A7C"/>
    <w:rsid w:val="00D95896"/>
    <w:rsid w:val="00DA0E06"/>
    <w:rsid w:val="00DA723C"/>
    <w:rsid w:val="00DB2983"/>
    <w:rsid w:val="00DC1257"/>
    <w:rsid w:val="00DC3DC0"/>
    <w:rsid w:val="00DC5B2B"/>
    <w:rsid w:val="00DD318D"/>
    <w:rsid w:val="00DF2E12"/>
    <w:rsid w:val="00DF514A"/>
    <w:rsid w:val="00DF6690"/>
    <w:rsid w:val="00DF6804"/>
    <w:rsid w:val="00E0358D"/>
    <w:rsid w:val="00E04323"/>
    <w:rsid w:val="00E06D00"/>
    <w:rsid w:val="00E070A2"/>
    <w:rsid w:val="00E23159"/>
    <w:rsid w:val="00E2656A"/>
    <w:rsid w:val="00E412D0"/>
    <w:rsid w:val="00E56322"/>
    <w:rsid w:val="00E60982"/>
    <w:rsid w:val="00E62C62"/>
    <w:rsid w:val="00E654C1"/>
    <w:rsid w:val="00E65D97"/>
    <w:rsid w:val="00E72A5A"/>
    <w:rsid w:val="00E73354"/>
    <w:rsid w:val="00E74996"/>
    <w:rsid w:val="00E9242D"/>
    <w:rsid w:val="00E96F2C"/>
    <w:rsid w:val="00EA513F"/>
    <w:rsid w:val="00EB4240"/>
    <w:rsid w:val="00EB5255"/>
    <w:rsid w:val="00EB5C47"/>
    <w:rsid w:val="00ED0338"/>
    <w:rsid w:val="00ED0639"/>
    <w:rsid w:val="00EF3DFD"/>
    <w:rsid w:val="00EF4755"/>
    <w:rsid w:val="00EF7135"/>
    <w:rsid w:val="00F027DB"/>
    <w:rsid w:val="00F114E2"/>
    <w:rsid w:val="00F14A7A"/>
    <w:rsid w:val="00F22985"/>
    <w:rsid w:val="00F3383E"/>
    <w:rsid w:val="00F465A7"/>
    <w:rsid w:val="00F50B7C"/>
    <w:rsid w:val="00F550E6"/>
    <w:rsid w:val="00F73EEA"/>
    <w:rsid w:val="00F74345"/>
    <w:rsid w:val="00F80A0A"/>
    <w:rsid w:val="00F82B19"/>
    <w:rsid w:val="00F91668"/>
    <w:rsid w:val="00F9212D"/>
    <w:rsid w:val="00F95B97"/>
    <w:rsid w:val="00F965DA"/>
    <w:rsid w:val="00FA406A"/>
    <w:rsid w:val="00FA4F53"/>
    <w:rsid w:val="00FB433B"/>
    <w:rsid w:val="00FB503A"/>
    <w:rsid w:val="00FB516C"/>
    <w:rsid w:val="00FD0236"/>
    <w:rsid w:val="00FD18F4"/>
    <w:rsid w:val="00FD54DB"/>
    <w:rsid w:val="00FD619F"/>
    <w:rsid w:val="010E136D"/>
    <w:rsid w:val="01121891"/>
    <w:rsid w:val="01134E24"/>
    <w:rsid w:val="011363E1"/>
    <w:rsid w:val="01145AEB"/>
    <w:rsid w:val="01173FE2"/>
    <w:rsid w:val="01183E11"/>
    <w:rsid w:val="011B61E8"/>
    <w:rsid w:val="011B6C33"/>
    <w:rsid w:val="011F401C"/>
    <w:rsid w:val="012375FA"/>
    <w:rsid w:val="01253372"/>
    <w:rsid w:val="01287A27"/>
    <w:rsid w:val="01290F7E"/>
    <w:rsid w:val="012A38D1"/>
    <w:rsid w:val="012B64AF"/>
    <w:rsid w:val="012D66CB"/>
    <w:rsid w:val="01306190"/>
    <w:rsid w:val="013520A6"/>
    <w:rsid w:val="0136732D"/>
    <w:rsid w:val="01387CBB"/>
    <w:rsid w:val="013A1956"/>
    <w:rsid w:val="014A3361"/>
    <w:rsid w:val="014D2817"/>
    <w:rsid w:val="01574DF5"/>
    <w:rsid w:val="01577C03"/>
    <w:rsid w:val="015A7DE7"/>
    <w:rsid w:val="015B356E"/>
    <w:rsid w:val="015D1E09"/>
    <w:rsid w:val="01623922"/>
    <w:rsid w:val="0162583D"/>
    <w:rsid w:val="01666E42"/>
    <w:rsid w:val="0173695F"/>
    <w:rsid w:val="017460A8"/>
    <w:rsid w:val="01746E93"/>
    <w:rsid w:val="017C2CB3"/>
    <w:rsid w:val="01814321"/>
    <w:rsid w:val="018A2F26"/>
    <w:rsid w:val="018D3A57"/>
    <w:rsid w:val="018D4761"/>
    <w:rsid w:val="018F2EE2"/>
    <w:rsid w:val="01915E7F"/>
    <w:rsid w:val="01A11456"/>
    <w:rsid w:val="01A56261"/>
    <w:rsid w:val="01A7647D"/>
    <w:rsid w:val="01AB040B"/>
    <w:rsid w:val="01B2547F"/>
    <w:rsid w:val="01BF0A03"/>
    <w:rsid w:val="01BF0EAC"/>
    <w:rsid w:val="01BF5575"/>
    <w:rsid w:val="01C6420E"/>
    <w:rsid w:val="01C7267B"/>
    <w:rsid w:val="01C75289"/>
    <w:rsid w:val="01CF3D93"/>
    <w:rsid w:val="01D12856"/>
    <w:rsid w:val="01D5441C"/>
    <w:rsid w:val="01D63858"/>
    <w:rsid w:val="01DD1E9F"/>
    <w:rsid w:val="01DE1117"/>
    <w:rsid w:val="01DE499C"/>
    <w:rsid w:val="01E61CED"/>
    <w:rsid w:val="01E711A2"/>
    <w:rsid w:val="01EC6BBB"/>
    <w:rsid w:val="01EF244D"/>
    <w:rsid w:val="01F114A6"/>
    <w:rsid w:val="01F142F9"/>
    <w:rsid w:val="01F37533"/>
    <w:rsid w:val="01F4072A"/>
    <w:rsid w:val="01F65907"/>
    <w:rsid w:val="01FA5F37"/>
    <w:rsid w:val="01FB7B66"/>
    <w:rsid w:val="01FB7CB0"/>
    <w:rsid w:val="01FC74EB"/>
    <w:rsid w:val="01FD1781"/>
    <w:rsid w:val="01FD7E4B"/>
    <w:rsid w:val="020631A9"/>
    <w:rsid w:val="020645E1"/>
    <w:rsid w:val="02102D61"/>
    <w:rsid w:val="021446DE"/>
    <w:rsid w:val="02154231"/>
    <w:rsid w:val="02281729"/>
    <w:rsid w:val="0237787A"/>
    <w:rsid w:val="023A5BCC"/>
    <w:rsid w:val="0244093E"/>
    <w:rsid w:val="02483768"/>
    <w:rsid w:val="02486F24"/>
    <w:rsid w:val="024874AE"/>
    <w:rsid w:val="024D22D3"/>
    <w:rsid w:val="024F7D85"/>
    <w:rsid w:val="02512F12"/>
    <w:rsid w:val="025845AE"/>
    <w:rsid w:val="025851EF"/>
    <w:rsid w:val="02586D89"/>
    <w:rsid w:val="025C763B"/>
    <w:rsid w:val="025D6A3D"/>
    <w:rsid w:val="025F1A63"/>
    <w:rsid w:val="026003DA"/>
    <w:rsid w:val="02630FE7"/>
    <w:rsid w:val="02697903"/>
    <w:rsid w:val="026A1507"/>
    <w:rsid w:val="026B201E"/>
    <w:rsid w:val="026E30B7"/>
    <w:rsid w:val="02720F4D"/>
    <w:rsid w:val="02724DA0"/>
    <w:rsid w:val="02727240"/>
    <w:rsid w:val="02785EB8"/>
    <w:rsid w:val="02791FF0"/>
    <w:rsid w:val="0282126F"/>
    <w:rsid w:val="028D7214"/>
    <w:rsid w:val="028F2A57"/>
    <w:rsid w:val="02970E4C"/>
    <w:rsid w:val="0297162A"/>
    <w:rsid w:val="0297521C"/>
    <w:rsid w:val="029A7D90"/>
    <w:rsid w:val="02AA7747"/>
    <w:rsid w:val="02AF383B"/>
    <w:rsid w:val="02B01143"/>
    <w:rsid w:val="02B206EA"/>
    <w:rsid w:val="02B64648"/>
    <w:rsid w:val="02C77029"/>
    <w:rsid w:val="02C967BC"/>
    <w:rsid w:val="02CB377B"/>
    <w:rsid w:val="02CF5EEA"/>
    <w:rsid w:val="02D363BC"/>
    <w:rsid w:val="02D7069C"/>
    <w:rsid w:val="02DC3844"/>
    <w:rsid w:val="02DF0B33"/>
    <w:rsid w:val="02E32A03"/>
    <w:rsid w:val="02E568EF"/>
    <w:rsid w:val="02E828A9"/>
    <w:rsid w:val="02EA7B5F"/>
    <w:rsid w:val="02EA7C21"/>
    <w:rsid w:val="02EE7502"/>
    <w:rsid w:val="02F54FC6"/>
    <w:rsid w:val="02F877E4"/>
    <w:rsid w:val="02F96569"/>
    <w:rsid w:val="0304247E"/>
    <w:rsid w:val="0308498D"/>
    <w:rsid w:val="03085DB3"/>
    <w:rsid w:val="030C31C1"/>
    <w:rsid w:val="03192A63"/>
    <w:rsid w:val="031B53B4"/>
    <w:rsid w:val="031C3E37"/>
    <w:rsid w:val="03253BB7"/>
    <w:rsid w:val="032C73AC"/>
    <w:rsid w:val="032D009A"/>
    <w:rsid w:val="032F672A"/>
    <w:rsid w:val="03302CA1"/>
    <w:rsid w:val="033116E2"/>
    <w:rsid w:val="03322BBE"/>
    <w:rsid w:val="03330690"/>
    <w:rsid w:val="03392B72"/>
    <w:rsid w:val="033C327D"/>
    <w:rsid w:val="033C626F"/>
    <w:rsid w:val="03406F46"/>
    <w:rsid w:val="03431F21"/>
    <w:rsid w:val="03483A14"/>
    <w:rsid w:val="034A2D85"/>
    <w:rsid w:val="0350044F"/>
    <w:rsid w:val="03527585"/>
    <w:rsid w:val="03536574"/>
    <w:rsid w:val="0359662D"/>
    <w:rsid w:val="035A6A17"/>
    <w:rsid w:val="03633BAE"/>
    <w:rsid w:val="03636D1F"/>
    <w:rsid w:val="03661EC7"/>
    <w:rsid w:val="037574C9"/>
    <w:rsid w:val="037B371D"/>
    <w:rsid w:val="03854D44"/>
    <w:rsid w:val="03863E70"/>
    <w:rsid w:val="0388514C"/>
    <w:rsid w:val="038A570F"/>
    <w:rsid w:val="038B1B66"/>
    <w:rsid w:val="038D16A3"/>
    <w:rsid w:val="038D538B"/>
    <w:rsid w:val="03942A31"/>
    <w:rsid w:val="03975A6E"/>
    <w:rsid w:val="03976B53"/>
    <w:rsid w:val="039E4D89"/>
    <w:rsid w:val="03A323C4"/>
    <w:rsid w:val="03A42277"/>
    <w:rsid w:val="03A5079A"/>
    <w:rsid w:val="03A762C0"/>
    <w:rsid w:val="03A7740C"/>
    <w:rsid w:val="03A824E8"/>
    <w:rsid w:val="03A964DC"/>
    <w:rsid w:val="03AC3834"/>
    <w:rsid w:val="03B12025"/>
    <w:rsid w:val="03B22EB7"/>
    <w:rsid w:val="03B31109"/>
    <w:rsid w:val="03B8094D"/>
    <w:rsid w:val="03BA4277"/>
    <w:rsid w:val="03BA760E"/>
    <w:rsid w:val="03BD2849"/>
    <w:rsid w:val="03C9092D"/>
    <w:rsid w:val="03CD5DD0"/>
    <w:rsid w:val="03D03AE3"/>
    <w:rsid w:val="03D1158F"/>
    <w:rsid w:val="03D24185"/>
    <w:rsid w:val="03D54585"/>
    <w:rsid w:val="03D60AA1"/>
    <w:rsid w:val="03E127CF"/>
    <w:rsid w:val="03E272F9"/>
    <w:rsid w:val="03EA7B21"/>
    <w:rsid w:val="03F33AEE"/>
    <w:rsid w:val="03F35447"/>
    <w:rsid w:val="03F46324"/>
    <w:rsid w:val="03F5651C"/>
    <w:rsid w:val="03FB325E"/>
    <w:rsid w:val="0402699F"/>
    <w:rsid w:val="04026E23"/>
    <w:rsid w:val="04046712"/>
    <w:rsid w:val="040A60E7"/>
    <w:rsid w:val="040C451D"/>
    <w:rsid w:val="040F62CF"/>
    <w:rsid w:val="041148B7"/>
    <w:rsid w:val="04127F37"/>
    <w:rsid w:val="04165ED2"/>
    <w:rsid w:val="041922CB"/>
    <w:rsid w:val="04197063"/>
    <w:rsid w:val="041D47D5"/>
    <w:rsid w:val="041E6EE5"/>
    <w:rsid w:val="041F1AE4"/>
    <w:rsid w:val="04206073"/>
    <w:rsid w:val="04206B33"/>
    <w:rsid w:val="04225B2E"/>
    <w:rsid w:val="042571E7"/>
    <w:rsid w:val="04257E38"/>
    <w:rsid w:val="042662A4"/>
    <w:rsid w:val="042776BB"/>
    <w:rsid w:val="0429527F"/>
    <w:rsid w:val="042F5754"/>
    <w:rsid w:val="043363F9"/>
    <w:rsid w:val="043722D1"/>
    <w:rsid w:val="043D0F8E"/>
    <w:rsid w:val="043D7BE2"/>
    <w:rsid w:val="043E5715"/>
    <w:rsid w:val="043E6CF3"/>
    <w:rsid w:val="043F2538"/>
    <w:rsid w:val="043F7D2D"/>
    <w:rsid w:val="04431821"/>
    <w:rsid w:val="04437FD0"/>
    <w:rsid w:val="044D79CF"/>
    <w:rsid w:val="044F56A6"/>
    <w:rsid w:val="04537C24"/>
    <w:rsid w:val="045517C7"/>
    <w:rsid w:val="04567CE7"/>
    <w:rsid w:val="04577D24"/>
    <w:rsid w:val="045C3944"/>
    <w:rsid w:val="045D44C0"/>
    <w:rsid w:val="046240C4"/>
    <w:rsid w:val="04643BB1"/>
    <w:rsid w:val="0467242B"/>
    <w:rsid w:val="04795974"/>
    <w:rsid w:val="047C774D"/>
    <w:rsid w:val="047F2D4F"/>
    <w:rsid w:val="04810EE6"/>
    <w:rsid w:val="0481577E"/>
    <w:rsid w:val="04860F3B"/>
    <w:rsid w:val="0486134C"/>
    <w:rsid w:val="048E54B2"/>
    <w:rsid w:val="049050DF"/>
    <w:rsid w:val="049202A9"/>
    <w:rsid w:val="04925E66"/>
    <w:rsid w:val="04A503F1"/>
    <w:rsid w:val="04B14F1D"/>
    <w:rsid w:val="04B61E71"/>
    <w:rsid w:val="04B86127"/>
    <w:rsid w:val="04B942FE"/>
    <w:rsid w:val="04BD7D66"/>
    <w:rsid w:val="04C16871"/>
    <w:rsid w:val="04C306E4"/>
    <w:rsid w:val="04C335CE"/>
    <w:rsid w:val="04C609C8"/>
    <w:rsid w:val="04C645EC"/>
    <w:rsid w:val="04C76D5E"/>
    <w:rsid w:val="04C829BC"/>
    <w:rsid w:val="04C95B85"/>
    <w:rsid w:val="04CC01A0"/>
    <w:rsid w:val="04CD64A4"/>
    <w:rsid w:val="04D11F23"/>
    <w:rsid w:val="04D16F0C"/>
    <w:rsid w:val="04D65848"/>
    <w:rsid w:val="04D960CA"/>
    <w:rsid w:val="04DA4474"/>
    <w:rsid w:val="04DE2053"/>
    <w:rsid w:val="04DE3419"/>
    <w:rsid w:val="04E20E82"/>
    <w:rsid w:val="04E32EE0"/>
    <w:rsid w:val="04E3605F"/>
    <w:rsid w:val="04E451BC"/>
    <w:rsid w:val="04E47820"/>
    <w:rsid w:val="04E76AD0"/>
    <w:rsid w:val="04EA0D21"/>
    <w:rsid w:val="04EB6681"/>
    <w:rsid w:val="04EC36D3"/>
    <w:rsid w:val="04F70794"/>
    <w:rsid w:val="0503279F"/>
    <w:rsid w:val="050E0512"/>
    <w:rsid w:val="05152CDB"/>
    <w:rsid w:val="051B1D98"/>
    <w:rsid w:val="05207EBB"/>
    <w:rsid w:val="052921F4"/>
    <w:rsid w:val="05311FB3"/>
    <w:rsid w:val="05390FBC"/>
    <w:rsid w:val="05440E53"/>
    <w:rsid w:val="05445D91"/>
    <w:rsid w:val="054B0ECD"/>
    <w:rsid w:val="054B5371"/>
    <w:rsid w:val="054B7EEC"/>
    <w:rsid w:val="054E41E1"/>
    <w:rsid w:val="0552091D"/>
    <w:rsid w:val="05543B24"/>
    <w:rsid w:val="05544226"/>
    <w:rsid w:val="05546C8D"/>
    <w:rsid w:val="0557253A"/>
    <w:rsid w:val="055C46C1"/>
    <w:rsid w:val="055E7923"/>
    <w:rsid w:val="056046FB"/>
    <w:rsid w:val="056401E1"/>
    <w:rsid w:val="056E25BC"/>
    <w:rsid w:val="057139A3"/>
    <w:rsid w:val="05724F10"/>
    <w:rsid w:val="057265C0"/>
    <w:rsid w:val="05752D49"/>
    <w:rsid w:val="05765EFD"/>
    <w:rsid w:val="05776166"/>
    <w:rsid w:val="05791EDF"/>
    <w:rsid w:val="057A59E9"/>
    <w:rsid w:val="057D3926"/>
    <w:rsid w:val="057D592D"/>
    <w:rsid w:val="057D5D73"/>
    <w:rsid w:val="05842159"/>
    <w:rsid w:val="05860158"/>
    <w:rsid w:val="058A5E9A"/>
    <w:rsid w:val="058D5DA6"/>
    <w:rsid w:val="058D77EC"/>
    <w:rsid w:val="05905344"/>
    <w:rsid w:val="05917A56"/>
    <w:rsid w:val="05932104"/>
    <w:rsid w:val="059B00A7"/>
    <w:rsid w:val="05A043D7"/>
    <w:rsid w:val="05AB7E36"/>
    <w:rsid w:val="05AC25ED"/>
    <w:rsid w:val="05B2531D"/>
    <w:rsid w:val="05BA7E4C"/>
    <w:rsid w:val="05BB42A5"/>
    <w:rsid w:val="05BC001D"/>
    <w:rsid w:val="05C00A0F"/>
    <w:rsid w:val="05C216F5"/>
    <w:rsid w:val="05C66920"/>
    <w:rsid w:val="05CA44E8"/>
    <w:rsid w:val="05CF7D50"/>
    <w:rsid w:val="05D02B1D"/>
    <w:rsid w:val="05D760FE"/>
    <w:rsid w:val="05DE4E8F"/>
    <w:rsid w:val="05DF4305"/>
    <w:rsid w:val="05E21783"/>
    <w:rsid w:val="05E36FFA"/>
    <w:rsid w:val="05E97064"/>
    <w:rsid w:val="05EC19EA"/>
    <w:rsid w:val="05ED22A9"/>
    <w:rsid w:val="05EE6989"/>
    <w:rsid w:val="05EF6CA6"/>
    <w:rsid w:val="05F83EAE"/>
    <w:rsid w:val="05FC66F9"/>
    <w:rsid w:val="060D22D6"/>
    <w:rsid w:val="060E0879"/>
    <w:rsid w:val="060F2843"/>
    <w:rsid w:val="06130212"/>
    <w:rsid w:val="061732E0"/>
    <w:rsid w:val="06184A18"/>
    <w:rsid w:val="06196BDE"/>
    <w:rsid w:val="061C604C"/>
    <w:rsid w:val="061F1BC2"/>
    <w:rsid w:val="061F24CB"/>
    <w:rsid w:val="061F64F1"/>
    <w:rsid w:val="06296D73"/>
    <w:rsid w:val="062E09EC"/>
    <w:rsid w:val="062E7C7C"/>
    <w:rsid w:val="06350552"/>
    <w:rsid w:val="063509A2"/>
    <w:rsid w:val="063B071B"/>
    <w:rsid w:val="063C7843"/>
    <w:rsid w:val="063E7D85"/>
    <w:rsid w:val="06470F69"/>
    <w:rsid w:val="064921AB"/>
    <w:rsid w:val="064A02BE"/>
    <w:rsid w:val="065B4484"/>
    <w:rsid w:val="06602050"/>
    <w:rsid w:val="066606CD"/>
    <w:rsid w:val="06675B08"/>
    <w:rsid w:val="067B073C"/>
    <w:rsid w:val="067E6A1E"/>
    <w:rsid w:val="06834735"/>
    <w:rsid w:val="068864BF"/>
    <w:rsid w:val="068A0926"/>
    <w:rsid w:val="068B2BB8"/>
    <w:rsid w:val="068B7198"/>
    <w:rsid w:val="068C6794"/>
    <w:rsid w:val="068F3139"/>
    <w:rsid w:val="069E344E"/>
    <w:rsid w:val="069E708B"/>
    <w:rsid w:val="06A40A01"/>
    <w:rsid w:val="06A533AD"/>
    <w:rsid w:val="06A831CE"/>
    <w:rsid w:val="06A86B31"/>
    <w:rsid w:val="06B11DAD"/>
    <w:rsid w:val="06BA27AF"/>
    <w:rsid w:val="06BE24E3"/>
    <w:rsid w:val="06BE46F4"/>
    <w:rsid w:val="06C003F6"/>
    <w:rsid w:val="06C368C7"/>
    <w:rsid w:val="06C6712B"/>
    <w:rsid w:val="06CD19EA"/>
    <w:rsid w:val="06CE302D"/>
    <w:rsid w:val="06CF14AD"/>
    <w:rsid w:val="06DA572E"/>
    <w:rsid w:val="06DE6B5A"/>
    <w:rsid w:val="06E611C4"/>
    <w:rsid w:val="06E710CA"/>
    <w:rsid w:val="06E844F3"/>
    <w:rsid w:val="06E96D64"/>
    <w:rsid w:val="06EB3928"/>
    <w:rsid w:val="06F22A33"/>
    <w:rsid w:val="06F54A7D"/>
    <w:rsid w:val="06F82C62"/>
    <w:rsid w:val="06FD0DA0"/>
    <w:rsid w:val="06FE4E07"/>
    <w:rsid w:val="06FF6B29"/>
    <w:rsid w:val="07011324"/>
    <w:rsid w:val="070D74B5"/>
    <w:rsid w:val="071545F5"/>
    <w:rsid w:val="071B728C"/>
    <w:rsid w:val="07224BDC"/>
    <w:rsid w:val="0724014B"/>
    <w:rsid w:val="07293586"/>
    <w:rsid w:val="07295285"/>
    <w:rsid w:val="07297DEA"/>
    <w:rsid w:val="072F3FA8"/>
    <w:rsid w:val="07370A10"/>
    <w:rsid w:val="073C1416"/>
    <w:rsid w:val="073C20DE"/>
    <w:rsid w:val="073C7668"/>
    <w:rsid w:val="07400E11"/>
    <w:rsid w:val="0740192A"/>
    <w:rsid w:val="07424F20"/>
    <w:rsid w:val="07444C49"/>
    <w:rsid w:val="07475900"/>
    <w:rsid w:val="0749730C"/>
    <w:rsid w:val="07500A1D"/>
    <w:rsid w:val="07507063"/>
    <w:rsid w:val="075122FD"/>
    <w:rsid w:val="07524795"/>
    <w:rsid w:val="0756200F"/>
    <w:rsid w:val="075818D0"/>
    <w:rsid w:val="075A0AC1"/>
    <w:rsid w:val="075E33C0"/>
    <w:rsid w:val="0760551A"/>
    <w:rsid w:val="07636392"/>
    <w:rsid w:val="0766262B"/>
    <w:rsid w:val="07695F14"/>
    <w:rsid w:val="076E6B46"/>
    <w:rsid w:val="07710BE5"/>
    <w:rsid w:val="07770C56"/>
    <w:rsid w:val="077837F6"/>
    <w:rsid w:val="077E771C"/>
    <w:rsid w:val="078131CB"/>
    <w:rsid w:val="07833C15"/>
    <w:rsid w:val="07854CFB"/>
    <w:rsid w:val="07867EC7"/>
    <w:rsid w:val="0789587F"/>
    <w:rsid w:val="079378A1"/>
    <w:rsid w:val="079C1EB4"/>
    <w:rsid w:val="07A03332"/>
    <w:rsid w:val="07A1566A"/>
    <w:rsid w:val="07A203A2"/>
    <w:rsid w:val="07A215EA"/>
    <w:rsid w:val="07A309EF"/>
    <w:rsid w:val="07A479E1"/>
    <w:rsid w:val="07A71766"/>
    <w:rsid w:val="07A92DBB"/>
    <w:rsid w:val="07AE3CE9"/>
    <w:rsid w:val="07AE5B79"/>
    <w:rsid w:val="07AF3E24"/>
    <w:rsid w:val="07B22C1B"/>
    <w:rsid w:val="07B627CE"/>
    <w:rsid w:val="07B74F40"/>
    <w:rsid w:val="07C5765D"/>
    <w:rsid w:val="07C71F01"/>
    <w:rsid w:val="07C81EB8"/>
    <w:rsid w:val="07CB56F1"/>
    <w:rsid w:val="07CB58C2"/>
    <w:rsid w:val="07D60C57"/>
    <w:rsid w:val="07DA72F5"/>
    <w:rsid w:val="07DB279B"/>
    <w:rsid w:val="07E43E51"/>
    <w:rsid w:val="07E450DC"/>
    <w:rsid w:val="07EE77C0"/>
    <w:rsid w:val="07F33CDF"/>
    <w:rsid w:val="07FF0326"/>
    <w:rsid w:val="08042260"/>
    <w:rsid w:val="08111598"/>
    <w:rsid w:val="08145EEF"/>
    <w:rsid w:val="081C1DF8"/>
    <w:rsid w:val="081C59E2"/>
    <w:rsid w:val="081F661B"/>
    <w:rsid w:val="082176BF"/>
    <w:rsid w:val="08283748"/>
    <w:rsid w:val="082A6E89"/>
    <w:rsid w:val="082C04D8"/>
    <w:rsid w:val="082C5572"/>
    <w:rsid w:val="08325B20"/>
    <w:rsid w:val="08386C69"/>
    <w:rsid w:val="083C6F8C"/>
    <w:rsid w:val="083D1231"/>
    <w:rsid w:val="083D4A7B"/>
    <w:rsid w:val="083E0F3A"/>
    <w:rsid w:val="083F1965"/>
    <w:rsid w:val="08444A26"/>
    <w:rsid w:val="0849203C"/>
    <w:rsid w:val="084A52F1"/>
    <w:rsid w:val="084E4524"/>
    <w:rsid w:val="084E6F86"/>
    <w:rsid w:val="084F24D1"/>
    <w:rsid w:val="08534518"/>
    <w:rsid w:val="085530EF"/>
    <w:rsid w:val="0857080F"/>
    <w:rsid w:val="0857540B"/>
    <w:rsid w:val="085D7896"/>
    <w:rsid w:val="08696954"/>
    <w:rsid w:val="086978F6"/>
    <w:rsid w:val="08710331"/>
    <w:rsid w:val="08772AC5"/>
    <w:rsid w:val="087F5A58"/>
    <w:rsid w:val="08800CF8"/>
    <w:rsid w:val="0883254A"/>
    <w:rsid w:val="088521A6"/>
    <w:rsid w:val="0887678E"/>
    <w:rsid w:val="088A57A8"/>
    <w:rsid w:val="089047ED"/>
    <w:rsid w:val="089129B4"/>
    <w:rsid w:val="0895702F"/>
    <w:rsid w:val="089645E4"/>
    <w:rsid w:val="089D2888"/>
    <w:rsid w:val="089E100F"/>
    <w:rsid w:val="08A0225C"/>
    <w:rsid w:val="08A534A9"/>
    <w:rsid w:val="08A63D15"/>
    <w:rsid w:val="08A65750"/>
    <w:rsid w:val="08AA60D3"/>
    <w:rsid w:val="08AC76ED"/>
    <w:rsid w:val="08B11C68"/>
    <w:rsid w:val="08B451FA"/>
    <w:rsid w:val="08B74BD2"/>
    <w:rsid w:val="08BA6588"/>
    <w:rsid w:val="08BE0D8E"/>
    <w:rsid w:val="08C030AC"/>
    <w:rsid w:val="08C429AA"/>
    <w:rsid w:val="08C47192"/>
    <w:rsid w:val="08C53BBE"/>
    <w:rsid w:val="08C606E7"/>
    <w:rsid w:val="08CB2A51"/>
    <w:rsid w:val="08CF6305"/>
    <w:rsid w:val="08D2617F"/>
    <w:rsid w:val="08D3640D"/>
    <w:rsid w:val="08D43365"/>
    <w:rsid w:val="08D4436E"/>
    <w:rsid w:val="08D644C2"/>
    <w:rsid w:val="08D64B01"/>
    <w:rsid w:val="08DD7F7E"/>
    <w:rsid w:val="08DF4B73"/>
    <w:rsid w:val="08E30F1C"/>
    <w:rsid w:val="08E40B56"/>
    <w:rsid w:val="08E4628B"/>
    <w:rsid w:val="08E76066"/>
    <w:rsid w:val="08F03CF7"/>
    <w:rsid w:val="08F4055A"/>
    <w:rsid w:val="08FA6E92"/>
    <w:rsid w:val="08FB157B"/>
    <w:rsid w:val="08FF2EAE"/>
    <w:rsid w:val="090800EA"/>
    <w:rsid w:val="09080AE9"/>
    <w:rsid w:val="090F015E"/>
    <w:rsid w:val="0913083B"/>
    <w:rsid w:val="09172A47"/>
    <w:rsid w:val="091A6D5D"/>
    <w:rsid w:val="091D39EC"/>
    <w:rsid w:val="092217DD"/>
    <w:rsid w:val="09231AF0"/>
    <w:rsid w:val="09271C52"/>
    <w:rsid w:val="092C0BDD"/>
    <w:rsid w:val="09313701"/>
    <w:rsid w:val="0935436E"/>
    <w:rsid w:val="093743FC"/>
    <w:rsid w:val="093A7294"/>
    <w:rsid w:val="093F5C65"/>
    <w:rsid w:val="094519E3"/>
    <w:rsid w:val="09455D35"/>
    <w:rsid w:val="094C6E67"/>
    <w:rsid w:val="094E670F"/>
    <w:rsid w:val="094F074F"/>
    <w:rsid w:val="094F5F7C"/>
    <w:rsid w:val="09524F20"/>
    <w:rsid w:val="0957069A"/>
    <w:rsid w:val="095A13E6"/>
    <w:rsid w:val="09601339"/>
    <w:rsid w:val="09675CAD"/>
    <w:rsid w:val="096903E5"/>
    <w:rsid w:val="097A0A94"/>
    <w:rsid w:val="097C4D6A"/>
    <w:rsid w:val="097F1E8C"/>
    <w:rsid w:val="098150C7"/>
    <w:rsid w:val="09831129"/>
    <w:rsid w:val="098B109E"/>
    <w:rsid w:val="099A75CB"/>
    <w:rsid w:val="099B126A"/>
    <w:rsid w:val="09A20711"/>
    <w:rsid w:val="09A46F03"/>
    <w:rsid w:val="09A60DC8"/>
    <w:rsid w:val="09AB7EBE"/>
    <w:rsid w:val="09AE35E0"/>
    <w:rsid w:val="09B62DE0"/>
    <w:rsid w:val="09B72B73"/>
    <w:rsid w:val="09B81915"/>
    <w:rsid w:val="09B9456A"/>
    <w:rsid w:val="09BC0355"/>
    <w:rsid w:val="09BE17C8"/>
    <w:rsid w:val="09BE43B2"/>
    <w:rsid w:val="09BE72F7"/>
    <w:rsid w:val="09C02E09"/>
    <w:rsid w:val="09C0501D"/>
    <w:rsid w:val="09C0653C"/>
    <w:rsid w:val="09C43213"/>
    <w:rsid w:val="09C865AE"/>
    <w:rsid w:val="09C873F1"/>
    <w:rsid w:val="09C90BEE"/>
    <w:rsid w:val="09C939BE"/>
    <w:rsid w:val="09CB6C67"/>
    <w:rsid w:val="09CE3FEA"/>
    <w:rsid w:val="09CF2115"/>
    <w:rsid w:val="09CF54CB"/>
    <w:rsid w:val="09DB6D69"/>
    <w:rsid w:val="09E2165F"/>
    <w:rsid w:val="09E55D95"/>
    <w:rsid w:val="09E74C9B"/>
    <w:rsid w:val="09F0570D"/>
    <w:rsid w:val="09F0701B"/>
    <w:rsid w:val="09F25C57"/>
    <w:rsid w:val="09F5412A"/>
    <w:rsid w:val="09F71624"/>
    <w:rsid w:val="09F86648"/>
    <w:rsid w:val="09FC5DE9"/>
    <w:rsid w:val="09FC5EF1"/>
    <w:rsid w:val="0A00280E"/>
    <w:rsid w:val="0A0755C8"/>
    <w:rsid w:val="0A084F4A"/>
    <w:rsid w:val="0A0F28E5"/>
    <w:rsid w:val="0A102208"/>
    <w:rsid w:val="0A107D50"/>
    <w:rsid w:val="0A1312FF"/>
    <w:rsid w:val="0A137AF6"/>
    <w:rsid w:val="0A263993"/>
    <w:rsid w:val="0A280B51"/>
    <w:rsid w:val="0A2913B8"/>
    <w:rsid w:val="0A2A10F7"/>
    <w:rsid w:val="0A2D3AC2"/>
    <w:rsid w:val="0A324A56"/>
    <w:rsid w:val="0A345B7B"/>
    <w:rsid w:val="0A347935"/>
    <w:rsid w:val="0A381D02"/>
    <w:rsid w:val="0A387FEE"/>
    <w:rsid w:val="0A3901BF"/>
    <w:rsid w:val="0A3D115F"/>
    <w:rsid w:val="0A3F04B4"/>
    <w:rsid w:val="0A481AB9"/>
    <w:rsid w:val="0A4A209B"/>
    <w:rsid w:val="0A535D07"/>
    <w:rsid w:val="0A541444"/>
    <w:rsid w:val="0A573D72"/>
    <w:rsid w:val="0A5A23E3"/>
    <w:rsid w:val="0A62204C"/>
    <w:rsid w:val="0A6A6BD7"/>
    <w:rsid w:val="0A722DEB"/>
    <w:rsid w:val="0A7476F6"/>
    <w:rsid w:val="0A753B05"/>
    <w:rsid w:val="0A754163"/>
    <w:rsid w:val="0A7644E3"/>
    <w:rsid w:val="0A791C03"/>
    <w:rsid w:val="0A794AFB"/>
    <w:rsid w:val="0A795645"/>
    <w:rsid w:val="0A7A5AB8"/>
    <w:rsid w:val="0A7F6A5A"/>
    <w:rsid w:val="0A840A31"/>
    <w:rsid w:val="0A8637FC"/>
    <w:rsid w:val="0A87757D"/>
    <w:rsid w:val="0A92134D"/>
    <w:rsid w:val="0A994399"/>
    <w:rsid w:val="0A9D666F"/>
    <w:rsid w:val="0A9F31D5"/>
    <w:rsid w:val="0AA626E9"/>
    <w:rsid w:val="0AA755DF"/>
    <w:rsid w:val="0AAD2F9F"/>
    <w:rsid w:val="0AB71105"/>
    <w:rsid w:val="0ABD0ABF"/>
    <w:rsid w:val="0AC3701A"/>
    <w:rsid w:val="0AC43BFC"/>
    <w:rsid w:val="0AC5369B"/>
    <w:rsid w:val="0AC66A97"/>
    <w:rsid w:val="0ACE31D0"/>
    <w:rsid w:val="0ACF2490"/>
    <w:rsid w:val="0AD14907"/>
    <w:rsid w:val="0AD22716"/>
    <w:rsid w:val="0AD87B45"/>
    <w:rsid w:val="0AE222D4"/>
    <w:rsid w:val="0AEB342D"/>
    <w:rsid w:val="0AEC410E"/>
    <w:rsid w:val="0AEF4068"/>
    <w:rsid w:val="0AF0465E"/>
    <w:rsid w:val="0B0046FE"/>
    <w:rsid w:val="0B0140AC"/>
    <w:rsid w:val="0B0264D2"/>
    <w:rsid w:val="0B103F95"/>
    <w:rsid w:val="0B120D44"/>
    <w:rsid w:val="0B1264C2"/>
    <w:rsid w:val="0B1575C5"/>
    <w:rsid w:val="0B163D2C"/>
    <w:rsid w:val="0B173711"/>
    <w:rsid w:val="0B2B5CD6"/>
    <w:rsid w:val="0B336367"/>
    <w:rsid w:val="0B3B11B3"/>
    <w:rsid w:val="0B413654"/>
    <w:rsid w:val="0B454569"/>
    <w:rsid w:val="0B487AE6"/>
    <w:rsid w:val="0B4A4012"/>
    <w:rsid w:val="0B524688"/>
    <w:rsid w:val="0B52745A"/>
    <w:rsid w:val="0B5D3558"/>
    <w:rsid w:val="0B681DC2"/>
    <w:rsid w:val="0B696551"/>
    <w:rsid w:val="0B6E3B68"/>
    <w:rsid w:val="0B6F49AF"/>
    <w:rsid w:val="0B754EF6"/>
    <w:rsid w:val="0B7766B5"/>
    <w:rsid w:val="0B7A250D"/>
    <w:rsid w:val="0B7F1A8C"/>
    <w:rsid w:val="0B8135C2"/>
    <w:rsid w:val="0B875227"/>
    <w:rsid w:val="0B8909A2"/>
    <w:rsid w:val="0B893749"/>
    <w:rsid w:val="0B8B44E7"/>
    <w:rsid w:val="0B994B3C"/>
    <w:rsid w:val="0B9A3D37"/>
    <w:rsid w:val="0BA205BC"/>
    <w:rsid w:val="0BA801A9"/>
    <w:rsid w:val="0BAF6134"/>
    <w:rsid w:val="0BAF665A"/>
    <w:rsid w:val="0BB2290A"/>
    <w:rsid w:val="0BB46599"/>
    <w:rsid w:val="0BB51797"/>
    <w:rsid w:val="0BBA6DAD"/>
    <w:rsid w:val="0BBB5AAC"/>
    <w:rsid w:val="0BBC19F8"/>
    <w:rsid w:val="0BBD58AC"/>
    <w:rsid w:val="0BC04936"/>
    <w:rsid w:val="0BC62734"/>
    <w:rsid w:val="0BC70F4E"/>
    <w:rsid w:val="0BC73F0A"/>
    <w:rsid w:val="0BCB0FBA"/>
    <w:rsid w:val="0BD0037E"/>
    <w:rsid w:val="0BD0154C"/>
    <w:rsid w:val="0BD27BF6"/>
    <w:rsid w:val="0BDB6D89"/>
    <w:rsid w:val="0BDC6D23"/>
    <w:rsid w:val="0BDF05C2"/>
    <w:rsid w:val="0BE13E61"/>
    <w:rsid w:val="0BE77CDC"/>
    <w:rsid w:val="0BE8099C"/>
    <w:rsid w:val="0BE85C9D"/>
    <w:rsid w:val="0BE96BDE"/>
    <w:rsid w:val="0BEB1A97"/>
    <w:rsid w:val="0BEF6123"/>
    <w:rsid w:val="0BF951F8"/>
    <w:rsid w:val="0BF9632D"/>
    <w:rsid w:val="0BF978D5"/>
    <w:rsid w:val="0BFC6FB1"/>
    <w:rsid w:val="0C097EDB"/>
    <w:rsid w:val="0C0C5531"/>
    <w:rsid w:val="0C126DC0"/>
    <w:rsid w:val="0C1A5A01"/>
    <w:rsid w:val="0C1F59CA"/>
    <w:rsid w:val="0C22209C"/>
    <w:rsid w:val="0C28561E"/>
    <w:rsid w:val="0C2948A7"/>
    <w:rsid w:val="0C2C7AEA"/>
    <w:rsid w:val="0C376908"/>
    <w:rsid w:val="0C3806B6"/>
    <w:rsid w:val="0C3B3C7D"/>
    <w:rsid w:val="0C3B62A3"/>
    <w:rsid w:val="0C3B7EEE"/>
    <w:rsid w:val="0C3C5395"/>
    <w:rsid w:val="0C434676"/>
    <w:rsid w:val="0C4C6D1F"/>
    <w:rsid w:val="0C4D12AC"/>
    <w:rsid w:val="0C50509F"/>
    <w:rsid w:val="0C517F9F"/>
    <w:rsid w:val="0C566AD6"/>
    <w:rsid w:val="0C5875F7"/>
    <w:rsid w:val="0C5A46F3"/>
    <w:rsid w:val="0C5D4186"/>
    <w:rsid w:val="0C6123F5"/>
    <w:rsid w:val="0C613CC9"/>
    <w:rsid w:val="0C644DFC"/>
    <w:rsid w:val="0C663E49"/>
    <w:rsid w:val="0C692CAD"/>
    <w:rsid w:val="0C6F3656"/>
    <w:rsid w:val="0C6F5281"/>
    <w:rsid w:val="0C706D1F"/>
    <w:rsid w:val="0C711231"/>
    <w:rsid w:val="0C72467D"/>
    <w:rsid w:val="0C776142"/>
    <w:rsid w:val="0C7866CC"/>
    <w:rsid w:val="0C7A692C"/>
    <w:rsid w:val="0C7B44E5"/>
    <w:rsid w:val="0C814552"/>
    <w:rsid w:val="0C8A3A53"/>
    <w:rsid w:val="0C95030A"/>
    <w:rsid w:val="0C9546AB"/>
    <w:rsid w:val="0C9D592D"/>
    <w:rsid w:val="0CA05D40"/>
    <w:rsid w:val="0CA070FC"/>
    <w:rsid w:val="0CA1042F"/>
    <w:rsid w:val="0CA27F6D"/>
    <w:rsid w:val="0CA43CE5"/>
    <w:rsid w:val="0CA95BB3"/>
    <w:rsid w:val="0CAA0BCF"/>
    <w:rsid w:val="0CAB2EAE"/>
    <w:rsid w:val="0CB03475"/>
    <w:rsid w:val="0CB50A95"/>
    <w:rsid w:val="0CB6145C"/>
    <w:rsid w:val="0CB70962"/>
    <w:rsid w:val="0CB7668F"/>
    <w:rsid w:val="0CB86904"/>
    <w:rsid w:val="0CB914B1"/>
    <w:rsid w:val="0CBD4515"/>
    <w:rsid w:val="0CBE2F09"/>
    <w:rsid w:val="0CC47EE3"/>
    <w:rsid w:val="0CC64BA4"/>
    <w:rsid w:val="0CC64D7C"/>
    <w:rsid w:val="0CC679B7"/>
    <w:rsid w:val="0CC70592"/>
    <w:rsid w:val="0CC92EFB"/>
    <w:rsid w:val="0CCA0041"/>
    <w:rsid w:val="0CD265C2"/>
    <w:rsid w:val="0CD81BE1"/>
    <w:rsid w:val="0CD82F71"/>
    <w:rsid w:val="0CDE3E3A"/>
    <w:rsid w:val="0CED7E57"/>
    <w:rsid w:val="0CF01013"/>
    <w:rsid w:val="0CF54D12"/>
    <w:rsid w:val="0CF56246"/>
    <w:rsid w:val="0CF76D88"/>
    <w:rsid w:val="0D0144C3"/>
    <w:rsid w:val="0D04278C"/>
    <w:rsid w:val="0D053C9B"/>
    <w:rsid w:val="0D07177E"/>
    <w:rsid w:val="0D1174BE"/>
    <w:rsid w:val="0D12434A"/>
    <w:rsid w:val="0D15095B"/>
    <w:rsid w:val="0D166265"/>
    <w:rsid w:val="0D244CC8"/>
    <w:rsid w:val="0D2545F6"/>
    <w:rsid w:val="0D2A0C4C"/>
    <w:rsid w:val="0D2D08F9"/>
    <w:rsid w:val="0D2D2068"/>
    <w:rsid w:val="0D305579"/>
    <w:rsid w:val="0D3B74AE"/>
    <w:rsid w:val="0D3C607A"/>
    <w:rsid w:val="0D414047"/>
    <w:rsid w:val="0D445F00"/>
    <w:rsid w:val="0D477310"/>
    <w:rsid w:val="0D4B59FF"/>
    <w:rsid w:val="0D4E3904"/>
    <w:rsid w:val="0D520113"/>
    <w:rsid w:val="0D536036"/>
    <w:rsid w:val="0D5A5189"/>
    <w:rsid w:val="0D5C67AD"/>
    <w:rsid w:val="0D5D5D3D"/>
    <w:rsid w:val="0D616EF9"/>
    <w:rsid w:val="0D621C7D"/>
    <w:rsid w:val="0D6472AC"/>
    <w:rsid w:val="0D65622C"/>
    <w:rsid w:val="0D694965"/>
    <w:rsid w:val="0D6F5C64"/>
    <w:rsid w:val="0D730ED3"/>
    <w:rsid w:val="0D822B2A"/>
    <w:rsid w:val="0D827005"/>
    <w:rsid w:val="0D83124A"/>
    <w:rsid w:val="0D836771"/>
    <w:rsid w:val="0D84298D"/>
    <w:rsid w:val="0D8827C4"/>
    <w:rsid w:val="0D897A10"/>
    <w:rsid w:val="0D8A70DC"/>
    <w:rsid w:val="0D8E04F1"/>
    <w:rsid w:val="0D8F7BA7"/>
    <w:rsid w:val="0D911F22"/>
    <w:rsid w:val="0D98506A"/>
    <w:rsid w:val="0D991E50"/>
    <w:rsid w:val="0D996319"/>
    <w:rsid w:val="0D9A3A59"/>
    <w:rsid w:val="0D9C4937"/>
    <w:rsid w:val="0DA015E3"/>
    <w:rsid w:val="0DA41AC3"/>
    <w:rsid w:val="0DAA3B9C"/>
    <w:rsid w:val="0DAB5452"/>
    <w:rsid w:val="0DAD247C"/>
    <w:rsid w:val="0DAE22AE"/>
    <w:rsid w:val="0DB04C7D"/>
    <w:rsid w:val="0DB313BC"/>
    <w:rsid w:val="0DB34BDB"/>
    <w:rsid w:val="0DBF3E5A"/>
    <w:rsid w:val="0DC522F8"/>
    <w:rsid w:val="0DC61A39"/>
    <w:rsid w:val="0DC8473C"/>
    <w:rsid w:val="0DCD5079"/>
    <w:rsid w:val="0DD40A4D"/>
    <w:rsid w:val="0DE038D6"/>
    <w:rsid w:val="0DE3083D"/>
    <w:rsid w:val="0DE87C01"/>
    <w:rsid w:val="0DEB62D8"/>
    <w:rsid w:val="0DED3196"/>
    <w:rsid w:val="0DEF4766"/>
    <w:rsid w:val="0DF65833"/>
    <w:rsid w:val="0DFB2EF6"/>
    <w:rsid w:val="0DFC5BBE"/>
    <w:rsid w:val="0DFE5677"/>
    <w:rsid w:val="0DFF4F4B"/>
    <w:rsid w:val="0E02204E"/>
    <w:rsid w:val="0E070C48"/>
    <w:rsid w:val="0E091442"/>
    <w:rsid w:val="0E0F6A68"/>
    <w:rsid w:val="0E1326AE"/>
    <w:rsid w:val="0E195779"/>
    <w:rsid w:val="0E1D280F"/>
    <w:rsid w:val="0E235B83"/>
    <w:rsid w:val="0E244947"/>
    <w:rsid w:val="0E2E20B8"/>
    <w:rsid w:val="0E321E00"/>
    <w:rsid w:val="0E373723"/>
    <w:rsid w:val="0E387E58"/>
    <w:rsid w:val="0E3F4245"/>
    <w:rsid w:val="0E3F4472"/>
    <w:rsid w:val="0E4212EC"/>
    <w:rsid w:val="0E460DCC"/>
    <w:rsid w:val="0E557665"/>
    <w:rsid w:val="0E57644B"/>
    <w:rsid w:val="0E58719F"/>
    <w:rsid w:val="0E5C13E9"/>
    <w:rsid w:val="0E5F15A5"/>
    <w:rsid w:val="0E6167AA"/>
    <w:rsid w:val="0E6C70C1"/>
    <w:rsid w:val="0E713574"/>
    <w:rsid w:val="0E73034D"/>
    <w:rsid w:val="0E764AEC"/>
    <w:rsid w:val="0E795012"/>
    <w:rsid w:val="0E7B501C"/>
    <w:rsid w:val="0E7E7297"/>
    <w:rsid w:val="0E811F50"/>
    <w:rsid w:val="0E853758"/>
    <w:rsid w:val="0E8F6EBB"/>
    <w:rsid w:val="0E9C09EC"/>
    <w:rsid w:val="0EA3777D"/>
    <w:rsid w:val="0EA660F2"/>
    <w:rsid w:val="0EA93835"/>
    <w:rsid w:val="0EAB1CC6"/>
    <w:rsid w:val="0EAE2431"/>
    <w:rsid w:val="0EB46AE1"/>
    <w:rsid w:val="0EB66785"/>
    <w:rsid w:val="0EB775D4"/>
    <w:rsid w:val="0EB93F94"/>
    <w:rsid w:val="0EBC3529"/>
    <w:rsid w:val="0EBE0E9D"/>
    <w:rsid w:val="0EBF16C0"/>
    <w:rsid w:val="0EBF49DB"/>
    <w:rsid w:val="0EC20452"/>
    <w:rsid w:val="0EC3553A"/>
    <w:rsid w:val="0ECB5B19"/>
    <w:rsid w:val="0ECD5CBA"/>
    <w:rsid w:val="0ED151A5"/>
    <w:rsid w:val="0ED308B1"/>
    <w:rsid w:val="0ED435AD"/>
    <w:rsid w:val="0EDF16C6"/>
    <w:rsid w:val="0EE01909"/>
    <w:rsid w:val="0EE21031"/>
    <w:rsid w:val="0EE57764"/>
    <w:rsid w:val="0EEC54CF"/>
    <w:rsid w:val="0EF443AE"/>
    <w:rsid w:val="0EF64F35"/>
    <w:rsid w:val="0EF73A84"/>
    <w:rsid w:val="0EFB108B"/>
    <w:rsid w:val="0F0263D0"/>
    <w:rsid w:val="0F0534A7"/>
    <w:rsid w:val="0F064F59"/>
    <w:rsid w:val="0F0B5E44"/>
    <w:rsid w:val="0F0E2987"/>
    <w:rsid w:val="0F115D76"/>
    <w:rsid w:val="0F132163"/>
    <w:rsid w:val="0F13775A"/>
    <w:rsid w:val="0F15709A"/>
    <w:rsid w:val="0F1A54F0"/>
    <w:rsid w:val="0F1C7297"/>
    <w:rsid w:val="0F1D5812"/>
    <w:rsid w:val="0F2033CB"/>
    <w:rsid w:val="0F212D8A"/>
    <w:rsid w:val="0F225395"/>
    <w:rsid w:val="0F29104C"/>
    <w:rsid w:val="0F29227F"/>
    <w:rsid w:val="0F2B02C7"/>
    <w:rsid w:val="0F3078C7"/>
    <w:rsid w:val="0F313FF9"/>
    <w:rsid w:val="0F327FD1"/>
    <w:rsid w:val="0F350C32"/>
    <w:rsid w:val="0F353DE2"/>
    <w:rsid w:val="0F3742F3"/>
    <w:rsid w:val="0F3805B3"/>
    <w:rsid w:val="0F38420E"/>
    <w:rsid w:val="0F384BB8"/>
    <w:rsid w:val="0F3C3AC0"/>
    <w:rsid w:val="0F3C5816"/>
    <w:rsid w:val="0F476BAA"/>
    <w:rsid w:val="0F4B5EDC"/>
    <w:rsid w:val="0F4E7866"/>
    <w:rsid w:val="0F4F4F57"/>
    <w:rsid w:val="0F501F02"/>
    <w:rsid w:val="0F523C0F"/>
    <w:rsid w:val="0F566C21"/>
    <w:rsid w:val="0F5C4A2C"/>
    <w:rsid w:val="0F5E34E9"/>
    <w:rsid w:val="0F5F45FE"/>
    <w:rsid w:val="0F630E3B"/>
    <w:rsid w:val="0F646D65"/>
    <w:rsid w:val="0F652034"/>
    <w:rsid w:val="0F6959F5"/>
    <w:rsid w:val="0F716DCF"/>
    <w:rsid w:val="0F723998"/>
    <w:rsid w:val="0F735770"/>
    <w:rsid w:val="0F735D1F"/>
    <w:rsid w:val="0F73799F"/>
    <w:rsid w:val="0F753717"/>
    <w:rsid w:val="0F7574FC"/>
    <w:rsid w:val="0F7D25CB"/>
    <w:rsid w:val="0F8574F9"/>
    <w:rsid w:val="0F8751F8"/>
    <w:rsid w:val="0F89519D"/>
    <w:rsid w:val="0F8D4674"/>
    <w:rsid w:val="0F8E384A"/>
    <w:rsid w:val="0F990BA9"/>
    <w:rsid w:val="0F9A112B"/>
    <w:rsid w:val="0F9B34C7"/>
    <w:rsid w:val="0F9F127C"/>
    <w:rsid w:val="0FA364D6"/>
    <w:rsid w:val="0FA37163"/>
    <w:rsid w:val="0FA45229"/>
    <w:rsid w:val="0FA61B22"/>
    <w:rsid w:val="0FA634F7"/>
    <w:rsid w:val="0FA83A8A"/>
    <w:rsid w:val="0FAA0823"/>
    <w:rsid w:val="0FAC752C"/>
    <w:rsid w:val="0FB255A4"/>
    <w:rsid w:val="0FB27860"/>
    <w:rsid w:val="0FB364E1"/>
    <w:rsid w:val="0FB5424A"/>
    <w:rsid w:val="0FBA3FA2"/>
    <w:rsid w:val="0FBB5B7A"/>
    <w:rsid w:val="0FBD50BE"/>
    <w:rsid w:val="0FBD6E6C"/>
    <w:rsid w:val="0FC76A42"/>
    <w:rsid w:val="0FC8078F"/>
    <w:rsid w:val="0FC83DC9"/>
    <w:rsid w:val="0FC97055"/>
    <w:rsid w:val="0FE00710"/>
    <w:rsid w:val="0FE4264A"/>
    <w:rsid w:val="0FE97C61"/>
    <w:rsid w:val="0FEE5277"/>
    <w:rsid w:val="0FF35FBC"/>
    <w:rsid w:val="0FF5437C"/>
    <w:rsid w:val="0FF60BC3"/>
    <w:rsid w:val="0FF7237E"/>
    <w:rsid w:val="0FF74A4B"/>
    <w:rsid w:val="0FFF4004"/>
    <w:rsid w:val="10143F73"/>
    <w:rsid w:val="101A2039"/>
    <w:rsid w:val="10254F07"/>
    <w:rsid w:val="10282537"/>
    <w:rsid w:val="102E3A39"/>
    <w:rsid w:val="1031456D"/>
    <w:rsid w:val="103435D2"/>
    <w:rsid w:val="10367ED6"/>
    <w:rsid w:val="103C7EDC"/>
    <w:rsid w:val="103F0C13"/>
    <w:rsid w:val="104F4AFE"/>
    <w:rsid w:val="10506491"/>
    <w:rsid w:val="105570A4"/>
    <w:rsid w:val="10594DE6"/>
    <w:rsid w:val="105F7F23"/>
    <w:rsid w:val="106315E1"/>
    <w:rsid w:val="106512F8"/>
    <w:rsid w:val="106D2F64"/>
    <w:rsid w:val="106F5C83"/>
    <w:rsid w:val="10762886"/>
    <w:rsid w:val="107B2C22"/>
    <w:rsid w:val="107F4D67"/>
    <w:rsid w:val="1081433D"/>
    <w:rsid w:val="10897F25"/>
    <w:rsid w:val="108A1A61"/>
    <w:rsid w:val="108C6BBE"/>
    <w:rsid w:val="108D15B0"/>
    <w:rsid w:val="108D3EC5"/>
    <w:rsid w:val="1095717F"/>
    <w:rsid w:val="1096368A"/>
    <w:rsid w:val="10967B17"/>
    <w:rsid w:val="10A15423"/>
    <w:rsid w:val="10A72E96"/>
    <w:rsid w:val="10AC00AF"/>
    <w:rsid w:val="10B24963"/>
    <w:rsid w:val="10B567C4"/>
    <w:rsid w:val="10B63710"/>
    <w:rsid w:val="10BB5D56"/>
    <w:rsid w:val="10C04056"/>
    <w:rsid w:val="10C55FD8"/>
    <w:rsid w:val="10CE4809"/>
    <w:rsid w:val="10D02A5E"/>
    <w:rsid w:val="10D051E1"/>
    <w:rsid w:val="10D10D64"/>
    <w:rsid w:val="10D162B8"/>
    <w:rsid w:val="10D444EA"/>
    <w:rsid w:val="10D57AE9"/>
    <w:rsid w:val="10D71F41"/>
    <w:rsid w:val="10DA55F6"/>
    <w:rsid w:val="10E222F5"/>
    <w:rsid w:val="10E27BC1"/>
    <w:rsid w:val="10E434CF"/>
    <w:rsid w:val="10EA0129"/>
    <w:rsid w:val="10F10820"/>
    <w:rsid w:val="10F142BE"/>
    <w:rsid w:val="10F660FA"/>
    <w:rsid w:val="10F92125"/>
    <w:rsid w:val="10FB0689"/>
    <w:rsid w:val="10FC630F"/>
    <w:rsid w:val="10FC687F"/>
    <w:rsid w:val="10FC6DB7"/>
    <w:rsid w:val="10FE27D2"/>
    <w:rsid w:val="1101398F"/>
    <w:rsid w:val="11090500"/>
    <w:rsid w:val="11102945"/>
    <w:rsid w:val="11103304"/>
    <w:rsid w:val="11144363"/>
    <w:rsid w:val="11181FA7"/>
    <w:rsid w:val="11182B71"/>
    <w:rsid w:val="111C2F7A"/>
    <w:rsid w:val="1122162B"/>
    <w:rsid w:val="112225A3"/>
    <w:rsid w:val="11254F50"/>
    <w:rsid w:val="11267BCD"/>
    <w:rsid w:val="112847B9"/>
    <w:rsid w:val="112A5547"/>
    <w:rsid w:val="112D3FCD"/>
    <w:rsid w:val="112E204B"/>
    <w:rsid w:val="11384E99"/>
    <w:rsid w:val="11391ED4"/>
    <w:rsid w:val="113F01E0"/>
    <w:rsid w:val="113F7930"/>
    <w:rsid w:val="11421244"/>
    <w:rsid w:val="114C0590"/>
    <w:rsid w:val="114E2471"/>
    <w:rsid w:val="115127F4"/>
    <w:rsid w:val="11512899"/>
    <w:rsid w:val="11520E00"/>
    <w:rsid w:val="11553A66"/>
    <w:rsid w:val="11560C61"/>
    <w:rsid w:val="115B2A00"/>
    <w:rsid w:val="11665CA1"/>
    <w:rsid w:val="11671785"/>
    <w:rsid w:val="116E6C37"/>
    <w:rsid w:val="11717F0E"/>
    <w:rsid w:val="11753E84"/>
    <w:rsid w:val="117554AB"/>
    <w:rsid w:val="117A56C3"/>
    <w:rsid w:val="117C5E9C"/>
    <w:rsid w:val="117C7934"/>
    <w:rsid w:val="11961B6D"/>
    <w:rsid w:val="119C57B2"/>
    <w:rsid w:val="119D6165"/>
    <w:rsid w:val="119F0910"/>
    <w:rsid w:val="11A218B2"/>
    <w:rsid w:val="11A66725"/>
    <w:rsid w:val="11A80E36"/>
    <w:rsid w:val="11AC2DC7"/>
    <w:rsid w:val="11AC2E2C"/>
    <w:rsid w:val="11B13C8A"/>
    <w:rsid w:val="11B84DD8"/>
    <w:rsid w:val="11BA0566"/>
    <w:rsid w:val="11BB32F1"/>
    <w:rsid w:val="11BC658C"/>
    <w:rsid w:val="11C73CF4"/>
    <w:rsid w:val="11C83788"/>
    <w:rsid w:val="11CB7630"/>
    <w:rsid w:val="11CE5360"/>
    <w:rsid w:val="11D14E7D"/>
    <w:rsid w:val="11E05937"/>
    <w:rsid w:val="11E4667F"/>
    <w:rsid w:val="11E86F9D"/>
    <w:rsid w:val="11EA0C20"/>
    <w:rsid w:val="11ED1111"/>
    <w:rsid w:val="11F06B00"/>
    <w:rsid w:val="11F7281C"/>
    <w:rsid w:val="11FA0358"/>
    <w:rsid w:val="11FA7F03"/>
    <w:rsid w:val="12002713"/>
    <w:rsid w:val="12034412"/>
    <w:rsid w:val="120441E7"/>
    <w:rsid w:val="120511F7"/>
    <w:rsid w:val="120B3EBE"/>
    <w:rsid w:val="121248E7"/>
    <w:rsid w:val="121721BA"/>
    <w:rsid w:val="121A78CD"/>
    <w:rsid w:val="12204342"/>
    <w:rsid w:val="1229219E"/>
    <w:rsid w:val="122D527E"/>
    <w:rsid w:val="122D652B"/>
    <w:rsid w:val="12304D94"/>
    <w:rsid w:val="1231212C"/>
    <w:rsid w:val="12322485"/>
    <w:rsid w:val="123378B8"/>
    <w:rsid w:val="12387846"/>
    <w:rsid w:val="123C49C0"/>
    <w:rsid w:val="124755A9"/>
    <w:rsid w:val="12496B64"/>
    <w:rsid w:val="125258AE"/>
    <w:rsid w:val="12542CCC"/>
    <w:rsid w:val="12542DD3"/>
    <w:rsid w:val="125B6754"/>
    <w:rsid w:val="125D0266"/>
    <w:rsid w:val="125D1D7E"/>
    <w:rsid w:val="126B372A"/>
    <w:rsid w:val="1273677F"/>
    <w:rsid w:val="12752776"/>
    <w:rsid w:val="12771554"/>
    <w:rsid w:val="127E0350"/>
    <w:rsid w:val="127F0BF4"/>
    <w:rsid w:val="127F3B7D"/>
    <w:rsid w:val="12817FEE"/>
    <w:rsid w:val="12834EE2"/>
    <w:rsid w:val="12837B9C"/>
    <w:rsid w:val="128423B1"/>
    <w:rsid w:val="12843649"/>
    <w:rsid w:val="12846733"/>
    <w:rsid w:val="12865BAE"/>
    <w:rsid w:val="128759E8"/>
    <w:rsid w:val="128F634E"/>
    <w:rsid w:val="12901730"/>
    <w:rsid w:val="129B06E2"/>
    <w:rsid w:val="129C5313"/>
    <w:rsid w:val="129E51AC"/>
    <w:rsid w:val="12A1613E"/>
    <w:rsid w:val="12A6008B"/>
    <w:rsid w:val="12AD1419"/>
    <w:rsid w:val="12AD5C91"/>
    <w:rsid w:val="12B364B7"/>
    <w:rsid w:val="12B703BF"/>
    <w:rsid w:val="12B962C5"/>
    <w:rsid w:val="12BB5448"/>
    <w:rsid w:val="12BF2BCE"/>
    <w:rsid w:val="12C80C7C"/>
    <w:rsid w:val="12CB314B"/>
    <w:rsid w:val="12CE3CA8"/>
    <w:rsid w:val="12D22354"/>
    <w:rsid w:val="12D4160A"/>
    <w:rsid w:val="12D83402"/>
    <w:rsid w:val="12DA7E61"/>
    <w:rsid w:val="12DD4A6A"/>
    <w:rsid w:val="12DE15D3"/>
    <w:rsid w:val="12E12E71"/>
    <w:rsid w:val="12E666D9"/>
    <w:rsid w:val="12E764EF"/>
    <w:rsid w:val="12EB78D7"/>
    <w:rsid w:val="12ED1A48"/>
    <w:rsid w:val="12F43D6A"/>
    <w:rsid w:val="12F937AC"/>
    <w:rsid w:val="12FD55C0"/>
    <w:rsid w:val="13047AFA"/>
    <w:rsid w:val="13136EA6"/>
    <w:rsid w:val="13147CF1"/>
    <w:rsid w:val="13212CA2"/>
    <w:rsid w:val="13235B50"/>
    <w:rsid w:val="132A4818"/>
    <w:rsid w:val="132C67E2"/>
    <w:rsid w:val="13302901"/>
    <w:rsid w:val="133421CA"/>
    <w:rsid w:val="1334693B"/>
    <w:rsid w:val="13367680"/>
    <w:rsid w:val="133B5729"/>
    <w:rsid w:val="13411528"/>
    <w:rsid w:val="1349353F"/>
    <w:rsid w:val="134C46EA"/>
    <w:rsid w:val="13505346"/>
    <w:rsid w:val="13522C51"/>
    <w:rsid w:val="136A50AA"/>
    <w:rsid w:val="1370086A"/>
    <w:rsid w:val="13727A59"/>
    <w:rsid w:val="13741F37"/>
    <w:rsid w:val="13751388"/>
    <w:rsid w:val="137A38C2"/>
    <w:rsid w:val="137B5406"/>
    <w:rsid w:val="13827BD8"/>
    <w:rsid w:val="13873A19"/>
    <w:rsid w:val="138A52B7"/>
    <w:rsid w:val="138E0B54"/>
    <w:rsid w:val="138E1EAB"/>
    <w:rsid w:val="13906D71"/>
    <w:rsid w:val="13943FDB"/>
    <w:rsid w:val="13951726"/>
    <w:rsid w:val="139536A8"/>
    <w:rsid w:val="139B6966"/>
    <w:rsid w:val="139D7AFD"/>
    <w:rsid w:val="139F2E18"/>
    <w:rsid w:val="139F6971"/>
    <w:rsid w:val="13A672B2"/>
    <w:rsid w:val="13AF343D"/>
    <w:rsid w:val="13B27240"/>
    <w:rsid w:val="13B66003"/>
    <w:rsid w:val="13B660AC"/>
    <w:rsid w:val="13B8507C"/>
    <w:rsid w:val="13BC7116"/>
    <w:rsid w:val="13C75F88"/>
    <w:rsid w:val="13C77452"/>
    <w:rsid w:val="13CE33F5"/>
    <w:rsid w:val="13D070AE"/>
    <w:rsid w:val="13D10633"/>
    <w:rsid w:val="13D3259A"/>
    <w:rsid w:val="13D80718"/>
    <w:rsid w:val="13DA2E9B"/>
    <w:rsid w:val="13DD2BE7"/>
    <w:rsid w:val="13E21AC9"/>
    <w:rsid w:val="13E60A65"/>
    <w:rsid w:val="13EE5846"/>
    <w:rsid w:val="13EF077E"/>
    <w:rsid w:val="13F2678D"/>
    <w:rsid w:val="13F73F95"/>
    <w:rsid w:val="14015D8B"/>
    <w:rsid w:val="14024AC6"/>
    <w:rsid w:val="14035514"/>
    <w:rsid w:val="140426E0"/>
    <w:rsid w:val="14065285"/>
    <w:rsid w:val="14082B5F"/>
    <w:rsid w:val="14085339"/>
    <w:rsid w:val="14090E85"/>
    <w:rsid w:val="140E6A53"/>
    <w:rsid w:val="140F6461"/>
    <w:rsid w:val="14100079"/>
    <w:rsid w:val="14106CF8"/>
    <w:rsid w:val="14131540"/>
    <w:rsid w:val="14167F76"/>
    <w:rsid w:val="14223EE5"/>
    <w:rsid w:val="14251A70"/>
    <w:rsid w:val="14257126"/>
    <w:rsid w:val="14262DA5"/>
    <w:rsid w:val="1427156E"/>
    <w:rsid w:val="142771C3"/>
    <w:rsid w:val="1429712E"/>
    <w:rsid w:val="14346EB5"/>
    <w:rsid w:val="143610E9"/>
    <w:rsid w:val="14364B2C"/>
    <w:rsid w:val="1437711A"/>
    <w:rsid w:val="14396509"/>
    <w:rsid w:val="143B279E"/>
    <w:rsid w:val="143C0E45"/>
    <w:rsid w:val="143C15B4"/>
    <w:rsid w:val="143D2F21"/>
    <w:rsid w:val="143F2545"/>
    <w:rsid w:val="14423DE3"/>
    <w:rsid w:val="14457A7C"/>
    <w:rsid w:val="144813FA"/>
    <w:rsid w:val="144F31FF"/>
    <w:rsid w:val="14541C5D"/>
    <w:rsid w:val="1457163D"/>
    <w:rsid w:val="145B152A"/>
    <w:rsid w:val="145C764D"/>
    <w:rsid w:val="145D209A"/>
    <w:rsid w:val="145F56DA"/>
    <w:rsid w:val="146124BC"/>
    <w:rsid w:val="14644B46"/>
    <w:rsid w:val="146D0E60"/>
    <w:rsid w:val="147C10A3"/>
    <w:rsid w:val="147E07F1"/>
    <w:rsid w:val="1482533A"/>
    <w:rsid w:val="14886D55"/>
    <w:rsid w:val="14891A12"/>
    <w:rsid w:val="148A7C64"/>
    <w:rsid w:val="148B344F"/>
    <w:rsid w:val="148D45F4"/>
    <w:rsid w:val="14935C52"/>
    <w:rsid w:val="14935CA9"/>
    <w:rsid w:val="149955F1"/>
    <w:rsid w:val="149A0CA2"/>
    <w:rsid w:val="149F334F"/>
    <w:rsid w:val="14A466A5"/>
    <w:rsid w:val="14A97B7D"/>
    <w:rsid w:val="14B30BF7"/>
    <w:rsid w:val="14B35301"/>
    <w:rsid w:val="14B96153"/>
    <w:rsid w:val="14BE76BA"/>
    <w:rsid w:val="14BF6641"/>
    <w:rsid w:val="14C035EB"/>
    <w:rsid w:val="14C22659"/>
    <w:rsid w:val="14C307F1"/>
    <w:rsid w:val="14C532BE"/>
    <w:rsid w:val="14C53E07"/>
    <w:rsid w:val="14C8560B"/>
    <w:rsid w:val="14C85CE9"/>
    <w:rsid w:val="14D507B4"/>
    <w:rsid w:val="14D902A4"/>
    <w:rsid w:val="14DB2289"/>
    <w:rsid w:val="14DD2C3C"/>
    <w:rsid w:val="14E37694"/>
    <w:rsid w:val="14E96764"/>
    <w:rsid w:val="14EF324C"/>
    <w:rsid w:val="14F27517"/>
    <w:rsid w:val="14F54F11"/>
    <w:rsid w:val="14F94460"/>
    <w:rsid w:val="14FF2C58"/>
    <w:rsid w:val="15001C0F"/>
    <w:rsid w:val="1502568E"/>
    <w:rsid w:val="150435FB"/>
    <w:rsid w:val="15082937"/>
    <w:rsid w:val="150A4BBA"/>
    <w:rsid w:val="150D6AFD"/>
    <w:rsid w:val="151064CF"/>
    <w:rsid w:val="151109F5"/>
    <w:rsid w:val="15134A0C"/>
    <w:rsid w:val="151432D0"/>
    <w:rsid w:val="15175270"/>
    <w:rsid w:val="15175FFA"/>
    <w:rsid w:val="151C4BA3"/>
    <w:rsid w:val="15205E5F"/>
    <w:rsid w:val="15256C47"/>
    <w:rsid w:val="1527490A"/>
    <w:rsid w:val="152A3EF8"/>
    <w:rsid w:val="152E3440"/>
    <w:rsid w:val="152F2B53"/>
    <w:rsid w:val="15313735"/>
    <w:rsid w:val="1536512D"/>
    <w:rsid w:val="153F7C8B"/>
    <w:rsid w:val="15452642"/>
    <w:rsid w:val="15462AA3"/>
    <w:rsid w:val="15520056"/>
    <w:rsid w:val="15537BFC"/>
    <w:rsid w:val="156434B7"/>
    <w:rsid w:val="15667A67"/>
    <w:rsid w:val="15683B18"/>
    <w:rsid w:val="156A35F2"/>
    <w:rsid w:val="157074D3"/>
    <w:rsid w:val="15724781"/>
    <w:rsid w:val="15745A7B"/>
    <w:rsid w:val="157565B3"/>
    <w:rsid w:val="157B4BF4"/>
    <w:rsid w:val="157B5B07"/>
    <w:rsid w:val="157E2E75"/>
    <w:rsid w:val="158319D1"/>
    <w:rsid w:val="1585042C"/>
    <w:rsid w:val="158647E6"/>
    <w:rsid w:val="158B4988"/>
    <w:rsid w:val="158C22C9"/>
    <w:rsid w:val="158D3B3B"/>
    <w:rsid w:val="159B7C4F"/>
    <w:rsid w:val="159D38E1"/>
    <w:rsid w:val="15A02451"/>
    <w:rsid w:val="15A11A46"/>
    <w:rsid w:val="15A20FDE"/>
    <w:rsid w:val="15A64BD7"/>
    <w:rsid w:val="15A84179"/>
    <w:rsid w:val="15AC0D55"/>
    <w:rsid w:val="15AE3D95"/>
    <w:rsid w:val="15B52C0F"/>
    <w:rsid w:val="15C16ABA"/>
    <w:rsid w:val="15C535C2"/>
    <w:rsid w:val="15C979C5"/>
    <w:rsid w:val="15CD6FF7"/>
    <w:rsid w:val="15CF05D5"/>
    <w:rsid w:val="15D05319"/>
    <w:rsid w:val="15D0795F"/>
    <w:rsid w:val="15D27EDF"/>
    <w:rsid w:val="15D36020"/>
    <w:rsid w:val="15DB60BB"/>
    <w:rsid w:val="15E05EDC"/>
    <w:rsid w:val="15E42ECB"/>
    <w:rsid w:val="15EB18D2"/>
    <w:rsid w:val="15EB5B02"/>
    <w:rsid w:val="15EC1CD7"/>
    <w:rsid w:val="15EC49B2"/>
    <w:rsid w:val="15EF0837"/>
    <w:rsid w:val="15F159C7"/>
    <w:rsid w:val="15F16797"/>
    <w:rsid w:val="15F214FF"/>
    <w:rsid w:val="15FD5D71"/>
    <w:rsid w:val="16022F28"/>
    <w:rsid w:val="16027D73"/>
    <w:rsid w:val="16087E1D"/>
    <w:rsid w:val="160B19D4"/>
    <w:rsid w:val="1613748B"/>
    <w:rsid w:val="16154043"/>
    <w:rsid w:val="16187196"/>
    <w:rsid w:val="16237BB8"/>
    <w:rsid w:val="162708E8"/>
    <w:rsid w:val="162E461F"/>
    <w:rsid w:val="162F6C01"/>
    <w:rsid w:val="1635710F"/>
    <w:rsid w:val="163726E3"/>
    <w:rsid w:val="1638724C"/>
    <w:rsid w:val="163B0102"/>
    <w:rsid w:val="163B4C9F"/>
    <w:rsid w:val="163C377D"/>
    <w:rsid w:val="163E65F6"/>
    <w:rsid w:val="16413517"/>
    <w:rsid w:val="16442AF0"/>
    <w:rsid w:val="1645531E"/>
    <w:rsid w:val="164C5855"/>
    <w:rsid w:val="16501DB5"/>
    <w:rsid w:val="165065CD"/>
    <w:rsid w:val="16571DC8"/>
    <w:rsid w:val="165F35A2"/>
    <w:rsid w:val="16646CBF"/>
    <w:rsid w:val="166A2C4B"/>
    <w:rsid w:val="166C32A6"/>
    <w:rsid w:val="167519BF"/>
    <w:rsid w:val="167751BB"/>
    <w:rsid w:val="16830F65"/>
    <w:rsid w:val="1684031C"/>
    <w:rsid w:val="1685192A"/>
    <w:rsid w:val="16870D53"/>
    <w:rsid w:val="168970E4"/>
    <w:rsid w:val="16922F66"/>
    <w:rsid w:val="16962F58"/>
    <w:rsid w:val="169662B7"/>
    <w:rsid w:val="169779DA"/>
    <w:rsid w:val="169A730A"/>
    <w:rsid w:val="16A00C82"/>
    <w:rsid w:val="16A13043"/>
    <w:rsid w:val="16A25687"/>
    <w:rsid w:val="16A56EA0"/>
    <w:rsid w:val="16A9792D"/>
    <w:rsid w:val="16AC6244"/>
    <w:rsid w:val="16AE750E"/>
    <w:rsid w:val="16B31BDD"/>
    <w:rsid w:val="16B36B82"/>
    <w:rsid w:val="16B40BCE"/>
    <w:rsid w:val="16B94831"/>
    <w:rsid w:val="16BD44B8"/>
    <w:rsid w:val="16C048CC"/>
    <w:rsid w:val="16CA1E2C"/>
    <w:rsid w:val="16D23C10"/>
    <w:rsid w:val="16D56609"/>
    <w:rsid w:val="16DB72BD"/>
    <w:rsid w:val="16DC6599"/>
    <w:rsid w:val="16DD481F"/>
    <w:rsid w:val="16E04028"/>
    <w:rsid w:val="16E05E91"/>
    <w:rsid w:val="16E3540A"/>
    <w:rsid w:val="16E666FA"/>
    <w:rsid w:val="16E77E80"/>
    <w:rsid w:val="16EB05D9"/>
    <w:rsid w:val="16EE5C44"/>
    <w:rsid w:val="16F14E6A"/>
    <w:rsid w:val="16F33C76"/>
    <w:rsid w:val="16F523C1"/>
    <w:rsid w:val="16F615E1"/>
    <w:rsid w:val="16FA576B"/>
    <w:rsid w:val="16FF3FF7"/>
    <w:rsid w:val="17050092"/>
    <w:rsid w:val="170C7146"/>
    <w:rsid w:val="170F50DE"/>
    <w:rsid w:val="17163A31"/>
    <w:rsid w:val="17205E39"/>
    <w:rsid w:val="1720665E"/>
    <w:rsid w:val="1722631C"/>
    <w:rsid w:val="1723006B"/>
    <w:rsid w:val="17230EAF"/>
    <w:rsid w:val="172314A4"/>
    <w:rsid w:val="17266255"/>
    <w:rsid w:val="17286E17"/>
    <w:rsid w:val="172A0DB2"/>
    <w:rsid w:val="172D48D7"/>
    <w:rsid w:val="172F5507"/>
    <w:rsid w:val="17314C00"/>
    <w:rsid w:val="17321EED"/>
    <w:rsid w:val="17350CDF"/>
    <w:rsid w:val="1736155C"/>
    <w:rsid w:val="173C2D6C"/>
    <w:rsid w:val="173C4B1A"/>
    <w:rsid w:val="173E4161"/>
    <w:rsid w:val="173F6ABD"/>
    <w:rsid w:val="17426AE4"/>
    <w:rsid w:val="17452A44"/>
    <w:rsid w:val="174560C4"/>
    <w:rsid w:val="174743B3"/>
    <w:rsid w:val="17491EC4"/>
    <w:rsid w:val="174A181A"/>
    <w:rsid w:val="174A7237"/>
    <w:rsid w:val="174A7F44"/>
    <w:rsid w:val="174C2CA6"/>
    <w:rsid w:val="174E120B"/>
    <w:rsid w:val="174E4109"/>
    <w:rsid w:val="174F6F43"/>
    <w:rsid w:val="1750087C"/>
    <w:rsid w:val="175064A5"/>
    <w:rsid w:val="175070EA"/>
    <w:rsid w:val="1752332B"/>
    <w:rsid w:val="17564DB5"/>
    <w:rsid w:val="17566153"/>
    <w:rsid w:val="175B185B"/>
    <w:rsid w:val="17691D06"/>
    <w:rsid w:val="176A5B87"/>
    <w:rsid w:val="17701D14"/>
    <w:rsid w:val="17735226"/>
    <w:rsid w:val="177A6B0C"/>
    <w:rsid w:val="177B5642"/>
    <w:rsid w:val="17831484"/>
    <w:rsid w:val="17833C2E"/>
    <w:rsid w:val="178B62CF"/>
    <w:rsid w:val="178F3454"/>
    <w:rsid w:val="1791130A"/>
    <w:rsid w:val="179645CB"/>
    <w:rsid w:val="179671BD"/>
    <w:rsid w:val="1797411F"/>
    <w:rsid w:val="17974211"/>
    <w:rsid w:val="17A10E21"/>
    <w:rsid w:val="17A26956"/>
    <w:rsid w:val="17A51EFB"/>
    <w:rsid w:val="17A76227"/>
    <w:rsid w:val="17AD77C6"/>
    <w:rsid w:val="17AE1346"/>
    <w:rsid w:val="17BD4502"/>
    <w:rsid w:val="17C72458"/>
    <w:rsid w:val="17C84358"/>
    <w:rsid w:val="17C84600"/>
    <w:rsid w:val="17D10922"/>
    <w:rsid w:val="17D17655"/>
    <w:rsid w:val="17D22226"/>
    <w:rsid w:val="17D26079"/>
    <w:rsid w:val="17DA77E5"/>
    <w:rsid w:val="17DC77D1"/>
    <w:rsid w:val="17E02E26"/>
    <w:rsid w:val="17E1765C"/>
    <w:rsid w:val="17E538F3"/>
    <w:rsid w:val="17E67BBF"/>
    <w:rsid w:val="17E70F2A"/>
    <w:rsid w:val="17E83139"/>
    <w:rsid w:val="17F24DDE"/>
    <w:rsid w:val="17F613B9"/>
    <w:rsid w:val="17F94415"/>
    <w:rsid w:val="17FF0A01"/>
    <w:rsid w:val="17FF61BA"/>
    <w:rsid w:val="18030F92"/>
    <w:rsid w:val="18070B00"/>
    <w:rsid w:val="18090EA0"/>
    <w:rsid w:val="180B3713"/>
    <w:rsid w:val="180F128C"/>
    <w:rsid w:val="18123147"/>
    <w:rsid w:val="18125744"/>
    <w:rsid w:val="18160944"/>
    <w:rsid w:val="181D569F"/>
    <w:rsid w:val="181F4B79"/>
    <w:rsid w:val="18253A63"/>
    <w:rsid w:val="182625CD"/>
    <w:rsid w:val="182C2DE0"/>
    <w:rsid w:val="182E5BF8"/>
    <w:rsid w:val="18300B23"/>
    <w:rsid w:val="18322488"/>
    <w:rsid w:val="18367B0A"/>
    <w:rsid w:val="183D5FF2"/>
    <w:rsid w:val="183E3F54"/>
    <w:rsid w:val="183F2EBB"/>
    <w:rsid w:val="184276F3"/>
    <w:rsid w:val="18436D64"/>
    <w:rsid w:val="184476F3"/>
    <w:rsid w:val="18492AD7"/>
    <w:rsid w:val="184A1C44"/>
    <w:rsid w:val="184C3483"/>
    <w:rsid w:val="184C5231"/>
    <w:rsid w:val="184E1BD5"/>
    <w:rsid w:val="184E7FD7"/>
    <w:rsid w:val="18516698"/>
    <w:rsid w:val="18601AD9"/>
    <w:rsid w:val="186419DF"/>
    <w:rsid w:val="18687EB2"/>
    <w:rsid w:val="186A341B"/>
    <w:rsid w:val="186E5613"/>
    <w:rsid w:val="18785E5D"/>
    <w:rsid w:val="187B23B5"/>
    <w:rsid w:val="187C1CB4"/>
    <w:rsid w:val="18876269"/>
    <w:rsid w:val="18890233"/>
    <w:rsid w:val="18901B73"/>
    <w:rsid w:val="189642F4"/>
    <w:rsid w:val="18982707"/>
    <w:rsid w:val="18991785"/>
    <w:rsid w:val="189A6A83"/>
    <w:rsid w:val="189C0EC0"/>
    <w:rsid w:val="189F624C"/>
    <w:rsid w:val="18A1013D"/>
    <w:rsid w:val="18A24E51"/>
    <w:rsid w:val="18A31190"/>
    <w:rsid w:val="18A42EEC"/>
    <w:rsid w:val="18A74BAE"/>
    <w:rsid w:val="18A97A5C"/>
    <w:rsid w:val="18AE3677"/>
    <w:rsid w:val="18B02FB7"/>
    <w:rsid w:val="18B21538"/>
    <w:rsid w:val="18B72FDA"/>
    <w:rsid w:val="18C43369"/>
    <w:rsid w:val="18C52D5D"/>
    <w:rsid w:val="18C56BD4"/>
    <w:rsid w:val="18C72126"/>
    <w:rsid w:val="18C76534"/>
    <w:rsid w:val="18C874D3"/>
    <w:rsid w:val="18CD0120"/>
    <w:rsid w:val="18D276FC"/>
    <w:rsid w:val="18D83E3C"/>
    <w:rsid w:val="18DB7D7B"/>
    <w:rsid w:val="18DD1D17"/>
    <w:rsid w:val="18DD208C"/>
    <w:rsid w:val="18DE37DC"/>
    <w:rsid w:val="18E2404C"/>
    <w:rsid w:val="18E470DA"/>
    <w:rsid w:val="18EC6D66"/>
    <w:rsid w:val="18F10363"/>
    <w:rsid w:val="18F24AD4"/>
    <w:rsid w:val="18FB3AD1"/>
    <w:rsid w:val="18FF664E"/>
    <w:rsid w:val="18FF6A03"/>
    <w:rsid w:val="19006747"/>
    <w:rsid w:val="1902078C"/>
    <w:rsid w:val="19023A32"/>
    <w:rsid w:val="19041CE2"/>
    <w:rsid w:val="190653E0"/>
    <w:rsid w:val="19090B86"/>
    <w:rsid w:val="190C0864"/>
    <w:rsid w:val="1914252C"/>
    <w:rsid w:val="1915260B"/>
    <w:rsid w:val="191A1784"/>
    <w:rsid w:val="191B35F8"/>
    <w:rsid w:val="191E4E1F"/>
    <w:rsid w:val="19207CDE"/>
    <w:rsid w:val="192300A4"/>
    <w:rsid w:val="19251D9C"/>
    <w:rsid w:val="19253429"/>
    <w:rsid w:val="1926598F"/>
    <w:rsid w:val="192664F9"/>
    <w:rsid w:val="1928235F"/>
    <w:rsid w:val="192B2E3F"/>
    <w:rsid w:val="192D5224"/>
    <w:rsid w:val="192E0C10"/>
    <w:rsid w:val="192E2801"/>
    <w:rsid w:val="193A32DB"/>
    <w:rsid w:val="193C70A5"/>
    <w:rsid w:val="193D088B"/>
    <w:rsid w:val="193D1B75"/>
    <w:rsid w:val="19400566"/>
    <w:rsid w:val="19467F5E"/>
    <w:rsid w:val="194B1E43"/>
    <w:rsid w:val="194C424D"/>
    <w:rsid w:val="194D4AD1"/>
    <w:rsid w:val="194E315C"/>
    <w:rsid w:val="194E3DF5"/>
    <w:rsid w:val="19526B8E"/>
    <w:rsid w:val="195815A1"/>
    <w:rsid w:val="19586550"/>
    <w:rsid w:val="195F6FF9"/>
    <w:rsid w:val="1968200E"/>
    <w:rsid w:val="19685F89"/>
    <w:rsid w:val="196E39FC"/>
    <w:rsid w:val="196E3ED1"/>
    <w:rsid w:val="19752B69"/>
    <w:rsid w:val="1976082F"/>
    <w:rsid w:val="19767031"/>
    <w:rsid w:val="197D2D48"/>
    <w:rsid w:val="19850CBD"/>
    <w:rsid w:val="19865424"/>
    <w:rsid w:val="19891912"/>
    <w:rsid w:val="198C7EEA"/>
    <w:rsid w:val="198D35E3"/>
    <w:rsid w:val="19945255"/>
    <w:rsid w:val="199629AC"/>
    <w:rsid w:val="19962C07"/>
    <w:rsid w:val="19984C30"/>
    <w:rsid w:val="199E7D0E"/>
    <w:rsid w:val="19A21B3F"/>
    <w:rsid w:val="19A277FE"/>
    <w:rsid w:val="19A30783"/>
    <w:rsid w:val="19A30E80"/>
    <w:rsid w:val="19A5633E"/>
    <w:rsid w:val="19B4698E"/>
    <w:rsid w:val="19BB11CB"/>
    <w:rsid w:val="19BD1010"/>
    <w:rsid w:val="19C06307"/>
    <w:rsid w:val="19C143FB"/>
    <w:rsid w:val="19C338DF"/>
    <w:rsid w:val="19C71960"/>
    <w:rsid w:val="19CC50CB"/>
    <w:rsid w:val="19CE3C65"/>
    <w:rsid w:val="19D43730"/>
    <w:rsid w:val="19D61256"/>
    <w:rsid w:val="19D741AF"/>
    <w:rsid w:val="19DA4EB8"/>
    <w:rsid w:val="19DD4263"/>
    <w:rsid w:val="19E03E83"/>
    <w:rsid w:val="19E227D2"/>
    <w:rsid w:val="19E43758"/>
    <w:rsid w:val="19EA6853"/>
    <w:rsid w:val="19F71625"/>
    <w:rsid w:val="19F87495"/>
    <w:rsid w:val="1A046B10"/>
    <w:rsid w:val="1A0535B0"/>
    <w:rsid w:val="1A0F11A7"/>
    <w:rsid w:val="1A134BF5"/>
    <w:rsid w:val="1A1514A1"/>
    <w:rsid w:val="1A1C66C0"/>
    <w:rsid w:val="1A1F0E4F"/>
    <w:rsid w:val="1A20645F"/>
    <w:rsid w:val="1A213053"/>
    <w:rsid w:val="1A21777B"/>
    <w:rsid w:val="1A2A3AB7"/>
    <w:rsid w:val="1A31347B"/>
    <w:rsid w:val="1A33240E"/>
    <w:rsid w:val="1A385C0B"/>
    <w:rsid w:val="1A3A1352"/>
    <w:rsid w:val="1A42393B"/>
    <w:rsid w:val="1A491A1A"/>
    <w:rsid w:val="1A4B1C44"/>
    <w:rsid w:val="1A5A5100"/>
    <w:rsid w:val="1A5C66B8"/>
    <w:rsid w:val="1A5E4CEB"/>
    <w:rsid w:val="1A647985"/>
    <w:rsid w:val="1A6824A1"/>
    <w:rsid w:val="1A6F41F3"/>
    <w:rsid w:val="1A720B6C"/>
    <w:rsid w:val="1A723C15"/>
    <w:rsid w:val="1A7707D1"/>
    <w:rsid w:val="1A7A0815"/>
    <w:rsid w:val="1A7A53C1"/>
    <w:rsid w:val="1A831603"/>
    <w:rsid w:val="1A846F04"/>
    <w:rsid w:val="1A8509E3"/>
    <w:rsid w:val="1A8A545C"/>
    <w:rsid w:val="1A907F49"/>
    <w:rsid w:val="1A914D5C"/>
    <w:rsid w:val="1A960716"/>
    <w:rsid w:val="1A976ED6"/>
    <w:rsid w:val="1A9E71E9"/>
    <w:rsid w:val="1AA318C8"/>
    <w:rsid w:val="1AA64451"/>
    <w:rsid w:val="1AA66272"/>
    <w:rsid w:val="1AA67D5F"/>
    <w:rsid w:val="1AAD45DE"/>
    <w:rsid w:val="1AB20246"/>
    <w:rsid w:val="1AB21CA4"/>
    <w:rsid w:val="1AB97468"/>
    <w:rsid w:val="1ABC1254"/>
    <w:rsid w:val="1ABE5F69"/>
    <w:rsid w:val="1AC31ED1"/>
    <w:rsid w:val="1AC70C2C"/>
    <w:rsid w:val="1AC86132"/>
    <w:rsid w:val="1ACC4952"/>
    <w:rsid w:val="1AD00325"/>
    <w:rsid w:val="1AD55621"/>
    <w:rsid w:val="1ADA102F"/>
    <w:rsid w:val="1ADC0AEE"/>
    <w:rsid w:val="1AE0624F"/>
    <w:rsid w:val="1AE1011F"/>
    <w:rsid w:val="1AE45974"/>
    <w:rsid w:val="1AE77F35"/>
    <w:rsid w:val="1AEB077A"/>
    <w:rsid w:val="1AED2CFB"/>
    <w:rsid w:val="1AF80847"/>
    <w:rsid w:val="1AF8701E"/>
    <w:rsid w:val="1AFA5ECB"/>
    <w:rsid w:val="1AFB1DB4"/>
    <w:rsid w:val="1AFB490A"/>
    <w:rsid w:val="1AFC35BB"/>
    <w:rsid w:val="1AFC4CEC"/>
    <w:rsid w:val="1B010F69"/>
    <w:rsid w:val="1B023F16"/>
    <w:rsid w:val="1B027E29"/>
    <w:rsid w:val="1B0443DE"/>
    <w:rsid w:val="1B046F80"/>
    <w:rsid w:val="1B0B41AE"/>
    <w:rsid w:val="1B100797"/>
    <w:rsid w:val="1B130F8C"/>
    <w:rsid w:val="1B186940"/>
    <w:rsid w:val="1B1D1BB4"/>
    <w:rsid w:val="1B1F1CE3"/>
    <w:rsid w:val="1B2019CE"/>
    <w:rsid w:val="1B233DC5"/>
    <w:rsid w:val="1B2738DF"/>
    <w:rsid w:val="1B285EB7"/>
    <w:rsid w:val="1B2A0990"/>
    <w:rsid w:val="1B2C74C3"/>
    <w:rsid w:val="1B2F4A7B"/>
    <w:rsid w:val="1B31514A"/>
    <w:rsid w:val="1B3267B5"/>
    <w:rsid w:val="1B33450A"/>
    <w:rsid w:val="1B3A64FB"/>
    <w:rsid w:val="1B3B3CFB"/>
    <w:rsid w:val="1B40161D"/>
    <w:rsid w:val="1B4261DB"/>
    <w:rsid w:val="1B441859"/>
    <w:rsid w:val="1B4C7F71"/>
    <w:rsid w:val="1B5C043A"/>
    <w:rsid w:val="1B5E1503"/>
    <w:rsid w:val="1B617245"/>
    <w:rsid w:val="1B6606B1"/>
    <w:rsid w:val="1B676A58"/>
    <w:rsid w:val="1B6D54E3"/>
    <w:rsid w:val="1B702904"/>
    <w:rsid w:val="1B707488"/>
    <w:rsid w:val="1B7156DA"/>
    <w:rsid w:val="1B7435AA"/>
    <w:rsid w:val="1B7C407F"/>
    <w:rsid w:val="1B7D68E9"/>
    <w:rsid w:val="1B7F1170"/>
    <w:rsid w:val="1B8242A7"/>
    <w:rsid w:val="1B8770A5"/>
    <w:rsid w:val="1B8A679C"/>
    <w:rsid w:val="1B9244C6"/>
    <w:rsid w:val="1B97689A"/>
    <w:rsid w:val="1B9A6493"/>
    <w:rsid w:val="1B9B2697"/>
    <w:rsid w:val="1B9F4C8D"/>
    <w:rsid w:val="1BA458C7"/>
    <w:rsid w:val="1BA809D0"/>
    <w:rsid w:val="1BA84E74"/>
    <w:rsid w:val="1BAA0BEC"/>
    <w:rsid w:val="1BAC38E4"/>
    <w:rsid w:val="1BAC4C1A"/>
    <w:rsid w:val="1BAF68B3"/>
    <w:rsid w:val="1BB317CC"/>
    <w:rsid w:val="1BB5476B"/>
    <w:rsid w:val="1BB67591"/>
    <w:rsid w:val="1BB76097"/>
    <w:rsid w:val="1BC23855"/>
    <w:rsid w:val="1BC321BA"/>
    <w:rsid w:val="1BC86606"/>
    <w:rsid w:val="1BCC3B15"/>
    <w:rsid w:val="1BCC57DF"/>
    <w:rsid w:val="1BD62855"/>
    <w:rsid w:val="1BD97DA5"/>
    <w:rsid w:val="1BE11076"/>
    <w:rsid w:val="1BE71338"/>
    <w:rsid w:val="1BE7385E"/>
    <w:rsid w:val="1BE847D2"/>
    <w:rsid w:val="1BEC65F3"/>
    <w:rsid w:val="1BEF7D46"/>
    <w:rsid w:val="1BF14125"/>
    <w:rsid w:val="1BF51586"/>
    <w:rsid w:val="1BF73F96"/>
    <w:rsid w:val="1BFD15E1"/>
    <w:rsid w:val="1C0667B1"/>
    <w:rsid w:val="1C086951"/>
    <w:rsid w:val="1C0C5403"/>
    <w:rsid w:val="1C0F0A4F"/>
    <w:rsid w:val="1C100890"/>
    <w:rsid w:val="1C161DDD"/>
    <w:rsid w:val="1C17310F"/>
    <w:rsid w:val="1C176450"/>
    <w:rsid w:val="1C1A3126"/>
    <w:rsid w:val="1C1C7A35"/>
    <w:rsid w:val="1C1E6F64"/>
    <w:rsid w:val="1C225806"/>
    <w:rsid w:val="1C270C77"/>
    <w:rsid w:val="1C322695"/>
    <w:rsid w:val="1C344593"/>
    <w:rsid w:val="1C370DA4"/>
    <w:rsid w:val="1C393D1E"/>
    <w:rsid w:val="1C40365D"/>
    <w:rsid w:val="1C436667"/>
    <w:rsid w:val="1C444EC2"/>
    <w:rsid w:val="1C4A1A87"/>
    <w:rsid w:val="1C4C57FF"/>
    <w:rsid w:val="1C4E2DF1"/>
    <w:rsid w:val="1C4E631F"/>
    <w:rsid w:val="1C4F41B7"/>
    <w:rsid w:val="1C4F74D3"/>
    <w:rsid w:val="1C515496"/>
    <w:rsid w:val="1C5E7925"/>
    <w:rsid w:val="1C6233F0"/>
    <w:rsid w:val="1C660CA3"/>
    <w:rsid w:val="1C662D65"/>
    <w:rsid w:val="1C735A78"/>
    <w:rsid w:val="1C76066A"/>
    <w:rsid w:val="1C7B4DFC"/>
    <w:rsid w:val="1C7F5BD5"/>
    <w:rsid w:val="1C9C100D"/>
    <w:rsid w:val="1CA00427"/>
    <w:rsid w:val="1CA37518"/>
    <w:rsid w:val="1CA6062A"/>
    <w:rsid w:val="1CAA466E"/>
    <w:rsid w:val="1CBA2343"/>
    <w:rsid w:val="1CBF2475"/>
    <w:rsid w:val="1CC47F14"/>
    <w:rsid w:val="1CC53D48"/>
    <w:rsid w:val="1CC54104"/>
    <w:rsid w:val="1CC633B7"/>
    <w:rsid w:val="1CC96E50"/>
    <w:rsid w:val="1CCC1E87"/>
    <w:rsid w:val="1CCE49F0"/>
    <w:rsid w:val="1CD001DE"/>
    <w:rsid w:val="1CD33AFC"/>
    <w:rsid w:val="1CD91B80"/>
    <w:rsid w:val="1CDC240E"/>
    <w:rsid w:val="1CDC3027"/>
    <w:rsid w:val="1CDC71FC"/>
    <w:rsid w:val="1CE36071"/>
    <w:rsid w:val="1CE83266"/>
    <w:rsid w:val="1CED6632"/>
    <w:rsid w:val="1CEE5DDF"/>
    <w:rsid w:val="1CEF2C5E"/>
    <w:rsid w:val="1CF212A0"/>
    <w:rsid w:val="1CF30371"/>
    <w:rsid w:val="1CF310B6"/>
    <w:rsid w:val="1CF3280C"/>
    <w:rsid w:val="1CF35FA8"/>
    <w:rsid w:val="1CF6175C"/>
    <w:rsid w:val="1CFC0FE6"/>
    <w:rsid w:val="1CFC7C01"/>
    <w:rsid w:val="1CFD070F"/>
    <w:rsid w:val="1CFE418C"/>
    <w:rsid w:val="1CFE76BA"/>
    <w:rsid w:val="1CFF59F4"/>
    <w:rsid w:val="1D027F2C"/>
    <w:rsid w:val="1D090589"/>
    <w:rsid w:val="1D0910F5"/>
    <w:rsid w:val="1D0D31E0"/>
    <w:rsid w:val="1D142135"/>
    <w:rsid w:val="1D1625C4"/>
    <w:rsid w:val="1D1A40B3"/>
    <w:rsid w:val="1D1E61D3"/>
    <w:rsid w:val="1D1F0B57"/>
    <w:rsid w:val="1D204074"/>
    <w:rsid w:val="1D2600C1"/>
    <w:rsid w:val="1D2C2195"/>
    <w:rsid w:val="1D306ECF"/>
    <w:rsid w:val="1D33063A"/>
    <w:rsid w:val="1D344733"/>
    <w:rsid w:val="1D3609FA"/>
    <w:rsid w:val="1D392227"/>
    <w:rsid w:val="1D3F5B71"/>
    <w:rsid w:val="1D431576"/>
    <w:rsid w:val="1D432A29"/>
    <w:rsid w:val="1D440EB6"/>
    <w:rsid w:val="1D444728"/>
    <w:rsid w:val="1D471E34"/>
    <w:rsid w:val="1D4C3AAE"/>
    <w:rsid w:val="1D532BBD"/>
    <w:rsid w:val="1D54247D"/>
    <w:rsid w:val="1D5D48E2"/>
    <w:rsid w:val="1D5F6196"/>
    <w:rsid w:val="1D6132A5"/>
    <w:rsid w:val="1D633E82"/>
    <w:rsid w:val="1D68435F"/>
    <w:rsid w:val="1D6E0076"/>
    <w:rsid w:val="1D7013C1"/>
    <w:rsid w:val="1D7B24B8"/>
    <w:rsid w:val="1D7F67CF"/>
    <w:rsid w:val="1D817F3D"/>
    <w:rsid w:val="1D8608E2"/>
    <w:rsid w:val="1D867DCD"/>
    <w:rsid w:val="1D87318E"/>
    <w:rsid w:val="1D8A2A83"/>
    <w:rsid w:val="1D8D3B1F"/>
    <w:rsid w:val="1D8E56D5"/>
    <w:rsid w:val="1D9C27B6"/>
    <w:rsid w:val="1D9C7B42"/>
    <w:rsid w:val="1DA022A7"/>
    <w:rsid w:val="1DA81421"/>
    <w:rsid w:val="1DAC5FD6"/>
    <w:rsid w:val="1DAF3EF5"/>
    <w:rsid w:val="1DB12489"/>
    <w:rsid w:val="1DB64012"/>
    <w:rsid w:val="1DB8698F"/>
    <w:rsid w:val="1DB90426"/>
    <w:rsid w:val="1DBC0763"/>
    <w:rsid w:val="1DC53F2A"/>
    <w:rsid w:val="1DC57B03"/>
    <w:rsid w:val="1DC95B60"/>
    <w:rsid w:val="1DCB5DDC"/>
    <w:rsid w:val="1DD32EF7"/>
    <w:rsid w:val="1DD42032"/>
    <w:rsid w:val="1DD4393A"/>
    <w:rsid w:val="1DDB5955"/>
    <w:rsid w:val="1DDC7057"/>
    <w:rsid w:val="1DDC7C40"/>
    <w:rsid w:val="1DDE1C76"/>
    <w:rsid w:val="1DE07BC9"/>
    <w:rsid w:val="1DE12F05"/>
    <w:rsid w:val="1DE542E7"/>
    <w:rsid w:val="1DE61777"/>
    <w:rsid w:val="1DE947B1"/>
    <w:rsid w:val="1DEA5BC1"/>
    <w:rsid w:val="1DF14FDD"/>
    <w:rsid w:val="1DF372AA"/>
    <w:rsid w:val="1DF44D64"/>
    <w:rsid w:val="1DF73325"/>
    <w:rsid w:val="1DFD1494"/>
    <w:rsid w:val="1E0740D4"/>
    <w:rsid w:val="1E075E82"/>
    <w:rsid w:val="1E0862C3"/>
    <w:rsid w:val="1E164070"/>
    <w:rsid w:val="1E1648FF"/>
    <w:rsid w:val="1E1659FC"/>
    <w:rsid w:val="1E185033"/>
    <w:rsid w:val="1E1B7B7F"/>
    <w:rsid w:val="1E2336F3"/>
    <w:rsid w:val="1E267D3A"/>
    <w:rsid w:val="1E282258"/>
    <w:rsid w:val="1E3260A3"/>
    <w:rsid w:val="1E36499B"/>
    <w:rsid w:val="1E3739C5"/>
    <w:rsid w:val="1E396857"/>
    <w:rsid w:val="1E40601B"/>
    <w:rsid w:val="1E40684B"/>
    <w:rsid w:val="1E4A5AE5"/>
    <w:rsid w:val="1E4B540D"/>
    <w:rsid w:val="1E4B5BA4"/>
    <w:rsid w:val="1E4C5A4F"/>
    <w:rsid w:val="1E4E58AC"/>
    <w:rsid w:val="1E53775E"/>
    <w:rsid w:val="1E611EE9"/>
    <w:rsid w:val="1E62755C"/>
    <w:rsid w:val="1E661590"/>
    <w:rsid w:val="1E667FEF"/>
    <w:rsid w:val="1E6A6411"/>
    <w:rsid w:val="1E6B309E"/>
    <w:rsid w:val="1E6D3D61"/>
    <w:rsid w:val="1E724776"/>
    <w:rsid w:val="1E7319B1"/>
    <w:rsid w:val="1E736130"/>
    <w:rsid w:val="1E755390"/>
    <w:rsid w:val="1E763A76"/>
    <w:rsid w:val="1E7A43DA"/>
    <w:rsid w:val="1E7B782F"/>
    <w:rsid w:val="1E7E1D37"/>
    <w:rsid w:val="1E8258C8"/>
    <w:rsid w:val="1E8822B3"/>
    <w:rsid w:val="1E8D0C4D"/>
    <w:rsid w:val="1E9755CF"/>
    <w:rsid w:val="1E9A580A"/>
    <w:rsid w:val="1E9A7CA4"/>
    <w:rsid w:val="1E9B2A6E"/>
    <w:rsid w:val="1EA47E53"/>
    <w:rsid w:val="1EA9518B"/>
    <w:rsid w:val="1EAF6C96"/>
    <w:rsid w:val="1EB153A7"/>
    <w:rsid w:val="1EB326E9"/>
    <w:rsid w:val="1EB61D5E"/>
    <w:rsid w:val="1EB83620"/>
    <w:rsid w:val="1EB875CA"/>
    <w:rsid w:val="1EB905FB"/>
    <w:rsid w:val="1EB91434"/>
    <w:rsid w:val="1EBC7CD2"/>
    <w:rsid w:val="1EBD4792"/>
    <w:rsid w:val="1EBE5B25"/>
    <w:rsid w:val="1EC405E3"/>
    <w:rsid w:val="1EC45C23"/>
    <w:rsid w:val="1EC745E2"/>
    <w:rsid w:val="1ECF4F9C"/>
    <w:rsid w:val="1ED07C3E"/>
    <w:rsid w:val="1ED34C82"/>
    <w:rsid w:val="1ED63644"/>
    <w:rsid w:val="1ED74BCB"/>
    <w:rsid w:val="1ED76F10"/>
    <w:rsid w:val="1EDA108A"/>
    <w:rsid w:val="1EE57A1C"/>
    <w:rsid w:val="1EE9074C"/>
    <w:rsid w:val="1EF22FF5"/>
    <w:rsid w:val="1EF46782"/>
    <w:rsid w:val="1EFB7F5D"/>
    <w:rsid w:val="1EFD1B81"/>
    <w:rsid w:val="1F02142F"/>
    <w:rsid w:val="1F033263"/>
    <w:rsid w:val="1F046865"/>
    <w:rsid w:val="1F0B3E06"/>
    <w:rsid w:val="1F136AA8"/>
    <w:rsid w:val="1F1534E2"/>
    <w:rsid w:val="1F1772FB"/>
    <w:rsid w:val="1F1C0189"/>
    <w:rsid w:val="1F216DBB"/>
    <w:rsid w:val="1F240CB5"/>
    <w:rsid w:val="1F30765A"/>
    <w:rsid w:val="1F360A45"/>
    <w:rsid w:val="1F380086"/>
    <w:rsid w:val="1F394761"/>
    <w:rsid w:val="1F3E41DF"/>
    <w:rsid w:val="1F4A1941"/>
    <w:rsid w:val="1F4B39AF"/>
    <w:rsid w:val="1F4B6242"/>
    <w:rsid w:val="1F4C6E34"/>
    <w:rsid w:val="1F4E0530"/>
    <w:rsid w:val="1F4E47C8"/>
    <w:rsid w:val="1F4F0AF9"/>
    <w:rsid w:val="1F5043E5"/>
    <w:rsid w:val="1F5101D2"/>
    <w:rsid w:val="1F620C07"/>
    <w:rsid w:val="1F6224A0"/>
    <w:rsid w:val="1F6529B1"/>
    <w:rsid w:val="1F730A96"/>
    <w:rsid w:val="1F766CB8"/>
    <w:rsid w:val="1F7708E2"/>
    <w:rsid w:val="1F7A74B4"/>
    <w:rsid w:val="1F7B6C29"/>
    <w:rsid w:val="1F7D57C5"/>
    <w:rsid w:val="1F841754"/>
    <w:rsid w:val="1F857C5C"/>
    <w:rsid w:val="1F864C24"/>
    <w:rsid w:val="1F8855F9"/>
    <w:rsid w:val="1F8C7813"/>
    <w:rsid w:val="1F923E71"/>
    <w:rsid w:val="1F9C01BD"/>
    <w:rsid w:val="1FA8401D"/>
    <w:rsid w:val="1FB40953"/>
    <w:rsid w:val="1FBC32CE"/>
    <w:rsid w:val="1FC02A78"/>
    <w:rsid w:val="1FC339F7"/>
    <w:rsid w:val="1FCA0CB9"/>
    <w:rsid w:val="1FCB1AFA"/>
    <w:rsid w:val="1FCD2F47"/>
    <w:rsid w:val="1FDA33CA"/>
    <w:rsid w:val="1FDC28B8"/>
    <w:rsid w:val="1FDD26E6"/>
    <w:rsid w:val="1FE12702"/>
    <w:rsid w:val="1FE4724B"/>
    <w:rsid w:val="1FE50A65"/>
    <w:rsid w:val="1FE7539E"/>
    <w:rsid w:val="1FEE139C"/>
    <w:rsid w:val="1FEF3B8E"/>
    <w:rsid w:val="1FF22FB2"/>
    <w:rsid w:val="1FF269E9"/>
    <w:rsid w:val="1FF61DE7"/>
    <w:rsid w:val="1FF76D80"/>
    <w:rsid w:val="1FFE2483"/>
    <w:rsid w:val="1FFE55B6"/>
    <w:rsid w:val="1FFE7954"/>
    <w:rsid w:val="2002574C"/>
    <w:rsid w:val="2004495F"/>
    <w:rsid w:val="200516DA"/>
    <w:rsid w:val="20064106"/>
    <w:rsid w:val="20082E5F"/>
    <w:rsid w:val="200B0F73"/>
    <w:rsid w:val="200D266C"/>
    <w:rsid w:val="200E23C7"/>
    <w:rsid w:val="20121742"/>
    <w:rsid w:val="20191975"/>
    <w:rsid w:val="201B6FCA"/>
    <w:rsid w:val="20202D1B"/>
    <w:rsid w:val="20203282"/>
    <w:rsid w:val="20256A93"/>
    <w:rsid w:val="202645B9"/>
    <w:rsid w:val="202913E4"/>
    <w:rsid w:val="202B4E35"/>
    <w:rsid w:val="202D5948"/>
    <w:rsid w:val="20344F28"/>
    <w:rsid w:val="20353D57"/>
    <w:rsid w:val="203E26C3"/>
    <w:rsid w:val="20427A02"/>
    <w:rsid w:val="20441FEB"/>
    <w:rsid w:val="204E2A3F"/>
    <w:rsid w:val="204F58BE"/>
    <w:rsid w:val="205100D0"/>
    <w:rsid w:val="20570CA0"/>
    <w:rsid w:val="205A0DF5"/>
    <w:rsid w:val="205C175F"/>
    <w:rsid w:val="205E38D4"/>
    <w:rsid w:val="20663E9B"/>
    <w:rsid w:val="20671BE0"/>
    <w:rsid w:val="20680327"/>
    <w:rsid w:val="206A094A"/>
    <w:rsid w:val="206C64CA"/>
    <w:rsid w:val="206D57FE"/>
    <w:rsid w:val="2079293B"/>
    <w:rsid w:val="20795699"/>
    <w:rsid w:val="207C2D38"/>
    <w:rsid w:val="208107EA"/>
    <w:rsid w:val="20814AFB"/>
    <w:rsid w:val="208512E0"/>
    <w:rsid w:val="20874691"/>
    <w:rsid w:val="20894E20"/>
    <w:rsid w:val="208B2CB7"/>
    <w:rsid w:val="208D7602"/>
    <w:rsid w:val="208E2F74"/>
    <w:rsid w:val="208F1553"/>
    <w:rsid w:val="209634ED"/>
    <w:rsid w:val="20963CB8"/>
    <w:rsid w:val="20975A77"/>
    <w:rsid w:val="2099502F"/>
    <w:rsid w:val="209A62FE"/>
    <w:rsid w:val="209E5440"/>
    <w:rsid w:val="20A20ADD"/>
    <w:rsid w:val="20A26336"/>
    <w:rsid w:val="20A475CE"/>
    <w:rsid w:val="20A63661"/>
    <w:rsid w:val="20A65902"/>
    <w:rsid w:val="20A81A1B"/>
    <w:rsid w:val="20A86C5B"/>
    <w:rsid w:val="20AE6335"/>
    <w:rsid w:val="20B07FB6"/>
    <w:rsid w:val="20B646FB"/>
    <w:rsid w:val="20BA236E"/>
    <w:rsid w:val="20C067BC"/>
    <w:rsid w:val="20C12B11"/>
    <w:rsid w:val="20CA33FE"/>
    <w:rsid w:val="20CA763A"/>
    <w:rsid w:val="20CC1452"/>
    <w:rsid w:val="20D14525"/>
    <w:rsid w:val="20D65B70"/>
    <w:rsid w:val="20D717F2"/>
    <w:rsid w:val="20D726B2"/>
    <w:rsid w:val="20D8517E"/>
    <w:rsid w:val="20E24917"/>
    <w:rsid w:val="20E24984"/>
    <w:rsid w:val="20E30767"/>
    <w:rsid w:val="20E404F3"/>
    <w:rsid w:val="20E61E1A"/>
    <w:rsid w:val="20E6478F"/>
    <w:rsid w:val="20F54CAF"/>
    <w:rsid w:val="20F941D2"/>
    <w:rsid w:val="20FD7F39"/>
    <w:rsid w:val="20FE14AD"/>
    <w:rsid w:val="20FE1FB9"/>
    <w:rsid w:val="20FE2C92"/>
    <w:rsid w:val="210243BB"/>
    <w:rsid w:val="210270E1"/>
    <w:rsid w:val="21027E69"/>
    <w:rsid w:val="210A15A0"/>
    <w:rsid w:val="210A50B2"/>
    <w:rsid w:val="210D2527"/>
    <w:rsid w:val="210E54E4"/>
    <w:rsid w:val="210F2CF7"/>
    <w:rsid w:val="2110133D"/>
    <w:rsid w:val="211542C7"/>
    <w:rsid w:val="21156B08"/>
    <w:rsid w:val="211803A6"/>
    <w:rsid w:val="2119066A"/>
    <w:rsid w:val="211E05C1"/>
    <w:rsid w:val="211F21E8"/>
    <w:rsid w:val="2120725A"/>
    <w:rsid w:val="212866FC"/>
    <w:rsid w:val="212B5791"/>
    <w:rsid w:val="213513F4"/>
    <w:rsid w:val="21393043"/>
    <w:rsid w:val="21397FD6"/>
    <w:rsid w:val="213B74B1"/>
    <w:rsid w:val="213C46F3"/>
    <w:rsid w:val="21466CC1"/>
    <w:rsid w:val="21467D93"/>
    <w:rsid w:val="214A5B46"/>
    <w:rsid w:val="214C15F3"/>
    <w:rsid w:val="214D108C"/>
    <w:rsid w:val="214E3DC8"/>
    <w:rsid w:val="214E5B76"/>
    <w:rsid w:val="21525693"/>
    <w:rsid w:val="21527794"/>
    <w:rsid w:val="21555156"/>
    <w:rsid w:val="21596F20"/>
    <w:rsid w:val="215A2310"/>
    <w:rsid w:val="215A4025"/>
    <w:rsid w:val="215A447D"/>
    <w:rsid w:val="215B6535"/>
    <w:rsid w:val="215D2F27"/>
    <w:rsid w:val="215E33D2"/>
    <w:rsid w:val="21600228"/>
    <w:rsid w:val="21626CB2"/>
    <w:rsid w:val="21641D00"/>
    <w:rsid w:val="21674135"/>
    <w:rsid w:val="216761FD"/>
    <w:rsid w:val="216B481E"/>
    <w:rsid w:val="21721D2C"/>
    <w:rsid w:val="21724B50"/>
    <w:rsid w:val="21767F54"/>
    <w:rsid w:val="21796790"/>
    <w:rsid w:val="217D180D"/>
    <w:rsid w:val="217E7ABB"/>
    <w:rsid w:val="21837DB1"/>
    <w:rsid w:val="21840824"/>
    <w:rsid w:val="2184171A"/>
    <w:rsid w:val="218504EC"/>
    <w:rsid w:val="21861F84"/>
    <w:rsid w:val="218B501C"/>
    <w:rsid w:val="21947CAB"/>
    <w:rsid w:val="219537A4"/>
    <w:rsid w:val="219B19C7"/>
    <w:rsid w:val="21A15D39"/>
    <w:rsid w:val="21A276EF"/>
    <w:rsid w:val="21AA3516"/>
    <w:rsid w:val="21B100DE"/>
    <w:rsid w:val="21B64D44"/>
    <w:rsid w:val="21B93C0C"/>
    <w:rsid w:val="21BD11EA"/>
    <w:rsid w:val="21C17D43"/>
    <w:rsid w:val="21C32EA2"/>
    <w:rsid w:val="21CB366A"/>
    <w:rsid w:val="21CE6FC1"/>
    <w:rsid w:val="21CF4F08"/>
    <w:rsid w:val="21CF5074"/>
    <w:rsid w:val="21DA1D00"/>
    <w:rsid w:val="21DE318A"/>
    <w:rsid w:val="21DF316C"/>
    <w:rsid w:val="21E424CC"/>
    <w:rsid w:val="21E879AA"/>
    <w:rsid w:val="21EA1695"/>
    <w:rsid w:val="21EA7A38"/>
    <w:rsid w:val="21EF3B37"/>
    <w:rsid w:val="21EF5B80"/>
    <w:rsid w:val="21F04E7F"/>
    <w:rsid w:val="21F06CDE"/>
    <w:rsid w:val="21F34DF3"/>
    <w:rsid w:val="21F7330E"/>
    <w:rsid w:val="21F9440B"/>
    <w:rsid w:val="21FB3F4F"/>
    <w:rsid w:val="21FD1999"/>
    <w:rsid w:val="220104F2"/>
    <w:rsid w:val="22031B01"/>
    <w:rsid w:val="220C1036"/>
    <w:rsid w:val="220C3B0B"/>
    <w:rsid w:val="220D1AD4"/>
    <w:rsid w:val="22103166"/>
    <w:rsid w:val="2219796F"/>
    <w:rsid w:val="221D2A88"/>
    <w:rsid w:val="221D3710"/>
    <w:rsid w:val="22207857"/>
    <w:rsid w:val="2221328A"/>
    <w:rsid w:val="22251072"/>
    <w:rsid w:val="22280DEA"/>
    <w:rsid w:val="22322DC1"/>
    <w:rsid w:val="22357F52"/>
    <w:rsid w:val="2237485C"/>
    <w:rsid w:val="223A465C"/>
    <w:rsid w:val="223B259E"/>
    <w:rsid w:val="223C03F7"/>
    <w:rsid w:val="223C7692"/>
    <w:rsid w:val="223E2B71"/>
    <w:rsid w:val="22435E18"/>
    <w:rsid w:val="224708B3"/>
    <w:rsid w:val="224827E0"/>
    <w:rsid w:val="22492815"/>
    <w:rsid w:val="224A7AA2"/>
    <w:rsid w:val="225143F1"/>
    <w:rsid w:val="22576990"/>
    <w:rsid w:val="22591196"/>
    <w:rsid w:val="2259195B"/>
    <w:rsid w:val="2260279D"/>
    <w:rsid w:val="22605CEA"/>
    <w:rsid w:val="22645AF1"/>
    <w:rsid w:val="22680EB9"/>
    <w:rsid w:val="22682667"/>
    <w:rsid w:val="22687009"/>
    <w:rsid w:val="226E7BA9"/>
    <w:rsid w:val="227B6E3E"/>
    <w:rsid w:val="227F0CB0"/>
    <w:rsid w:val="22897A7E"/>
    <w:rsid w:val="228A0E2F"/>
    <w:rsid w:val="22915AEE"/>
    <w:rsid w:val="22916E95"/>
    <w:rsid w:val="22927E46"/>
    <w:rsid w:val="229879F0"/>
    <w:rsid w:val="229A0E5B"/>
    <w:rsid w:val="229A393D"/>
    <w:rsid w:val="229E2B2D"/>
    <w:rsid w:val="22A35FE3"/>
    <w:rsid w:val="22A37DC0"/>
    <w:rsid w:val="22A46395"/>
    <w:rsid w:val="22AA5DB8"/>
    <w:rsid w:val="22AD5F0A"/>
    <w:rsid w:val="22AE1C02"/>
    <w:rsid w:val="22AF53F4"/>
    <w:rsid w:val="22B641FC"/>
    <w:rsid w:val="22B66D05"/>
    <w:rsid w:val="22B83BEE"/>
    <w:rsid w:val="22BC00F9"/>
    <w:rsid w:val="22BD62D7"/>
    <w:rsid w:val="22C03411"/>
    <w:rsid w:val="22CE51C0"/>
    <w:rsid w:val="22D0709C"/>
    <w:rsid w:val="22D604D8"/>
    <w:rsid w:val="22D7603D"/>
    <w:rsid w:val="22D8603F"/>
    <w:rsid w:val="22D9078C"/>
    <w:rsid w:val="22D95913"/>
    <w:rsid w:val="22DB53B7"/>
    <w:rsid w:val="22DE2E4F"/>
    <w:rsid w:val="22DE777E"/>
    <w:rsid w:val="22E11113"/>
    <w:rsid w:val="22EC5646"/>
    <w:rsid w:val="22EE3860"/>
    <w:rsid w:val="22EE7610"/>
    <w:rsid w:val="22F47480"/>
    <w:rsid w:val="22F544C6"/>
    <w:rsid w:val="22F72312"/>
    <w:rsid w:val="22FB170B"/>
    <w:rsid w:val="22FC5D2F"/>
    <w:rsid w:val="230510F2"/>
    <w:rsid w:val="23063287"/>
    <w:rsid w:val="230C72C2"/>
    <w:rsid w:val="230E7CB2"/>
    <w:rsid w:val="23161237"/>
    <w:rsid w:val="23174B03"/>
    <w:rsid w:val="231A39E6"/>
    <w:rsid w:val="232109EB"/>
    <w:rsid w:val="23244DE0"/>
    <w:rsid w:val="232E66D2"/>
    <w:rsid w:val="23317DB0"/>
    <w:rsid w:val="23320BA7"/>
    <w:rsid w:val="2332177F"/>
    <w:rsid w:val="23392A2A"/>
    <w:rsid w:val="233B6BDC"/>
    <w:rsid w:val="233D2346"/>
    <w:rsid w:val="23414BD6"/>
    <w:rsid w:val="23442A7A"/>
    <w:rsid w:val="23462C9B"/>
    <w:rsid w:val="23476D20"/>
    <w:rsid w:val="23494ECF"/>
    <w:rsid w:val="234A00A3"/>
    <w:rsid w:val="235200F7"/>
    <w:rsid w:val="23531EBA"/>
    <w:rsid w:val="235D5556"/>
    <w:rsid w:val="23607DE2"/>
    <w:rsid w:val="2361173A"/>
    <w:rsid w:val="23665F73"/>
    <w:rsid w:val="237515E6"/>
    <w:rsid w:val="2378128C"/>
    <w:rsid w:val="237B69CA"/>
    <w:rsid w:val="23815B2C"/>
    <w:rsid w:val="23850E10"/>
    <w:rsid w:val="238B45EF"/>
    <w:rsid w:val="238C519F"/>
    <w:rsid w:val="238D5635"/>
    <w:rsid w:val="23906AFF"/>
    <w:rsid w:val="2395732A"/>
    <w:rsid w:val="239A3A02"/>
    <w:rsid w:val="239F4507"/>
    <w:rsid w:val="23A10A96"/>
    <w:rsid w:val="23A423C5"/>
    <w:rsid w:val="23A55D55"/>
    <w:rsid w:val="23A81EB5"/>
    <w:rsid w:val="23AF69F2"/>
    <w:rsid w:val="23B2210F"/>
    <w:rsid w:val="23B64CE6"/>
    <w:rsid w:val="23B8664E"/>
    <w:rsid w:val="23B90EB2"/>
    <w:rsid w:val="23C15064"/>
    <w:rsid w:val="23C46D36"/>
    <w:rsid w:val="23C659E4"/>
    <w:rsid w:val="23CC4C0F"/>
    <w:rsid w:val="23CF26A0"/>
    <w:rsid w:val="23D06D16"/>
    <w:rsid w:val="23D15AE2"/>
    <w:rsid w:val="23D32D98"/>
    <w:rsid w:val="23DE1BD6"/>
    <w:rsid w:val="23DE1C48"/>
    <w:rsid w:val="23E11C9E"/>
    <w:rsid w:val="23E40F63"/>
    <w:rsid w:val="23E41AC0"/>
    <w:rsid w:val="23E4743E"/>
    <w:rsid w:val="23E955AA"/>
    <w:rsid w:val="23EE462B"/>
    <w:rsid w:val="23F036EA"/>
    <w:rsid w:val="23F605D2"/>
    <w:rsid w:val="23F97808"/>
    <w:rsid w:val="23FD0D5A"/>
    <w:rsid w:val="23FD5531"/>
    <w:rsid w:val="240210CD"/>
    <w:rsid w:val="240275AE"/>
    <w:rsid w:val="24046860"/>
    <w:rsid w:val="24082954"/>
    <w:rsid w:val="240D1D18"/>
    <w:rsid w:val="240E74F2"/>
    <w:rsid w:val="241A1C60"/>
    <w:rsid w:val="241A4DDF"/>
    <w:rsid w:val="241E4E20"/>
    <w:rsid w:val="24254BB3"/>
    <w:rsid w:val="242F7929"/>
    <w:rsid w:val="24315EF0"/>
    <w:rsid w:val="24363BB9"/>
    <w:rsid w:val="243E214A"/>
    <w:rsid w:val="2441722C"/>
    <w:rsid w:val="2443343B"/>
    <w:rsid w:val="245660CF"/>
    <w:rsid w:val="24577235"/>
    <w:rsid w:val="245E74CA"/>
    <w:rsid w:val="246060C4"/>
    <w:rsid w:val="246305C1"/>
    <w:rsid w:val="2464700D"/>
    <w:rsid w:val="24653902"/>
    <w:rsid w:val="2468498E"/>
    <w:rsid w:val="246D5BF9"/>
    <w:rsid w:val="24702683"/>
    <w:rsid w:val="24762F22"/>
    <w:rsid w:val="24766414"/>
    <w:rsid w:val="24766DD8"/>
    <w:rsid w:val="24783BDD"/>
    <w:rsid w:val="247B72D0"/>
    <w:rsid w:val="24844934"/>
    <w:rsid w:val="24845517"/>
    <w:rsid w:val="24861B4C"/>
    <w:rsid w:val="2486603D"/>
    <w:rsid w:val="248702B9"/>
    <w:rsid w:val="24877D1C"/>
    <w:rsid w:val="248A15BB"/>
    <w:rsid w:val="24927B4B"/>
    <w:rsid w:val="24933AB9"/>
    <w:rsid w:val="24961C07"/>
    <w:rsid w:val="24A10FAB"/>
    <w:rsid w:val="24A54CF6"/>
    <w:rsid w:val="24AB5A71"/>
    <w:rsid w:val="24AC3468"/>
    <w:rsid w:val="24AF2760"/>
    <w:rsid w:val="24AF4B7D"/>
    <w:rsid w:val="24B14D14"/>
    <w:rsid w:val="24B25E5D"/>
    <w:rsid w:val="24B55B8E"/>
    <w:rsid w:val="24B854DF"/>
    <w:rsid w:val="24B86128"/>
    <w:rsid w:val="24BA1182"/>
    <w:rsid w:val="24BB100A"/>
    <w:rsid w:val="24BB12D7"/>
    <w:rsid w:val="24BD24E2"/>
    <w:rsid w:val="24BE00E1"/>
    <w:rsid w:val="24BF09F7"/>
    <w:rsid w:val="24BF4899"/>
    <w:rsid w:val="24C0385A"/>
    <w:rsid w:val="24C25FD8"/>
    <w:rsid w:val="24C745BD"/>
    <w:rsid w:val="24C81517"/>
    <w:rsid w:val="24D36513"/>
    <w:rsid w:val="24D542BD"/>
    <w:rsid w:val="24D87957"/>
    <w:rsid w:val="24DB445E"/>
    <w:rsid w:val="24F4261D"/>
    <w:rsid w:val="24F53417"/>
    <w:rsid w:val="25041DE0"/>
    <w:rsid w:val="2505371A"/>
    <w:rsid w:val="25055596"/>
    <w:rsid w:val="25063990"/>
    <w:rsid w:val="25085106"/>
    <w:rsid w:val="250A3668"/>
    <w:rsid w:val="250E0962"/>
    <w:rsid w:val="25103C3E"/>
    <w:rsid w:val="25112CAD"/>
    <w:rsid w:val="2512134B"/>
    <w:rsid w:val="251474DF"/>
    <w:rsid w:val="251E1D03"/>
    <w:rsid w:val="25202AE9"/>
    <w:rsid w:val="2521649C"/>
    <w:rsid w:val="25243873"/>
    <w:rsid w:val="25264DBD"/>
    <w:rsid w:val="25265EA8"/>
    <w:rsid w:val="252919EE"/>
    <w:rsid w:val="252B4B4C"/>
    <w:rsid w:val="252D53FE"/>
    <w:rsid w:val="2531733C"/>
    <w:rsid w:val="25320534"/>
    <w:rsid w:val="253461EC"/>
    <w:rsid w:val="25402651"/>
    <w:rsid w:val="2544570D"/>
    <w:rsid w:val="254A0D4A"/>
    <w:rsid w:val="254A60FC"/>
    <w:rsid w:val="254B0B76"/>
    <w:rsid w:val="255612A1"/>
    <w:rsid w:val="255A0F8D"/>
    <w:rsid w:val="255D3C9C"/>
    <w:rsid w:val="25657B34"/>
    <w:rsid w:val="25674376"/>
    <w:rsid w:val="256F5452"/>
    <w:rsid w:val="257007B0"/>
    <w:rsid w:val="25710EB7"/>
    <w:rsid w:val="25733DFD"/>
    <w:rsid w:val="25740447"/>
    <w:rsid w:val="257441A7"/>
    <w:rsid w:val="25785CA4"/>
    <w:rsid w:val="257A5D06"/>
    <w:rsid w:val="257D2ECD"/>
    <w:rsid w:val="258261ED"/>
    <w:rsid w:val="258374C5"/>
    <w:rsid w:val="25840594"/>
    <w:rsid w:val="258A493E"/>
    <w:rsid w:val="259E7428"/>
    <w:rsid w:val="259F42F1"/>
    <w:rsid w:val="25A82628"/>
    <w:rsid w:val="25A93CC2"/>
    <w:rsid w:val="25AD14B1"/>
    <w:rsid w:val="25AD4685"/>
    <w:rsid w:val="25AD60DB"/>
    <w:rsid w:val="25B21821"/>
    <w:rsid w:val="25B46B7B"/>
    <w:rsid w:val="25C755CF"/>
    <w:rsid w:val="25CD1049"/>
    <w:rsid w:val="25D51B88"/>
    <w:rsid w:val="25D732AA"/>
    <w:rsid w:val="25D76C26"/>
    <w:rsid w:val="25DA628B"/>
    <w:rsid w:val="25DC1D47"/>
    <w:rsid w:val="25E62E7A"/>
    <w:rsid w:val="25E65638"/>
    <w:rsid w:val="25EC2D81"/>
    <w:rsid w:val="25EC3BAF"/>
    <w:rsid w:val="25F431EE"/>
    <w:rsid w:val="25F53A21"/>
    <w:rsid w:val="25F64C7D"/>
    <w:rsid w:val="260642EA"/>
    <w:rsid w:val="260B2BCC"/>
    <w:rsid w:val="261151A8"/>
    <w:rsid w:val="26161C18"/>
    <w:rsid w:val="261849A4"/>
    <w:rsid w:val="261C6242"/>
    <w:rsid w:val="261D5ECF"/>
    <w:rsid w:val="26223342"/>
    <w:rsid w:val="262447B3"/>
    <w:rsid w:val="26247A14"/>
    <w:rsid w:val="26280C4E"/>
    <w:rsid w:val="262C269C"/>
    <w:rsid w:val="262E1FA9"/>
    <w:rsid w:val="26301CEE"/>
    <w:rsid w:val="263C1CBE"/>
    <w:rsid w:val="263C3A47"/>
    <w:rsid w:val="263E4F85"/>
    <w:rsid w:val="264618D2"/>
    <w:rsid w:val="264C11F7"/>
    <w:rsid w:val="26500AB7"/>
    <w:rsid w:val="265D0B42"/>
    <w:rsid w:val="265D3EC0"/>
    <w:rsid w:val="265E433F"/>
    <w:rsid w:val="26615A6E"/>
    <w:rsid w:val="26630DFA"/>
    <w:rsid w:val="26644C44"/>
    <w:rsid w:val="26660E3B"/>
    <w:rsid w:val="26676E0F"/>
    <w:rsid w:val="266C7C6B"/>
    <w:rsid w:val="266D04C9"/>
    <w:rsid w:val="266D72FF"/>
    <w:rsid w:val="26714809"/>
    <w:rsid w:val="26722306"/>
    <w:rsid w:val="267573FD"/>
    <w:rsid w:val="267B1C5D"/>
    <w:rsid w:val="267C08AC"/>
    <w:rsid w:val="267D3CDF"/>
    <w:rsid w:val="268561AF"/>
    <w:rsid w:val="2686568A"/>
    <w:rsid w:val="268E49E0"/>
    <w:rsid w:val="268F16F6"/>
    <w:rsid w:val="269235B1"/>
    <w:rsid w:val="269910BC"/>
    <w:rsid w:val="269D510F"/>
    <w:rsid w:val="269D6931"/>
    <w:rsid w:val="26A077D3"/>
    <w:rsid w:val="26A2519A"/>
    <w:rsid w:val="26A26C9D"/>
    <w:rsid w:val="26A34BB6"/>
    <w:rsid w:val="26A76454"/>
    <w:rsid w:val="26AA7CF2"/>
    <w:rsid w:val="26AE0DDA"/>
    <w:rsid w:val="26B2450C"/>
    <w:rsid w:val="26B30F54"/>
    <w:rsid w:val="26B40E5F"/>
    <w:rsid w:val="26B934FC"/>
    <w:rsid w:val="26C20333"/>
    <w:rsid w:val="26C514AB"/>
    <w:rsid w:val="26C743C9"/>
    <w:rsid w:val="26C84879"/>
    <w:rsid w:val="26CD39E1"/>
    <w:rsid w:val="26CD5020"/>
    <w:rsid w:val="26CF69AE"/>
    <w:rsid w:val="26D02908"/>
    <w:rsid w:val="26D20966"/>
    <w:rsid w:val="26D808C7"/>
    <w:rsid w:val="26DA3BA9"/>
    <w:rsid w:val="26DC1855"/>
    <w:rsid w:val="26DD33E6"/>
    <w:rsid w:val="26E12847"/>
    <w:rsid w:val="26E948D5"/>
    <w:rsid w:val="26EA4212"/>
    <w:rsid w:val="26EE5A90"/>
    <w:rsid w:val="26F40F6D"/>
    <w:rsid w:val="26FA0CB2"/>
    <w:rsid w:val="26FC6074"/>
    <w:rsid w:val="27015B5E"/>
    <w:rsid w:val="2704708C"/>
    <w:rsid w:val="270E0C4A"/>
    <w:rsid w:val="270E3F17"/>
    <w:rsid w:val="270F7B55"/>
    <w:rsid w:val="27117D71"/>
    <w:rsid w:val="27157C1A"/>
    <w:rsid w:val="27176FDB"/>
    <w:rsid w:val="271866BD"/>
    <w:rsid w:val="27247AA4"/>
    <w:rsid w:val="272619F4"/>
    <w:rsid w:val="27285FDC"/>
    <w:rsid w:val="272A0E33"/>
    <w:rsid w:val="272D1239"/>
    <w:rsid w:val="27360A1D"/>
    <w:rsid w:val="2747251D"/>
    <w:rsid w:val="274D3833"/>
    <w:rsid w:val="27543FC8"/>
    <w:rsid w:val="27561C28"/>
    <w:rsid w:val="275D2F57"/>
    <w:rsid w:val="27683F7E"/>
    <w:rsid w:val="276D654E"/>
    <w:rsid w:val="276E59E0"/>
    <w:rsid w:val="277057A2"/>
    <w:rsid w:val="277538D0"/>
    <w:rsid w:val="277A297C"/>
    <w:rsid w:val="2782013E"/>
    <w:rsid w:val="27841D5B"/>
    <w:rsid w:val="278A0521"/>
    <w:rsid w:val="278E78E6"/>
    <w:rsid w:val="27914A0E"/>
    <w:rsid w:val="27940C02"/>
    <w:rsid w:val="279B4D92"/>
    <w:rsid w:val="27A31298"/>
    <w:rsid w:val="27A4796D"/>
    <w:rsid w:val="27A609A0"/>
    <w:rsid w:val="27B150B0"/>
    <w:rsid w:val="27B26339"/>
    <w:rsid w:val="27B52157"/>
    <w:rsid w:val="27BB720E"/>
    <w:rsid w:val="27BD2778"/>
    <w:rsid w:val="27C2106B"/>
    <w:rsid w:val="27C3113C"/>
    <w:rsid w:val="27CA0816"/>
    <w:rsid w:val="27CB3900"/>
    <w:rsid w:val="27CB50CC"/>
    <w:rsid w:val="27CD1C5A"/>
    <w:rsid w:val="27D06CC0"/>
    <w:rsid w:val="27D94B05"/>
    <w:rsid w:val="27E41A38"/>
    <w:rsid w:val="27E510B8"/>
    <w:rsid w:val="27E95531"/>
    <w:rsid w:val="27EB2370"/>
    <w:rsid w:val="27EB71E3"/>
    <w:rsid w:val="27F003EA"/>
    <w:rsid w:val="27F126E1"/>
    <w:rsid w:val="27F15FE9"/>
    <w:rsid w:val="27F24BC3"/>
    <w:rsid w:val="27F25993"/>
    <w:rsid w:val="27F3016B"/>
    <w:rsid w:val="27F40DE7"/>
    <w:rsid w:val="27F43B4A"/>
    <w:rsid w:val="27F97FCB"/>
    <w:rsid w:val="28120DA2"/>
    <w:rsid w:val="2816568A"/>
    <w:rsid w:val="281A653A"/>
    <w:rsid w:val="281A7884"/>
    <w:rsid w:val="281B4504"/>
    <w:rsid w:val="281C0547"/>
    <w:rsid w:val="281E4BA9"/>
    <w:rsid w:val="281F57CD"/>
    <w:rsid w:val="282031EA"/>
    <w:rsid w:val="28290FA8"/>
    <w:rsid w:val="282A6096"/>
    <w:rsid w:val="282B1888"/>
    <w:rsid w:val="282D6083"/>
    <w:rsid w:val="282F6527"/>
    <w:rsid w:val="2833668C"/>
    <w:rsid w:val="28377363"/>
    <w:rsid w:val="283A4EB8"/>
    <w:rsid w:val="283B39B4"/>
    <w:rsid w:val="283B71FE"/>
    <w:rsid w:val="283C045E"/>
    <w:rsid w:val="283C2F96"/>
    <w:rsid w:val="2842445A"/>
    <w:rsid w:val="284460E4"/>
    <w:rsid w:val="28455469"/>
    <w:rsid w:val="284708A8"/>
    <w:rsid w:val="28490E3D"/>
    <w:rsid w:val="284B62F1"/>
    <w:rsid w:val="284D0D9F"/>
    <w:rsid w:val="28505DD8"/>
    <w:rsid w:val="285223EF"/>
    <w:rsid w:val="28561F7A"/>
    <w:rsid w:val="28596DFE"/>
    <w:rsid w:val="28621E7A"/>
    <w:rsid w:val="2865017B"/>
    <w:rsid w:val="2869789F"/>
    <w:rsid w:val="286A0139"/>
    <w:rsid w:val="286C64BE"/>
    <w:rsid w:val="286C7991"/>
    <w:rsid w:val="2873599C"/>
    <w:rsid w:val="28762BEB"/>
    <w:rsid w:val="287814F2"/>
    <w:rsid w:val="28893283"/>
    <w:rsid w:val="288F0A64"/>
    <w:rsid w:val="289121AE"/>
    <w:rsid w:val="289B1FE8"/>
    <w:rsid w:val="289D33E8"/>
    <w:rsid w:val="289F3E8A"/>
    <w:rsid w:val="28A15125"/>
    <w:rsid w:val="28A42E8F"/>
    <w:rsid w:val="28A4590D"/>
    <w:rsid w:val="28AB3996"/>
    <w:rsid w:val="28AC2F62"/>
    <w:rsid w:val="28AC504D"/>
    <w:rsid w:val="28AE261E"/>
    <w:rsid w:val="28B66A15"/>
    <w:rsid w:val="28BC6E6D"/>
    <w:rsid w:val="28BC78B8"/>
    <w:rsid w:val="28C403EF"/>
    <w:rsid w:val="28C500CF"/>
    <w:rsid w:val="28C52BC1"/>
    <w:rsid w:val="28C77CAC"/>
    <w:rsid w:val="28C96344"/>
    <w:rsid w:val="28D23E76"/>
    <w:rsid w:val="28D613F8"/>
    <w:rsid w:val="28D63C9C"/>
    <w:rsid w:val="28D659C9"/>
    <w:rsid w:val="28D7729F"/>
    <w:rsid w:val="28DA340F"/>
    <w:rsid w:val="28DB5041"/>
    <w:rsid w:val="28DD0BF5"/>
    <w:rsid w:val="28E26673"/>
    <w:rsid w:val="28E56773"/>
    <w:rsid w:val="28EE139F"/>
    <w:rsid w:val="28EF7A49"/>
    <w:rsid w:val="28F03488"/>
    <w:rsid w:val="28F52C7F"/>
    <w:rsid w:val="28F60961"/>
    <w:rsid w:val="28F76C2E"/>
    <w:rsid w:val="28F93369"/>
    <w:rsid w:val="28FA26BD"/>
    <w:rsid w:val="28FD6595"/>
    <w:rsid w:val="28FF43BE"/>
    <w:rsid w:val="29043603"/>
    <w:rsid w:val="29052D01"/>
    <w:rsid w:val="290714B1"/>
    <w:rsid w:val="29073A7E"/>
    <w:rsid w:val="29073E4B"/>
    <w:rsid w:val="290B2D34"/>
    <w:rsid w:val="290C79A9"/>
    <w:rsid w:val="290D3431"/>
    <w:rsid w:val="290E7E30"/>
    <w:rsid w:val="29167BA2"/>
    <w:rsid w:val="291E36C4"/>
    <w:rsid w:val="29206EB8"/>
    <w:rsid w:val="29223CFF"/>
    <w:rsid w:val="29271443"/>
    <w:rsid w:val="29277A5E"/>
    <w:rsid w:val="292C0120"/>
    <w:rsid w:val="292F2101"/>
    <w:rsid w:val="29306ABA"/>
    <w:rsid w:val="29342D79"/>
    <w:rsid w:val="29344B75"/>
    <w:rsid w:val="293734C5"/>
    <w:rsid w:val="29393908"/>
    <w:rsid w:val="293A2098"/>
    <w:rsid w:val="293D2462"/>
    <w:rsid w:val="29415262"/>
    <w:rsid w:val="2944093A"/>
    <w:rsid w:val="29480C5F"/>
    <w:rsid w:val="294A1ABD"/>
    <w:rsid w:val="294D7053"/>
    <w:rsid w:val="294E0236"/>
    <w:rsid w:val="294F35BA"/>
    <w:rsid w:val="2950677F"/>
    <w:rsid w:val="29595666"/>
    <w:rsid w:val="295A3BE6"/>
    <w:rsid w:val="295A5E78"/>
    <w:rsid w:val="295B0A25"/>
    <w:rsid w:val="295B52D4"/>
    <w:rsid w:val="295D54F0"/>
    <w:rsid w:val="29641646"/>
    <w:rsid w:val="29651D58"/>
    <w:rsid w:val="29652361"/>
    <w:rsid w:val="296560E9"/>
    <w:rsid w:val="29763879"/>
    <w:rsid w:val="29781B99"/>
    <w:rsid w:val="297D10CF"/>
    <w:rsid w:val="297E43ED"/>
    <w:rsid w:val="297F02E3"/>
    <w:rsid w:val="298056D5"/>
    <w:rsid w:val="29853ACD"/>
    <w:rsid w:val="29862CBF"/>
    <w:rsid w:val="29874881"/>
    <w:rsid w:val="298810A2"/>
    <w:rsid w:val="29883BEF"/>
    <w:rsid w:val="298B4856"/>
    <w:rsid w:val="298F1421"/>
    <w:rsid w:val="29916F47"/>
    <w:rsid w:val="29921F81"/>
    <w:rsid w:val="29936A72"/>
    <w:rsid w:val="29A179D8"/>
    <w:rsid w:val="29A339CF"/>
    <w:rsid w:val="29A46FAF"/>
    <w:rsid w:val="29A479A9"/>
    <w:rsid w:val="29A51E5C"/>
    <w:rsid w:val="29A921F7"/>
    <w:rsid w:val="29B16D9B"/>
    <w:rsid w:val="29B41454"/>
    <w:rsid w:val="29B532BC"/>
    <w:rsid w:val="29B86E93"/>
    <w:rsid w:val="29B87003"/>
    <w:rsid w:val="29BA6736"/>
    <w:rsid w:val="29BC215F"/>
    <w:rsid w:val="29BE370F"/>
    <w:rsid w:val="29C25353"/>
    <w:rsid w:val="29C34B5C"/>
    <w:rsid w:val="29C41EC0"/>
    <w:rsid w:val="29C51F51"/>
    <w:rsid w:val="29C654C5"/>
    <w:rsid w:val="29C739A3"/>
    <w:rsid w:val="29CD30DA"/>
    <w:rsid w:val="29CF08A8"/>
    <w:rsid w:val="29D41C18"/>
    <w:rsid w:val="29D916E2"/>
    <w:rsid w:val="29DD03DE"/>
    <w:rsid w:val="29E14F3B"/>
    <w:rsid w:val="29E325E0"/>
    <w:rsid w:val="29E452C9"/>
    <w:rsid w:val="29E96752"/>
    <w:rsid w:val="29EC23D0"/>
    <w:rsid w:val="29EF2A38"/>
    <w:rsid w:val="2A0169F6"/>
    <w:rsid w:val="2A0277DE"/>
    <w:rsid w:val="2A030B4C"/>
    <w:rsid w:val="2A092063"/>
    <w:rsid w:val="2A0960E6"/>
    <w:rsid w:val="2A0A1173"/>
    <w:rsid w:val="2A0B20A3"/>
    <w:rsid w:val="2A0B4F4C"/>
    <w:rsid w:val="2A12751F"/>
    <w:rsid w:val="2A1451E0"/>
    <w:rsid w:val="2A1D5CAE"/>
    <w:rsid w:val="2A1F1058"/>
    <w:rsid w:val="2A245CBA"/>
    <w:rsid w:val="2A24600D"/>
    <w:rsid w:val="2A2473A6"/>
    <w:rsid w:val="2A281BF2"/>
    <w:rsid w:val="2A2C5930"/>
    <w:rsid w:val="2A2E4796"/>
    <w:rsid w:val="2A2F5D71"/>
    <w:rsid w:val="2A2F6B4B"/>
    <w:rsid w:val="2A30701E"/>
    <w:rsid w:val="2A336907"/>
    <w:rsid w:val="2A396F12"/>
    <w:rsid w:val="2A3A0D34"/>
    <w:rsid w:val="2A3E3C16"/>
    <w:rsid w:val="2A452503"/>
    <w:rsid w:val="2A4B4DB9"/>
    <w:rsid w:val="2A5161D2"/>
    <w:rsid w:val="2A5423D7"/>
    <w:rsid w:val="2A5931BA"/>
    <w:rsid w:val="2A6D4BE6"/>
    <w:rsid w:val="2A6E50C7"/>
    <w:rsid w:val="2A6F5F6A"/>
    <w:rsid w:val="2A6F7E86"/>
    <w:rsid w:val="2A7554E2"/>
    <w:rsid w:val="2A755AAF"/>
    <w:rsid w:val="2A762E6C"/>
    <w:rsid w:val="2A783938"/>
    <w:rsid w:val="2A821C7A"/>
    <w:rsid w:val="2A841F70"/>
    <w:rsid w:val="2A845366"/>
    <w:rsid w:val="2A8516CF"/>
    <w:rsid w:val="2A894CB1"/>
    <w:rsid w:val="2A8D4420"/>
    <w:rsid w:val="2A8E27BD"/>
    <w:rsid w:val="2A8E4ACE"/>
    <w:rsid w:val="2A930958"/>
    <w:rsid w:val="2A962F53"/>
    <w:rsid w:val="2A9A0622"/>
    <w:rsid w:val="2A9D09E2"/>
    <w:rsid w:val="2AA6571F"/>
    <w:rsid w:val="2AAA523B"/>
    <w:rsid w:val="2ABC4F3E"/>
    <w:rsid w:val="2ABC6ADF"/>
    <w:rsid w:val="2ABD2507"/>
    <w:rsid w:val="2AC1011E"/>
    <w:rsid w:val="2AC46C79"/>
    <w:rsid w:val="2ACB0DAB"/>
    <w:rsid w:val="2AD04DAA"/>
    <w:rsid w:val="2AD2270B"/>
    <w:rsid w:val="2AD90BA6"/>
    <w:rsid w:val="2ADA3971"/>
    <w:rsid w:val="2ADA7638"/>
    <w:rsid w:val="2ADD0CA7"/>
    <w:rsid w:val="2ADD7F15"/>
    <w:rsid w:val="2ADF4BBB"/>
    <w:rsid w:val="2AE1676C"/>
    <w:rsid w:val="2AE17A5A"/>
    <w:rsid w:val="2AEA2DB3"/>
    <w:rsid w:val="2AEB0A3F"/>
    <w:rsid w:val="2AED0BF1"/>
    <w:rsid w:val="2AFC2AE6"/>
    <w:rsid w:val="2B035C23"/>
    <w:rsid w:val="2B0410C0"/>
    <w:rsid w:val="2B063473"/>
    <w:rsid w:val="2B065545"/>
    <w:rsid w:val="2B0935EB"/>
    <w:rsid w:val="2B0A632B"/>
    <w:rsid w:val="2B0B3D51"/>
    <w:rsid w:val="2B0C20D9"/>
    <w:rsid w:val="2B0E4698"/>
    <w:rsid w:val="2B0E6301"/>
    <w:rsid w:val="2B0F6376"/>
    <w:rsid w:val="2B111667"/>
    <w:rsid w:val="2B166893"/>
    <w:rsid w:val="2B1971F4"/>
    <w:rsid w:val="2B1F0D6E"/>
    <w:rsid w:val="2B224FBA"/>
    <w:rsid w:val="2B2421DA"/>
    <w:rsid w:val="2B27140A"/>
    <w:rsid w:val="2B2913E3"/>
    <w:rsid w:val="2B2B1F3B"/>
    <w:rsid w:val="2B30036A"/>
    <w:rsid w:val="2B30377F"/>
    <w:rsid w:val="2B313C23"/>
    <w:rsid w:val="2B343F8A"/>
    <w:rsid w:val="2B395AE8"/>
    <w:rsid w:val="2B3B26E9"/>
    <w:rsid w:val="2B3F77EF"/>
    <w:rsid w:val="2B404781"/>
    <w:rsid w:val="2B417011"/>
    <w:rsid w:val="2B493A69"/>
    <w:rsid w:val="2B4D6E9E"/>
    <w:rsid w:val="2B4E5A73"/>
    <w:rsid w:val="2B4F557A"/>
    <w:rsid w:val="2B53485D"/>
    <w:rsid w:val="2B542DC8"/>
    <w:rsid w:val="2B563B52"/>
    <w:rsid w:val="2B591CE0"/>
    <w:rsid w:val="2B5B377E"/>
    <w:rsid w:val="2B5C3B45"/>
    <w:rsid w:val="2B5E1148"/>
    <w:rsid w:val="2B667B78"/>
    <w:rsid w:val="2B6727EA"/>
    <w:rsid w:val="2B69017C"/>
    <w:rsid w:val="2B697675"/>
    <w:rsid w:val="2B6B3F30"/>
    <w:rsid w:val="2B6D5435"/>
    <w:rsid w:val="2B6E24CF"/>
    <w:rsid w:val="2B72031F"/>
    <w:rsid w:val="2B762A37"/>
    <w:rsid w:val="2B782E0B"/>
    <w:rsid w:val="2B7A10E0"/>
    <w:rsid w:val="2B7A523A"/>
    <w:rsid w:val="2B7A693A"/>
    <w:rsid w:val="2B8C3E6A"/>
    <w:rsid w:val="2B8F11A0"/>
    <w:rsid w:val="2B916845"/>
    <w:rsid w:val="2B9304F2"/>
    <w:rsid w:val="2B9A5968"/>
    <w:rsid w:val="2B9D3544"/>
    <w:rsid w:val="2BA2543C"/>
    <w:rsid w:val="2BA30731"/>
    <w:rsid w:val="2BA56CDA"/>
    <w:rsid w:val="2BA62D52"/>
    <w:rsid w:val="2BA74050"/>
    <w:rsid w:val="2BA936A8"/>
    <w:rsid w:val="2BAA42F0"/>
    <w:rsid w:val="2BAE42FA"/>
    <w:rsid w:val="2BB02B3E"/>
    <w:rsid w:val="2BB61214"/>
    <w:rsid w:val="2BB85B96"/>
    <w:rsid w:val="2BB93093"/>
    <w:rsid w:val="2BBB640E"/>
    <w:rsid w:val="2BBE30B7"/>
    <w:rsid w:val="2BBF4E2E"/>
    <w:rsid w:val="2BC07687"/>
    <w:rsid w:val="2BC25649"/>
    <w:rsid w:val="2BC93E2E"/>
    <w:rsid w:val="2BCB73C7"/>
    <w:rsid w:val="2BCC2CFC"/>
    <w:rsid w:val="2BCE211B"/>
    <w:rsid w:val="2BCF1FA9"/>
    <w:rsid w:val="2BD051DB"/>
    <w:rsid w:val="2BD072A1"/>
    <w:rsid w:val="2BD34BDB"/>
    <w:rsid w:val="2BD62FD1"/>
    <w:rsid w:val="2BD80E5D"/>
    <w:rsid w:val="2BD861E7"/>
    <w:rsid w:val="2BE105B4"/>
    <w:rsid w:val="2BE15BBD"/>
    <w:rsid w:val="2BE23A45"/>
    <w:rsid w:val="2BE94E19"/>
    <w:rsid w:val="2BF0598B"/>
    <w:rsid w:val="2BF2441A"/>
    <w:rsid w:val="2BF27F8B"/>
    <w:rsid w:val="2BF5629A"/>
    <w:rsid w:val="2BFD19D9"/>
    <w:rsid w:val="2BFD20CC"/>
    <w:rsid w:val="2C017A31"/>
    <w:rsid w:val="2C043CFF"/>
    <w:rsid w:val="2C06413E"/>
    <w:rsid w:val="2C086C8C"/>
    <w:rsid w:val="2C0A08FD"/>
    <w:rsid w:val="2C151610"/>
    <w:rsid w:val="2C162BBD"/>
    <w:rsid w:val="2C1F199A"/>
    <w:rsid w:val="2C220FF0"/>
    <w:rsid w:val="2C241AE9"/>
    <w:rsid w:val="2C276FBF"/>
    <w:rsid w:val="2C281CF5"/>
    <w:rsid w:val="2C2F6C4E"/>
    <w:rsid w:val="2C313600"/>
    <w:rsid w:val="2C315A5A"/>
    <w:rsid w:val="2C35005E"/>
    <w:rsid w:val="2C354CAC"/>
    <w:rsid w:val="2C372028"/>
    <w:rsid w:val="2C397357"/>
    <w:rsid w:val="2C3A38C6"/>
    <w:rsid w:val="2C3A7C77"/>
    <w:rsid w:val="2C3D5164"/>
    <w:rsid w:val="2C401027"/>
    <w:rsid w:val="2C433E7B"/>
    <w:rsid w:val="2C4765E6"/>
    <w:rsid w:val="2C496A9D"/>
    <w:rsid w:val="2C4A549B"/>
    <w:rsid w:val="2C4B1C25"/>
    <w:rsid w:val="2C4E4440"/>
    <w:rsid w:val="2C547BB3"/>
    <w:rsid w:val="2C5A7E20"/>
    <w:rsid w:val="2C5C0D70"/>
    <w:rsid w:val="2C5D2DE2"/>
    <w:rsid w:val="2C6C6C70"/>
    <w:rsid w:val="2C701096"/>
    <w:rsid w:val="2C717939"/>
    <w:rsid w:val="2C731504"/>
    <w:rsid w:val="2C736DD8"/>
    <w:rsid w:val="2C76058F"/>
    <w:rsid w:val="2C774BB9"/>
    <w:rsid w:val="2C7873CA"/>
    <w:rsid w:val="2C7D1A05"/>
    <w:rsid w:val="2C7F3012"/>
    <w:rsid w:val="2C7F410D"/>
    <w:rsid w:val="2C8129A6"/>
    <w:rsid w:val="2C8148F3"/>
    <w:rsid w:val="2C835DF8"/>
    <w:rsid w:val="2C865E3F"/>
    <w:rsid w:val="2C8903AA"/>
    <w:rsid w:val="2C8B3FE5"/>
    <w:rsid w:val="2C90569C"/>
    <w:rsid w:val="2C957D3B"/>
    <w:rsid w:val="2C960287"/>
    <w:rsid w:val="2C976DD5"/>
    <w:rsid w:val="2C98221F"/>
    <w:rsid w:val="2C98256C"/>
    <w:rsid w:val="2C9A6113"/>
    <w:rsid w:val="2C9E472D"/>
    <w:rsid w:val="2CA56004"/>
    <w:rsid w:val="2CAE10FB"/>
    <w:rsid w:val="2CB35427"/>
    <w:rsid w:val="2CB662DB"/>
    <w:rsid w:val="2CB715A8"/>
    <w:rsid w:val="2CBD117B"/>
    <w:rsid w:val="2CBD5F8C"/>
    <w:rsid w:val="2CC50AEC"/>
    <w:rsid w:val="2CC76793"/>
    <w:rsid w:val="2CCB09C2"/>
    <w:rsid w:val="2CD21BFA"/>
    <w:rsid w:val="2CD342F0"/>
    <w:rsid w:val="2CD9731E"/>
    <w:rsid w:val="2CDD4F70"/>
    <w:rsid w:val="2CE22938"/>
    <w:rsid w:val="2CE254FA"/>
    <w:rsid w:val="2CE75549"/>
    <w:rsid w:val="2CF43947"/>
    <w:rsid w:val="2CF714F1"/>
    <w:rsid w:val="2CF717B7"/>
    <w:rsid w:val="2D005CE3"/>
    <w:rsid w:val="2D0D3A13"/>
    <w:rsid w:val="2D1660E1"/>
    <w:rsid w:val="2D167743"/>
    <w:rsid w:val="2D181AF2"/>
    <w:rsid w:val="2D186BBD"/>
    <w:rsid w:val="2D2B0BBE"/>
    <w:rsid w:val="2D2E2BA0"/>
    <w:rsid w:val="2D315FC3"/>
    <w:rsid w:val="2D3505D3"/>
    <w:rsid w:val="2D390580"/>
    <w:rsid w:val="2D3E3FC4"/>
    <w:rsid w:val="2D417487"/>
    <w:rsid w:val="2D440D50"/>
    <w:rsid w:val="2D4536D6"/>
    <w:rsid w:val="2D4949CB"/>
    <w:rsid w:val="2D49601A"/>
    <w:rsid w:val="2D496120"/>
    <w:rsid w:val="2D4A7315"/>
    <w:rsid w:val="2D4E563B"/>
    <w:rsid w:val="2D4F5796"/>
    <w:rsid w:val="2D503DD8"/>
    <w:rsid w:val="2D512410"/>
    <w:rsid w:val="2D550D92"/>
    <w:rsid w:val="2D554A7A"/>
    <w:rsid w:val="2D594078"/>
    <w:rsid w:val="2D5C47C8"/>
    <w:rsid w:val="2D5C5FF0"/>
    <w:rsid w:val="2D5F5A13"/>
    <w:rsid w:val="2D612F35"/>
    <w:rsid w:val="2D684C4B"/>
    <w:rsid w:val="2D6859F4"/>
    <w:rsid w:val="2D6B086E"/>
    <w:rsid w:val="2D6D3C81"/>
    <w:rsid w:val="2D7349C0"/>
    <w:rsid w:val="2D7606E1"/>
    <w:rsid w:val="2D784963"/>
    <w:rsid w:val="2D7F76A5"/>
    <w:rsid w:val="2D872B3B"/>
    <w:rsid w:val="2D881983"/>
    <w:rsid w:val="2D8E1AB9"/>
    <w:rsid w:val="2D917CA6"/>
    <w:rsid w:val="2D935B74"/>
    <w:rsid w:val="2D963818"/>
    <w:rsid w:val="2D9C59B2"/>
    <w:rsid w:val="2D9E56F5"/>
    <w:rsid w:val="2DA44123"/>
    <w:rsid w:val="2DAA4A7C"/>
    <w:rsid w:val="2DAB11ED"/>
    <w:rsid w:val="2DAD38A1"/>
    <w:rsid w:val="2DAE1F68"/>
    <w:rsid w:val="2DB15A09"/>
    <w:rsid w:val="2DB23B20"/>
    <w:rsid w:val="2DB56A50"/>
    <w:rsid w:val="2DBE6BD0"/>
    <w:rsid w:val="2DC01102"/>
    <w:rsid w:val="2DC03EC3"/>
    <w:rsid w:val="2DC96089"/>
    <w:rsid w:val="2DC962C2"/>
    <w:rsid w:val="2DCA3399"/>
    <w:rsid w:val="2DCE0CFF"/>
    <w:rsid w:val="2DCE6198"/>
    <w:rsid w:val="2DCF3069"/>
    <w:rsid w:val="2DD37B2E"/>
    <w:rsid w:val="2DD438A7"/>
    <w:rsid w:val="2DDD6BFF"/>
    <w:rsid w:val="2DE235EF"/>
    <w:rsid w:val="2DE735DA"/>
    <w:rsid w:val="2DEA506F"/>
    <w:rsid w:val="2DEB7395"/>
    <w:rsid w:val="2DEE2918"/>
    <w:rsid w:val="2DEF267C"/>
    <w:rsid w:val="2DF0640E"/>
    <w:rsid w:val="2DF16206"/>
    <w:rsid w:val="2DF63E2C"/>
    <w:rsid w:val="2DF74529"/>
    <w:rsid w:val="2DFF4CE6"/>
    <w:rsid w:val="2E0341A0"/>
    <w:rsid w:val="2E044772"/>
    <w:rsid w:val="2E0A77B9"/>
    <w:rsid w:val="2E0E2D85"/>
    <w:rsid w:val="2E0E31F7"/>
    <w:rsid w:val="2E0F1F77"/>
    <w:rsid w:val="2E1B4A3F"/>
    <w:rsid w:val="2E257A46"/>
    <w:rsid w:val="2E2C7D0B"/>
    <w:rsid w:val="2E2E1597"/>
    <w:rsid w:val="2E324476"/>
    <w:rsid w:val="2E360B3A"/>
    <w:rsid w:val="2E445064"/>
    <w:rsid w:val="2E4863B0"/>
    <w:rsid w:val="2E4F2F2D"/>
    <w:rsid w:val="2E5A5BC3"/>
    <w:rsid w:val="2E5D3E29"/>
    <w:rsid w:val="2E5D730B"/>
    <w:rsid w:val="2E5E1AE8"/>
    <w:rsid w:val="2E5E3B19"/>
    <w:rsid w:val="2E635D3A"/>
    <w:rsid w:val="2E665636"/>
    <w:rsid w:val="2E667F96"/>
    <w:rsid w:val="2E6A3614"/>
    <w:rsid w:val="2E6C7554"/>
    <w:rsid w:val="2E70732F"/>
    <w:rsid w:val="2E717D88"/>
    <w:rsid w:val="2E722E37"/>
    <w:rsid w:val="2E731A91"/>
    <w:rsid w:val="2E75338F"/>
    <w:rsid w:val="2E7B3119"/>
    <w:rsid w:val="2E7F5C90"/>
    <w:rsid w:val="2E7F6685"/>
    <w:rsid w:val="2E7F73AB"/>
    <w:rsid w:val="2E8226AB"/>
    <w:rsid w:val="2E823302"/>
    <w:rsid w:val="2E882B34"/>
    <w:rsid w:val="2E8929EF"/>
    <w:rsid w:val="2E8A1E11"/>
    <w:rsid w:val="2E8C0C88"/>
    <w:rsid w:val="2E933762"/>
    <w:rsid w:val="2E9C0836"/>
    <w:rsid w:val="2E9D0088"/>
    <w:rsid w:val="2E9F5C62"/>
    <w:rsid w:val="2EA43279"/>
    <w:rsid w:val="2EA56816"/>
    <w:rsid w:val="2EA86D20"/>
    <w:rsid w:val="2EAC037F"/>
    <w:rsid w:val="2EAD4823"/>
    <w:rsid w:val="2EBF3647"/>
    <w:rsid w:val="2EC102CF"/>
    <w:rsid w:val="2EC1207D"/>
    <w:rsid w:val="2EC21951"/>
    <w:rsid w:val="2ECA2713"/>
    <w:rsid w:val="2ECB7A52"/>
    <w:rsid w:val="2ECD40BF"/>
    <w:rsid w:val="2ED24CE2"/>
    <w:rsid w:val="2ED350EC"/>
    <w:rsid w:val="2ED37E8D"/>
    <w:rsid w:val="2ED50CFF"/>
    <w:rsid w:val="2ED55D3D"/>
    <w:rsid w:val="2ED9575E"/>
    <w:rsid w:val="2EE217CF"/>
    <w:rsid w:val="2EE26AD9"/>
    <w:rsid w:val="2EFF4953"/>
    <w:rsid w:val="2F0356D5"/>
    <w:rsid w:val="2F06527C"/>
    <w:rsid w:val="2F065CE2"/>
    <w:rsid w:val="2F085CFC"/>
    <w:rsid w:val="2F092059"/>
    <w:rsid w:val="2F0D407F"/>
    <w:rsid w:val="2F146650"/>
    <w:rsid w:val="2F146A0E"/>
    <w:rsid w:val="2F154177"/>
    <w:rsid w:val="2F18079F"/>
    <w:rsid w:val="2F1B0025"/>
    <w:rsid w:val="2F25281F"/>
    <w:rsid w:val="2F266F9E"/>
    <w:rsid w:val="2F2B1BEC"/>
    <w:rsid w:val="2F2C5DF5"/>
    <w:rsid w:val="2F321AC0"/>
    <w:rsid w:val="2F333BEA"/>
    <w:rsid w:val="2F340AA0"/>
    <w:rsid w:val="2F356E15"/>
    <w:rsid w:val="2F3A2CF0"/>
    <w:rsid w:val="2F42139C"/>
    <w:rsid w:val="2F4306C0"/>
    <w:rsid w:val="2F433D54"/>
    <w:rsid w:val="2F4405B8"/>
    <w:rsid w:val="2F45293E"/>
    <w:rsid w:val="2F454897"/>
    <w:rsid w:val="2F495E2F"/>
    <w:rsid w:val="2F4A02C4"/>
    <w:rsid w:val="2F4B57B5"/>
    <w:rsid w:val="2F4D4D69"/>
    <w:rsid w:val="2F4D56BE"/>
    <w:rsid w:val="2F4F4F2B"/>
    <w:rsid w:val="2F5A4C82"/>
    <w:rsid w:val="2F5D3C8F"/>
    <w:rsid w:val="2F6024DC"/>
    <w:rsid w:val="2F631386"/>
    <w:rsid w:val="2F642A08"/>
    <w:rsid w:val="2F653BA9"/>
    <w:rsid w:val="2F6847D4"/>
    <w:rsid w:val="2F7644F0"/>
    <w:rsid w:val="2F764A04"/>
    <w:rsid w:val="2F777C8E"/>
    <w:rsid w:val="2F78274A"/>
    <w:rsid w:val="2F7C28A6"/>
    <w:rsid w:val="2F7F309B"/>
    <w:rsid w:val="2F814601"/>
    <w:rsid w:val="2F81784F"/>
    <w:rsid w:val="2F840528"/>
    <w:rsid w:val="2F841904"/>
    <w:rsid w:val="2F852C34"/>
    <w:rsid w:val="2F912890"/>
    <w:rsid w:val="2F9721F8"/>
    <w:rsid w:val="2F974B8C"/>
    <w:rsid w:val="2F9833DD"/>
    <w:rsid w:val="2F9914C4"/>
    <w:rsid w:val="2FA36909"/>
    <w:rsid w:val="2FA379D4"/>
    <w:rsid w:val="2FA41F5B"/>
    <w:rsid w:val="2FA83DD7"/>
    <w:rsid w:val="2FAA7CE5"/>
    <w:rsid w:val="2FAE2798"/>
    <w:rsid w:val="2FAF4BC0"/>
    <w:rsid w:val="2FB749E5"/>
    <w:rsid w:val="2FB92ED4"/>
    <w:rsid w:val="2FBA2933"/>
    <w:rsid w:val="2FBB2F70"/>
    <w:rsid w:val="2FC06408"/>
    <w:rsid w:val="2FC7749B"/>
    <w:rsid w:val="2FCE66A6"/>
    <w:rsid w:val="2FD03DD3"/>
    <w:rsid w:val="2FD065E6"/>
    <w:rsid w:val="2FD114CC"/>
    <w:rsid w:val="2FD8767E"/>
    <w:rsid w:val="2FD933F6"/>
    <w:rsid w:val="2FD96870"/>
    <w:rsid w:val="2FDB7ECA"/>
    <w:rsid w:val="2FDE5607"/>
    <w:rsid w:val="2FEC1048"/>
    <w:rsid w:val="2FEE50F3"/>
    <w:rsid w:val="2FF0068C"/>
    <w:rsid w:val="2FF51FAE"/>
    <w:rsid w:val="2FF53DB7"/>
    <w:rsid w:val="2FFA558C"/>
    <w:rsid w:val="2FFB1DD3"/>
    <w:rsid w:val="2FFB3FC2"/>
    <w:rsid w:val="300678E7"/>
    <w:rsid w:val="30087270"/>
    <w:rsid w:val="300A3308"/>
    <w:rsid w:val="30122348"/>
    <w:rsid w:val="301B1DC7"/>
    <w:rsid w:val="30204B81"/>
    <w:rsid w:val="302208F9"/>
    <w:rsid w:val="30227AED"/>
    <w:rsid w:val="30265DB9"/>
    <w:rsid w:val="302A4006"/>
    <w:rsid w:val="30310618"/>
    <w:rsid w:val="30390DC1"/>
    <w:rsid w:val="30396A22"/>
    <w:rsid w:val="304B69EF"/>
    <w:rsid w:val="304C106D"/>
    <w:rsid w:val="304C5976"/>
    <w:rsid w:val="304D435C"/>
    <w:rsid w:val="30517430"/>
    <w:rsid w:val="30550CCF"/>
    <w:rsid w:val="30580BC9"/>
    <w:rsid w:val="30586A11"/>
    <w:rsid w:val="305B3E0B"/>
    <w:rsid w:val="30604782"/>
    <w:rsid w:val="30670569"/>
    <w:rsid w:val="306A18AC"/>
    <w:rsid w:val="3070481B"/>
    <w:rsid w:val="307062C6"/>
    <w:rsid w:val="307200EF"/>
    <w:rsid w:val="307B0336"/>
    <w:rsid w:val="307D471A"/>
    <w:rsid w:val="307E6A1C"/>
    <w:rsid w:val="30813AD1"/>
    <w:rsid w:val="308B34E4"/>
    <w:rsid w:val="308D0076"/>
    <w:rsid w:val="30951DED"/>
    <w:rsid w:val="309655E9"/>
    <w:rsid w:val="30AC4667"/>
    <w:rsid w:val="30B37116"/>
    <w:rsid w:val="30B474AB"/>
    <w:rsid w:val="30B67293"/>
    <w:rsid w:val="30BA724A"/>
    <w:rsid w:val="30BD0622"/>
    <w:rsid w:val="30BE0B76"/>
    <w:rsid w:val="30BF5971"/>
    <w:rsid w:val="30C145B6"/>
    <w:rsid w:val="30C7722D"/>
    <w:rsid w:val="30CD0CEE"/>
    <w:rsid w:val="30D31788"/>
    <w:rsid w:val="30D63B54"/>
    <w:rsid w:val="30DA7BB9"/>
    <w:rsid w:val="30DD6601"/>
    <w:rsid w:val="30DF5DBD"/>
    <w:rsid w:val="30E3255F"/>
    <w:rsid w:val="30ED5AD0"/>
    <w:rsid w:val="30F116E3"/>
    <w:rsid w:val="30F664EC"/>
    <w:rsid w:val="30FD473C"/>
    <w:rsid w:val="310467BD"/>
    <w:rsid w:val="31054C4C"/>
    <w:rsid w:val="311109C5"/>
    <w:rsid w:val="3113309A"/>
    <w:rsid w:val="3113566E"/>
    <w:rsid w:val="3114202C"/>
    <w:rsid w:val="311E2C11"/>
    <w:rsid w:val="311E2ED7"/>
    <w:rsid w:val="311E4FD9"/>
    <w:rsid w:val="31265F13"/>
    <w:rsid w:val="312E5192"/>
    <w:rsid w:val="31363E22"/>
    <w:rsid w:val="31384F3C"/>
    <w:rsid w:val="313A08C7"/>
    <w:rsid w:val="313C3918"/>
    <w:rsid w:val="313D5B7D"/>
    <w:rsid w:val="31425235"/>
    <w:rsid w:val="314774ED"/>
    <w:rsid w:val="314C209E"/>
    <w:rsid w:val="314E0187"/>
    <w:rsid w:val="314E2655"/>
    <w:rsid w:val="31541B56"/>
    <w:rsid w:val="315619EE"/>
    <w:rsid w:val="31595AB3"/>
    <w:rsid w:val="315B5B22"/>
    <w:rsid w:val="315C449C"/>
    <w:rsid w:val="316067DC"/>
    <w:rsid w:val="316136A3"/>
    <w:rsid w:val="316170FA"/>
    <w:rsid w:val="316738E5"/>
    <w:rsid w:val="316B4522"/>
    <w:rsid w:val="31701B38"/>
    <w:rsid w:val="3171126A"/>
    <w:rsid w:val="31722B1B"/>
    <w:rsid w:val="31742363"/>
    <w:rsid w:val="31753110"/>
    <w:rsid w:val="3177120C"/>
    <w:rsid w:val="31784D63"/>
    <w:rsid w:val="317A5170"/>
    <w:rsid w:val="317B4D15"/>
    <w:rsid w:val="317C672F"/>
    <w:rsid w:val="317F1D7B"/>
    <w:rsid w:val="318B7474"/>
    <w:rsid w:val="318F34F3"/>
    <w:rsid w:val="319121DA"/>
    <w:rsid w:val="319152C7"/>
    <w:rsid w:val="31973569"/>
    <w:rsid w:val="319770C5"/>
    <w:rsid w:val="31977ABC"/>
    <w:rsid w:val="319A6837"/>
    <w:rsid w:val="319D46C2"/>
    <w:rsid w:val="31A02752"/>
    <w:rsid w:val="31A17F44"/>
    <w:rsid w:val="31A5028D"/>
    <w:rsid w:val="31AB0950"/>
    <w:rsid w:val="31B23ABA"/>
    <w:rsid w:val="31B82709"/>
    <w:rsid w:val="31B859B9"/>
    <w:rsid w:val="31BE6E7D"/>
    <w:rsid w:val="31BF05A3"/>
    <w:rsid w:val="31C003CA"/>
    <w:rsid w:val="31C77663"/>
    <w:rsid w:val="31C81974"/>
    <w:rsid w:val="31CD2F93"/>
    <w:rsid w:val="31D05482"/>
    <w:rsid w:val="31D62BD7"/>
    <w:rsid w:val="31D71662"/>
    <w:rsid w:val="31D87121"/>
    <w:rsid w:val="31D9148B"/>
    <w:rsid w:val="31EA1553"/>
    <w:rsid w:val="31EA7E07"/>
    <w:rsid w:val="31EC7411"/>
    <w:rsid w:val="31ED522F"/>
    <w:rsid w:val="31F6203D"/>
    <w:rsid w:val="31FB23E6"/>
    <w:rsid w:val="320601EF"/>
    <w:rsid w:val="320B318A"/>
    <w:rsid w:val="320E558D"/>
    <w:rsid w:val="32100B9E"/>
    <w:rsid w:val="321122C9"/>
    <w:rsid w:val="32180206"/>
    <w:rsid w:val="3219376A"/>
    <w:rsid w:val="321A5830"/>
    <w:rsid w:val="321B7CF6"/>
    <w:rsid w:val="322026A6"/>
    <w:rsid w:val="32285A4C"/>
    <w:rsid w:val="32294C0A"/>
    <w:rsid w:val="322C5DD4"/>
    <w:rsid w:val="32321616"/>
    <w:rsid w:val="323569DC"/>
    <w:rsid w:val="32391589"/>
    <w:rsid w:val="323B5CA2"/>
    <w:rsid w:val="323E65C5"/>
    <w:rsid w:val="323F1C36"/>
    <w:rsid w:val="32400B34"/>
    <w:rsid w:val="32404721"/>
    <w:rsid w:val="324A2172"/>
    <w:rsid w:val="324A4EF5"/>
    <w:rsid w:val="324F1C81"/>
    <w:rsid w:val="3251576B"/>
    <w:rsid w:val="3253649D"/>
    <w:rsid w:val="32593443"/>
    <w:rsid w:val="325A5080"/>
    <w:rsid w:val="325B00F2"/>
    <w:rsid w:val="325B6344"/>
    <w:rsid w:val="325C577C"/>
    <w:rsid w:val="32622730"/>
    <w:rsid w:val="32626994"/>
    <w:rsid w:val="3263197F"/>
    <w:rsid w:val="32671BDE"/>
    <w:rsid w:val="32693339"/>
    <w:rsid w:val="326E282E"/>
    <w:rsid w:val="3272383D"/>
    <w:rsid w:val="32737B17"/>
    <w:rsid w:val="32747BFD"/>
    <w:rsid w:val="3276141F"/>
    <w:rsid w:val="32781B5B"/>
    <w:rsid w:val="32803FFD"/>
    <w:rsid w:val="32876B2A"/>
    <w:rsid w:val="328D7564"/>
    <w:rsid w:val="328E1032"/>
    <w:rsid w:val="32917A24"/>
    <w:rsid w:val="32950D53"/>
    <w:rsid w:val="32956D67"/>
    <w:rsid w:val="3296667E"/>
    <w:rsid w:val="329E6876"/>
    <w:rsid w:val="32AA095B"/>
    <w:rsid w:val="32AB06FD"/>
    <w:rsid w:val="32AB49E5"/>
    <w:rsid w:val="32B26993"/>
    <w:rsid w:val="32B71119"/>
    <w:rsid w:val="32B95FAA"/>
    <w:rsid w:val="32BF659E"/>
    <w:rsid w:val="32CB171C"/>
    <w:rsid w:val="32D36A5B"/>
    <w:rsid w:val="32D81BE8"/>
    <w:rsid w:val="32DF56BC"/>
    <w:rsid w:val="32E07510"/>
    <w:rsid w:val="32E1586E"/>
    <w:rsid w:val="32E42C83"/>
    <w:rsid w:val="32E521D9"/>
    <w:rsid w:val="32E60EBC"/>
    <w:rsid w:val="32EC5330"/>
    <w:rsid w:val="32FA5B5D"/>
    <w:rsid w:val="32FC7B27"/>
    <w:rsid w:val="32FE52D6"/>
    <w:rsid w:val="32FF5215"/>
    <w:rsid w:val="33053BF6"/>
    <w:rsid w:val="330702D0"/>
    <w:rsid w:val="33090322"/>
    <w:rsid w:val="331035D3"/>
    <w:rsid w:val="33130D81"/>
    <w:rsid w:val="33137CF7"/>
    <w:rsid w:val="33141D2F"/>
    <w:rsid w:val="331C5AD4"/>
    <w:rsid w:val="331D7A9E"/>
    <w:rsid w:val="33275B6D"/>
    <w:rsid w:val="3328091C"/>
    <w:rsid w:val="332820EE"/>
    <w:rsid w:val="332D5FD1"/>
    <w:rsid w:val="332E7F16"/>
    <w:rsid w:val="333015F2"/>
    <w:rsid w:val="33363F25"/>
    <w:rsid w:val="334438D0"/>
    <w:rsid w:val="334B6320"/>
    <w:rsid w:val="334E7395"/>
    <w:rsid w:val="335055BB"/>
    <w:rsid w:val="33636E04"/>
    <w:rsid w:val="33645A78"/>
    <w:rsid w:val="336561FA"/>
    <w:rsid w:val="337924FD"/>
    <w:rsid w:val="337E22EA"/>
    <w:rsid w:val="337E278F"/>
    <w:rsid w:val="33835B53"/>
    <w:rsid w:val="33924B8A"/>
    <w:rsid w:val="33927245"/>
    <w:rsid w:val="33930613"/>
    <w:rsid w:val="339949EA"/>
    <w:rsid w:val="33A04171"/>
    <w:rsid w:val="33A15FD9"/>
    <w:rsid w:val="33A310E1"/>
    <w:rsid w:val="33A35C07"/>
    <w:rsid w:val="33A65BAB"/>
    <w:rsid w:val="33AA1331"/>
    <w:rsid w:val="33AB32FB"/>
    <w:rsid w:val="33B43F5E"/>
    <w:rsid w:val="33B6635D"/>
    <w:rsid w:val="33BB169B"/>
    <w:rsid w:val="33BD5AB7"/>
    <w:rsid w:val="33C02167"/>
    <w:rsid w:val="33C30488"/>
    <w:rsid w:val="33C30645"/>
    <w:rsid w:val="33C817B8"/>
    <w:rsid w:val="33D24083"/>
    <w:rsid w:val="33D256E0"/>
    <w:rsid w:val="33D71E67"/>
    <w:rsid w:val="33D934D4"/>
    <w:rsid w:val="33D97E69"/>
    <w:rsid w:val="33DF203A"/>
    <w:rsid w:val="33E05EC8"/>
    <w:rsid w:val="33E16D1D"/>
    <w:rsid w:val="33E2422B"/>
    <w:rsid w:val="33EA15D9"/>
    <w:rsid w:val="33EA7909"/>
    <w:rsid w:val="33F06C9D"/>
    <w:rsid w:val="33F24FF6"/>
    <w:rsid w:val="33F646F7"/>
    <w:rsid w:val="33F76579"/>
    <w:rsid w:val="33FA5A32"/>
    <w:rsid w:val="33FC6985"/>
    <w:rsid w:val="33FD7BDF"/>
    <w:rsid w:val="33FE2F6A"/>
    <w:rsid w:val="33FE78B9"/>
    <w:rsid w:val="33FF69BB"/>
    <w:rsid w:val="34062FBC"/>
    <w:rsid w:val="340E07E5"/>
    <w:rsid w:val="340F4E6D"/>
    <w:rsid w:val="34134830"/>
    <w:rsid w:val="341B320C"/>
    <w:rsid w:val="341B77E2"/>
    <w:rsid w:val="341E3A96"/>
    <w:rsid w:val="341E3ACD"/>
    <w:rsid w:val="34203332"/>
    <w:rsid w:val="34235BF7"/>
    <w:rsid w:val="34256C0A"/>
    <w:rsid w:val="34281AF4"/>
    <w:rsid w:val="3428431B"/>
    <w:rsid w:val="34295CDA"/>
    <w:rsid w:val="342B2BD2"/>
    <w:rsid w:val="342D36EE"/>
    <w:rsid w:val="34306955"/>
    <w:rsid w:val="34311A53"/>
    <w:rsid w:val="34363844"/>
    <w:rsid w:val="343726C2"/>
    <w:rsid w:val="343D102F"/>
    <w:rsid w:val="34463926"/>
    <w:rsid w:val="34596789"/>
    <w:rsid w:val="34612BDF"/>
    <w:rsid w:val="34645837"/>
    <w:rsid w:val="346A7F35"/>
    <w:rsid w:val="346B3A35"/>
    <w:rsid w:val="346B3E72"/>
    <w:rsid w:val="3478535E"/>
    <w:rsid w:val="347A2A55"/>
    <w:rsid w:val="347D1B2D"/>
    <w:rsid w:val="347F5648"/>
    <w:rsid w:val="34803150"/>
    <w:rsid w:val="348044CB"/>
    <w:rsid w:val="348349AF"/>
    <w:rsid w:val="348413EF"/>
    <w:rsid w:val="348A2878"/>
    <w:rsid w:val="348D63C0"/>
    <w:rsid w:val="348D72AE"/>
    <w:rsid w:val="348F3B02"/>
    <w:rsid w:val="34915E4D"/>
    <w:rsid w:val="3493094A"/>
    <w:rsid w:val="34955F06"/>
    <w:rsid w:val="34957BE4"/>
    <w:rsid w:val="349A13A6"/>
    <w:rsid w:val="349A2ECB"/>
    <w:rsid w:val="349C702F"/>
    <w:rsid w:val="34A223BC"/>
    <w:rsid w:val="34A52A28"/>
    <w:rsid w:val="34AA44CA"/>
    <w:rsid w:val="34AC3E15"/>
    <w:rsid w:val="34AE0090"/>
    <w:rsid w:val="34B47F8E"/>
    <w:rsid w:val="34BB756E"/>
    <w:rsid w:val="34C402D5"/>
    <w:rsid w:val="34C5317F"/>
    <w:rsid w:val="34C67706"/>
    <w:rsid w:val="34CA55AB"/>
    <w:rsid w:val="34CE54F3"/>
    <w:rsid w:val="34CF068D"/>
    <w:rsid w:val="34CF502B"/>
    <w:rsid w:val="34D15BD8"/>
    <w:rsid w:val="34D82610"/>
    <w:rsid w:val="34DB681C"/>
    <w:rsid w:val="34E20994"/>
    <w:rsid w:val="34E253E3"/>
    <w:rsid w:val="34E61A2F"/>
    <w:rsid w:val="34EC2D32"/>
    <w:rsid w:val="34FB066C"/>
    <w:rsid w:val="34FD1489"/>
    <w:rsid w:val="34FD7B87"/>
    <w:rsid w:val="3500046B"/>
    <w:rsid w:val="35002208"/>
    <w:rsid w:val="3507020E"/>
    <w:rsid w:val="350729D0"/>
    <w:rsid w:val="350761DB"/>
    <w:rsid w:val="350A3DCD"/>
    <w:rsid w:val="35156D34"/>
    <w:rsid w:val="35163581"/>
    <w:rsid w:val="351D29CE"/>
    <w:rsid w:val="35217431"/>
    <w:rsid w:val="35217B5C"/>
    <w:rsid w:val="352A5D89"/>
    <w:rsid w:val="352F6771"/>
    <w:rsid w:val="35307148"/>
    <w:rsid w:val="353F3CFB"/>
    <w:rsid w:val="35413FBB"/>
    <w:rsid w:val="35451D0B"/>
    <w:rsid w:val="3549512B"/>
    <w:rsid w:val="354A1EE2"/>
    <w:rsid w:val="354D5667"/>
    <w:rsid w:val="354F160A"/>
    <w:rsid w:val="35516E74"/>
    <w:rsid w:val="355306EC"/>
    <w:rsid w:val="35541835"/>
    <w:rsid w:val="35635B24"/>
    <w:rsid w:val="35646270"/>
    <w:rsid w:val="35647294"/>
    <w:rsid w:val="35653E76"/>
    <w:rsid w:val="35702FD7"/>
    <w:rsid w:val="35722728"/>
    <w:rsid w:val="35746EA0"/>
    <w:rsid w:val="35771769"/>
    <w:rsid w:val="357974D9"/>
    <w:rsid w:val="357E28EC"/>
    <w:rsid w:val="3588005E"/>
    <w:rsid w:val="358838F4"/>
    <w:rsid w:val="3589141A"/>
    <w:rsid w:val="358C5FA8"/>
    <w:rsid w:val="35914351"/>
    <w:rsid w:val="35915F90"/>
    <w:rsid w:val="359221C5"/>
    <w:rsid w:val="35946202"/>
    <w:rsid w:val="35956D0A"/>
    <w:rsid w:val="35976281"/>
    <w:rsid w:val="359B0A2A"/>
    <w:rsid w:val="359B486A"/>
    <w:rsid w:val="35A14964"/>
    <w:rsid w:val="35A64A13"/>
    <w:rsid w:val="35A70879"/>
    <w:rsid w:val="35B244CD"/>
    <w:rsid w:val="35B30841"/>
    <w:rsid w:val="35B3440D"/>
    <w:rsid w:val="35B52B97"/>
    <w:rsid w:val="35B55163"/>
    <w:rsid w:val="35B92201"/>
    <w:rsid w:val="35B9580E"/>
    <w:rsid w:val="35BA1B71"/>
    <w:rsid w:val="35BD2B13"/>
    <w:rsid w:val="35BE2E72"/>
    <w:rsid w:val="35C0581D"/>
    <w:rsid w:val="35C15DF1"/>
    <w:rsid w:val="35C97B51"/>
    <w:rsid w:val="35CA4F61"/>
    <w:rsid w:val="35CA74E8"/>
    <w:rsid w:val="35CB37E1"/>
    <w:rsid w:val="35CB58E7"/>
    <w:rsid w:val="35CC3F20"/>
    <w:rsid w:val="35CC6FD4"/>
    <w:rsid w:val="35D27327"/>
    <w:rsid w:val="35DD3148"/>
    <w:rsid w:val="35DD3FBF"/>
    <w:rsid w:val="35DF103A"/>
    <w:rsid w:val="35E164DD"/>
    <w:rsid w:val="35E404F5"/>
    <w:rsid w:val="35E414CE"/>
    <w:rsid w:val="35E825E5"/>
    <w:rsid w:val="35F01A6F"/>
    <w:rsid w:val="35F04490"/>
    <w:rsid w:val="35F04FF6"/>
    <w:rsid w:val="35F25212"/>
    <w:rsid w:val="35F26F8C"/>
    <w:rsid w:val="35F46780"/>
    <w:rsid w:val="36001627"/>
    <w:rsid w:val="36074A7F"/>
    <w:rsid w:val="360B53C3"/>
    <w:rsid w:val="360D0132"/>
    <w:rsid w:val="360D73CD"/>
    <w:rsid w:val="361D5202"/>
    <w:rsid w:val="36213B5A"/>
    <w:rsid w:val="362162B7"/>
    <w:rsid w:val="3627628E"/>
    <w:rsid w:val="36277773"/>
    <w:rsid w:val="36291BCE"/>
    <w:rsid w:val="3629745B"/>
    <w:rsid w:val="362A5A5F"/>
    <w:rsid w:val="36307FD6"/>
    <w:rsid w:val="36370E38"/>
    <w:rsid w:val="363C4AC2"/>
    <w:rsid w:val="363F4CE6"/>
    <w:rsid w:val="36407D2B"/>
    <w:rsid w:val="364307A9"/>
    <w:rsid w:val="36432735"/>
    <w:rsid w:val="364B667C"/>
    <w:rsid w:val="364D5946"/>
    <w:rsid w:val="36516C5F"/>
    <w:rsid w:val="36522CC2"/>
    <w:rsid w:val="36543351"/>
    <w:rsid w:val="365953EE"/>
    <w:rsid w:val="365955D2"/>
    <w:rsid w:val="36600E43"/>
    <w:rsid w:val="3662452A"/>
    <w:rsid w:val="366663E0"/>
    <w:rsid w:val="366B37E3"/>
    <w:rsid w:val="366C7939"/>
    <w:rsid w:val="3672301E"/>
    <w:rsid w:val="367277BF"/>
    <w:rsid w:val="36766485"/>
    <w:rsid w:val="3679323D"/>
    <w:rsid w:val="367A7E02"/>
    <w:rsid w:val="36813653"/>
    <w:rsid w:val="368406D6"/>
    <w:rsid w:val="368472F2"/>
    <w:rsid w:val="36857E34"/>
    <w:rsid w:val="368B0BA1"/>
    <w:rsid w:val="36912965"/>
    <w:rsid w:val="36923549"/>
    <w:rsid w:val="369C4B49"/>
    <w:rsid w:val="369D20F5"/>
    <w:rsid w:val="369E1057"/>
    <w:rsid w:val="36AE0C22"/>
    <w:rsid w:val="36B14785"/>
    <w:rsid w:val="36B22C47"/>
    <w:rsid w:val="36B75FBF"/>
    <w:rsid w:val="36BD0C45"/>
    <w:rsid w:val="36C37943"/>
    <w:rsid w:val="36C4095C"/>
    <w:rsid w:val="36C45F26"/>
    <w:rsid w:val="36C7044C"/>
    <w:rsid w:val="36C96515"/>
    <w:rsid w:val="36D251E4"/>
    <w:rsid w:val="36D5166B"/>
    <w:rsid w:val="36D772B8"/>
    <w:rsid w:val="36DB3241"/>
    <w:rsid w:val="36DF3148"/>
    <w:rsid w:val="36E020E5"/>
    <w:rsid w:val="36E22F95"/>
    <w:rsid w:val="36E23804"/>
    <w:rsid w:val="36E53269"/>
    <w:rsid w:val="36E6539C"/>
    <w:rsid w:val="36E818A6"/>
    <w:rsid w:val="36ED0117"/>
    <w:rsid w:val="36EE1AF8"/>
    <w:rsid w:val="36F24681"/>
    <w:rsid w:val="36F438F0"/>
    <w:rsid w:val="36FB41FC"/>
    <w:rsid w:val="37061D74"/>
    <w:rsid w:val="370D2EF4"/>
    <w:rsid w:val="371749FA"/>
    <w:rsid w:val="37192F1C"/>
    <w:rsid w:val="371A057C"/>
    <w:rsid w:val="371B65A6"/>
    <w:rsid w:val="371C7DCA"/>
    <w:rsid w:val="371F1922"/>
    <w:rsid w:val="372F7E0C"/>
    <w:rsid w:val="37305D1A"/>
    <w:rsid w:val="373501C6"/>
    <w:rsid w:val="37354EED"/>
    <w:rsid w:val="373922C8"/>
    <w:rsid w:val="373C4B3B"/>
    <w:rsid w:val="37461490"/>
    <w:rsid w:val="37471822"/>
    <w:rsid w:val="37472F1F"/>
    <w:rsid w:val="37476E97"/>
    <w:rsid w:val="374D3E2A"/>
    <w:rsid w:val="374E2300"/>
    <w:rsid w:val="37544E36"/>
    <w:rsid w:val="37546CD9"/>
    <w:rsid w:val="37554DBF"/>
    <w:rsid w:val="37597C9C"/>
    <w:rsid w:val="375B320C"/>
    <w:rsid w:val="375C3340"/>
    <w:rsid w:val="375F0685"/>
    <w:rsid w:val="3760799A"/>
    <w:rsid w:val="3764595A"/>
    <w:rsid w:val="37655E65"/>
    <w:rsid w:val="37656CE1"/>
    <w:rsid w:val="37666115"/>
    <w:rsid w:val="376676D8"/>
    <w:rsid w:val="376C4B50"/>
    <w:rsid w:val="376D3B6A"/>
    <w:rsid w:val="37717A8D"/>
    <w:rsid w:val="37724CC5"/>
    <w:rsid w:val="37734130"/>
    <w:rsid w:val="37734B89"/>
    <w:rsid w:val="377D1F98"/>
    <w:rsid w:val="378123A9"/>
    <w:rsid w:val="37842A3C"/>
    <w:rsid w:val="378464DD"/>
    <w:rsid w:val="37860172"/>
    <w:rsid w:val="378A0482"/>
    <w:rsid w:val="378D236F"/>
    <w:rsid w:val="379250A2"/>
    <w:rsid w:val="3794428E"/>
    <w:rsid w:val="37950AF9"/>
    <w:rsid w:val="37971BCD"/>
    <w:rsid w:val="379D26EA"/>
    <w:rsid w:val="379F02B2"/>
    <w:rsid w:val="37A12A4B"/>
    <w:rsid w:val="37A32471"/>
    <w:rsid w:val="37A67F00"/>
    <w:rsid w:val="37A93501"/>
    <w:rsid w:val="37AB4898"/>
    <w:rsid w:val="37AE00E9"/>
    <w:rsid w:val="37AE3277"/>
    <w:rsid w:val="37B45AED"/>
    <w:rsid w:val="37B95FC4"/>
    <w:rsid w:val="37BC41C0"/>
    <w:rsid w:val="37BD5EE7"/>
    <w:rsid w:val="37BE184F"/>
    <w:rsid w:val="37C617E8"/>
    <w:rsid w:val="37C71B83"/>
    <w:rsid w:val="37C8359C"/>
    <w:rsid w:val="37C844DD"/>
    <w:rsid w:val="37CB049F"/>
    <w:rsid w:val="37CC5447"/>
    <w:rsid w:val="37CD5158"/>
    <w:rsid w:val="37D1787A"/>
    <w:rsid w:val="37D476D9"/>
    <w:rsid w:val="37E00298"/>
    <w:rsid w:val="37EE3E78"/>
    <w:rsid w:val="37F05883"/>
    <w:rsid w:val="37F10F67"/>
    <w:rsid w:val="37F155C8"/>
    <w:rsid w:val="37F456C8"/>
    <w:rsid w:val="37F63429"/>
    <w:rsid w:val="37FC6765"/>
    <w:rsid w:val="37FE1707"/>
    <w:rsid w:val="37FE7E9E"/>
    <w:rsid w:val="38016B7B"/>
    <w:rsid w:val="380B005B"/>
    <w:rsid w:val="380D7CEE"/>
    <w:rsid w:val="38115C97"/>
    <w:rsid w:val="38126211"/>
    <w:rsid w:val="381279D4"/>
    <w:rsid w:val="381409F4"/>
    <w:rsid w:val="381446B3"/>
    <w:rsid w:val="381A338C"/>
    <w:rsid w:val="381A7D40"/>
    <w:rsid w:val="381E234B"/>
    <w:rsid w:val="38286CC9"/>
    <w:rsid w:val="382A2A41"/>
    <w:rsid w:val="382C23A3"/>
    <w:rsid w:val="383521E7"/>
    <w:rsid w:val="383A2FE5"/>
    <w:rsid w:val="383F5FA0"/>
    <w:rsid w:val="38402264"/>
    <w:rsid w:val="38426A8C"/>
    <w:rsid w:val="38455AB8"/>
    <w:rsid w:val="385A1C36"/>
    <w:rsid w:val="385C4BC4"/>
    <w:rsid w:val="385E7D4A"/>
    <w:rsid w:val="386941FC"/>
    <w:rsid w:val="386C4F1C"/>
    <w:rsid w:val="386F1FAA"/>
    <w:rsid w:val="38762A44"/>
    <w:rsid w:val="38772D79"/>
    <w:rsid w:val="387B236B"/>
    <w:rsid w:val="38824443"/>
    <w:rsid w:val="388622E8"/>
    <w:rsid w:val="38896837"/>
    <w:rsid w:val="388E426C"/>
    <w:rsid w:val="388F6F55"/>
    <w:rsid w:val="38981DA6"/>
    <w:rsid w:val="38A15BAB"/>
    <w:rsid w:val="38A35391"/>
    <w:rsid w:val="38A64C0D"/>
    <w:rsid w:val="38AA0BB2"/>
    <w:rsid w:val="38AC1407"/>
    <w:rsid w:val="38AC78FA"/>
    <w:rsid w:val="38AF3157"/>
    <w:rsid w:val="38B302F9"/>
    <w:rsid w:val="38B968A3"/>
    <w:rsid w:val="38BE3FAA"/>
    <w:rsid w:val="38C44E8D"/>
    <w:rsid w:val="38CF2CAD"/>
    <w:rsid w:val="38D022A1"/>
    <w:rsid w:val="38D34A9C"/>
    <w:rsid w:val="38D922D9"/>
    <w:rsid w:val="38DB3BEB"/>
    <w:rsid w:val="38E258B2"/>
    <w:rsid w:val="38E35C8E"/>
    <w:rsid w:val="38E3797B"/>
    <w:rsid w:val="38EF50B6"/>
    <w:rsid w:val="38F05206"/>
    <w:rsid w:val="38F12CD3"/>
    <w:rsid w:val="38F84544"/>
    <w:rsid w:val="38F94775"/>
    <w:rsid w:val="38FA6814"/>
    <w:rsid w:val="38FE42B7"/>
    <w:rsid w:val="390744E5"/>
    <w:rsid w:val="39080620"/>
    <w:rsid w:val="390B7073"/>
    <w:rsid w:val="390C4C2E"/>
    <w:rsid w:val="390C7CB8"/>
    <w:rsid w:val="390D3532"/>
    <w:rsid w:val="390D3CD2"/>
    <w:rsid w:val="390E378F"/>
    <w:rsid w:val="391E1E7A"/>
    <w:rsid w:val="392169A2"/>
    <w:rsid w:val="392971ED"/>
    <w:rsid w:val="392A55B8"/>
    <w:rsid w:val="392F0D24"/>
    <w:rsid w:val="39324805"/>
    <w:rsid w:val="39325651"/>
    <w:rsid w:val="393C37D2"/>
    <w:rsid w:val="39473D58"/>
    <w:rsid w:val="3947518E"/>
    <w:rsid w:val="394A2C6F"/>
    <w:rsid w:val="394D0F4C"/>
    <w:rsid w:val="394E6C03"/>
    <w:rsid w:val="39506E1D"/>
    <w:rsid w:val="395127B5"/>
    <w:rsid w:val="39566C46"/>
    <w:rsid w:val="395B0332"/>
    <w:rsid w:val="395B49DC"/>
    <w:rsid w:val="395B6549"/>
    <w:rsid w:val="395C6A9F"/>
    <w:rsid w:val="395F35F4"/>
    <w:rsid w:val="395F7813"/>
    <w:rsid w:val="39605D53"/>
    <w:rsid w:val="39611959"/>
    <w:rsid w:val="396554AE"/>
    <w:rsid w:val="39695A9B"/>
    <w:rsid w:val="396A12C8"/>
    <w:rsid w:val="396B6310"/>
    <w:rsid w:val="396D4E15"/>
    <w:rsid w:val="39762AB7"/>
    <w:rsid w:val="39767853"/>
    <w:rsid w:val="39780623"/>
    <w:rsid w:val="39803FD7"/>
    <w:rsid w:val="398419E4"/>
    <w:rsid w:val="39850CD1"/>
    <w:rsid w:val="39875C71"/>
    <w:rsid w:val="398E5251"/>
    <w:rsid w:val="398F5653"/>
    <w:rsid w:val="39902D77"/>
    <w:rsid w:val="3992762F"/>
    <w:rsid w:val="399369C7"/>
    <w:rsid w:val="39965484"/>
    <w:rsid w:val="39965EB4"/>
    <w:rsid w:val="39996A22"/>
    <w:rsid w:val="399A1E48"/>
    <w:rsid w:val="399A7471"/>
    <w:rsid w:val="399B63A4"/>
    <w:rsid w:val="399D1ED5"/>
    <w:rsid w:val="39A53275"/>
    <w:rsid w:val="39AA4E57"/>
    <w:rsid w:val="39AB7BB1"/>
    <w:rsid w:val="39AD6B5A"/>
    <w:rsid w:val="39B32F0A"/>
    <w:rsid w:val="39B44BA0"/>
    <w:rsid w:val="39B459EC"/>
    <w:rsid w:val="39B7278E"/>
    <w:rsid w:val="39B90520"/>
    <w:rsid w:val="39C42A21"/>
    <w:rsid w:val="39C71E2A"/>
    <w:rsid w:val="39C96289"/>
    <w:rsid w:val="39CD3FCC"/>
    <w:rsid w:val="39D3132F"/>
    <w:rsid w:val="39D5206D"/>
    <w:rsid w:val="39DA0CA7"/>
    <w:rsid w:val="39DC78E3"/>
    <w:rsid w:val="39DD524C"/>
    <w:rsid w:val="39E60CA6"/>
    <w:rsid w:val="39E623FB"/>
    <w:rsid w:val="39F15EB0"/>
    <w:rsid w:val="39F66199"/>
    <w:rsid w:val="39FF3A59"/>
    <w:rsid w:val="3A092B2A"/>
    <w:rsid w:val="3A094739"/>
    <w:rsid w:val="3A0D71A3"/>
    <w:rsid w:val="3A14765C"/>
    <w:rsid w:val="3A1A279A"/>
    <w:rsid w:val="3A1C0AAF"/>
    <w:rsid w:val="3A1C3033"/>
    <w:rsid w:val="3A241712"/>
    <w:rsid w:val="3A266538"/>
    <w:rsid w:val="3A2A086A"/>
    <w:rsid w:val="3A2B484E"/>
    <w:rsid w:val="3A2E6F97"/>
    <w:rsid w:val="3A2F07E2"/>
    <w:rsid w:val="3A3014D9"/>
    <w:rsid w:val="3A313EE4"/>
    <w:rsid w:val="3A3178CA"/>
    <w:rsid w:val="3A3456F5"/>
    <w:rsid w:val="3A4554C3"/>
    <w:rsid w:val="3A471F2A"/>
    <w:rsid w:val="3A4820D1"/>
    <w:rsid w:val="3A4934B3"/>
    <w:rsid w:val="3A4B2DE2"/>
    <w:rsid w:val="3A4B7E7A"/>
    <w:rsid w:val="3A4C5CF0"/>
    <w:rsid w:val="3A4D2A17"/>
    <w:rsid w:val="3A543DA5"/>
    <w:rsid w:val="3A570817"/>
    <w:rsid w:val="3A5945F0"/>
    <w:rsid w:val="3A602D59"/>
    <w:rsid w:val="3A615BF0"/>
    <w:rsid w:val="3A65003B"/>
    <w:rsid w:val="3A663FE2"/>
    <w:rsid w:val="3A6D526E"/>
    <w:rsid w:val="3A744447"/>
    <w:rsid w:val="3A7A1481"/>
    <w:rsid w:val="3A7E4639"/>
    <w:rsid w:val="3A810D3B"/>
    <w:rsid w:val="3A8116C9"/>
    <w:rsid w:val="3A813EAE"/>
    <w:rsid w:val="3A872856"/>
    <w:rsid w:val="3A8759B5"/>
    <w:rsid w:val="3A8C5A14"/>
    <w:rsid w:val="3A8C6BB1"/>
    <w:rsid w:val="3A92225C"/>
    <w:rsid w:val="3A976388"/>
    <w:rsid w:val="3A9A4B81"/>
    <w:rsid w:val="3A9F2D6D"/>
    <w:rsid w:val="3AA110A1"/>
    <w:rsid w:val="3AA2728F"/>
    <w:rsid w:val="3AA61EB8"/>
    <w:rsid w:val="3AA75339"/>
    <w:rsid w:val="3AA82343"/>
    <w:rsid w:val="3AA90133"/>
    <w:rsid w:val="3AAB1A11"/>
    <w:rsid w:val="3AB0456C"/>
    <w:rsid w:val="3AB17449"/>
    <w:rsid w:val="3AB27C1B"/>
    <w:rsid w:val="3AB62215"/>
    <w:rsid w:val="3AB8010D"/>
    <w:rsid w:val="3ABB2076"/>
    <w:rsid w:val="3ABC56D1"/>
    <w:rsid w:val="3AC32E3B"/>
    <w:rsid w:val="3AC33130"/>
    <w:rsid w:val="3AC61C2E"/>
    <w:rsid w:val="3AC83BB3"/>
    <w:rsid w:val="3AD42769"/>
    <w:rsid w:val="3ADB3A7E"/>
    <w:rsid w:val="3AE2017D"/>
    <w:rsid w:val="3AE75379"/>
    <w:rsid w:val="3AE9151A"/>
    <w:rsid w:val="3AED6708"/>
    <w:rsid w:val="3AF64E5C"/>
    <w:rsid w:val="3AF72AD9"/>
    <w:rsid w:val="3AFD1F72"/>
    <w:rsid w:val="3AFE584A"/>
    <w:rsid w:val="3AFF0425"/>
    <w:rsid w:val="3AFF2BD5"/>
    <w:rsid w:val="3B073EBD"/>
    <w:rsid w:val="3B17552D"/>
    <w:rsid w:val="3B17702F"/>
    <w:rsid w:val="3B2075C7"/>
    <w:rsid w:val="3B24208E"/>
    <w:rsid w:val="3B2A25C5"/>
    <w:rsid w:val="3B2C087E"/>
    <w:rsid w:val="3B3505D9"/>
    <w:rsid w:val="3B3763D1"/>
    <w:rsid w:val="3B376556"/>
    <w:rsid w:val="3B3B4F65"/>
    <w:rsid w:val="3B414E87"/>
    <w:rsid w:val="3B49306D"/>
    <w:rsid w:val="3B4A0142"/>
    <w:rsid w:val="3B4F09BB"/>
    <w:rsid w:val="3B502846"/>
    <w:rsid w:val="3B595FD5"/>
    <w:rsid w:val="3B5B1163"/>
    <w:rsid w:val="3B606A71"/>
    <w:rsid w:val="3B6912FD"/>
    <w:rsid w:val="3B691FB6"/>
    <w:rsid w:val="3B6A16A2"/>
    <w:rsid w:val="3B6A1D0D"/>
    <w:rsid w:val="3B702E61"/>
    <w:rsid w:val="3B712224"/>
    <w:rsid w:val="3B7346FF"/>
    <w:rsid w:val="3B7F4CB7"/>
    <w:rsid w:val="3B820C96"/>
    <w:rsid w:val="3B8953BD"/>
    <w:rsid w:val="3B8A1317"/>
    <w:rsid w:val="3B8A5BD4"/>
    <w:rsid w:val="3B8B3A38"/>
    <w:rsid w:val="3B8D43F9"/>
    <w:rsid w:val="3B8E1539"/>
    <w:rsid w:val="3B910537"/>
    <w:rsid w:val="3B970159"/>
    <w:rsid w:val="3B973E35"/>
    <w:rsid w:val="3B9823B7"/>
    <w:rsid w:val="3B984B5D"/>
    <w:rsid w:val="3B9A16D9"/>
    <w:rsid w:val="3B9B04D7"/>
    <w:rsid w:val="3BA174BE"/>
    <w:rsid w:val="3BA36ADF"/>
    <w:rsid w:val="3BA55F08"/>
    <w:rsid w:val="3BAA31B2"/>
    <w:rsid w:val="3BAA4573"/>
    <w:rsid w:val="3BB254C3"/>
    <w:rsid w:val="3BB25F44"/>
    <w:rsid w:val="3BB63A0A"/>
    <w:rsid w:val="3BBB5D36"/>
    <w:rsid w:val="3BBB7E54"/>
    <w:rsid w:val="3BBF7567"/>
    <w:rsid w:val="3BC63CEB"/>
    <w:rsid w:val="3BC94F98"/>
    <w:rsid w:val="3BCD2F9A"/>
    <w:rsid w:val="3BCE7B87"/>
    <w:rsid w:val="3BCF7FA8"/>
    <w:rsid w:val="3BD11425"/>
    <w:rsid w:val="3BD30726"/>
    <w:rsid w:val="3BDA1880"/>
    <w:rsid w:val="3BE015BB"/>
    <w:rsid w:val="3BE2638D"/>
    <w:rsid w:val="3BE32BB2"/>
    <w:rsid w:val="3BE86E9B"/>
    <w:rsid w:val="3BE92C13"/>
    <w:rsid w:val="3BED1257"/>
    <w:rsid w:val="3BF144F5"/>
    <w:rsid w:val="3BF840F3"/>
    <w:rsid w:val="3BF97F44"/>
    <w:rsid w:val="3BFA7730"/>
    <w:rsid w:val="3C025A83"/>
    <w:rsid w:val="3C071AFB"/>
    <w:rsid w:val="3C102643"/>
    <w:rsid w:val="3C136ACE"/>
    <w:rsid w:val="3C140D0B"/>
    <w:rsid w:val="3C1572B3"/>
    <w:rsid w:val="3C21498F"/>
    <w:rsid w:val="3C2275BA"/>
    <w:rsid w:val="3C2A2BF3"/>
    <w:rsid w:val="3C2A44BD"/>
    <w:rsid w:val="3C2A71C7"/>
    <w:rsid w:val="3C2D6FA3"/>
    <w:rsid w:val="3C2F6E1E"/>
    <w:rsid w:val="3C3214D0"/>
    <w:rsid w:val="3C333E8E"/>
    <w:rsid w:val="3C3351D4"/>
    <w:rsid w:val="3C340C1F"/>
    <w:rsid w:val="3C3D2ACB"/>
    <w:rsid w:val="3C416BF0"/>
    <w:rsid w:val="3C425523"/>
    <w:rsid w:val="3C4270FD"/>
    <w:rsid w:val="3C4F64BA"/>
    <w:rsid w:val="3C5C4ACD"/>
    <w:rsid w:val="3C645CFE"/>
    <w:rsid w:val="3C664093"/>
    <w:rsid w:val="3C673B13"/>
    <w:rsid w:val="3C676344"/>
    <w:rsid w:val="3C695C95"/>
    <w:rsid w:val="3C6A57A8"/>
    <w:rsid w:val="3C6B3628"/>
    <w:rsid w:val="3C6B7DCC"/>
    <w:rsid w:val="3C6C2026"/>
    <w:rsid w:val="3C6D415F"/>
    <w:rsid w:val="3C706E90"/>
    <w:rsid w:val="3C7162D7"/>
    <w:rsid w:val="3C7649A9"/>
    <w:rsid w:val="3C784419"/>
    <w:rsid w:val="3C7B7D0F"/>
    <w:rsid w:val="3C821EA4"/>
    <w:rsid w:val="3C823F81"/>
    <w:rsid w:val="3C827B8C"/>
    <w:rsid w:val="3C83044D"/>
    <w:rsid w:val="3C8447A8"/>
    <w:rsid w:val="3C873FB9"/>
    <w:rsid w:val="3C920A04"/>
    <w:rsid w:val="3CA0615C"/>
    <w:rsid w:val="3CA134EE"/>
    <w:rsid w:val="3CA457FA"/>
    <w:rsid w:val="3CA93A32"/>
    <w:rsid w:val="3CAD3C40"/>
    <w:rsid w:val="3CB0382F"/>
    <w:rsid w:val="3CB3459D"/>
    <w:rsid w:val="3CB36032"/>
    <w:rsid w:val="3CB464F7"/>
    <w:rsid w:val="3CB47FE6"/>
    <w:rsid w:val="3CB60D47"/>
    <w:rsid w:val="3CC30C42"/>
    <w:rsid w:val="3CC72388"/>
    <w:rsid w:val="3CCC6681"/>
    <w:rsid w:val="3CCD0FDF"/>
    <w:rsid w:val="3CD348F3"/>
    <w:rsid w:val="3CDA245A"/>
    <w:rsid w:val="3CDB43CA"/>
    <w:rsid w:val="3CDC4F47"/>
    <w:rsid w:val="3CE24F8A"/>
    <w:rsid w:val="3CE32E05"/>
    <w:rsid w:val="3CE648B0"/>
    <w:rsid w:val="3CEA1CD6"/>
    <w:rsid w:val="3CF278A5"/>
    <w:rsid w:val="3CF915F2"/>
    <w:rsid w:val="3CFC08C8"/>
    <w:rsid w:val="3D0175BD"/>
    <w:rsid w:val="3D075F9C"/>
    <w:rsid w:val="3D097A4B"/>
    <w:rsid w:val="3D0B689C"/>
    <w:rsid w:val="3D0D46DF"/>
    <w:rsid w:val="3D127F47"/>
    <w:rsid w:val="3D1837B0"/>
    <w:rsid w:val="3D1E06B7"/>
    <w:rsid w:val="3D22462E"/>
    <w:rsid w:val="3D276A61"/>
    <w:rsid w:val="3D390ECA"/>
    <w:rsid w:val="3D3B6B8D"/>
    <w:rsid w:val="3D3C7105"/>
    <w:rsid w:val="3D3D4437"/>
    <w:rsid w:val="3D3E6ABF"/>
    <w:rsid w:val="3D3F28F9"/>
    <w:rsid w:val="3D421294"/>
    <w:rsid w:val="3D431609"/>
    <w:rsid w:val="3D432589"/>
    <w:rsid w:val="3D462DC6"/>
    <w:rsid w:val="3D464256"/>
    <w:rsid w:val="3D4A1FEB"/>
    <w:rsid w:val="3D510A70"/>
    <w:rsid w:val="3D541CA6"/>
    <w:rsid w:val="3D5642D8"/>
    <w:rsid w:val="3D5758FB"/>
    <w:rsid w:val="3D5A12D1"/>
    <w:rsid w:val="3D5D0A4A"/>
    <w:rsid w:val="3D5E5542"/>
    <w:rsid w:val="3D5E5E50"/>
    <w:rsid w:val="3D641446"/>
    <w:rsid w:val="3D662A3F"/>
    <w:rsid w:val="3D6A1EFC"/>
    <w:rsid w:val="3D6F181B"/>
    <w:rsid w:val="3D72041E"/>
    <w:rsid w:val="3D7575C9"/>
    <w:rsid w:val="3D7A11EA"/>
    <w:rsid w:val="3D7C1689"/>
    <w:rsid w:val="3D7D5858"/>
    <w:rsid w:val="3D7F55DD"/>
    <w:rsid w:val="3D82498A"/>
    <w:rsid w:val="3D884359"/>
    <w:rsid w:val="3D8A7F33"/>
    <w:rsid w:val="3D8F06AB"/>
    <w:rsid w:val="3D9170BE"/>
    <w:rsid w:val="3DA03B15"/>
    <w:rsid w:val="3DAB252D"/>
    <w:rsid w:val="3DAB43C9"/>
    <w:rsid w:val="3DAD229A"/>
    <w:rsid w:val="3DAE18CD"/>
    <w:rsid w:val="3DAE25A5"/>
    <w:rsid w:val="3DB159B2"/>
    <w:rsid w:val="3DB541D2"/>
    <w:rsid w:val="3DBC7583"/>
    <w:rsid w:val="3DBD52C0"/>
    <w:rsid w:val="3DC05E6B"/>
    <w:rsid w:val="3DC3562A"/>
    <w:rsid w:val="3DC42F13"/>
    <w:rsid w:val="3DC5556A"/>
    <w:rsid w:val="3DC609C4"/>
    <w:rsid w:val="3DD577AB"/>
    <w:rsid w:val="3DD7473B"/>
    <w:rsid w:val="3DDE71C5"/>
    <w:rsid w:val="3DDF7951"/>
    <w:rsid w:val="3DE61611"/>
    <w:rsid w:val="3DE713D4"/>
    <w:rsid w:val="3DE82198"/>
    <w:rsid w:val="3DF40D68"/>
    <w:rsid w:val="3E05608B"/>
    <w:rsid w:val="3E06185A"/>
    <w:rsid w:val="3E081992"/>
    <w:rsid w:val="3E09759C"/>
    <w:rsid w:val="3E1045F6"/>
    <w:rsid w:val="3E130919"/>
    <w:rsid w:val="3E13171F"/>
    <w:rsid w:val="3E134943"/>
    <w:rsid w:val="3E1D01DB"/>
    <w:rsid w:val="3E267847"/>
    <w:rsid w:val="3E296E94"/>
    <w:rsid w:val="3E3661BB"/>
    <w:rsid w:val="3E3A7756"/>
    <w:rsid w:val="3E40210D"/>
    <w:rsid w:val="3E410AE4"/>
    <w:rsid w:val="3E41611D"/>
    <w:rsid w:val="3E43009A"/>
    <w:rsid w:val="3E432AAE"/>
    <w:rsid w:val="3E4467D3"/>
    <w:rsid w:val="3E45798D"/>
    <w:rsid w:val="3E492C5E"/>
    <w:rsid w:val="3E4C2F5F"/>
    <w:rsid w:val="3E4E4FAF"/>
    <w:rsid w:val="3E5227DD"/>
    <w:rsid w:val="3E522CF1"/>
    <w:rsid w:val="3E524818"/>
    <w:rsid w:val="3E5D1F87"/>
    <w:rsid w:val="3E642A25"/>
    <w:rsid w:val="3E691DE9"/>
    <w:rsid w:val="3E6A73A2"/>
    <w:rsid w:val="3E6E11AD"/>
    <w:rsid w:val="3E742C68"/>
    <w:rsid w:val="3E7A2248"/>
    <w:rsid w:val="3E7B70C5"/>
    <w:rsid w:val="3E7F08A7"/>
    <w:rsid w:val="3E886713"/>
    <w:rsid w:val="3E8C2B44"/>
    <w:rsid w:val="3E9476DA"/>
    <w:rsid w:val="3E9720E3"/>
    <w:rsid w:val="3E9744F0"/>
    <w:rsid w:val="3E990920"/>
    <w:rsid w:val="3E9926CE"/>
    <w:rsid w:val="3E9D1152"/>
    <w:rsid w:val="3E9F337D"/>
    <w:rsid w:val="3EA06B76"/>
    <w:rsid w:val="3EA213E2"/>
    <w:rsid w:val="3EA73E5E"/>
    <w:rsid w:val="3EA7598F"/>
    <w:rsid w:val="3EA86845"/>
    <w:rsid w:val="3EAB45EF"/>
    <w:rsid w:val="3EAB4E44"/>
    <w:rsid w:val="3EAE35B1"/>
    <w:rsid w:val="3EB05C6A"/>
    <w:rsid w:val="3EB55931"/>
    <w:rsid w:val="3EB57B6C"/>
    <w:rsid w:val="3EB63B46"/>
    <w:rsid w:val="3EBB0897"/>
    <w:rsid w:val="3EBC33E6"/>
    <w:rsid w:val="3EBD56B8"/>
    <w:rsid w:val="3EBE111A"/>
    <w:rsid w:val="3EC0208A"/>
    <w:rsid w:val="3EC03544"/>
    <w:rsid w:val="3EC91C97"/>
    <w:rsid w:val="3ECA46AF"/>
    <w:rsid w:val="3ED028A4"/>
    <w:rsid w:val="3ED464BF"/>
    <w:rsid w:val="3ED5768B"/>
    <w:rsid w:val="3ED656D0"/>
    <w:rsid w:val="3ED80757"/>
    <w:rsid w:val="3EDA0523"/>
    <w:rsid w:val="3EE0344A"/>
    <w:rsid w:val="3EE257E3"/>
    <w:rsid w:val="3EEB1ADB"/>
    <w:rsid w:val="3EF20030"/>
    <w:rsid w:val="3EFE52C7"/>
    <w:rsid w:val="3F06050E"/>
    <w:rsid w:val="3F0619DA"/>
    <w:rsid w:val="3F0A537A"/>
    <w:rsid w:val="3F140642"/>
    <w:rsid w:val="3F1428AA"/>
    <w:rsid w:val="3F161CEE"/>
    <w:rsid w:val="3F1D05F0"/>
    <w:rsid w:val="3F1D7222"/>
    <w:rsid w:val="3F1E01D3"/>
    <w:rsid w:val="3F242907"/>
    <w:rsid w:val="3F292A6B"/>
    <w:rsid w:val="3F2D74EE"/>
    <w:rsid w:val="3F2E0E61"/>
    <w:rsid w:val="3F2E47DB"/>
    <w:rsid w:val="3F2F4DE1"/>
    <w:rsid w:val="3F341D6A"/>
    <w:rsid w:val="3F3639AF"/>
    <w:rsid w:val="3F390002"/>
    <w:rsid w:val="3F3A2502"/>
    <w:rsid w:val="3F405EE5"/>
    <w:rsid w:val="3F424F00"/>
    <w:rsid w:val="3F4451A4"/>
    <w:rsid w:val="3F45670A"/>
    <w:rsid w:val="3F463268"/>
    <w:rsid w:val="3F463CE0"/>
    <w:rsid w:val="3F4B2DEB"/>
    <w:rsid w:val="3F4E6417"/>
    <w:rsid w:val="3F531C83"/>
    <w:rsid w:val="3F58182A"/>
    <w:rsid w:val="3F5C3A2A"/>
    <w:rsid w:val="3F5E4774"/>
    <w:rsid w:val="3F6031EC"/>
    <w:rsid w:val="3F625A2B"/>
    <w:rsid w:val="3F6631E3"/>
    <w:rsid w:val="3F683326"/>
    <w:rsid w:val="3F697941"/>
    <w:rsid w:val="3F6B596D"/>
    <w:rsid w:val="3F6C7DE3"/>
    <w:rsid w:val="3F6E2FB4"/>
    <w:rsid w:val="3F747E02"/>
    <w:rsid w:val="3F7701B3"/>
    <w:rsid w:val="3F774C69"/>
    <w:rsid w:val="3F7A4BB1"/>
    <w:rsid w:val="3F843B89"/>
    <w:rsid w:val="3F87317C"/>
    <w:rsid w:val="3F8943A7"/>
    <w:rsid w:val="3F8D227B"/>
    <w:rsid w:val="3F8F436E"/>
    <w:rsid w:val="3F905B1D"/>
    <w:rsid w:val="3F910CA4"/>
    <w:rsid w:val="3F9120AD"/>
    <w:rsid w:val="3F9634BE"/>
    <w:rsid w:val="3F965831"/>
    <w:rsid w:val="3F9C65A9"/>
    <w:rsid w:val="3F9E38DF"/>
    <w:rsid w:val="3FA622E4"/>
    <w:rsid w:val="3FAA6A1C"/>
    <w:rsid w:val="3FAC00F9"/>
    <w:rsid w:val="3FAE1457"/>
    <w:rsid w:val="3FAF3827"/>
    <w:rsid w:val="3FAF7DD7"/>
    <w:rsid w:val="3FB32457"/>
    <w:rsid w:val="3FB374A2"/>
    <w:rsid w:val="3FB547D2"/>
    <w:rsid w:val="3FBE2E65"/>
    <w:rsid w:val="3FC24C5E"/>
    <w:rsid w:val="3FC45B47"/>
    <w:rsid w:val="3FC7326B"/>
    <w:rsid w:val="3FCF2219"/>
    <w:rsid w:val="3FD35C61"/>
    <w:rsid w:val="3FD634AE"/>
    <w:rsid w:val="3FD803FA"/>
    <w:rsid w:val="3FD80ADB"/>
    <w:rsid w:val="3FDC05CA"/>
    <w:rsid w:val="3FE03674"/>
    <w:rsid w:val="3FE427D0"/>
    <w:rsid w:val="3FE52DDD"/>
    <w:rsid w:val="3FE56A30"/>
    <w:rsid w:val="3FEA6CBD"/>
    <w:rsid w:val="3FEB5EFA"/>
    <w:rsid w:val="3FED7E51"/>
    <w:rsid w:val="3FF521CB"/>
    <w:rsid w:val="3FF93D80"/>
    <w:rsid w:val="3FFF1335"/>
    <w:rsid w:val="40030676"/>
    <w:rsid w:val="40040FF4"/>
    <w:rsid w:val="40054F05"/>
    <w:rsid w:val="40075E70"/>
    <w:rsid w:val="4009072F"/>
    <w:rsid w:val="400A26E9"/>
    <w:rsid w:val="400A4965"/>
    <w:rsid w:val="400D7D0B"/>
    <w:rsid w:val="40101372"/>
    <w:rsid w:val="40112C3A"/>
    <w:rsid w:val="4011599F"/>
    <w:rsid w:val="40130ECB"/>
    <w:rsid w:val="40132CFD"/>
    <w:rsid w:val="40154943"/>
    <w:rsid w:val="401E408C"/>
    <w:rsid w:val="402500D1"/>
    <w:rsid w:val="40251D40"/>
    <w:rsid w:val="40293F7E"/>
    <w:rsid w:val="402E18F1"/>
    <w:rsid w:val="40301114"/>
    <w:rsid w:val="40330725"/>
    <w:rsid w:val="40334FE1"/>
    <w:rsid w:val="403B558F"/>
    <w:rsid w:val="40421AFB"/>
    <w:rsid w:val="40474DA0"/>
    <w:rsid w:val="40497C46"/>
    <w:rsid w:val="404A1430"/>
    <w:rsid w:val="40553BBA"/>
    <w:rsid w:val="405657E0"/>
    <w:rsid w:val="4059405A"/>
    <w:rsid w:val="406162A3"/>
    <w:rsid w:val="406204EE"/>
    <w:rsid w:val="406311E6"/>
    <w:rsid w:val="406513F4"/>
    <w:rsid w:val="406F6355"/>
    <w:rsid w:val="40713B29"/>
    <w:rsid w:val="407733DC"/>
    <w:rsid w:val="4078349D"/>
    <w:rsid w:val="40787E7C"/>
    <w:rsid w:val="407A6407"/>
    <w:rsid w:val="407C1C24"/>
    <w:rsid w:val="4082219C"/>
    <w:rsid w:val="40844CB8"/>
    <w:rsid w:val="40866C82"/>
    <w:rsid w:val="408F0F62"/>
    <w:rsid w:val="40985B5F"/>
    <w:rsid w:val="40990890"/>
    <w:rsid w:val="409F21CA"/>
    <w:rsid w:val="40A74396"/>
    <w:rsid w:val="40AE7968"/>
    <w:rsid w:val="40B27756"/>
    <w:rsid w:val="40B9446E"/>
    <w:rsid w:val="40BB4687"/>
    <w:rsid w:val="40C8729B"/>
    <w:rsid w:val="40CA0D07"/>
    <w:rsid w:val="40CA5C50"/>
    <w:rsid w:val="40CF2EA8"/>
    <w:rsid w:val="40D365D4"/>
    <w:rsid w:val="40DC47F6"/>
    <w:rsid w:val="40DD58FF"/>
    <w:rsid w:val="40E73C32"/>
    <w:rsid w:val="40E80211"/>
    <w:rsid w:val="40EC116B"/>
    <w:rsid w:val="40EE536A"/>
    <w:rsid w:val="40F36C69"/>
    <w:rsid w:val="40FA402D"/>
    <w:rsid w:val="40FF5F30"/>
    <w:rsid w:val="40FF7098"/>
    <w:rsid w:val="41006A35"/>
    <w:rsid w:val="4103590C"/>
    <w:rsid w:val="41037F1A"/>
    <w:rsid w:val="41095600"/>
    <w:rsid w:val="41120516"/>
    <w:rsid w:val="411419E3"/>
    <w:rsid w:val="412157F2"/>
    <w:rsid w:val="41216055"/>
    <w:rsid w:val="412553F9"/>
    <w:rsid w:val="412C2ABC"/>
    <w:rsid w:val="41342296"/>
    <w:rsid w:val="41390199"/>
    <w:rsid w:val="413C12C0"/>
    <w:rsid w:val="413D4360"/>
    <w:rsid w:val="413E0204"/>
    <w:rsid w:val="41464374"/>
    <w:rsid w:val="414B18D5"/>
    <w:rsid w:val="414F09B6"/>
    <w:rsid w:val="415664F9"/>
    <w:rsid w:val="415C7D5A"/>
    <w:rsid w:val="41604AE5"/>
    <w:rsid w:val="41605B67"/>
    <w:rsid w:val="4167468E"/>
    <w:rsid w:val="41684217"/>
    <w:rsid w:val="416A65A4"/>
    <w:rsid w:val="416D3D51"/>
    <w:rsid w:val="41704FA9"/>
    <w:rsid w:val="41720FF5"/>
    <w:rsid w:val="417A4BCC"/>
    <w:rsid w:val="417B60BB"/>
    <w:rsid w:val="417E5BAB"/>
    <w:rsid w:val="41881FDA"/>
    <w:rsid w:val="41891780"/>
    <w:rsid w:val="41903877"/>
    <w:rsid w:val="41932A67"/>
    <w:rsid w:val="419378A9"/>
    <w:rsid w:val="41941431"/>
    <w:rsid w:val="41966ADF"/>
    <w:rsid w:val="419D7D76"/>
    <w:rsid w:val="41A177EC"/>
    <w:rsid w:val="41A240DB"/>
    <w:rsid w:val="41A35F2D"/>
    <w:rsid w:val="41A97B38"/>
    <w:rsid w:val="41AC2719"/>
    <w:rsid w:val="41B41111"/>
    <w:rsid w:val="41B95AC8"/>
    <w:rsid w:val="41BA1D67"/>
    <w:rsid w:val="41BC5C6C"/>
    <w:rsid w:val="41C244DE"/>
    <w:rsid w:val="41C33EB6"/>
    <w:rsid w:val="41C84871"/>
    <w:rsid w:val="41CB1A69"/>
    <w:rsid w:val="41CC79BB"/>
    <w:rsid w:val="41CD07B6"/>
    <w:rsid w:val="41D036C3"/>
    <w:rsid w:val="41D328AD"/>
    <w:rsid w:val="41D35646"/>
    <w:rsid w:val="41D42DE1"/>
    <w:rsid w:val="41D912EE"/>
    <w:rsid w:val="41DA00ED"/>
    <w:rsid w:val="41DE048D"/>
    <w:rsid w:val="41E41C53"/>
    <w:rsid w:val="41E56E80"/>
    <w:rsid w:val="41F200C8"/>
    <w:rsid w:val="41F5366F"/>
    <w:rsid w:val="41FC01E2"/>
    <w:rsid w:val="41FD4D22"/>
    <w:rsid w:val="41FD5DC5"/>
    <w:rsid w:val="41FE7EC3"/>
    <w:rsid w:val="41FF3E3D"/>
    <w:rsid w:val="4200449D"/>
    <w:rsid w:val="420529F0"/>
    <w:rsid w:val="420A0F78"/>
    <w:rsid w:val="420B38E3"/>
    <w:rsid w:val="420E157A"/>
    <w:rsid w:val="421100AC"/>
    <w:rsid w:val="42110FBF"/>
    <w:rsid w:val="421320F5"/>
    <w:rsid w:val="4213396E"/>
    <w:rsid w:val="42150E24"/>
    <w:rsid w:val="42156B69"/>
    <w:rsid w:val="421729CD"/>
    <w:rsid w:val="42176535"/>
    <w:rsid w:val="421A1957"/>
    <w:rsid w:val="421A3BAC"/>
    <w:rsid w:val="421B4A04"/>
    <w:rsid w:val="421C6734"/>
    <w:rsid w:val="421E5349"/>
    <w:rsid w:val="421F3B63"/>
    <w:rsid w:val="422005EC"/>
    <w:rsid w:val="42240501"/>
    <w:rsid w:val="42240B0B"/>
    <w:rsid w:val="42250F90"/>
    <w:rsid w:val="422A6333"/>
    <w:rsid w:val="422C0096"/>
    <w:rsid w:val="42326699"/>
    <w:rsid w:val="423A3BCC"/>
    <w:rsid w:val="423D15C3"/>
    <w:rsid w:val="42440FA8"/>
    <w:rsid w:val="424E57D2"/>
    <w:rsid w:val="42534630"/>
    <w:rsid w:val="42542FD7"/>
    <w:rsid w:val="42547C66"/>
    <w:rsid w:val="425747B9"/>
    <w:rsid w:val="425A0803"/>
    <w:rsid w:val="425F43AB"/>
    <w:rsid w:val="42605FCD"/>
    <w:rsid w:val="427258AA"/>
    <w:rsid w:val="4273033E"/>
    <w:rsid w:val="42750D5C"/>
    <w:rsid w:val="427634DF"/>
    <w:rsid w:val="4278084D"/>
    <w:rsid w:val="42817701"/>
    <w:rsid w:val="42850D60"/>
    <w:rsid w:val="4287091F"/>
    <w:rsid w:val="42895FC6"/>
    <w:rsid w:val="428B06DA"/>
    <w:rsid w:val="428E14E8"/>
    <w:rsid w:val="428F60D0"/>
    <w:rsid w:val="42A31C9D"/>
    <w:rsid w:val="42A45AE6"/>
    <w:rsid w:val="42AE48BF"/>
    <w:rsid w:val="42B06238"/>
    <w:rsid w:val="42B15B0D"/>
    <w:rsid w:val="42B26C49"/>
    <w:rsid w:val="42B42080"/>
    <w:rsid w:val="42B62F74"/>
    <w:rsid w:val="42B953A5"/>
    <w:rsid w:val="42BA6618"/>
    <w:rsid w:val="42BA6A6D"/>
    <w:rsid w:val="42BD6BDF"/>
    <w:rsid w:val="42BD7C48"/>
    <w:rsid w:val="42BF7498"/>
    <w:rsid w:val="42C30875"/>
    <w:rsid w:val="42CB3072"/>
    <w:rsid w:val="42CB4C73"/>
    <w:rsid w:val="42CF013D"/>
    <w:rsid w:val="42D00EB0"/>
    <w:rsid w:val="42D77893"/>
    <w:rsid w:val="42DB52B5"/>
    <w:rsid w:val="42DC77DF"/>
    <w:rsid w:val="42DF267A"/>
    <w:rsid w:val="42E674F0"/>
    <w:rsid w:val="42E72A33"/>
    <w:rsid w:val="42E773C8"/>
    <w:rsid w:val="42F021EB"/>
    <w:rsid w:val="42F92F60"/>
    <w:rsid w:val="42FF4ACA"/>
    <w:rsid w:val="43047229"/>
    <w:rsid w:val="43105716"/>
    <w:rsid w:val="43173A23"/>
    <w:rsid w:val="431A075C"/>
    <w:rsid w:val="431C3F40"/>
    <w:rsid w:val="431F07BE"/>
    <w:rsid w:val="43283250"/>
    <w:rsid w:val="432953A8"/>
    <w:rsid w:val="432A7D99"/>
    <w:rsid w:val="432C7515"/>
    <w:rsid w:val="432E139F"/>
    <w:rsid w:val="432F1853"/>
    <w:rsid w:val="43346E69"/>
    <w:rsid w:val="43384391"/>
    <w:rsid w:val="433A6FE6"/>
    <w:rsid w:val="434244DA"/>
    <w:rsid w:val="434455A2"/>
    <w:rsid w:val="43480868"/>
    <w:rsid w:val="43485368"/>
    <w:rsid w:val="434A3984"/>
    <w:rsid w:val="434B13C8"/>
    <w:rsid w:val="4350713C"/>
    <w:rsid w:val="435272F0"/>
    <w:rsid w:val="43577C79"/>
    <w:rsid w:val="43584815"/>
    <w:rsid w:val="43586C16"/>
    <w:rsid w:val="435A7CFF"/>
    <w:rsid w:val="435D0D1B"/>
    <w:rsid w:val="435E1C75"/>
    <w:rsid w:val="435F0C7D"/>
    <w:rsid w:val="435F3BDE"/>
    <w:rsid w:val="4365572E"/>
    <w:rsid w:val="436653E0"/>
    <w:rsid w:val="436E1EB0"/>
    <w:rsid w:val="436E3C38"/>
    <w:rsid w:val="436F608F"/>
    <w:rsid w:val="43797844"/>
    <w:rsid w:val="43826BE8"/>
    <w:rsid w:val="438D4ABE"/>
    <w:rsid w:val="438D542F"/>
    <w:rsid w:val="43996CCD"/>
    <w:rsid w:val="439C2580"/>
    <w:rsid w:val="439E07A7"/>
    <w:rsid w:val="43AA712C"/>
    <w:rsid w:val="43AC01C6"/>
    <w:rsid w:val="43B114AD"/>
    <w:rsid w:val="43B42F73"/>
    <w:rsid w:val="43B530E1"/>
    <w:rsid w:val="43B539AB"/>
    <w:rsid w:val="43B81973"/>
    <w:rsid w:val="43B95E7D"/>
    <w:rsid w:val="43C045F5"/>
    <w:rsid w:val="43C15D13"/>
    <w:rsid w:val="43C4431A"/>
    <w:rsid w:val="43C80DC7"/>
    <w:rsid w:val="43CD358D"/>
    <w:rsid w:val="43CE5735"/>
    <w:rsid w:val="43CF3D08"/>
    <w:rsid w:val="43CF4858"/>
    <w:rsid w:val="43CF7DE9"/>
    <w:rsid w:val="43D138A8"/>
    <w:rsid w:val="43D25779"/>
    <w:rsid w:val="43D25B16"/>
    <w:rsid w:val="43DE5F39"/>
    <w:rsid w:val="43DE6DD5"/>
    <w:rsid w:val="43E3106F"/>
    <w:rsid w:val="43EC14F2"/>
    <w:rsid w:val="43ED6C5B"/>
    <w:rsid w:val="43F00CB6"/>
    <w:rsid w:val="43F66803"/>
    <w:rsid w:val="43F75713"/>
    <w:rsid w:val="43F769B2"/>
    <w:rsid w:val="43F94787"/>
    <w:rsid w:val="43FA524E"/>
    <w:rsid w:val="4402780F"/>
    <w:rsid w:val="440B306C"/>
    <w:rsid w:val="4413234B"/>
    <w:rsid w:val="44135352"/>
    <w:rsid w:val="44161438"/>
    <w:rsid w:val="441A4EBA"/>
    <w:rsid w:val="441B030D"/>
    <w:rsid w:val="441B7F97"/>
    <w:rsid w:val="441D69D6"/>
    <w:rsid w:val="44216EB8"/>
    <w:rsid w:val="4427077C"/>
    <w:rsid w:val="442A12F1"/>
    <w:rsid w:val="442A5036"/>
    <w:rsid w:val="443127E2"/>
    <w:rsid w:val="44336863"/>
    <w:rsid w:val="443552D4"/>
    <w:rsid w:val="44357305"/>
    <w:rsid w:val="443C26A3"/>
    <w:rsid w:val="443D5BA6"/>
    <w:rsid w:val="4440643B"/>
    <w:rsid w:val="44434D47"/>
    <w:rsid w:val="44453EDC"/>
    <w:rsid w:val="44464340"/>
    <w:rsid w:val="444B1269"/>
    <w:rsid w:val="44556C65"/>
    <w:rsid w:val="44557097"/>
    <w:rsid w:val="445814B0"/>
    <w:rsid w:val="445826E4"/>
    <w:rsid w:val="44587500"/>
    <w:rsid w:val="445A2900"/>
    <w:rsid w:val="44634414"/>
    <w:rsid w:val="44727D4F"/>
    <w:rsid w:val="4475422A"/>
    <w:rsid w:val="44761B1E"/>
    <w:rsid w:val="447711F0"/>
    <w:rsid w:val="44782D49"/>
    <w:rsid w:val="447C0322"/>
    <w:rsid w:val="4489356D"/>
    <w:rsid w:val="448D6D7D"/>
    <w:rsid w:val="448E6105"/>
    <w:rsid w:val="448F50AC"/>
    <w:rsid w:val="44964651"/>
    <w:rsid w:val="449D5999"/>
    <w:rsid w:val="449E2D13"/>
    <w:rsid w:val="44A02159"/>
    <w:rsid w:val="44A27E03"/>
    <w:rsid w:val="44A35C33"/>
    <w:rsid w:val="44A80CEF"/>
    <w:rsid w:val="44AE3A92"/>
    <w:rsid w:val="44B344B5"/>
    <w:rsid w:val="44B438AB"/>
    <w:rsid w:val="44B951CC"/>
    <w:rsid w:val="44C4284D"/>
    <w:rsid w:val="44CC57DB"/>
    <w:rsid w:val="44CD1354"/>
    <w:rsid w:val="44CD14E0"/>
    <w:rsid w:val="44D07272"/>
    <w:rsid w:val="44D37FBC"/>
    <w:rsid w:val="44D4104B"/>
    <w:rsid w:val="44D5496B"/>
    <w:rsid w:val="44DC68B5"/>
    <w:rsid w:val="44DF7BED"/>
    <w:rsid w:val="44F20B0B"/>
    <w:rsid w:val="44F543D6"/>
    <w:rsid w:val="44F74123"/>
    <w:rsid w:val="44F87EF2"/>
    <w:rsid w:val="44FE671D"/>
    <w:rsid w:val="450430B0"/>
    <w:rsid w:val="45082808"/>
    <w:rsid w:val="45087636"/>
    <w:rsid w:val="450925A0"/>
    <w:rsid w:val="450B6BB7"/>
    <w:rsid w:val="450C6054"/>
    <w:rsid w:val="450C6357"/>
    <w:rsid w:val="451425EE"/>
    <w:rsid w:val="45184B40"/>
    <w:rsid w:val="45185111"/>
    <w:rsid w:val="45224182"/>
    <w:rsid w:val="45245DA4"/>
    <w:rsid w:val="452B1BA6"/>
    <w:rsid w:val="452E5F4C"/>
    <w:rsid w:val="453E7ED0"/>
    <w:rsid w:val="4544142C"/>
    <w:rsid w:val="45443337"/>
    <w:rsid w:val="45473A0C"/>
    <w:rsid w:val="454B487D"/>
    <w:rsid w:val="454D5E3B"/>
    <w:rsid w:val="454E24DA"/>
    <w:rsid w:val="45531E32"/>
    <w:rsid w:val="45546A77"/>
    <w:rsid w:val="45554E75"/>
    <w:rsid w:val="45561319"/>
    <w:rsid w:val="455949F6"/>
    <w:rsid w:val="45597311"/>
    <w:rsid w:val="455D1DAC"/>
    <w:rsid w:val="4561130F"/>
    <w:rsid w:val="45612018"/>
    <w:rsid w:val="45620FD1"/>
    <w:rsid w:val="45634059"/>
    <w:rsid w:val="4565155C"/>
    <w:rsid w:val="4568144D"/>
    <w:rsid w:val="456864CE"/>
    <w:rsid w:val="456A4D96"/>
    <w:rsid w:val="456C484F"/>
    <w:rsid w:val="456E0992"/>
    <w:rsid w:val="45726D4D"/>
    <w:rsid w:val="457B2155"/>
    <w:rsid w:val="457B4A1C"/>
    <w:rsid w:val="45804C1C"/>
    <w:rsid w:val="45813907"/>
    <w:rsid w:val="45834894"/>
    <w:rsid w:val="45835DEC"/>
    <w:rsid w:val="458946E9"/>
    <w:rsid w:val="458B18C5"/>
    <w:rsid w:val="459534C4"/>
    <w:rsid w:val="45985277"/>
    <w:rsid w:val="45A01FAB"/>
    <w:rsid w:val="45A13A9D"/>
    <w:rsid w:val="45A47004"/>
    <w:rsid w:val="45A47C0E"/>
    <w:rsid w:val="45A609D2"/>
    <w:rsid w:val="45A81059"/>
    <w:rsid w:val="45A94069"/>
    <w:rsid w:val="45AA1D44"/>
    <w:rsid w:val="45B66B44"/>
    <w:rsid w:val="45B96210"/>
    <w:rsid w:val="45D24EA3"/>
    <w:rsid w:val="45D4505E"/>
    <w:rsid w:val="45D54AF1"/>
    <w:rsid w:val="45D96E73"/>
    <w:rsid w:val="45DA28EC"/>
    <w:rsid w:val="45DB537A"/>
    <w:rsid w:val="45DC2E17"/>
    <w:rsid w:val="45E16709"/>
    <w:rsid w:val="45F25496"/>
    <w:rsid w:val="45F445D0"/>
    <w:rsid w:val="45F54C46"/>
    <w:rsid w:val="460526F7"/>
    <w:rsid w:val="460E2EEC"/>
    <w:rsid w:val="46164604"/>
    <w:rsid w:val="46184688"/>
    <w:rsid w:val="461C19BF"/>
    <w:rsid w:val="46223851"/>
    <w:rsid w:val="462736EA"/>
    <w:rsid w:val="463540E6"/>
    <w:rsid w:val="4636552C"/>
    <w:rsid w:val="463656F6"/>
    <w:rsid w:val="46394A37"/>
    <w:rsid w:val="46415E68"/>
    <w:rsid w:val="464167C7"/>
    <w:rsid w:val="464473C4"/>
    <w:rsid w:val="464558C5"/>
    <w:rsid w:val="46456C98"/>
    <w:rsid w:val="46470C62"/>
    <w:rsid w:val="46477AF0"/>
    <w:rsid w:val="464A05C4"/>
    <w:rsid w:val="464D6081"/>
    <w:rsid w:val="464E3D9E"/>
    <w:rsid w:val="46520100"/>
    <w:rsid w:val="46520B57"/>
    <w:rsid w:val="465212BC"/>
    <w:rsid w:val="465275A4"/>
    <w:rsid w:val="465667F3"/>
    <w:rsid w:val="46577FD6"/>
    <w:rsid w:val="46592171"/>
    <w:rsid w:val="46592743"/>
    <w:rsid w:val="465A1E77"/>
    <w:rsid w:val="465B6A51"/>
    <w:rsid w:val="465E26B0"/>
    <w:rsid w:val="46604740"/>
    <w:rsid w:val="46621E3F"/>
    <w:rsid w:val="466510E8"/>
    <w:rsid w:val="46692800"/>
    <w:rsid w:val="466C06C8"/>
    <w:rsid w:val="466D67F4"/>
    <w:rsid w:val="46714424"/>
    <w:rsid w:val="46730D78"/>
    <w:rsid w:val="46763996"/>
    <w:rsid w:val="467C4FFC"/>
    <w:rsid w:val="46817C8E"/>
    <w:rsid w:val="468B0BBC"/>
    <w:rsid w:val="468C48C7"/>
    <w:rsid w:val="4690670A"/>
    <w:rsid w:val="46924168"/>
    <w:rsid w:val="46927EE7"/>
    <w:rsid w:val="46944C14"/>
    <w:rsid w:val="469460F7"/>
    <w:rsid w:val="46986E1F"/>
    <w:rsid w:val="469B0D3A"/>
    <w:rsid w:val="469B0FAE"/>
    <w:rsid w:val="46A94D83"/>
    <w:rsid w:val="46AA14FC"/>
    <w:rsid w:val="46B02D9F"/>
    <w:rsid w:val="46B54373"/>
    <w:rsid w:val="46B903CD"/>
    <w:rsid w:val="46BB6577"/>
    <w:rsid w:val="46C146FA"/>
    <w:rsid w:val="46C159EC"/>
    <w:rsid w:val="46C8153B"/>
    <w:rsid w:val="46C902BA"/>
    <w:rsid w:val="46CC726F"/>
    <w:rsid w:val="46CE59EE"/>
    <w:rsid w:val="46CF6FEF"/>
    <w:rsid w:val="46D77D6A"/>
    <w:rsid w:val="46D955A7"/>
    <w:rsid w:val="46D97723"/>
    <w:rsid w:val="46DE177B"/>
    <w:rsid w:val="46F57D5C"/>
    <w:rsid w:val="46F616AF"/>
    <w:rsid w:val="46FA5AF3"/>
    <w:rsid w:val="47056178"/>
    <w:rsid w:val="470B385A"/>
    <w:rsid w:val="470B4394"/>
    <w:rsid w:val="470F440F"/>
    <w:rsid w:val="47101ECF"/>
    <w:rsid w:val="47120FFF"/>
    <w:rsid w:val="47133132"/>
    <w:rsid w:val="47133957"/>
    <w:rsid w:val="47182221"/>
    <w:rsid w:val="471F3993"/>
    <w:rsid w:val="47210962"/>
    <w:rsid w:val="47210DA4"/>
    <w:rsid w:val="47231156"/>
    <w:rsid w:val="47277DB5"/>
    <w:rsid w:val="472B0E70"/>
    <w:rsid w:val="472B715E"/>
    <w:rsid w:val="472D77B2"/>
    <w:rsid w:val="473012A6"/>
    <w:rsid w:val="4730327A"/>
    <w:rsid w:val="47374019"/>
    <w:rsid w:val="473867FC"/>
    <w:rsid w:val="473C6646"/>
    <w:rsid w:val="47484F90"/>
    <w:rsid w:val="474B2015"/>
    <w:rsid w:val="474D4DF4"/>
    <w:rsid w:val="47557F84"/>
    <w:rsid w:val="475749A1"/>
    <w:rsid w:val="475A6773"/>
    <w:rsid w:val="47634A50"/>
    <w:rsid w:val="476942D6"/>
    <w:rsid w:val="476A2E5A"/>
    <w:rsid w:val="47723ABC"/>
    <w:rsid w:val="4775427A"/>
    <w:rsid w:val="47786EBF"/>
    <w:rsid w:val="477A2D8A"/>
    <w:rsid w:val="4780467C"/>
    <w:rsid w:val="478757F9"/>
    <w:rsid w:val="478A7F4C"/>
    <w:rsid w:val="478F2730"/>
    <w:rsid w:val="478F7A25"/>
    <w:rsid w:val="4793646D"/>
    <w:rsid w:val="479B49E5"/>
    <w:rsid w:val="479C2093"/>
    <w:rsid w:val="47A07E0C"/>
    <w:rsid w:val="47A1250E"/>
    <w:rsid w:val="47A30EA1"/>
    <w:rsid w:val="47A57FED"/>
    <w:rsid w:val="47A70D9F"/>
    <w:rsid w:val="47AD2293"/>
    <w:rsid w:val="47AD5DB0"/>
    <w:rsid w:val="47AE0946"/>
    <w:rsid w:val="47AF1061"/>
    <w:rsid w:val="47B002D4"/>
    <w:rsid w:val="47B44AD8"/>
    <w:rsid w:val="47B54BA4"/>
    <w:rsid w:val="47B72674"/>
    <w:rsid w:val="47B757B0"/>
    <w:rsid w:val="47BB613C"/>
    <w:rsid w:val="47BC742D"/>
    <w:rsid w:val="47BE5FFE"/>
    <w:rsid w:val="47C018A1"/>
    <w:rsid w:val="47C05C0B"/>
    <w:rsid w:val="47C202D3"/>
    <w:rsid w:val="47CC462E"/>
    <w:rsid w:val="47CC48B8"/>
    <w:rsid w:val="47CF7881"/>
    <w:rsid w:val="47D40F93"/>
    <w:rsid w:val="47D567FA"/>
    <w:rsid w:val="47D93B3C"/>
    <w:rsid w:val="47DB148B"/>
    <w:rsid w:val="47E2428C"/>
    <w:rsid w:val="47E3657F"/>
    <w:rsid w:val="47E46FC4"/>
    <w:rsid w:val="47EA233B"/>
    <w:rsid w:val="47EC192A"/>
    <w:rsid w:val="47ED356D"/>
    <w:rsid w:val="47EE3C89"/>
    <w:rsid w:val="47F21489"/>
    <w:rsid w:val="47F6649C"/>
    <w:rsid w:val="47FC5A7C"/>
    <w:rsid w:val="47FC782A"/>
    <w:rsid w:val="48000124"/>
    <w:rsid w:val="48015979"/>
    <w:rsid w:val="4803505C"/>
    <w:rsid w:val="48040A52"/>
    <w:rsid w:val="4808541C"/>
    <w:rsid w:val="48092887"/>
    <w:rsid w:val="480C401E"/>
    <w:rsid w:val="48112211"/>
    <w:rsid w:val="481C29E5"/>
    <w:rsid w:val="481C7EC3"/>
    <w:rsid w:val="48227938"/>
    <w:rsid w:val="48243022"/>
    <w:rsid w:val="48256D81"/>
    <w:rsid w:val="4826576B"/>
    <w:rsid w:val="482C45B3"/>
    <w:rsid w:val="482C67C8"/>
    <w:rsid w:val="483D234A"/>
    <w:rsid w:val="48456756"/>
    <w:rsid w:val="484F7E9F"/>
    <w:rsid w:val="48543ABB"/>
    <w:rsid w:val="485F25A4"/>
    <w:rsid w:val="48605218"/>
    <w:rsid w:val="48651873"/>
    <w:rsid w:val="48653621"/>
    <w:rsid w:val="486802EE"/>
    <w:rsid w:val="486E4C53"/>
    <w:rsid w:val="486F33B9"/>
    <w:rsid w:val="4870272E"/>
    <w:rsid w:val="48720584"/>
    <w:rsid w:val="48840A97"/>
    <w:rsid w:val="48847955"/>
    <w:rsid w:val="488865F3"/>
    <w:rsid w:val="488A13CE"/>
    <w:rsid w:val="489A151D"/>
    <w:rsid w:val="489C6C33"/>
    <w:rsid w:val="48A16D53"/>
    <w:rsid w:val="48A942B4"/>
    <w:rsid w:val="48B000C2"/>
    <w:rsid w:val="48B26F9A"/>
    <w:rsid w:val="48B5235A"/>
    <w:rsid w:val="48B55014"/>
    <w:rsid w:val="48C51E44"/>
    <w:rsid w:val="48C81A51"/>
    <w:rsid w:val="48CB6BB4"/>
    <w:rsid w:val="48D54D70"/>
    <w:rsid w:val="48D61920"/>
    <w:rsid w:val="48D9786D"/>
    <w:rsid w:val="48DF4442"/>
    <w:rsid w:val="48E2697D"/>
    <w:rsid w:val="48E606BE"/>
    <w:rsid w:val="48E72288"/>
    <w:rsid w:val="48EE68A4"/>
    <w:rsid w:val="48F055E1"/>
    <w:rsid w:val="48F814A0"/>
    <w:rsid w:val="48FA7EAC"/>
    <w:rsid w:val="48FB3710"/>
    <w:rsid w:val="48FD2D67"/>
    <w:rsid w:val="4901478E"/>
    <w:rsid w:val="49042E3A"/>
    <w:rsid w:val="490775F4"/>
    <w:rsid w:val="49092F68"/>
    <w:rsid w:val="490E3078"/>
    <w:rsid w:val="49106AF2"/>
    <w:rsid w:val="491075FD"/>
    <w:rsid w:val="49123C11"/>
    <w:rsid w:val="491B6E41"/>
    <w:rsid w:val="491C2BE1"/>
    <w:rsid w:val="49266C60"/>
    <w:rsid w:val="492C5D03"/>
    <w:rsid w:val="49303C2F"/>
    <w:rsid w:val="4932755C"/>
    <w:rsid w:val="49331BA1"/>
    <w:rsid w:val="493378B1"/>
    <w:rsid w:val="49374FBE"/>
    <w:rsid w:val="49386FEC"/>
    <w:rsid w:val="493B39E7"/>
    <w:rsid w:val="493B6976"/>
    <w:rsid w:val="494600B5"/>
    <w:rsid w:val="494C5EA5"/>
    <w:rsid w:val="4950607F"/>
    <w:rsid w:val="495430FC"/>
    <w:rsid w:val="49546823"/>
    <w:rsid w:val="49564E7D"/>
    <w:rsid w:val="4956636B"/>
    <w:rsid w:val="49612B05"/>
    <w:rsid w:val="49620952"/>
    <w:rsid w:val="496248E4"/>
    <w:rsid w:val="496D757B"/>
    <w:rsid w:val="49721997"/>
    <w:rsid w:val="497E0315"/>
    <w:rsid w:val="497F2441"/>
    <w:rsid w:val="498150D1"/>
    <w:rsid w:val="49817C1B"/>
    <w:rsid w:val="49840660"/>
    <w:rsid w:val="498A3B1A"/>
    <w:rsid w:val="499F2B63"/>
    <w:rsid w:val="49A81C24"/>
    <w:rsid w:val="49A905D9"/>
    <w:rsid w:val="49A96BFC"/>
    <w:rsid w:val="49AC7122"/>
    <w:rsid w:val="49B002FE"/>
    <w:rsid w:val="49BD3969"/>
    <w:rsid w:val="49BE7EE9"/>
    <w:rsid w:val="49C037FA"/>
    <w:rsid w:val="49C075C1"/>
    <w:rsid w:val="49C65A6E"/>
    <w:rsid w:val="49CE3370"/>
    <w:rsid w:val="49D10A90"/>
    <w:rsid w:val="49DA11B4"/>
    <w:rsid w:val="49DA4D8F"/>
    <w:rsid w:val="49DC7715"/>
    <w:rsid w:val="49EA62D4"/>
    <w:rsid w:val="49EE36B5"/>
    <w:rsid w:val="49F25069"/>
    <w:rsid w:val="49F44C5D"/>
    <w:rsid w:val="49FE5ADB"/>
    <w:rsid w:val="49FE6679"/>
    <w:rsid w:val="49FF62D6"/>
    <w:rsid w:val="4A023139"/>
    <w:rsid w:val="4A07288F"/>
    <w:rsid w:val="4A0E26B9"/>
    <w:rsid w:val="4A121587"/>
    <w:rsid w:val="4A1B7CF0"/>
    <w:rsid w:val="4A1C0996"/>
    <w:rsid w:val="4A2825BE"/>
    <w:rsid w:val="4A2C6147"/>
    <w:rsid w:val="4A2E5EAF"/>
    <w:rsid w:val="4A305B77"/>
    <w:rsid w:val="4A33193D"/>
    <w:rsid w:val="4A391BC4"/>
    <w:rsid w:val="4A3B2D3E"/>
    <w:rsid w:val="4A406E28"/>
    <w:rsid w:val="4A407AC9"/>
    <w:rsid w:val="4A490935"/>
    <w:rsid w:val="4A4A3D72"/>
    <w:rsid w:val="4A4F3B64"/>
    <w:rsid w:val="4A4F5EFB"/>
    <w:rsid w:val="4A535B7C"/>
    <w:rsid w:val="4A5363F8"/>
    <w:rsid w:val="4A54650A"/>
    <w:rsid w:val="4A582CBB"/>
    <w:rsid w:val="4A5C2802"/>
    <w:rsid w:val="4A5E3203"/>
    <w:rsid w:val="4A6176E1"/>
    <w:rsid w:val="4A6C512E"/>
    <w:rsid w:val="4A6D258B"/>
    <w:rsid w:val="4A6F03A3"/>
    <w:rsid w:val="4A712278"/>
    <w:rsid w:val="4A787FF5"/>
    <w:rsid w:val="4A7B576F"/>
    <w:rsid w:val="4A7C7D3E"/>
    <w:rsid w:val="4A7D7ADD"/>
    <w:rsid w:val="4A8420B3"/>
    <w:rsid w:val="4A895878"/>
    <w:rsid w:val="4A93269C"/>
    <w:rsid w:val="4A934129"/>
    <w:rsid w:val="4A9B1F9D"/>
    <w:rsid w:val="4A9F7197"/>
    <w:rsid w:val="4AA11AE6"/>
    <w:rsid w:val="4AA1394C"/>
    <w:rsid w:val="4AB022AA"/>
    <w:rsid w:val="4AB3002E"/>
    <w:rsid w:val="4ABE1060"/>
    <w:rsid w:val="4AC073AE"/>
    <w:rsid w:val="4AC421D7"/>
    <w:rsid w:val="4ACF3102"/>
    <w:rsid w:val="4AD00419"/>
    <w:rsid w:val="4AD04EEA"/>
    <w:rsid w:val="4AD36F68"/>
    <w:rsid w:val="4AD85FF0"/>
    <w:rsid w:val="4ADE35D9"/>
    <w:rsid w:val="4AE504B6"/>
    <w:rsid w:val="4AE91A80"/>
    <w:rsid w:val="4AEE031F"/>
    <w:rsid w:val="4AF0489C"/>
    <w:rsid w:val="4AF25290"/>
    <w:rsid w:val="4AF35327"/>
    <w:rsid w:val="4AF561A9"/>
    <w:rsid w:val="4AFA0F5F"/>
    <w:rsid w:val="4AFA7850"/>
    <w:rsid w:val="4AFB1178"/>
    <w:rsid w:val="4AFC6E19"/>
    <w:rsid w:val="4AFF5077"/>
    <w:rsid w:val="4B03628D"/>
    <w:rsid w:val="4B0610EB"/>
    <w:rsid w:val="4B064281"/>
    <w:rsid w:val="4B087846"/>
    <w:rsid w:val="4B0A741E"/>
    <w:rsid w:val="4B0D5133"/>
    <w:rsid w:val="4B0D7988"/>
    <w:rsid w:val="4B0F0030"/>
    <w:rsid w:val="4B1159D5"/>
    <w:rsid w:val="4B1267F4"/>
    <w:rsid w:val="4B194B83"/>
    <w:rsid w:val="4B1B446B"/>
    <w:rsid w:val="4B1F2020"/>
    <w:rsid w:val="4B2349E1"/>
    <w:rsid w:val="4B282DD4"/>
    <w:rsid w:val="4B2A4675"/>
    <w:rsid w:val="4B2B6DA4"/>
    <w:rsid w:val="4B310417"/>
    <w:rsid w:val="4B384609"/>
    <w:rsid w:val="4B3E48A4"/>
    <w:rsid w:val="4B414B07"/>
    <w:rsid w:val="4B471BDF"/>
    <w:rsid w:val="4B4A3A21"/>
    <w:rsid w:val="4B4C457C"/>
    <w:rsid w:val="4B4D2FD3"/>
    <w:rsid w:val="4B4F01FF"/>
    <w:rsid w:val="4B5020AB"/>
    <w:rsid w:val="4B523905"/>
    <w:rsid w:val="4B572AEA"/>
    <w:rsid w:val="4B5E21CA"/>
    <w:rsid w:val="4B5E6C4E"/>
    <w:rsid w:val="4B632F23"/>
    <w:rsid w:val="4B671C6C"/>
    <w:rsid w:val="4B672FAE"/>
    <w:rsid w:val="4B6B5427"/>
    <w:rsid w:val="4B6F2973"/>
    <w:rsid w:val="4B732436"/>
    <w:rsid w:val="4B7E4E63"/>
    <w:rsid w:val="4B802B56"/>
    <w:rsid w:val="4B914C61"/>
    <w:rsid w:val="4B972072"/>
    <w:rsid w:val="4B9B4F25"/>
    <w:rsid w:val="4B9E7576"/>
    <w:rsid w:val="4BA07A29"/>
    <w:rsid w:val="4BA23A4F"/>
    <w:rsid w:val="4BA66071"/>
    <w:rsid w:val="4BA72704"/>
    <w:rsid w:val="4BAF03D3"/>
    <w:rsid w:val="4BAF771D"/>
    <w:rsid w:val="4BB02E05"/>
    <w:rsid w:val="4BB85AA5"/>
    <w:rsid w:val="4BB94EF7"/>
    <w:rsid w:val="4BBA1ED6"/>
    <w:rsid w:val="4BC07C8E"/>
    <w:rsid w:val="4BC2053D"/>
    <w:rsid w:val="4BC20837"/>
    <w:rsid w:val="4BC7726B"/>
    <w:rsid w:val="4BC84B6D"/>
    <w:rsid w:val="4BCA442F"/>
    <w:rsid w:val="4BDD1DBC"/>
    <w:rsid w:val="4BE07870"/>
    <w:rsid w:val="4BE247C4"/>
    <w:rsid w:val="4BE858C8"/>
    <w:rsid w:val="4BE943A0"/>
    <w:rsid w:val="4BED3CF0"/>
    <w:rsid w:val="4BED5E07"/>
    <w:rsid w:val="4BEF1B80"/>
    <w:rsid w:val="4BF52CB1"/>
    <w:rsid w:val="4BFE7929"/>
    <w:rsid w:val="4C017B05"/>
    <w:rsid w:val="4C0F29B9"/>
    <w:rsid w:val="4C127659"/>
    <w:rsid w:val="4C147838"/>
    <w:rsid w:val="4C194E4E"/>
    <w:rsid w:val="4C1C049B"/>
    <w:rsid w:val="4C211DF2"/>
    <w:rsid w:val="4C221ECB"/>
    <w:rsid w:val="4C2528B4"/>
    <w:rsid w:val="4C274612"/>
    <w:rsid w:val="4C2C7C0F"/>
    <w:rsid w:val="4C3A09AA"/>
    <w:rsid w:val="4C405535"/>
    <w:rsid w:val="4C413334"/>
    <w:rsid w:val="4C434212"/>
    <w:rsid w:val="4C4677C1"/>
    <w:rsid w:val="4C4A0649"/>
    <w:rsid w:val="4C4A7C66"/>
    <w:rsid w:val="4C4B0D80"/>
    <w:rsid w:val="4C4F518E"/>
    <w:rsid w:val="4C517D08"/>
    <w:rsid w:val="4C530B14"/>
    <w:rsid w:val="4C534610"/>
    <w:rsid w:val="4C535BBE"/>
    <w:rsid w:val="4C5B115D"/>
    <w:rsid w:val="4C5B5B50"/>
    <w:rsid w:val="4C623554"/>
    <w:rsid w:val="4C6766C1"/>
    <w:rsid w:val="4C684F2B"/>
    <w:rsid w:val="4C691850"/>
    <w:rsid w:val="4C6B24D1"/>
    <w:rsid w:val="4C6D519B"/>
    <w:rsid w:val="4C713DD0"/>
    <w:rsid w:val="4C78606D"/>
    <w:rsid w:val="4C7A3967"/>
    <w:rsid w:val="4C7C6024"/>
    <w:rsid w:val="4C7D7952"/>
    <w:rsid w:val="4C7E5ECA"/>
    <w:rsid w:val="4C7F32A6"/>
    <w:rsid w:val="4C8026B3"/>
    <w:rsid w:val="4C806C7C"/>
    <w:rsid w:val="4C875834"/>
    <w:rsid w:val="4C876AA5"/>
    <w:rsid w:val="4C896758"/>
    <w:rsid w:val="4C906B08"/>
    <w:rsid w:val="4C9A0642"/>
    <w:rsid w:val="4C9B2E11"/>
    <w:rsid w:val="4C9D5F4F"/>
    <w:rsid w:val="4CA33A45"/>
    <w:rsid w:val="4CAE2BB8"/>
    <w:rsid w:val="4CB72EFE"/>
    <w:rsid w:val="4CB84964"/>
    <w:rsid w:val="4CBA63E9"/>
    <w:rsid w:val="4CBB0448"/>
    <w:rsid w:val="4CBB7398"/>
    <w:rsid w:val="4CBE3C39"/>
    <w:rsid w:val="4CBE61AE"/>
    <w:rsid w:val="4CBE77A4"/>
    <w:rsid w:val="4CC2764E"/>
    <w:rsid w:val="4CC72AFC"/>
    <w:rsid w:val="4CD26C12"/>
    <w:rsid w:val="4CD60CA8"/>
    <w:rsid w:val="4CD71FFE"/>
    <w:rsid w:val="4CD723E6"/>
    <w:rsid w:val="4CDA4385"/>
    <w:rsid w:val="4CDB1245"/>
    <w:rsid w:val="4CDC7ED3"/>
    <w:rsid w:val="4CDE4E0B"/>
    <w:rsid w:val="4CDF249E"/>
    <w:rsid w:val="4CE63920"/>
    <w:rsid w:val="4CEA2347"/>
    <w:rsid w:val="4CF3744D"/>
    <w:rsid w:val="4CF47BC3"/>
    <w:rsid w:val="4CF56B38"/>
    <w:rsid w:val="4CF97AEE"/>
    <w:rsid w:val="4CFB3E54"/>
    <w:rsid w:val="4CFE36F9"/>
    <w:rsid w:val="4D045441"/>
    <w:rsid w:val="4D054601"/>
    <w:rsid w:val="4D0B0AE9"/>
    <w:rsid w:val="4D0C10A2"/>
    <w:rsid w:val="4D0C49B3"/>
    <w:rsid w:val="4D0D2639"/>
    <w:rsid w:val="4D0E00FB"/>
    <w:rsid w:val="4D121EBB"/>
    <w:rsid w:val="4D176606"/>
    <w:rsid w:val="4D1955F9"/>
    <w:rsid w:val="4D1A05A8"/>
    <w:rsid w:val="4D246ADE"/>
    <w:rsid w:val="4D2958FE"/>
    <w:rsid w:val="4D2C0BB1"/>
    <w:rsid w:val="4D3543E2"/>
    <w:rsid w:val="4D37793B"/>
    <w:rsid w:val="4D3A4C8A"/>
    <w:rsid w:val="4D4755BC"/>
    <w:rsid w:val="4D526EE5"/>
    <w:rsid w:val="4D534390"/>
    <w:rsid w:val="4D58230F"/>
    <w:rsid w:val="4D5A571F"/>
    <w:rsid w:val="4D5A598F"/>
    <w:rsid w:val="4D5C4094"/>
    <w:rsid w:val="4D5F3F0A"/>
    <w:rsid w:val="4D622718"/>
    <w:rsid w:val="4D625C76"/>
    <w:rsid w:val="4D644FE6"/>
    <w:rsid w:val="4D663397"/>
    <w:rsid w:val="4D67444D"/>
    <w:rsid w:val="4D6A7BE1"/>
    <w:rsid w:val="4D6B16DA"/>
    <w:rsid w:val="4D6D60F8"/>
    <w:rsid w:val="4D6F5CEC"/>
    <w:rsid w:val="4D6F5F68"/>
    <w:rsid w:val="4D700D1A"/>
    <w:rsid w:val="4D713FDC"/>
    <w:rsid w:val="4D714816"/>
    <w:rsid w:val="4D720CBA"/>
    <w:rsid w:val="4D7367E0"/>
    <w:rsid w:val="4D747175"/>
    <w:rsid w:val="4D747428"/>
    <w:rsid w:val="4D787443"/>
    <w:rsid w:val="4D7A24F4"/>
    <w:rsid w:val="4D822F64"/>
    <w:rsid w:val="4D8865F4"/>
    <w:rsid w:val="4D891815"/>
    <w:rsid w:val="4D8C0D71"/>
    <w:rsid w:val="4D8C1E11"/>
    <w:rsid w:val="4D8E6D74"/>
    <w:rsid w:val="4D914844"/>
    <w:rsid w:val="4D96596F"/>
    <w:rsid w:val="4D9B55FD"/>
    <w:rsid w:val="4D9B5DF2"/>
    <w:rsid w:val="4D9F1383"/>
    <w:rsid w:val="4DA21EBF"/>
    <w:rsid w:val="4DAC220B"/>
    <w:rsid w:val="4DB07F3C"/>
    <w:rsid w:val="4DB41BD5"/>
    <w:rsid w:val="4DB423A6"/>
    <w:rsid w:val="4DB867D1"/>
    <w:rsid w:val="4DB90D7F"/>
    <w:rsid w:val="4DB9530C"/>
    <w:rsid w:val="4DBA3F5F"/>
    <w:rsid w:val="4DBA535E"/>
    <w:rsid w:val="4DC1007F"/>
    <w:rsid w:val="4DC35C46"/>
    <w:rsid w:val="4DC83C71"/>
    <w:rsid w:val="4DCB36FF"/>
    <w:rsid w:val="4DD252B5"/>
    <w:rsid w:val="4DD4731B"/>
    <w:rsid w:val="4DD51B7E"/>
    <w:rsid w:val="4DD81934"/>
    <w:rsid w:val="4DE17B7A"/>
    <w:rsid w:val="4DE53B43"/>
    <w:rsid w:val="4DEB45C9"/>
    <w:rsid w:val="4DEC4FB0"/>
    <w:rsid w:val="4DEF17A1"/>
    <w:rsid w:val="4DF26CA9"/>
    <w:rsid w:val="4DFA2A5E"/>
    <w:rsid w:val="4DFE00D2"/>
    <w:rsid w:val="4E011735"/>
    <w:rsid w:val="4E047F1C"/>
    <w:rsid w:val="4E075D8A"/>
    <w:rsid w:val="4E0911F0"/>
    <w:rsid w:val="4E0C1285"/>
    <w:rsid w:val="4E0F02B7"/>
    <w:rsid w:val="4E1377D5"/>
    <w:rsid w:val="4E1728C8"/>
    <w:rsid w:val="4E183CF5"/>
    <w:rsid w:val="4E1A7E35"/>
    <w:rsid w:val="4E1B6918"/>
    <w:rsid w:val="4E25610B"/>
    <w:rsid w:val="4E280A46"/>
    <w:rsid w:val="4E2D6D71"/>
    <w:rsid w:val="4E37527E"/>
    <w:rsid w:val="4E3B2273"/>
    <w:rsid w:val="4E3B72FE"/>
    <w:rsid w:val="4E3F1087"/>
    <w:rsid w:val="4E3F51D4"/>
    <w:rsid w:val="4E4B3A70"/>
    <w:rsid w:val="4E4B5067"/>
    <w:rsid w:val="4E4E081F"/>
    <w:rsid w:val="4E4E0D42"/>
    <w:rsid w:val="4E5502F1"/>
    <w:rsid w:val="4E5817F5"/>
    <w:rsid w:val="4E5B6858"/>
    <w:rsid w:val="4E5C688B"/>
    <w:rsid w:val="4E5F26C8"/>
    <w:rsid w:val="4E636690"/>
    <w:rsid w:val="4E641F9B"/>
    <w:rsid w:val="4E643BDF"/>
    <w:rsid w:val="4E6B74B7"/>
    <w:rsid w:val="4E6C3477"/>
    <w:rsid w:val="4E712730"/>
    <w:rsid w:val="4E794B96"/>
    <w:rsid w:val="4E7C5B82"/>
    <w:rsid w:val="4E8540BE"/>
    <w:rsid w:val="4E854F8A"/>
    <w:rsid w:val="4E88659F"/>
    <w:rsid w:val="4E8C119A"/>
    <w:rsid w:val="4E8E7C7D"/>
    <w:rsid w:val="4E90707B"/>
    <w:rsid w:val="4E942316"/>
    <w:rsid w:val="4E967C3B"/>
    <w:rsid w:val="4E975108"/>
    <w:rsid w:val="4E9D5D56"/>
    <w:rsid w:val="4E9E272D"/>
    <w:rsid w:val="4E9F5155"/>
    <w:rsid w:val="4EA47157"/>
    <w:rsid w:val="4EA50C1B"/>
    <w:rsid w:val="4EA7237C"/>
    <w:rsid w:val="4EA83842"/>
    <w:rsid w:val="4EAC194B"/>
    <w:rsid w:val="4EAD13BA"/>
    <w:rsid w:val="4EAF4AAA"/>
    <w:rsid w:val="4EB514CB"/>
    <w:rsid w:val="4EB61FE8"/>
    <w:rsid w:val="4EB62FB0"/>
    <w:rsid w:val="4EB8219E"/>
    <w:rsid w:val="4EBC786B"/>
    <w:rsid w:val="4EBF0E7E"/>
    <w:rsid w:val="4EC00FAD"/>
    <w:rsid w:val="4EC05A55"/>
    <w:rsid w:val="4EC1083E"/>
    <w:rsid w:val="4EC2357B"/>
    <w:rsid w:val="4EC81B53"/>
    <w:rsid w:val="4EC87B58"/>
    <w:rsid w:val="4EC949C7"/>
    <w:rsid w:val="4ECD417C"/>
    <w:rsid w:val="4ECD64D5"/>
    <w:rsid w:val="4ECD7C5B"/>
    <w:rsid w:val="4ED447AB"/>
    <w:rsid w:val="4ED46FB8"/>
    <w:rsid w:val="4EDC5420"/>
    <w:rsid w:val="4EE41DF2"/>
    <w:rsid w:val="4EE80B08"/>
    <w:rsid w:val="4EEA06AE"/>
    <w:rsid w:val="4EEA10C6"/>
    <w:rsid w:val="4EED611E"/>
    <w:rsid w:val="4EED64FC"/>
    <w:rsid w:val="4EEF3859"/>
    <w:rsid w:val="4EF12AC9"/>
    <w:rsid w:val="4EF15C0F"/>
    <w:rsid w:val="4EF56DB1"/>
    <w:rsid w:val="4EF56E5A"/>
    <w:rsid w:val="4EF71A94"/>
    <w:rsid w:val="4EFE7866"/>
    <w:rsid w:val="4F032C13"/>
    <w:rsid w:val="4F04590B"/>
    <w:rsid w:val="4F053468"/>
    <w:rsid w:val="4F06289A"/>
    <w:rsid w:val="4F064548"/>
    <w:rsid w:val="4F095195"/>
    <w:rsid w:val="4F097569"/>
    <w:rsid w:val="4F15605E"/>
    <w:rsid w:val="4F186C70"/>
    <w:rsid w:val="4F1B712F"/>
    <w:rsid w:val="4F1E1EFC"/>
    <w:rsid w:val="4F2640B5"/>
    <w:rsid w:val="4F280A2C"/>
    <w:rsid w:val="4F2C5688"/>
    <w:rsid w:val="4F343D4D"/>
    <w:rsid w:val="4F3501F1"/>
    <w:rsid w:val="4F35048F"/>
    <w:rsid w:val="4F356BA4"/>
    <w:rsid w:val="4F381A8F"/>
    <w:rsid w:val="4F39416D"/>
    <w:rsid w:val="4F405C96"/>
    <w:rsid w:val="4F414B44"/>
    <w:rsid w:val="4F440434"/>
    <w:rsid w:val="4F492007"/>
    <w:rsid w:val="4F5D5052"/>
    <w:rsid w:val="4F5E53F0"/>
    <w:rsid w:val="4F7143A3"/>
    <w:rsid w:val="4F735064"/>
    <w:rsid w:val="4F74239C"/>
    <w:rsid w:val="4F777A67"/>
    <w:rsid w:val="4F7A20A8"/>
    <w:rsid w:val="4F7B07B0"/>
    <w:rsid w:val="4F7C2905"/>
    <w:rsid w:val="4F81035B"/>
    <w:rsid w:val="4F815DF9"/>
    <w:rsid w:val="4F83777D"/>
    <w:rsid w:val="4F8419BD"/>
    <w:rsid w:val="4F860E52"/>
    <w:rsid w:val="4F8A72E2"/>
    <w:rsid w:val="4F8E7E55"/>
    <w:rsid w:val="4F8F39A4"/>
    <w:rsid w:val="4F903D58"/>
    <w:rsid w:val="4F9071D6"/>
    <w:rsid w:val="4F9564EA"/>
    <w:rsid w:val="4F9767BC"/>
    <w:rsid w:val="4F9843DC"/>
    <w:rsid w:val="4FA03156"/>
    <w:rsid w:val="4FA140D4"/>
    <w:rsid w:val="4FA22E35"/>
    <w:rsid w:val="4FA46798"/>
    <w:rsid w:val="4FA475C7"/>
    <w:rsid w:val="4FA96F84"/>
    <w:rsid w:val="4FAA4373"/>
    <w:rsid w:val="4FAB1E17"/>
    <w:rsid w:val="4FAD782F"/>
    <w:rsid w:val="4FAF1B30"/>
    <w:rsid w:val="4FB3288F"/>
    <w:rsid w:val="4FB45EBC"/>
    <w:rsid w:val="4FC02DCF"/>
    <w:rsid w:val="4FC11527"/>
    <w:rsid w:val="4FC155E1"/>
    <w:rsid w:val="4FC22989"/>
    <w:rsid w:val="4FC62A8C"/>
    <w:rsid w:val="4FCB742A"/>
    <w:rsid w:val="4FCE3F70"/>
    <w:rsid w:val="4FDE15F3"/>
    <w:rsid w:val="4FDE2F64"/>
    <w:rsid w:val="4FDF65CF"/>
    <w:rsid w:val="4FE20F0D"/>
    <w:rsid w:val="4FE51552"/>
    <w:rsid w:val="4FE84562"/>
    <w:rsid w:val="4FE87012"/>
    <w:rsid w:val="4FF0632F"/>
    <w:rsid w:val="4FF31CC0"/>
    <w:rsid w:val="50011F0B"/>
    <w:rsid w:val="500B7A4B"/>
    <w:rsid w:val="5010789B"/>
    <w:rsid w:val="5012036B"/>
    <w:rsid w:val="50151DD1"/>
    <w:rsid w:val="501648AB"/>
    <w:rsid w:val="50212524"/>
    <w:rsid w:val="50251B4F"/>
    <w:rsid w:val="502838B2"/>
    <w:rsid w:val="50283DD5"/>
    <w:rsid w:val="502B6EFE"/>
    <w:rsid w:val="502C7716"/>
    <w:rsid w:val="502D2ECD"/>
    <w:rsid w:val="502E2247"/>
    <w:rsid w:val="502F3F0F"/>
    <w:rsid w:val="503424FD"/>
    <w:rsid w:val="503433E1"/>
    <w:rsid w:val="503449E0"/>
    <w:rsid w:val="50352236"/>
    <w:rsid w:val="5036687D"/>
    <w:rsid w:val="5037586F"/>
    <w:rsid w:val="503D08D5"/>
    <w:rsid w:val="503E0FD1"/>
    <w:rsid w:val="50444E89"/>
    <w:rsid w:val="504A1A7A"/>
    <w:rsid w:val="50504C4B"/>
    <w:rsid w:val="50565369"/>
    <w:rsid w:val="505A74E3"/>
    <w:rsid w:val="50610064"/>
    <w:rsid w:val="506A0772"/>
    <w:rsid w:val="50747D4A"/>
    <w:rsid w:val="5075334B"/>
    <w:rsid w:val="5075763E"/>
    <w:rsid w:val="507E1724"/>
    <w:rsid w:val="50834102"/>
    <w:rsid w:val="508514D4"/>
    <w:rsid w:val="5086413E"/>
    <w:rsid w:val="50871711"/>
    <w:rsid w:val="508B20D6"/>
    <w:rsid w:val="508C7456"/>
    <w:rsid w:val="508D0EC0"/>
    <w:rsid w:val="50927A27"/>
    <w:rsid w:val="50942CF5"/>
    <w:rsid w:val="50991704"/>
    <w:rsid w:val="509A3BEC"/>
    <w:rsid w:val="509C6E7C"/>
    <w:rsid w:val="509D077D"/>
    <w:rsid w:val="50A51FB5"/>
    <w:rsid w:val="50AB003F"/>
    <w:rsid w:val="50AE76BE"/>
    <w:rsid w:val="50B94B1A"/>
    <w:rsid w:val="50BE4F65"/>
    <w:rsid w:val="50C375E9"/>
    <w:rsid w:val="50CA43B2"/>
    <w:rsid w:val="50CD3D8F"/>
    <w:rsid w:val="50D23808"/>
    <w:rsid w:val="50D34CBE"/>
    <w:rsid w:val="50DD252B"/>
    <w:rsid w:val="50DF1D93"/>
    <w:rsid w:val="50E004A7"/>
    <w:rsid w:val="50E54967"/>
    <w:rsid w:val="50E73AAD"/>
    <w:rsid w:val="50EA2234"/>
    <w:rsid w:val="50EC1D0D"/>
    <w:rsid w:val="50EC40B1"/>
    <w:rsid w:val="50ED4100"/>
    <w:rsid w:val="50F26403"/>
    <w:rsid w:val="50F37B6E"/>
    <w:rsid w:val="50F87728"/>
    <w:rsid w:val="50F934A0"/>
    <w:rsid w:val="50FB54E0"/>
    <w:rsid w:val="50FE2A9B"/>
    <w:rsid w:val="50FE4613"/>
    <w:rsid w:val="51004A2D"/>
    <w:rsid w:val="51007EA4"/>
    <w:rsid w:val="5104197C"/>
    <w:rsid w:val="51053AF5"/>
    <w:rsid w:val="51066EAC"/>
    <w:rsid w:val="51075739"/>
    <w:rsid w:val="51080D4A"/>
    <w:rsid w:val="5109028F"/>
    <w:rsid w:val="510A1286"/>
    <w:rsid w:val="510D474B"/>
    <w:rsid w:val="510E75D7"/>
    <w:rsid w:val="51134562"/>
    <w:rsid w:val="51143E36"/>
    <w:rsid w:val="51161EDE"/>
    <w:rsid w:val="51176E51"/>
    <w:rsid w:val="51325707"/>
    <w:rsid w:val="513C58A1"/>
    <w:rsid w:val="513F67A9"/>
    <w:rsid w:val="51463877"/>
    <w:rsid w:val="51497F84"/>
    <w:rsid w:val="514E6179"/>
    <w:rsid w:val="51561B42"/>
    <w:rsid w:val="51583D23"/>
    <w:rsid w:val="515A07A6"/>
    <w:rsid w:val="515D4ACE"/>
    <w:rsid w:val="5162104E"/>
    <w:rsid w:val="51622DF4"/>
    <w:rsid w:val="51624808"/>
    <w:rsid w:val="51723A3C"/>
    <w:rsid w:val="51735001"/>
    <w:rsid w:val="51765887"/>
    <w:rsid w:val="517D5E7F"/>
    <w:rsid w:val="51825244"/>
    <w:rsid w:val="51872E79"/>
    <w:rsid w:val="518B75C2"/>
    <w:rsid w:val="518F413B"/>
    <w:rsid w:val="51946865"/>
    <w:rsid w:val="51953162"/>
    <w:rsid w:val="51953D16"/>
    <w:rsid w:val="519803DD"/>
    <w:rsid w:val="519815CF"/>
    <w:rsid w:val="519A26E2"/>
    <w:rsid w:val="519A400C"/>
    <w:rsid w:val="519B4E2A"/>
    <w:rsid w:val="519C1271"/>
    <w:rsid w:val="519D207E"/>
    <w:rsid w:val="51A43CC0"/>
    <w:rsid w:val="51A72D9F"/>
    <w:rsid w:val="51A80053"/>
    <w:rsid w:val="51A90A23"/>
    <w:rsid w:val="51A934EA"/>
    <w:rsid w:val="51A97F37"/>
    <w:rsid w:val="51AA6567"/>
    <w:rsid w:val="51B013F6"/>
    <w:rsid w:val="51B11685"/>
    <w:rsid w:val="51B318FB"/>
    <w:rsid w:val="51B90425"/>
    <w:rsid w:val="51BA49DE"/>
    <w:rsid w:val="51C06F43"/>
    <w:rsid w:val="51C71DD3"/>
    <w:rsid w:val="51C945DF"/>
    <w:rsid w:val="51D610EC"/>
    <w:rsid w:val="51D85456"/>
    <w:rsid w:val="51DC173E"/>
    <w:rsid w:val="51DD055A"/>
    <w:rsid w:val="51E4278A"/>
    <w:rsid w:val="51F021AD"/>
    <w:rsid w:val="51F36142"/>
    <w:rsid w:val="51F531E8"/>
    <w:rsid w:val="51FC3790"/>
    <w:rsid w:val="51FD122C"/>
    <w:rsid w:val="52020133"/>
    <w:rsid w:val="520535BE"/>
    <w:rsid w:val="52090283"/>
    <w:rsid w:val="52093CB9"/>
    <w:rsid w:val="520D6F9C"/>
    <w:rsid w:val="5213139D"/>
    <w:rsid w:val="5218527A"/>
    <w:rsid w:val="521C49F8"/>
    <w:rsid w:val="521D612D"/>
    <w:rsid w:val="521F3D90"/>
    <w:rsid w:val="52226851"/>
    <w:rsid w:val="52287CC0"/>
    <w:rsid w:val="522C456B"/>
    <w:rsid w:val="52315081"/>
    <w:rsid w:val="52350508"/>
    <w:rsid w:val="52350E21"/>
    <w:rsid w:val="52357396"/>
    <w:rsid w:val="5238383A"/>
    <w:rsid w:val="523B15FF"/>
    <w:rsid w:val="523B558D"/>
    <w:rsid w:val="523E560F"/>
    <w:rsid w:val="52413B63"/>
    <w:rsid w:val="52415CBB"/>
    <w:rsid w:val="52444CB7"/>
    <w:rsid w:val="524742EF"/>
    <w:rsid w:val="5247625E"/>
    <w:rsid w:val="524D04AD"/>
    <w:rsid w:val="52525A9E"/>
    <w:rsid w:val="52584BD7"/>
    <w:rsid w:val="5258652A"/>
    <w:rsid w:val="525A639D"/>
    <w:rsid w:val="525D377A"/>
    <w:rsid w:val="525F2339"/>
    <w:rsid w:val="52691E88"/>
    <w:rsid w:val="52720E14"/>
    <w:rsid w:val="527475D1"/>
    <w:rsid w:val="528172AA"/>
    <w:rsid w:val="52850972"/>
    <w:rsid w:val="528752BF"/>
    <w:rsid w:val="528B637A"/>
    <w:rsid w:val="52974E8A"/>
    <w:rsid w:val="52990B07"/>
    <w:rsid w:val="529D4895"/>
    <w:rsid w:val="529D66AF"/>
    <w:rsid w:val="52A265EF"/>
    <w:rsid w:val="52A30636"/>
    <w:rsid w:val="52A6610E"/>
    <w:rsid w:val="52A66907"/>
    <w:rsid w:val="52AB5986"/>
    <w:rsid w:val="52B22D45"/>
    <w:rsid w:val="52B379C6"/>
    <w:rsid w:val="52B92EE7"/>
    <w:rsid w:val="52BA7421"/>
    <w:rsid w:val="52BD6EC0"/>
    <w:rsid w:val="52C36E10"/>
    <w:rsid w:val="52CB4EAE"/>
    <w:rsid w:val="52CC3540"/>
    <w:rsid w:val="52D30511"/>
    <w:rsid w:val="52D41ACF"/>
    <w:rsid w:val="52D82AF9"/>
    <w:rsid w:val="52DC6BD6"/>
    <w:rsid w:val="52DD0208"/>
    <w:rsid w:val="52E00474"/>
    <w:rsid w:val="52E366C3"/>
    <w:rsid w:val="52E37B9B"/>
    <w:rsid w:val="52E8684C"/>
    <w:rsid w:val="52E921AF"/>
    <w:rsid w:val="52EE4A7C"/>
    <w:rsid w:val="52EF65D7"/>
    <w:rsid w:val="52F0443A"/>
    <w:rsid w:val="52F0631B"/>
    <w:rsid w:val="52F65930"/>
    <w:rsid w:val="52FD09DC"/>
    <w:rsid w:val="52FE4398"/>
    <w:rsid w:val="53004D9D"/>
    <w:rsid w:val="53061497"/>
    <w:rsid w:val="5306287E"/>
    <w:rsid w:val="530A38EA"/>
    <w:rsid w:val="530B58AE"/>
    <w:rsid w:val="530E423C"/>
    <w:rsid w:val="53114AD1"/>
    <w:rsid w:val="53131D48"/>
    <w:rsid w:val="531823EB"/>
    <w:rsid w:val="531A68A1"/>
    <w:rsid w:val="531C1B92"/>
    <w:rsid w:val="531E22C8"/>
    <w:rsid w:val="53221F86"/>
    <w:rsid w:val="532A5B93"/>
    <w:rsid w:val="53300F98"/>
    <w:rsid w:val="53397F2F"/>
    <w:rsid w:val="533C1422"/>
    <w:rsid w:val="533C47EA"/>
    <w:rsid w:val="5343332C"/>
    <w:rsid w:val="534530CC"/>
    <w:rsid w:val="53456EC0"/>
    <w:rsid w:val="534770FC"/>
    <w:rsid w:val="534A006C"/>
    <w:rsid w:val="534A3B3F"/>
    <w:rsid w:val="534A5513"/>
    <w:rsid w:val="534C7DBD"/>
    <w:rsid w:val="534D10A8"/>
    <w:rsid w:val="534F73A8"/>
    <w:rsid w:val="5352583F"/>
    <w:rsid w:val="53532E75"/>
    <w:rsid w:val="53565B18"/>
    <w:rsid w:val="5358075A"/>
    <w:rsid w:val="535A57F3"/>
    <w:rsid w:val="535D790B"/>
    <w:rsid w:val="535F30E5"/>
    <w:rsid w:val="535F3527"/>
    <w:rsid w:val="53621EF1"/>
    <w:rsid w:val="536C32DA"/>
    <w:rsid w:val="537006D4"/>
    <w:rsid w:val="5371731E"/>
    <w:rsid w:val="53755933"/>
    <w:rsid w:val="5378475C"/>
    <w:rsid w:val="537A179B"/>
    <w:rsid w:val="53802F12"/>
    <w:rsid w:val="5385647B"/>
    <w:rsid w:val="538A3946"/>
    <w:rsid w:val="53922527"/>
    <w:rsid w:val="53933738"/>
    <w:rsid w:val="53954E11"/>
    <w:rsid w:val="53971DA0"/>
    <w:rsid w:val="53986FA1"/>
    <w:rsid w:val="539B2198"/>
    <w:rsid w:val="539F33F0"/>
    <w:rsid w:val="53A039CC"/>
    <w:rsid w:val="53A1505A"/>
    <w:rsid w:val="53A30CCE"/>
    <w:rsid w:val="53A5007A"/>
    <w:rsid w:val="53A56972"/>
    <w:rsid w:val="53A616C5"/>
    <w:rsid w:val="53A85869"/>
    <w:rsid w:val="53A871DD"/>
    <w:rsid w:val="53B177C9"/>
    <w:rsid w:val="53B92A73"/>
    <w:rsid w:val="53B97F10"/>
    <w:rsid w:val="53BF63C3"/>
    <w:rsid w:val="53C41B44"/>
    <w:rsid w:val="53CE0632"/>
    <w:rsid w:val="53CE6C2D"/>
    <w:rsid w:val="53D038FF"/>
    <w:rsid w:val="53D14261"/>
    <w:rsid w:val="53D376C0"/>
    <w:rsid w:val="53D711C4"/>
    <w:rsid w:val="53DA4A82"/>
    <w:rsid w:val="53DC1E6E"/>
    <w:rsid w:val="53DE1C0B"/>
    <w:rsid w:val="53DE1FC5"/>
    <w:rsid w:val="53E53FB7"/>
    <w:rsid w:val="53F05640"/>
    <w:rsid w:val="53F32B79"/>
    <w:rsid w:val="53F52EAF"/>
    <w:rsid w:val="53F60BEA"/>
    <w:rsid w:val="53F84116"/>
    <w:rsid w:val="53F85EDE"/>
    <w:rsid w:val="53FB6808"/>
    <w:rsid w:val="53FC4129"/>
    <w:rsid w:val="54063E08"/>
    <w:rsid w:val="54076BD6"/>
    <w:rsid w:val="540D20D5"/>
    <w:rsid w:val="541B5C25"/>
    <w:rsid w:val="541C3665"/>
    <w:rsid w:val="541C3C19"/>
    <w:rsid w:val="541F321E"/>
    <w:rsid w:val="542449B6"/>
    <w:rsid w:val="542645AC"/>
    <w:rsid w:val="542F44DD"/>
    <w:rsid w:val="54302426"/>
    <w:rsid w:val="54320450"/>
    <w:rsid w:val="543437E8"/>
    <w:rsid w:val="543709BC"/>
    <w:rsid w:val="54372CD7"/>
    <w:rsid w:val="543D4B1B"/>
    <w:rsid w:val="543E58F7"/>
    <w:rsid w:val="5440704D"/>
    <w:rsid w:val="544171D6"/>
    <w:rsid w:val="54442D29"/>
    <w:rsid w:val="5444513C"/>
    <w:rsid w:val="544874AE"/>
    <w:rsid w:val="544B09B7"/>
    <w:rsid w:val="544C1A1C"/>
    <w:rsid w:val="544D1B39"/>
    <w:rsid w:val="544D4BF5"/>
    <w:rsid w:val="54513BEA"/>
    <w:rsid w:val="54531217"/>
    <w:rsid w:val="5458123A"/>
    <w:rsid w:val="54584DF4"/>
    <w:rsid w:val="545F7ECA"/>
    <w:rsid w:val="54613836"/>
    <w:rsid w:val="5463637E"/>
    <w:rsid w:val="54654A42"/>
    <w:rsid w:val="54666D5F"/>
    <w:rsid w:val="546724CF"/>
    <w:rsid w:val="54680029"/>
    <w:rsid w:val="546A0150"/>
    <w:rsid w:val="546B08A3"/>
    <w:rsid w:val="546C58E8"/>
    <w:rsid w:val="546D69AE"/>
    <w:rsid w:val="546D6DDC"/>
    <w:rsid w:val="54760D33"/>
    <w:rsid w:val="547E6196"/>
    <w:rsid w:val="5482322A"/>
    <w:rsid w:val="54876CC4"/>
    <w:rsid w:val="549131B9"/>
    <w:rsid w:val="54916C9C"/>
    <w:rsid w:val="54952A3A"/>
    <w:rsid w:val="54972CA0"/>
    <w:rsid w:val="549A28A4"/>
    <w:rsid w:val="549C61C8"/>
    <w:rsid w:val="54A34230"/>
    <w:rsid w:val="54A70DC1"/>
    <w:rsid w:val="54A87049"/>
    <w:rsid w:val="54AE4815"/>
    <w:rsid w:val="54B400FB"/>
    <w:rsid w:val="54B5704B"/>
    <w:rsid w:val="54B604F3"/>
    <w:rsid w:val="54BB3347"/>
    <w:rsid w:val="54BF0B57"/>
    <w:rsid w:val="54C04AD3"/>
    <w:rsid w:val="54C06D50"/>
    <w:rsid w:val="54C3607E"/>
    <w:rsid w:val="54C918DE"/>
    <w:rsid w:val="54CA6DD9"/>
    <w:rsid w:val="54CE1E4D"/>
    <w:rsid w:val="54D34996"/>
    <w:rsid w:val="54D37D08"/>
    <w:rsid w:val="54D462D0"/>
    <w:rsid w:val="54D73AF9"/>
    <w:rsid w:val="54D76F80"/>
    <w:rsid w:val="54D83543"/>
    <w:rsid w:val="54DC6FDC"/>
    <w:rsid w:val="54DE1BA0"/>
    <w:rsid w:val="54DE486E"/>
    <w:rsid w:val="54E63CC7"/>
    <w:rsid w:val="54E96A22"/>
    <w:rsid w:val="54EA1E44"/>
    <w:rsid w:val="54EB6318"/>
    <w:rsid w:val="54F715AD"/>
    <w:rsid w:val="54F73313"/>
    <w:rsid w:val="54F80955"/>
    <w:rsid w:val="55003009"/>
    <w:rsid w:val="5501052A"/>
    <w:rsid w:val="550333C4"/>
    <w:rsid w:val="55060F5A"/>
    <w:rsid w:val="550B56F8"/>
    <w:rsid w:val="550D3076"/>
    <w:rsid w:val="55111D14"/>
    <w:rsid w:val="55123F38"/>
    <w:rsid w:val="551868E3"/>
    <w:rsid w:val="551A79D1"/>
    <w:rsid w:val="551C0C8F"/>
    <w:rsid w:val="552115FB"/>
    <w:rsid w:val="5521561D"/>
    <w:rsid w:val="552E78D4"/>
    <w:rsid w:val="55395D04"/>
    <w:rsid w:val="55446516"/>
    <w:rsid w:val="554B71BA"/>
    <w:rsid w:val="554C1DF1"/>
    <w:rsid w:val="554D6AB6"/>
    <w:rsid w:val="554F2100"/>
    <w:rsid w:val="5550509D"/>
    <w:rsid w:val="555170A7"/>
    <w:rsid w:val="55551634"/>
    <w:rsid w:val="555962BC"/>
    <w:rsid w:val="55603AEE"/>
    <w:rsid w:val="55607C3C"/>
    <w:rsid w:val="55610E96"/>
    <w:rsid w:val="55652EB2"/>
    <w:rsid w:val="55654C60"/>
    <w:rsid w:val="556D7DB3"/>
    <w:rsid w:val="556E654C"/>
    <w:rsid w:val="557355CF"/>
    <w:rsid w:val="55782BE6"/>
    <w:rsid w:val="5578512E"/>
    <w:rsid w:val="55811BB9"/>
    <w:rsid w:val="55864DEF"/>
    <w:rsid w:val="5587536D"/>
    <w:rsid w:val="55885246"/>
    <w:rsid w:val="55906D6F"/>
    <w:rsid w:val="559864F8"/>
    <w:rsid w:val="559B174B"/>
    <w:rsid w:val="559D0F4E"/>
    <w:rsid w:val="559E7C62"/>
    <w:rsid w:val="559F0850"/>
    <w:rsid w:val="55A376CA"/>
    <w:rsid w:val="55A75D8B"/>
    <w:rsid w:val="55AF157A"/>
    <w:rsid w:val="55B11FE2"/>
    <w:rsid w:val="55B2401D"/>
    <w:rsid w:val="55B642C0"/>
    <w:rsid w:val="55B856D8"/>
    <w:rsid w:val="55B85DB7"/>
    <w:rsid w:val="55B93CB2"/>
    <w:rsid w:val="55B9567B"/>
    <w:rsid w:val="55C15EE0"/>
    <w:rsid w:val="55C47979"/>
    <w:rsid w:val="55CE0CF4"/>
    <w:rsid w:val="55D0046E"/>
    <w:rsid w:val="55DA38A0"/>
    <w:rsid w:val="55E42029"/>
    <w:rsid w:val="55E53FF3"/>
    <w:rsid w:val="55E61A0E"/>
    <w:rsid w:val="55E85B4B"/>
    <w:rsid w:val="55EE77F5"/>
    <w:rsid w:val="55EF09CE"/>
    <w:rsid w:val="55F01011"/>
    <w:rsid w:val="55F45FE4"/>
    <w:rsid w:val="55F50BEF"/>
    <w:rsid w:val="55F61D5C"/>
    <w:rsid w:val="55F62CF0"/>
    <w:rsid w:val="55F805D9"/>
    <w:rsid w:val="55FE1998"/>
    <w:rsid w:val="5602343C"/>
    <w:rsid w:val="56031234"/>
    <w:rsid w:val="56076F6D"/>
    <w:rsid w:val="56083AFD"/>
    <w:rsid w:val="560A2AD1"/>
    <w:rsid w:val="56123F7E"/>
    <w:rsid w:val="56135F3E"/>
    <w:rsid w:val="56151ED3"/>
    <w:rsid w:val="561623FF"/>
    <w:rsid w:val="56165D23"/>
    <w:rsid w:val="561A0C9B"/>
    <w:rsid w:val="561D19DF"/>
    <w:rsid w:val="562A31C9"/>
    <w:rsid w:val="562B7C58"/>
    <w:rsid w:val="562D4A76"/>
    <w:rsid w:val="56316E40"/>
    <w:rsid w:val="563368FC"/>
    <w:rsid w:val="56357408"/>
    <w:rsid w:val="563B63A5"/>
    <w:rsid w:val="563C53DB"/>
    <w:rsid w:val="563C7E49"/>
    <w:rsid w:val="563F0985"/>
    <w:rsid w:val="56432105"/>
    <w:rsid w:val="564F4838"/>
    <w:rsid w:val="56565055"/>
    <w:rsid w:val="565D6EC9"/>
    <w:rsid w:val="56625644"/>
    <w:rsid w:val="56633896"/>
    <w:rsid w:val="56660156"/>
    <w:rsid w:val="567802BD"/>
    <w:rsid w:val="568005F3"/>
    <w:rsid w:val="56834498"/>
    <w:rsid w:val="568371CD"/>
    <w:rsid w:val="56853875"/>
    <w:rsid w:val="568972EE"/>
    <w:rsid w:val="568B6949"/>
    <w:rsid w:val="568D43E4"/>
    <w:rsid w:val="568D5D45"/>
    <w:rsid w:val="568F1A9C"/>
    <w:rsid w:val="568F30B1"/>
    <w:rsid w:val="569B3A4B"/>
    <w:rsid w:val="56A07E8E"/>
    <w:rsid w:val="56A8025B"/>
    <w:rsid w:val="56AF7DB3"/>
    <w:rsid w:val="56B22A9C"/>
    <w:rsid w:val="56B7467B"/>
    <w:rsid w:val="56B76594"/>
    <w:rsid w:val="56BA1F30"/>
    <w:rsid w:val="56BD181E"/>
    <w:rsid w:val="56BE7882"/>
    <w:rsid w:val="56C11BC7"/>
    <w:rsid w:val="56C2040F"/>
    <w:rsid w:val="56CB3FAD"/>
    <w:rsid w:val="56CB545D"/>
    <w:rsid w:val="56CC1AFB"/>
    <w:rsid w:val="56CD420E"/>
    <w:rsid w:val="56CF07D4"/>
    <w:rsid w:val="56D1195A"/>
    <w:rsid w:val="56DA342C"/>
    <w:rsid w:val="56DF16E4"/>
    <w:rsid w:val="56E12653"/>
    <w:rsid w:val="56E17BB3"/>
    <w:rsid w:val="56E524FD"/>
    <w:rsid w:val="56E56462"/>
    <w:rsid w:val="56E83D9B"/>
    <w:rsid w:val="56EB73E7"/>
    <w:rsid w:val="56F25249"/>
    <w:rsid w:val="56F43321"/>
    <w:rsid w:val="56F6096D"/>
    <w:rsid w:val="56FB6DC3"/>
    <w:rsid w:val="56FF2D8B"/>
    <w:rsid w:val="5701661C"/>
    <w:rsid w:val="57030CEE"/>
    <w:rsid w:val="57100212"/>
    <w:rsid w:val="571A5804"/>
    <w:rsid w:val="571A617C"/>
    <w:rsid w:val="571D3A3B"/>
    <w:rsid w:val="57206E07"/>
    <w:rsid w:val="57223185"/>
    <w:rsid w:val="57236B81"/>
    <w:rsid w:val="57251879"/>
    <w:rsid w:val="57272B15"/>
    <w:rsid w:val="57286D07"/>
    <w:rsid w:val="57296FFD"/>
    <w:rsid w:val="572E4FA5"/>
    <w:rsid w:val="57371141"/>
    <w:rsid w:val="573738EF"/>
    <w:rsid w:val="573F383F"/>
    <w:rsid w:val="57465A68"/>
    <w:rsid w:val="57482A8C"/>
    <w:rsid w:val="57494111"/>
    <w:rsid w:val="57534822"/>
    <w:rsid w:val="575767D5"/>
    <w:rsid w:val="575C08BB"/>
    <w:rsid w:val="57610D53"/>
    <w:rsid w:val="576476B3"/>
    <w:rsid w:val="576A0C54"/>
    <w:rsid w:val="57735343"/>
    <w:rsid w:val="57767A8A"/>
    <w:rsid w:val="5777658B"/>
    <w:rsid w:val="577D328C"/>
    <w:rsid w:val="577E55A6"/>
    <w:rsid w:val="578F5108"/>
    <w:rsid w:val="57907015"/>
    <w:rsid w:val="57913D66"/>
    <w:rsid w:val="579E1082"/>
    <w:rsid w:val="57A06424"/>
    <w:rsid w:val="57A73886"/>
    <w:rsid w:val="57A93CD5"/>
    <w:rsid w:val="57AC2F52"/>
    <w:rsid w:val="57AC50AC"/>
    <w:rsid w:val="57AF1B0B"/>
    <w:rsid w:val="57B41ECF"/>
    <w:rsid w:val="57B564B9"/>
    <w:rsid w:val="57B72A76"/>
    <w:rsid w:val="57BC560F"/>
    <w:rsid w:val="57BE1941"/>
    <w:rsid w:val="57C22471"/>
    <w:rsid w:val="57C3426C"/>
    <w:rsid w:val="57CB7028"/>
    <w:rsid w:val="57CE1F93"/>
    <w:rsid w:val="57CF4CEF"/>
    <w:rsid w:val="57D305A7"/>
    <w:rsid w:val="57D63BF4"/>
    <w:rsid w:val="57D75E0B"/>
    <w:rsid w:val="57DA594B"/>
    <w:rsid w:val="57DA7B88"/>
    <w:rsid w:val="57DD1049"/>
    <w:rsid w:val="57DD4F82"/>
    <w:rsid w:val="57E25094"/>
    <w:rsid w:val="57E31E33"/>
    <w:rsid w:val="57E37DEE"/>
    <w:rsid w:val="57EC4A22"/>
    <w:rsid w:val="57ED0501"/>
    <w:rsid w:val="57F011A3"/>
    <w:rsid w:val="57F350EA"/>
    <w:rsid w:val="57FD28A3"/>
    <w:rsid w:val="57FE278B"/>
    <w:rsid w:val="58021779"/>
    <w:rsid w:val="58036DA3"/>
    <w:rsid w:val="580379E4"/>
    <w:rsid w:val="580A4BC1"/>
    <w:rsid w:val="58193E59"/>
    <w:rsid w:val="581A61D6"/>
    <w:rsid w:val="581C6454"/>
    <w:rsid w:val="581D1822"/>
    <w:rsid w:val="58216E4D"/>
    <w:rsid w:val="58245B9F"/>
    <w:rsid w:val="582569BD"/>
    <w:rsid w:val="58265B30"/>
    <w:rsid w:val="5827693E"/>
    <w:rsid w:val="582813FF"/>
    <w:rsid w:val="5829243D"/>
    <w:rsid w:val="582C5901"/>
    <w:rsid w:val="58411417"/>
    <w:rsid w:val="58444DAD"/>
    <w:rsid w:val="58447A25"/>
    <w:rsid w:val="58491DF8"/>
    <w:rsid w:val="584D65AC"/>
    <w:rsid w:val="58521164"/>
    <w:rsid w:val="585861BF"/>
    <w:rsid w:val="5859425E"/>
    <w:rsid w:val="585B7376"/>
    <w:rsid w:val="5861672E"/>
    <w:rsid w:val="58652863"/>
    <w:rsid w:val="58657F9F"/>
    <w:rsid w:val="586645E1"/>
    <w:rsid w:val="58674BDC"/>
    <w:rsid w:val="587236E2"/>
    <w:rsid w:val="587A4EC7"/>
    <w:rsid w:val="587B567D"/>
    <w:rsid w:val="587D01CF"/>
    <w:rsid w:val="587E78C4"/>
    <w:rsid w:val="58825B29"/>
    <w:rsid w:val="588557F3"/>
    <w:rsid w:val="58872DB7"/>
    <w:rsid w:val="588743D1"/>
    <w:rsid w:val="5887701A"/>
    <w:rsid w:val="588B5FCD"/>
    <w:rsid w:val="58916EC2"/>
    <w:rsid w:val="58930FD5"/>
    <w:rsid w:val="5895244F"/>
    <w:rsid w:val="589C20B9"/>
    <w:rsid w:val="58A11C34"/>
    <w:rsid w:val="58A44EED"/>
    <w:rsid w:val="58A6611D"/>
    <w:rsid w:val="58AD4348"/>
    <w:rsid w:val="58AD7ABF"/>
    <w:rsid w:val="58B148B7"/>
    <w:rsid w:val="58BA6694"/>
    <w:rsid w:val="58BA73E8"/>
    <w:rsid w:val="58C058EB"/>
    <w:rsid w:val="58C06842"/>
    <w:rsid w:val="58C4438B"/>
    <w:rsid w:val="58C66ECB"/>
    <w:rsid w:val="58C72326"/>
    <w:rsid w:val="58CD521B"/>
    <w:rsid w:val="58CD6E7E"/>
    <w:rsid w:val="58CF353E"/>
    <w:rsid w:val="58D04AE7"/>
    <w:rsid w:val="58D508C9"/>
    <w:rsid w:val="58D676DB"/>
    <w:rsid w:val="58D8399B"/>
    <w:rsid w:val="58D97E3F"/>
    <w:rsid w:val="58DF0B2F"/>
    <w:rsid w:val="58E06F8A"/>
    <w:rsid w:val="58E261E4"/>
    <w:rsid w:val="58E330F2"/>
    <w:rsid w:val="58E6255C"/>
    <w:rsid w:val="58E77B9B"/>
    <w:rsid w:val="58F20904"/>
    <w:rsid w:val="58F44656"/>
    <w:rsid w:val="58FA3E84"/>
    <w:rsid w:val="59043882"/>
    <w:rsid w:val="59050686"/>
    <w:rsid w:val="59081A62"/>
    <w:rsid w:val="590C33B6"/>
    <w:rsid w:val="59133203"/>
    <w:rsid w:val="59147C5A"/>
    <w:rsid w:val="591508F0"/>
    <w:rsid w:val="591C03CE"/>
    <w:rsid w:val="591C538C"/>
    <w:rsid w:val="591D07CC"/>
    <w:rsid w:val="591D3487"/>
    <w:rsid w:val="591E0E2B"/>
    <w:rsid w:val="592204C6"/>
    <w:rsid w:val="592254B1"/>
    <w:rsid w:val="59227E09"/>
    <w:rsid w:val="59291E72"/>
    <w:rsid w:val="59296DC2"/>
    <w:rsid w:val="592C17D9"/>
    <w:rsid w:val="592C30A3"/>
    <w:rsid w:val="592C608C"/>
    <w:rsid w:val="593270FC"/>
    <w:rsid w:val="593432A7"/>
    <w:rsid w:val="593B0CDD"/>
    <w:rsid w:val="593F4329"/>
    <w:rsid w:val="594159E5"/>
    <w:rsid w:val="594528CC"/>
    <w:rsid w:val="59491A85"/>
    <w:rsid w:val="594A2AEB"/>
    <w:rsid w:val="594C401A"/>
    <w:rsid w:val="59512621"/>
    <w:rsid w:val="59592D2E"/>
    <w:rsid w:val="595A1B48"/>
    <w:rsid w:val="595D3237"/>
    <w:rsid w:val="595F61F1"/>
    <w:rsid w:val="596040BD"/>
    <w:rsid w:val="59644507"/>
    <w:rsid w:val="59767F63"/>
    <w:rsid w:val="597D4D84"/>
    <w:rsid w:val="5980268A"/>
    <w:rsid w:val="59845C18"/>
    <w:rsid w:val="598B4207"/>
    <w:rsid w:val="59977E13"/>
    <w:rsid w:val="59A07EAD"/>
    <w:rsid w:val="59A264E7"/>
    <w:rsid w:val="59A852A6"/>
    <w:rsid w:val="59AB3DA5"/>
    <w:rsid w:val="59B04877"/>
    <w:rsid w:val="59B37E99"/>
    <w:rsid w:val="59C0439F"/>
    <w:rsid w:val="59C2599A"/>
    <w:rsid w:val="59C90BC8"/>
    <w:rsid w:val="59CC0BBC"/>
    <w:rsid w:val="59D1618A"/>
    <w:rsid w:val="59DC4B49"/>
    <w:rsid w:val="59E16CEC"/>
    <w:rsid w:val="59E20C18"/>
    <w:rsid w:val="59E226B7"/>
    <w:rsid w:val="59E830AF"/>
    <w:rsid w:val="59EC2E67"/>
    <w:rsid w:val="59EF397E"/>
    <w:rsid w:val="59F34F31"/>
    <w:rsid w:val="59F52EB3"/>
    <w:rsid w:val="59F6207C"/>
    <w:rsid w:val="59F76659"/>
    <w:rsid w:val="59F814F2"/>
    <w:rsid w:val="59FB591B"/>
    <w:rsid w:val="59FD46D1"/>
    <w:rsid w:val="59FE7AB1"/>
    <w:rsid w:val="5A0051FD"/>
    <w:rsid w:val="5A02255D"/>
    <w:rsid w:val="5A025174"/>
    <w:rsid w:val="5A026534"/>
    <w:rsid w:val="5A0709DC"/>
    <w:rsid w:val="5A08383E"/>
    <w:rsid w:val="5A0B0EE1"/>
    <w:rsid w:val="5A0D79FC"/>
    <w:rsid w:val="5A0D7EE8"/>
    <w:rsid w:val="5A0E748D"/>
    <w:rsid w:val="5A132EDD"/>
    <w:rsid w:val="5A141DDD"/>
    <w:rsid w:val="5A177FD5"/>
    <w:rsid w:val="5A190A38"/>
    <w:rsid w:val="5A1A0639"/>
    <w:rsid w:val="5A1A06CB"/>
    <w:rsid w:val="5A1B6BE2"/>
    <w:rsid w:val="5A1D02BF"/>
    <w:rsid w:val="5A1D6CBC"/>
    <w:rsid w:val="5A1F78AC"/>
    <w:rsid w:val="5A221372"/>
    <w:rsid w:val="5A231B6A"/>
    <w:rsid w:val="5A2320DF"/>
    <w:rsid w:val="5A2354B3"/>
    <w:rsid w:val="5A285601"/>
    <w:rsid w:val="5A2F7F4E"/>
    <w:rsid w:val="5A3612C1"/>
    <w:rsid w:val="5A364CE6"/>
    <w:rsid w:val="5A42043C"/>
    <w:rsid w:val="5A494B51"/>
    <w:rsid w:val="5A4D0406"/>
    <w:rsid w:val="5A4D6EA4"/>
    <w:rsid w:val="5A4E3CD4"/>
    <w:rsid w:val="5A500DFC"/>
    <w:rsid w:val="5A504131"/>
    <w:rsid w:val="5A533063"/>
    <w:rsid w:val="5A5534F6"/>
    <w:rsid w:val="5A6008B2"/>
    <w:rsid w:val="5A662A6C"/>
    <w:rsid w:val="5A694B75"/>
    <w:rsid w:val="5A6B429A"/>
    <w:rsid w:val="5A6E782F"/>
    <w:rsid w:val="5A7406C5"/>
    <w:rsid w:val="5A757203"/>
    <w:rsid w:val="5A7C4F26"/>
    <w:rsid w:val="5A7F6225"/>
    <w:rsid w:val="5A85681A"/>
    <w:rsid w:val="5A8F4B98"/>
    <w:rsid w:val="5A987886"/>
    <w:rsid w:val="5A9B1124"/>
    <w:rsid w:val="5A9C1072"/>
    <w:rsid w:val="5AA24595"/>
    <w:rsid w:val="5AA45755"/>
    <w:rsid w:val="5AA5177E"/>
    <w:rsid w:val="5AB521E6"/>
    <w:rsid w:val="5AB700CB"/>
    <w:rsid w:val="5ABB7F7D"/>
    <w:rsid w:val="5ABC682F"/>
    <w:rsid w:val="5ABC7BB0"/>
    <w:rsid w:val="5ABD675D"/>
    <w:rsid w:val="5ABE2233"/>
    <w:rsid w:val="5ABE6327"/>
    <w:rsid w:val="5AC42429"/>
    <w:rsid w:val="5AC97A40"/>
    <w:rsid w:val="5ACC5514"/>
    <w:rsid w:val="5AD01949"/>
    <w:rsid w:val="5AD703AE"/>
    <w:rsid w:val="5AD72B63"/>
    <w:rsid w:val="5AD85ED5"/>
    <w:rsid w:val="5ADE2DE5"/>
    <w:rsid w:val="5AE64A95"/>
    <w:rsid w:val="5AE66844"/>
    <w:rsid w:val="5AE95029"/>
    <w:rsid w:val="5AF419D8"/>
    <w:rsid w:val="5B012B73"/>
    <w:rsid w:val="5B0252C7"/>
    <w:rsid w:val="5B062E28"/>
    <w:rsid w:val="5B09032E"/>
    <w:rsid w:val="5B092532"/>
    <w:rsid w:val="5B0A01F0"/>
    <w:rsid w:val="5B0C298F"/>
    <w:rsid w:val="5B121D54"/>
    <w:rsid w:val="5B122CBA"/>
    <w:rsid w:val="5B13515F"/>
    <w:rsid w:val="5B1C4013"/>
    <w:rsid w:val="5B2B5A74"/>
    <w:rsid w:val="5B303B6B"/>
    <w:rsid w:val="5B3846F9"/>
    <w:rsid w:val="5B39238C"/>
    <w:rsid w:val="5B392C5D"/>
    <w:rsid w:val="5B3B4D2D"/>
    <w:rsid w:val="5B417D01"/>
    <w:rsid w:val="5B417F1E"/>
    <w:rsid w:val="5B467AA5"/>
    <w:rsid w:val="5B4E6926"/>
    <w:rsid w:val="5B4F27AC"/>
    <w:rsid w:val="5B590DC3"/>
    <w:rsid w:val="5B5B0D0A"/>
    <w:rsid w:val="5B640CB4"/>
    <w:rsid w:val="5B666C6F"/>
    <w:rsid w:val="5B6C2F78"/>
    <w:rsid w:val="5B6D2F7E"/>
    <w:rsid w:val="5B7A4E4F"/>
    <w:rsid w:val="5B811C64"/>
    <w:rsid w:val="5B827889"/>
    <w:rsid w:val="5B8A314C"/>
    <w:rsid w:val="5B8A52FC"/>
    <w:rsid w:val="5B973203"/>
    <w:rsid w:val="5B9D51C3"/>
    <w:rsid w:val="5B9E3002"/>
    <w:rsid w:val="5B9F488D"/>
    <w:rsid w:val="5B9F4AE2"/>
    <w:rsid w:val="5BA57753"/>
    <w:rsid w:val="5BAA4822"/>
    <w:rsid w:val="5BAF3234"/>
    <w:rsid w:val="5BB154D8"/>
    <w:rsid w:val="5BB35E89"/>
    <w:rsid w:val="5BB825CE"/>
    <w:rsid w:val="5BBD1D57"/>
    <w:rsid w:val="5BBE15FA"/>
    <w:rsid w:val="5BBE54ED"/>
    <w:rsid w:val="5BC31F35"/>
    <w:rsid w:val="5BC326E1"/>
    <w:rsid w:val="5BC66F6E"/>
    <w:rsid w:val="5BC953CD"/>
    <w:rsid w:val="5BCB529F"/>
    <w:rsid w:val="5BD3328F"/>
    <w:rsid w:val="5BD37CCC"/>
    <w:rsid w:val="5BD424E2"/>
    <w:rsid w:val="5BD60438"/>
    <w:rsid w:val="5BDD4AF7"/>
    <w:rsid w:val="5BDF5D95"/>
    <w:rsid w:val="5BE1136C"/>
    <w:rsid w:val="5BE2525D"/>
    <w:rsid w:val="5BE77F3D"/>
    <w:rsid w:val="5BED4A43"/>
    <w:rsid w:val="5BF03972"/>
    <w:rsid w:val="5BFC24D6"/>
    <w:rsid w:val="5BFD175A"/>
    <w:rsid w:val="5BFE382E"/>
    <w:rsid w:val="5BFE7528"/>
    <w:rsid w:val="5C00122C"/>
    <w:rsid w:val="5C054244"/>
    <w:rsid w:val="5C0C010D"/>
    <w:rsid w:val="5C0D7E00"/>
    <w:rsid w:val="5C1C3F01"/>
    <w:rsid w:val="5C1D685F"/>
    <w:rsid w:val="5C1E21B9"/>
    <w:rsid w:val="5C204377"/>
    <w:rsid w:val="5C237623"/>
    <w:rsid w:val="5C241F42"/>
    <w:rsid w:val="5C263381"/>
    <w:rsid w:val="5C381E93"/>
    <w:rsid w:val="5C3B115F"/>
    <w:rsid w:val="5C410821"/>
    <w:rsid w:val="5C4147D5"/>
    <w:rsid w:val="5C434E18"/>
    <w:rsid w:val="5C442D47"/>
    <w:rsid w:val="5C445D8A"/>
    <w:rsid w:val="5C486997"/>
    <w:rsid w:val="5C4C26D6"/>
    <w:rsid w:val="5C4D24E6"/>
    <w:rsid w:val="5C507A19"/>
    <w:rsid w:val="5C545A69"/>
    <w:rsid w:val="5C5477DD"/>
    <w:rsid w:val="5C5671C2"/>
    <w:rsid w:val="5C5D3C9A"/>
    <w:rsid w:val="5C647336"/>
    <w:rsid w:val="5C6602BD"/>
    <w:rsid w:val="5C6F6B15"/>
    <w:rsid w:val="5C757E7F"/>
    <w:rsid w:val="5C780E37"/>
    <w:rsid w:val="5C793799"/>
    <w:rsid w:val="5C7A0510"/>
    <w:rsid w:val="5C7A6932"/>
    <w:rsid w:val="5C7B5732"/>
    <w:rsid w:val="5C84131B"/>
    <w:rsid w:val="5C844A63"/>
    <w:rsid w:val="5C89454A"/>
    <w:rsid w:val="5C977D20"/>
    <w:rsid w:val="5C98544A"/>
    <w:rsid w:val="5C9C24A4"/>
    <w:rsid w:val="5C9D30FF"/>
    <w:rsid w:val="5CA05560"/>
    <w:rsid w:val="5CA40764"/>
    <w:rsid w:val="5CA442C0"/>
    <w:rsid w:val="5CAD1A22"/>
    <w:rsid w:val="5CAE6381"/>
    <w:rsid w:val="5CB544A5"/>
    <w:rsid w:val="5CC559BA"/>
    <w:rsid w:val="5CC86299"/>
    <w:rsid w:val="5CCE0E87"/>
    <w:rsid w:val="5CCE2146"/>
    <w:rsid w:val="5CD6788F"/>
    <w:rsid w:val="5CD72C3B"/>
    <w:rsid w:val="5CD758C6"/>
    <w:rsid w:val="5CD834A8"/>
    <w:rsid w:val="5CD91182"/>
    <w:rsid w:val="5CE13766"/>
    <w:rsid w:val="5CF4004C"/>
    <w:rsid w:val="5CFA4E17"/>
    <w:rsid w:val="5CFA59C8"/>
    <w:rsid w:val="5CFA6D49"/>
    <w:rsid w:val="5CFD4642"/>
    <w:rsid w:val="5D05644B"/>
    <w:rsid w:val="5D0D3330"/>
    <w:rsid w:val="5D0D5B43"/>
    <w:rsid w:val="5D116D88"/>
    <w:rsid w:val="5D121A58"/>
    <w:rsid w:val="5D1706E5"/>
    <w:rsid w:val="5D177613"/>
    <w:rsid w:val="5D285A6C"/>
    <w:rsid w:val="5D2B6790"/>
    <w:rsid w:val="5D2C1FC4"/>
    <w:rsid w:val="5D2D3011"/>
    <w:rsid w:val="5D315CD5"/>
    <w:rsid w:val="5D340915"/>
    <w:rsid w:val="5D355E4C"/>
    <w:rsid w:val="5D3F41C0"/>
    <w:rsid w:val="5D414205"/>
    <w:rsid w:val="5D423AD9"/>
    <w:rsid w:val="5D435678"/>
    <w:rsid w:val="5D4409AE"/>
    <w:rsid w:val="5D460E71"/>
    <w:rsid w:val="5D464E06"/>
    <w:rsid w:val="5D471B04"/>
    <w:rsid w:val="5D48418C"/>
    <w:rsid w:val="5D4B6E32"/>
    <w:rsid w:val="5D55318D"/>
    <w:rsid w:val="5D587872"/>
    <w:rsid w:val="5D5977A1"/>
    <w:rsid w:val="5D5F0D72"/>
    <w:rsid w:val="5D646EB5"/>
    <w:rsid w:val="5D6D28E6"/>
    <w:rsid w:val="5D6E0772"/>
    <w:rsid w:val="5D6F2B20"/>
    <w:rsid w:val="5D712D78"/>
    <w:rsid w:val="5D75349F"/>
    <w:rsid w:val="5D75737A"/>
    <w:rsid w:val="5D77546E"/>
    <w:rsid w:val="5D787561"/>
    <w:rsid w:val="5D8320BA"/>
    <w:rsid w:val="5D8514A0"/>
    <w:rsid w:val="5D857857"/>
    <w:rsid w:val="5D8607A9"/>
    <w:rsid w:val="5D8630FA"/>
    <w:rsid w:val="5D870618"/>
    <w:rsid w:val="5D8F6547"/>
    <w:rsid w:val="5D937D6D"/>
    <w:rsid w:val="5D9516A5"/>
    <w:rsid w:val="5D956DD5"/>
    <w:rsid w:val="5D995DEF"/>
    <w:rsid w:val="5D9D6089"/>
    <w:rsid w:val="5DA54957"/>
    <w:rsid w:val="5DAB154C"/>
    <w:rsid w:val="5DAB6C14"/>
    <w:rsid w:val="5DAD47C9"/>
    <w:rsid w:val="5DB6091A"/>
    <w:rsid w:val="5DB82D9D"/>
    <w:rsid w:val="5DBB6E5A"/>
    <w:rsid w:val="5DC15547"/>
    <w:rsid w:val="5DC7295C"/>
    <w:rsid w:val="5DC903B9"/>
    <w:rsid w:val="5DD67507"/>
    <w:rsid w:val="5DD8149E"/>
    <w:rsid w:val="5DD843EB"/>
    <w:rsid w:val="5DDB4FFA"/>
    <w:rsid w:val="5DDD3E2F"/>
    <w:rsid w:val="5DDF125E"/>
    <w:rsid w:val="5DE34D55"/>
    <w:rsid w:val="5DEB007E"/>
    <w:rsid w:val="5DEE4200"/>
    <w:rsid w:val="5DEF1EB3"/>
    <w:rsid w:val="5DF17A89"/>
    <w:rsid w:val="5DF94D5D"/>
    <w:rsid w:val="5DFF4583"/>
    <w:rsid w:val="5DFF7AD9"/>
    <w:rsid w:val="5E016E94"/>
    <w:rsid w:val="5E100BA6"/>
    <w:rsid w:val="5E107465"/>
    <w:rsid w:val="5E176EEA"/>
    <w:rsid w:val="5E182800"/>
    <w:rsid w:val="5E2259AE"/>
    <w:rsid w:val="5E2467F1"/>
    <w:rsid w:val="5E2753FD"/>
    <w:rsid w:val="5E2819E4"/>
    <w:rsid w:val="5E2946CA"/>
    <w:rsid w:val="5E30675F"/>
    <w:rsid w:val="5E3260D1"/>
    <w:rsid w:val="5E343D6A"/>
    <w:rsid w:val="5E3D0C05"/>
    <w:rsid w:val="5E3D19CE"/>
    <w:rsid w:val="5E454E84"/>
    <w:rsid w:val="5E5146AF"/>
    <w:rsid w:val="5E537587"/>
    <w:rsid w:val="5E543B3B"/>
    <w:rsid w:val="5E5D6414"/>
    <w:rsid w:val="5E5D6E1D"/>
    <w:rsid w:val="5E615166"/>
    <w:rsid w:val="5E646F79"/>
    <w:rsid w:val="5E650E61"/>
    <w:rsid w:val="5E6712A0"/>
    <w:rsid w:val="5E6C52B2"/>
    <w:rsid w:val="5E710DB3"/>
    <w:rsid w:val="5E771C64"/>
    <w:rsid w:val="5E7720EF"/>
    <w:rsid w:val="5E7A5C21"/>
    <w:rsid w:val="5E7F4FE5"/>
    <w:rsid w:val="5E82342A"/>
    <w:rsid w:val="5E831C51"/>
    <w:rsid w:val="5E836449"/>
    <w:rsid w:val="5E875C48"/>
    <w:rsid w:val="5E885DD4"/>
    <w:rsid w:val="5E8A669C"/>
    <w:rsid w:val="5E8C7702"/>
    <w:rsid w:val="5E9C3FC8"/>
    <w:rsid w:val="5E9C4AD2"/>
    <w:rsid w:val="5E9E69B5"/>
    <w:rsid w:val="5EA27609"/>
    <w:rsid w:val="5EA41962"/>
    <w:rsid w:val="5EA550A2"/>
    <w:rsid w:val="5EB05150"/>
    <w:rsid w:val="5EB54B9F"/>
    <w:rsid w:val="5EB70901"/>
    <w:rsid w:val="5EB7681F"/>
    <w:rsid w:val="5EB80A1B"/>
    <w:rsid w:val="5EBC3DF8"/>
    <w:rsid w:val="5EC3794B"/>
    <w:rsid w:val="5ECD065D"/>
    <w:rsid w:val="5ED02B33"/>
    <w:rsid w:val="5ED308D2"/>
    <w:rsid w:val="5ED95205"/>
    <w:rsid w:val="5EDA1B7C"/>
    <w:rsid w:val="5EDC1FD4"/>
    <w:rsid w:val="5EE00608"/>
    <w:rsid w:val="5EE60C28"/>
    <w:rsid w:val="5EE70158"/>
    <w:rsid w:val="5EE930EA"/>
    <w:rsid w:val="5EED13DC"/>
    <w:rsid w:val="5EED6356"/>
    <w:rsid w:val="5EFA1FCD"/>
    <w:rsid w:val="5EFA7670"/>
    <w:rsid w:val="5EFC5964"/>
    <w:rsid w:val="5EFD215C"/>
    <w:rsid w:val="5EFD5E4F"/>
    <w:rsid w:val="5EFE16DD"/>
    <w:rsid w:val="5F054F25"/>
    <w:rsid w:val="5F0840E6"/>
    <w:rsid w:val="5F090D52"/>
    <w:rsid w:val="5F09129B"/>
    <w:rsid w:val="5F0A1402"/>
    <w:rsid w:val="5F122988"/>
    <w:rsid w:val="5F1310D5"/>
    <w:rsid w:val="5F164453"/>
    <w:rsid w:val="5F1A2B43"/>
    <w:rsid w:val="5F1F06BF"/>
    <w:rsid w:val="5F204D6E"/>
    <w:rsid w:val="5F2623AA"/>
    <w:rsid w:val="5F272A8C"/>
    <w:rsid w:val="5F2E6A0B"/>
    <w:rsid w:val="5F2F1531"/>
    <w:rsid w:val="5F3078E3"/>
    <w:rsid w:val="5F312447"/>
    <w:rsid w:val="5F3244D7"/>
    <w:rsid w:val="5F3C7233"/>
    <w:rsid w:val="5F45610A"/>
    <w:rsid w:val="5F465261"/>
    <w:rsid w:val="5F467FBE"/>
    <w:rsid w:val="5F506FA6"/>
    <w:rsid w:val="5F543134"/>
    <w:rsid w:val="5F580029"/>
    <w:rsid w:val="5F5875E4"/>
    <w:rsid w:val="5F677E14"/>
    <w:rsid w:val="5F681C28"/>
    <w:rsid w:val="5F6C1881"/>
    <w:rsid w:val="5F726CC1"/>
    <w:rsid w:val="5F737E20"/>
    <w:rsid w:val="5F740893"/>
    <w:rsid w:val="5F7525F8"/>
    <w:rsid w:val="5F7C3A14"/>
    <w:rsid w:val="5F811FA5"/>
    <w:rsid w:val="5F877389"/>
    <w:rsid w:val="5F887C30"/>
    <w:rsid w:val="5F8C35FA"/>
    <w:rsid w:val="5F8C5392"/>
    <w:rsid w:val="5F9721ED"/>
    <w:rsid w:val="5FA06F3B"/>
    <w:rsid w:val="5FA1202C"/>
    <w:rsid w:val="5FA37419"/>
    <w:rsid w:val="5FA42829"/>
    <w:rsid w:val="5FAA4E99"/>
    <w:rsid w:val="5FAE5DE3"/>
    <w:rsid w:val="5FB011BC"/>
    <w:rsid w:val="5FB837BB"/>
    <w:rsid w:val="5FC4527B"/>
    <w:rsid w:val="5FCC24AC"/>
    <w:rsid w:val="5FD455F8"/>
    <w:rsid w:val="5FD50C35"/>
    <w:rsid w:val="5FD64658"/>
    <w:rsid w:val="5FE82DAB"/>
    <w:rsid w:val="5FEA0931"/>
    <w:rsid w:val="5FED69F6"/>
    <w:rsid w:val="5FF14920"/>
    <w:rsid w:val="5FF1753B"/>
    <w:rsid w:val="5FF5315C"/>
    <w:rsid w:val="5FF64697"/>
    <w:rsid w:val="5FF71405"/>
    <w:rsid w:val="5FF94823"/>
    <w:rsid w:val="5FFB7762"/>
    <w:rsid w:val="5FFD75A2"/>
    <w:rsid w:val="5FFF4557"/>
    <w:rsid w:val="60020B71"/>
    <w:rsid w:val="6008634E"/>
    <w:rsid w:val="6015793D"/>
    <w:rsid w:val="60195A92"/>
    <w:rsid w:val="601B1AD1"/>
    <w:rsid w:val="601B4AB2"/>
    <w:rsid w:val="6022374B"/>
    <w:rsid w:val="602845F7"/>
    <w:rsid w:val="602A7A78"/>
    <w:rsid w:val="602D281F"/>
    <w:rsid w:val="602F566D"/>
    <w:rsid w:val="603007FF"/>
    <w:rsid w:val="603031EA"/>
    <w:rsid w:val="6032250A"/>
    <w:rsid w:val="60363DC9"/>
    <w:rsid w:val="60392EA1"/>
    <w:rsid w:val="603D1A42"/>
    <w:rsid w:val="6040322E"/>
    <w:rsid w:val="60430294"/>
    <w:rsid w:val="60454D72"/>
    <w:rsid w:val="604A517F"/>
    <w:rsid w:val="604E0CEF"/>
    <w:rsid w:val="604F6C39"/>
    <w:rsid w:val="605501D6"/>
    <w:rsid w:val="60617C8F"/>
    <w:rsid w:val="606A5821"/>
    <w:rsid w:val="60744ECE"/>
    <w:rsid w:val="60851701"/>
    <w:rsid w:val="60862A98"/>
    <w:rsid w:val="60883EF9"/>
    <w:rsid w:val="608F1053"/>
    <w:rsid w:val="60964868"/>
    <w:rsid w:val="60AF40BE"/>
    <w:rsid w:val="60B600C7"/>
    <w:rsid w:val="60B66140"/>
    <w:rsid w:val="60B939B1"/>
    <w:rsid w:val="60BD38DA"/>
    <w:rsid w:val="60BD4F71"/>
    <w:rsid w:val="60C2740B"/>
    <w:rsid w:val="60C94608"/>
    <w:rsid w:val="60CC405A"/>
    <w:rsid w:val="60D03445"/>
    <w:rsid w:val="60D13AF2"/>
    <w:rsid w:val="60D41196"/>
    <w:rsid w:val="60D94755"/>
    <w:rsid w:val="60DA1E8A"/>
    <w:rsid w:val="60E309FF"/>
    <w:rsid w:val="60E64B5F"/>
    <w:rsid w:val="60EA1348"/>
    <w:rsid w:val="60EC0B8B"/>
    <w:rsid w:val="60EF54A6"/>
    <w:rsid w:val="60EF5D5F"/>
    <w:rsid w:val="60F00085"/>
    <w:rsid w:val="60F120BB"/>
    <w:rsid w:val="60F90953"/>
    <w:rsid w:val="60FD2E3F"/>
    <w:rsid w:val="61096DE8"/>
    <w:rsid w:val="610A4934"/>
    <w:rsid w:val="610D23E3"/>
    <w:rsid w:val="610F38E7"/>
    <w:rsid w:val="611073ED"/>
    <w:rsid w:val="611143BB"/>
    <w:rsid w:val="61116985"/>
    <w:rsid w:val="611539DF"/>
    <w:rsid w:val="611763CB"/>
    <w:rsid w:val="611C2D78"/>
    <w:rsid w:val="611C4589"/>
    <w:rsid w:val="611E75DC"/>
    <w:rsid w:val="611F436F"/>
    <w:rsid w:val="61204201"/>
    <w:rsid w:val="612814CF"/>
    <w:rsid w:val="612A02C5"/>
    <w:rsid w:val="612B20DB"/>
    <w:rsid w:val="612B3202"/>
    <w:rsid w:val="612C6F7A"/>
    <w:rsid w:val="612E57CE"/>
    <w:rsid w:val="61343C95"/>
    <w:rsid w:val="61475CA5"/>
    <w:rsid w:val="61481AA3"/>
    <w:rsid w:val="61486691"/>
    <w:rsid w:val="614E06E2"/>
    <w:rsid w:val="614E0C9F"/>
    <w:rsid w:val="614E2809"/>
    <w:rsid w:val="61500EFF"/>
    <w:rsid w:val="615320AF"/>
    <w:rsid w:val="61542C9A"/>
    <w:rsid w:val="6155027F"/>
    <w:rsid w:val="615F2EAC"/>
    <w:rsid w:val="61614E76"/>
    <w:rsid w:val="6162474A"/>
    <w:rsid w:val="6166248C"/>
    <w:rsid w:val="61695AD8"/>
    <w:rsid w:val="616B5FCF"/>
    <w:rsid w:val="616F6A82"/>
    <w:rsid w:val="61786FF4"/>
    <w:rsid w:val="617A6748"/>
    <w:rsid w:val="617A7E28"/>
    <w:rsid w:val="617C53C3"/>
    <w:rsid w:val="617F1B36"/>
    <w:rsid w:val="61827354"/>
    <w:rsid w:val="61833D8D"/>
    <w:rsid w:val="61851DDD"/>
    <w:rsid w:val="61917C22"/>
    <w:rsid w:val="61926EE3"/>
    <w:rsid w:val="619656F2"/>
    <w:rsid w:val="619737A3"/>
    <w:rsid w:val="619D419F"/>
    <w:rsid w:val="61A230D0"/>
    <w:rsid w:val="61A3138A"/>
    <w:rsid w:val="61A847E1"/>
    <w:rsid w:val="61AF4EC1"/>
    <w:rsid w:val="61AF6BDF"/>
    <w:rsid w:val="61AF6E62"/>
    <w:rsid w:val="61B30DC4"/>
    <w:rsid w:val="61B94460"/>
    <w:rsid w:val="61C34ADA"/>
    <w:rsid w:val="61C60538"/>
    <w:rsid w:val="61D623BC"/>
    <w:rsid w:val="61D87BFF"/>
    <w:rsid w:val="61DC360C"/>
    <w:rsid w:val="61DE1789"/>
    <w:rsid w:val="61DE6166"/>
    <w:rsid w:val="61DF7A5D"/>
    <w:rsid w:val="61E01ABE"/>
    <w:rsid w:val="61E215D8"/>
    <w:rsid w:val="61E72166"/>
    <w:rsid w:val="61F2618C"/>
    <w:rsid w:val="61F37322"/>
    <w:rsid w:val="61F74C1A"/>
    <w:rsid w:val="61FE7D8E"/>
    <w:rsid w:val="62090CCB"/>
    <w:rsid w:val="620F1D9A"/>
    <w:rsid w:val="62102FCB"/>
    <w:rsid w:val="621363F4"/>
    <w:rsid w:val="62172ADC"/>
    <w:rsid w:val="6219308D"/>
    <w:rsid w:val="621B29B9"/>
    <w:rsid w:val="621B3775"/>
    <w:rsid w:val="621F7EAA"/>
    <w:rsid w:val="622611C6"/>
    <w:rsid w:val="62265161"/>
    <w:rsid w:val="622E05F5"/>
    <w:rsid w:val="622F12E6"/>
    <w:rsid w:val="62364782"/>
    <w:rsid w:val="623B7D63"/>
    <w:rsid w:val="623D2568"/>
    <w:rsid w:val="6243617D"/>
    <w:rsid w:val="62472BB1"/>
    <w:rsid w:val="624B5FC9"/>
    <w:rsid w:val="624D4E6D"/>
    <w:rsid w:val="625A2D24"/>
    <w:rsid w:val="625F4549"/>
    <w:rsid w:val="626208AC"/>
    <w:rsid w:val="62634CF1"/>
    <w:rsid w:val="627150E1"/>
    <w:rsid w:val="62774225"/>
    <w:rsid w:val="627E55B4"/>
    <w:rsid w:val="627F2013"/>
    <w:rsid w:val="627F4E1B"/>
    <w:rsid w:val="628244D4"/>
    <w:rsid w:val="6283417A"/>
    <w:rsid w:val="62845555"/>
    <w:rsid w:val="6285362D"/>
    <w:rsid w:val="62892EB2"/>
    <w:rsid w:val="628C3EFC"/>
    <w:rsid w:val="62917095"/>
    <w:rsid w:val="62926F86"/>
    <w:rsid w:val="62935870"/>
    <w:rsid w:val="62960B69"/>
    <w:rsid w:val="62980A4D"/>
    <w:rsid w:val="62983C14"/>
    <w:rsid w:val="62987596"/>
    <w:rsid w:val="62990A23"/>
    <w:rsid w:val="62A6346E"/>
    <w:rsid w:val="62A63810"/>
    <w:rsid w:val="62A658BB"/>
    <w:rsid w:val="62AA6F20"/>
    <w:rsid w:val="62B31F11"/>
    <w:rsid w:val="62B32BC4"/>
    <w:rsid w:val="62B76056"/>
    <w:rsid w:val="62B819A7"/>
    <w:rsid w:val="62B836DD"/>
    <w:rsid w:val="62C07D80"/>
    <w:rsid w:val="62C50694"/>
    <w:rsid w:val="62CC4571"/>
    <w:rsid w:val="62D00090"/>
    <w:rsid w:val="62D12B44"/>
    <w:rsid w:val="62D44BBB"/>
    <w:rsid w:val="62D644C4"/>
    <w:rsid w:val="62D93515"/>
    <w:rsid w:val="62E34CD0"/>
    <w:rsid w:val="62ED260E"/>
    <w:rsid w:val="62F20F22"/>
    <w:rsid w:val="62F320E7"/>
    <w:rsid w:val="62F8707F"/>
    <w:rsid w:val="62FB09B2"/>
    <w:rsid w:val="62FB30A8"/>
    <w:rsid w:val="63005827"/>
    <w:rsid w:val="6307110E"/>
    <w:rsid w:val="63092F40"/>
    <w:rsid w:val="630C7132"/>
    <w:rsid w:val="630C79C2"/>
    <w:rsid w:val="631B2E02"/>
    <w:rsid w:val="632207E1"/>
    <w:rsid w:val="6326232E"/>
    <w:rsid w:val="63316ACA"/>
    <w:rsid w:val="633724CA"/>
    <w:rsid w:val="63377088"/>
    <w:rsid w:val="633B59FB"/>
    <w:rsid w:val="633D0FCB"/>
    <w:rsid w:val="6340372A"/>
    <w:rsid w:val="63417BBB"/>
    <w:rsid w:val="63425199"/>
    <w:rsid w:val="634255BB"/>
    <w:rsid w:val="6345756B"/>
    <w:rsid w:val="634F11DE"/>
    <w:rsid w:val="63527424"/>
    <w:rsid w:val="63574455"/>
    <w:rsid w:val="63583BA2"/>
    <w:rsid w:val="635E3FE3"/>
    <w:rsid w:val="63653D75"/>
    <w:rsid w:val="63677C66"/>
    <w:rsid w:val="637075F2"/>
    <w:rsid w:val="6377272F"/>
    <w:rsid w:val="63774194"/>
    <w:rsid w:val="63775C7F"/>
    <w:rsid w:val="63794C6B"/>
    <w:rsid w:val="63797267"/>
    <w:rsid w:val="637F6863"/>
    <w:rsid w:val="63815792"/>
    <w:rsid w:val="63834E32"/>
    <w:rsid w:val="638766EA"/>
    <w:rsid w:val="638B4CFC"/>
    <w:rsid w:val="6394356A"/>
    <w:rsid w:val="63950E07"/>
    <w:rsid w:val="639D7CBB"/>
    <w:rsid w:val="639E3A6D"/>
    <w:rsid w:val="63A164A7"/>
    <w:rsid w:val="63B02494"/>
    <w:rsid w:val="63B27A88"/>
    <w:rsid w:val="63B62DE5"/>
    <w:rsid w:val="63BC3363"/>
    <w:rsid w:val="63BE65AF"/>
    <w:rsid w:val="63C079BB"/>
    <w:rsid w:val="63C24A8B"/>
    <w:rsid w:val="63C251B9"/>
    <w:rsid w:val="63C47DFB"/>
    <w:rsid w:val="63C61B2C"/>
    <w:rsid w:val="63C77B5C"/>
    <w:rsid w:val="63C85BC1"/>
    <w:rsid w:val="63CB36B9"/>
    <w:rsid w:val="63D04F9F"/>
    <w:rsid w:val="63D27965"/>
    <w:rsid w:val="63D40BE9"/>
    <w:rsid w:val="63D749DA"/>
    <w:rsid w:val="63D86F45"/>
    <w:rsid w:val="63EE2000"/>
    <w:rsid w:val="63EF49BB"/>
    <w:rsid w:val="63F35B2D"/>
    <w:rsid w:val="63F37296"/>
    <w:rsid w:val="63F503C9"/>
    <w:rsid w:val="63F51006"/>
    <w:rsid w:val="63FC2D30"/>
    <w:rsid w:val="64041AE8"/>
    <w:rsid w:val="64051AF6"/>
    <w:rsid w:val="640A5D9C"/>
    <w:rsid w:val="64102431"/>
    <w:rsid w:val="641424E6"/>
    <w:rsid w:val="641734A5"/>
    <w:rsid w:val="641F6922"/>
    <w:rsid w:val="64285902"/>
    <w:rsid w:val="642D7645"/>
    <w:rsid w:val="64306D81"/>
    <w:rsid w:val="643340F4"/>
    <w:rsid w:val="643F7864"/>
    <w:rsid w:val="64403ABD"/>
    <w:rsid w:val="644A23F6"/>
    <w:rsid w:val="644E5ECD"/>
    <w:rsid w:val="64503350"/>
    <w:rsid w:val="6450769E"/>
    <w:rsid w:val="64560FA6"/>
    <w:rsid w:val="645678DF"/>
    <w:rsid w:val="645D784A"/>
    <w:rsid w:val="64683388"/>
    <w:rsid w:val="64764029"/>
    <w:rsid w:val="64846C73"/>
    <w:rsid w:val="648567EB"/>
    <w:rsid w:val="64A5243A"/>
    <w:rsid w:val="64AB3A08"/>
    <w:rsid w:val="64B336DA"/>
    <w:rsid w:val="64B35272"/>
    <w:rsid w:val="64B452BD"/>
    <w:rsid w:val="64BD0E2A"/>
    <w:rsid w:val="64BE613B"/>
    <w:rsid w:val="64C01EB3"/>
    <w:rsid w:val="64C07A90"/>
    <w:rsid w:val="64C20A33"/>
    <w:rsid w:val="64C22AF0"/>
    <w:rsid w:val="64DD782A"/>
    <w:rsid w:val="64E03C83"/>
    <w:rsid w:val="64F531DE"/>
    <w:rsid w:val="64F612B2"/>
    <w:rsid w:val="64F852A5"/>
    <w:rsid w:val="64FB364A"/>
    <w:rsid w:val="64FB738F"/>
    <w:rsid w:val="65057448"/>
    <w:rsid w:val="65070E46"/>
    <w:rsid w:val="65097D25"/>
    <w:rsid w:val="650A17F7"/>
    <w:rsid w:val="650F0ABA"/>
    <w:rsid w:val="65164D67"/>
    <w:rsid w:val="65171D44"/>
    <w:rsid w:val="65206643"/>
    <w:rsid w:val="652C7549"/>
    <w:rsid w:val="65314B5F"/>
    <w:rsid w:val="65367127"/>
    <w:rsid w:val="65373578"/>
    <w:rsid w:val="65377372"/>
    <w:rsid w:val="65401E4F"/>
    <w:rsid w:val="654608F8"/>
    <w:rsid w:val="654C244A"/>
    <w:rsid w:val="65511CBF"/>
    <w:rsid w:val="655320E3"/>
    <w:rsid w:val="65561607"/>
    <w:rsid w:val="6556353F"/>
    <w:rsid w:val="655A38FE"/>
    <w:rsid w:val="655E70CC"/>
    <w:rsid w:val="65661F9D"/>
    <w:rsid w:val="65667EDD"/>
    <w:rsid w:val="6568772B"/>
    <w:rsid w:val="65734F82"/>
    <w:rsid w:val="657B2F86"/>
    <w:rsid w:val="657B6B63"/>
    <w:rsid w:val="6583428E"/>
    <w:rsid w:val="65845F02"/>
    <w:rsid w:val="65867CBB"/>
    <w:rsid w:val="6589272B"/>
    <w:rsid w:val="6589715D"/>
    <w:rsid w:val="658F7C81"/>
    <w:rsid w:val="659168F2"/>
    <w:rsid w:val="659E01E2"/>
    <w:rsid w:val="659E614C"/>
    <w:rsid w:val="65A651CA"/>
    <w:rsid w:val="65A95FEC"/>
    <w:rsid w:val="65AD105A"/>
    <w:rsid w:val="65AD38E6"/>
    <w:rsid w:val="65B05385"/>
    <w:rsid w:val="65B2091D"/>
    <w:rsid w:val="65B30F27"/>
    <w:rsid w:val="65B73478"/>
    <w:rsid w:val="65BE7222"/>
    <w:rsid w:val="65C6314B"/>
    <w:rsid w:val="65CA5B5C"/>
    <w:rsid w:val="65CC162C"/>
    <w:rsid w:val="65CD1D0A"/>
    <w:rsid w:val="65D12B4F"/>
    <w:rsid w:val="65D22B85"/>
    <w:rsid w:val="65D4554D"/>
    <w:rsid w:val="65D74F3D"/>
    <w:rsid w:val="65D940DE"/>
    <w:rsid w:val="65DE2092"/>
    <w:rsid w:val="65E048A7"/>
    <w:rsid w:val="65E05F53"/>
    <w:rsid w:val="65E13EB4"/>
    <w:rsid w:val="65E168AE"/>
    <w:rsid w:val="65E27A90"/>
    <w:rsid w:val="65E67058"/>
    <w:rsid w:val="65E73470"/>
    <w:rsid w:val="65EA04EE"/>
    <w:rsid w:val="65EF023A"/>
    <w:rsid w:val="65F30B3F"/>
    <w:rsid w:val="65F33E69"/>
    <w:rsid w:val="65F44A7F"/>
    <w:rsid w:val="66012783"/>
    <w:rsid w:val="66083B12"/>
    <w:rsid w:val="660D1128"/>
    <w:rsid w:val="660D737A"/>
    <w:rsid w:val="6612673F"/>
    <w:rsid w:val="661272C4"/>
    <w:rsid w:val="66130F0B"/>
    <w:rsid w:val="6616589C"/>
    <w:rsid w:val="66175A08"/>
    <w:rsid w:val="661C580F"/>
    <w:rsid w:val="662130E4"/>
    <w:rsid w:val="662200F8"/>
    <w:rsid w:val="662A65B8"/>
    <w:rsid w:val="662C337A"/>
    <w:rsid w:val="662C4EFF"/>
    <w:rsid w:val="66323A22"/>
    <w:rsid w:val="66380892"/>
    <w:rsid w:val="66391C8F"/>
    <w:rsid w:val="66392F05"/>
    <w:rsid w:val="66393B0C"/>
    <w:rsid w:val="663E2C07"/>
    <w:rsid w:val="6640313A"/>
    <w:rsid w:val="66457075"/>
    <w:rsid w:val="66461EF4"/>
    <w:rsid w:val="664E40FE"/>
    <w:rsid w:val="66526296"/>
    <w:rsid w:val="66562AF4"/>
    <w:rsid w:val="665751A3"/>
    <w:rsid w:val="66591641"/>
    <w:rsid w:val="665D66A2"/>
    <w:rsid w:val="66613222"/>
    <w:rsid w:val="66684027"/>
    <w:rsid w:val="666A657B"/>
    <w:rsid w:val="666E4D10"/>
    <w:rsid w:val="666E6C58"/>
    <w:rsid w:val="66725436"/>
    <w:rsid w:val="667411A7"/>
    <w:rsid w:val="667416A9"/>
    <w:rsid w:val="66782F38"/>
    <w:rsid w:val="667A60E2"/>
    <w:rsid w:val="667F7101"/>
    <w:rsid w:val="6681763D"/>
    <w:rsid w:val="66862912"/>
    <w:rsid w:val="66872CC3"/>
    <w:rsid w:val="668851B9"/>
    <w:rsid w:val="668E5C9E"/>
    <w:rsid w:val="66903B07"/>
    <w:rsid w:val="66926CCB"/>
    <w:rsid w:val="66986C3E"/>
    <w:rsid w:val="66A06382"/>
    <w:rsid w:val="66A16FF1"/>
    <w:rsid w:val="66A37D64"/>
    <w:rsid w:val="66B67AF3"/>
    <w:rsid w:val="66B80EDE"/>
    <w:rsid w:val="66B91EB6"/>
    <w:rsid w:val="66BB63B8"/>
    <w:rsid w:val="66C13416"/>
    <w:rsid w:val="66C15325"/>
    <w:rsid w:val="66C82964"/>
    <w:rsid w:val="66CA143E"/>
    <w:rsid w:val="66D43453"/>
    <w:rsid w:val="66D7383D"/>
    <w:rsid w:val="66DA62D8"/>
    <w:rsid w:val="66DB7279"/>
    <w:rsid w:val="66DE123B"/>
    <w:rsid w:val="66E77BCB"/>
    <w:rsid w:val="66EA3218"/>
    <w:rsid w:val="66EC432A"/>
    <w:rsid w:val="66EC51E2"/>
    <w:rsid w:val="66ED0124"/>
    <w:rsid w:val="66ED42EA"/>
    <w:rsid w:val="66ED6395"/>
    <w:rsid w:val="66EE259B"/>
    <w:rsid w:val="66F10A4A"/>
    <w:rsid w:val="66F5372E"/>
    <w:rsid w:val="66F67E0E"/>
    <w:rsid w:val="67041B66"/>
    <w:rsid w:val="6712449C"/>
    <w:rsid w:val="67145A4D"/>
    <w:rsid w:val="67167E5C"/>
    <w:rsid w:val="671D527A"/>
    <w:rsid w:val="671E254E"/>
    <w:rsid w:val="671F124A"/>
    <w:rsid w:val="67204E8B"/>
    <w:rsid w:val="672262BF"/>
    <w:rsid w:val="67277FC8"/>
    <w:rsid w:val="672C1A82"/>
    <w:rsid w:val="673226C3"/>
    <w:rsid w:val="6732696D"/>
    <w:rsid w:val="6737423D"/>
    <w:rsid w:val="67397CFB"/>
    <w:rsid w:val="673C5BA0"/>
    <w:rsid w:val="673D655D"/>
    <w:rsid w:val="673E0E8E"/>
    <w:rsid w:val="67414658"/>
    <w:rsid w:val="6741542E"/>
    <w:rsid w:val="67424E02"/>
    <w:rsid w:val="67453836"/>
    <w:rsid w:val="674711E5"/>
    <w:rsid w:val="67476141"/>
    <w:rsid w:val="674768BC"/>
    <w:rsid w:val="674C5C80"/>
    <w:rsid w:val="67531A3E"/>
    <w:rsid w:val="675B0818"/>
    <w:rsid w:val="675B2F4B"/>
    <w:rsid w:val="675C4ED4"/>
    <w:rsid w:val="67635C24"/>
    <w:rsid w:val="676531E4"/>
    <w:rsid w:val="6765618D"/>
    <w:rsid w:val="67670E82"/>
    <w:rsid w:val="676B025F"/>
    <w:rsid w:val="67707CD7"/>
    <w:rsid w:val="677376B1"/>
    <w:rsid w:val="67780823"/>
    <w:rsid w:val="677A33C6"/>
    <w:rsid w:val="677B47B7"/>
    <w:rsid w:val="677C6F75"/>
    <w:rsid w:val="6784541A"/>
    <w:rsid w:val="6784723F"/>
    <w:rsid w:val="67857B96"/>
    <w:rsid w:val="67862532"/>
    <w:rsid w:val="678A017F"/>
    <w:rsid w:val="678A204A"/>
    <w:rsid w:val="678D6C00"/>
    <w:rsid w:val="678F1A22"/>
    <w:rsid w:val="67910E91"/>
    <w:rsid w:val="6793565D"/>
    <w:rsid w:val="67997C3E"/>
    <w:rsid w:val="679A1B43"/>
    <w:rsid w:val="679B7F27"/>
    <w:rsid w:val="679C51EC"/>
    <w:rsid w:val="679D028A"/>
    <w:rsid w:val="67A11D8F"/>
    <w:rsid w:val="67A61834"/>
    <w:rsid w:val="67A64A16"/>
    <w:rsid w:val="67A86474"/>
    <w:rsid w:val="67A92011"/>
    <w:rsid w:val="67A96C2F"/>
    <w:rsid w:val="67AE06E9"/>
    <w:rsid w:val="67AF6EAB"/>
    <w:rsid w:val="67B01216"/>
    <w:rsid w:val="67B6134C"/>
    <w:rsid w:val="67BD2CCF"/>
    <w:rsid w:val="67C6796A"/>
    <w:rsid w:val="67C95523"/>
    <w:rsid w:val="67D364B0"/>
    <w:rsid w:val="67D50383"/>
    <w:rsid w:val="67D5211A"/>
    <w:rsid w:val="67D75B77"/>
    <w:rsid w:val="67E45EB9"/>
    <w:rsid w:val="67E908C3"/>
    <w:rsid w:val="67EA7B2A"/>
    <w:rsid w:val="67EB7247"/>
    <w:rsid w:val="67EF1745"/>
    <w:rsid w:val="67F03D44"/>
    <w:rsid w:val="67F40A15"/>
    <w:rsid w:val="67F65108"/>
    <w:rsid w:val="67FA4EC9"/>
    <w:rsid w:val="67FA6457"/>
    <w:rsid w:val="67FB6199"/>
    <w:rsid w:val="67FC37B8"/>
    <w:rsid w:val="68042372"/>
    <w:rsid w:val="68057227"/>
    <w:rsid w:val="680927ED"/>
    <w:rsid w:val="68110D27"/>
    <w:rsid w:val="681A1E01"/>
    <w:rsid w:val="681D0044"/>
    <w:rsid w:val="681D42A0"/>
    <w:rsid w:val="681F6961"/>
    <w:rsid w:val="68224C33"/>
    <w:rsid w:val="68293797"/>
    <w:rsid w:val="68294DC2"/>
    <w:rsid w:val="682A0E77"/>
    <w:rsid w:val="682C15E3"/>
    <w:rsid w:val="68365DE2"/>
    <w:rsid w:val="68382AC8"/>
    <w:rsid w:val="683A7DCF"/>
    <w:rsid w:val="684377C7"/>
    <w:rsid w:val="68455A21"/>
    <w:rsid w:val="68491E34"/>
    <w:rsid w:val="684B03A2"/>
    <w:rsid w:val="684D3AC5"/>
    <w:rsid w:val="684E5A28"/>
    <w:rsid w:val="68534DEC"/>
    <w:rsid w:val="68556AEE"/>
    <w:rsid w:val="68565742"/>
    <w:rsid w:val="68586448"/>
    <w:rsid w:val="685A010D"/>
    <w:rsid w:val="685D38CF"/>
    <w:rsid w:val="68610A2F"/>
    <w:rsid w:val="686152A7"/>
    <w:rsid w:val="68692862"/>
    <w:rsid w:val="6870691C"/>
    <w:rsid w:val="687603EE"/>
    <w:rsid w:val="687657A3"/>
    <w:rsid w:val="687716A9"/>
    <w:rsid w:val="687E630D"/>
    <w:rsid w:val="68805514"/>
    <w:rsid w:val="68831B76"/>
    <w:rsid w:val="68870744"/>
    <w:rsid w:val="688C0E4F"/>
    <w:rsid w:val="68925527"/>
    <w:rsid w:val="68942774"/>
    <w:rsid w:val="689C3994"/>
    <w:rsid w:val="689E69AF"/>
    <w:rsid w:val="68A64010"/>
    <w:rsid w:val="68AC2834"/>
    <w:rsid w:val="68AF64C7"/>
    <w:rsid w:val="68B21C1C"/>
    <w:rsid w:val="68B83FF5"/>
    <w:rsid w:val="68BA18DA"/>
    <w:rsid w:val="68BE1FD1"/>
    <w:rsid w:val="68C15879"/>
    <w:rsid w:val="68C36416"/>
    <w:rsid w:val="68C378B7"/>
    <w:rsid w:val="68CA7994"/>
    <w:rsid w:val="68CD0EF9"/>
    <w:rsid w:val="68CD2DF1"/>
    <w:rsid w:val="68CF7C9D"/>
    <w:rsid w:val="68D3134B"/>
    <w:rsid w:val="68D605D6"/>
    <w:rsid w:val="68DB0160"/>
    <w:rsid w:val="68DB53CB"/>
    <w:rsid w:val="68EB3277"/>
    <w:rsid w:val="68ED32F0"/>
    <w:rsid w:val="68EE3FF5"/>
    <w:rsid w:val="68EE6C07"/>
    <w:rsid w:val="68F043A2"/>
    <w:rsid w:val="68F126F3"/>
    <w:rsid w:val="68F52350"/>
    <w:rsid w:val="68F61281"/>
    <w:rsid w:val="68F91E38"/>
    <w:rsid w:val="68F93868"/>
    <w:rsid w:val="68F95F7D"/>
    <w:rsid w:val="68FA3D70"/>
    <w:rsid w:val="68FE48FA"/>
    <w:rsid w:val="69083BD9"/>
    <w:rsid w:val="69091598"/>
    <w:rsid w:val="690C64FE"/>
    <w:rsid w:val="690F51B7"/>
    <w:rsid w:val="690F630E"/>
    <w:rsid w:val="69141D40"/>
    <w:rsid w:val="69142EAC"/>
    <w:rsid w:val="69152A61"/>
    <w:rsid w:val="692448D8"/>
    <w:rsid w:val="692A1868"/>
    <w:rsid w:val="692A3D9F"/>
    <w:rsid w:val="692E477C"/>
    <w:rsid w:val="69316E2F"/>
    <w:rsid w:val="693610D6"/>
    <w:rsid w:val="69435FB5"/>
    <w:rsid w:val="69484A8D"/>
    <w:rsid w:val="69491CC7"/>
    <w:rsid w:val="694967DD"/>
    <w:rsid w:val="694979F9"/>
    <w:rsid w:val="694B480E"/>
    <w:rsid w:val="694E2071"/>
    <w:rsid w:val="69531548"/>
    <w:rsid w:val="695645DB"/>
    <w:rsid w:val="69586B5E"/>
    <w:rsid w:val="695A36FD"/>
    <w:rsid w:val="695D07B3"/>
    <w:rsid w:val="695D60E8"/>
    <w:rsid w:val="696165F1"/>
    <w:rsid w:val="696413FC"/>
    <w:rsid w:val="6965025D"/>
    <w:rsid w:val="69666060"/>
    <w:rsid w:val="696A1A0D"/>
    <w:rsid w:val="696E6302"/>
    <w:rsid w:val="69704495"/>
    <w:rsid w:val="69713344"/>
    <w:rsid w:val="69756526"/>
    <w:rsid w:val="6975655B"/>
    <w:rsid w:val="697629AA"/>
    <w:rsid w:val="69766163"/>
    <w:rsid w:val="697A3B33"/>
    <w:rsid w:val="697D4817"/>
    <w:rsid w:val="69816C61"/>
    <w:rsid w:val="6985317B"/>
    <w:rsid w:val="6985637F"/>
    <w:rsid w:val="69893249"/>
    <w:rsid w:val="698F1199"/>
    <w:rsid w:val="698F4329"/>
    <w:rsid w:val="698F62F8"/>
    <w:rsid w:val="699021BF"/>
    <w:rsid w:val="69963939"/>
    <w:rsid w:val="699657CA"/>
    <w:rsid w:val="69982619"/>
    <w:rsid w:val="699E75C3"/>
    <w:rsid w:val="699F21DC"/>
    <w:rsid w:val="69A00D58"/>
    <w:rsid w:val="69A11DA9"/>
    <w:rsid w:val="69A9560C"/>
    <w:rsid w:val="69AA3FA1"/>
    <w:rsid w:val="69AA66BA"/>
    <w:rsid w:val="69B3689F"/>
    <w:rsid w:val="69B5357D"/>
    <w:rsid w:val="69B632A3"/>
    <w:rsid w:val="69B76F93"/>
    <w:rsid w:val="69B9265C"/>
    <w:rsid w:val="69BB0E9B"/>
    <w:rsid w:val="69C44C50"/>
    <w:rsid w:val="69C51FCC"/>
    <w:rsid w:val="69C94231"/>
    <w:rsid w:val="69D000DF"/>
    <w:rsid w:val="69D35CF0"/>
    <w:rsid w:val="69D37BD7"/>
    <w:rsid w:val="69D40A39"/>
    <w:rsid w:val="69D44760"/>
    <w:rsid w:val="69D520AB"/>
    <w:rsid w:val="69DB54EB"/>
    <w:rsid w:val="69E2467A"/>
    <w:rsid w:val="69E843E7"/>
    <w:rsid w:val="69EB2713"/>
    <w:rsid w:val="69EB6C1E"/>
    <w:rsid w:val="69F163BE"/>
    <w:rsid w:val="69F743C3"/>
    <w:rsid w:val="69F81580"/>
    <w:rsid w:val="69FA0F57"/>
    <w:rsid w:val="6A0001CC"/>
    <w:rsid w:val="6A001707"/>
    <w:rsid w:val="6A04614A"/>
    <w:rsid w:val="6A0B5F29"/>
    <w:rsid w:val="6A0E03F2"/>
    <w:rsid w:val="6A0E7273"/>
    <w:rsid w:val="6A143BB8"/>
    <w:rsid w:val="6A152BB8"/>
    <w:rsid w:val="6A1566CB"/>
    <w:rsid w:val="6A1567FD"/>
    <w:rsid w:val="6A1C2CEC"/>
    <w:rsid w:val="6A1D56B2"/>
    <w:rsid w:val="6A201484"/>
    <w:rsid w:val="6A242EE4"/>
    <w:rsid w:val="6A2627B9"/>
    <w:rsid w:val="6A276531"/>
    <w:rsid w:val="6A2B6066"/>
    <w:rsid w:val="6A2C3B47"/>
    <w:rsid w:val="6A326717"/>
    <w:rsid w:val="6A356EA0"/>
    <w:rsid w:val="6A3603AC"/>
    <w:rsid w:val="6A3A45FD"/>
    <w:rsid w:val="6A3A486E"/>
    <w:rsid w:val="6A3C233C"/>
    <w:rsid w:val="6A42336B"/>
    <w:rsid w:val="6A446D22"/>
    <w:rsid w:val="6A463F7B"/>
    <w:rsid w:val="6A476FE2"/>
    <w:rsid w:val="6A495BC0"/>
    <w:rsid w:val="6A517D10"/>
    <w:rsid w:val="6A520EC7"/>
    <w:rsid w:val="6A5B0246"/>
    <w:rsid w:val="6A610AC3"/>
    <w:rsid w:val="6A6456AD"/>
    <w:rsid w:val="6A6673E7"/>
    <w:rsid w:val="6A674BFA"/>
    <w:rsid w:val="6A6E2CF4"/>
    <w:rsid w:val="6A717985"/>
    <w:rsid w:val="6A743843"/>
    <w:rsid w:val="6A7C062B"/>
    <w:rsid w:val="6A7C1426"/>
    <w:rsid w:val="6A7E42E2"/>
    <w:rsid w:val="6A821CED"/>
    <w:rsid w:val="6A8348CE"/>
    <w:rsid w:val="6A86594D"/>
    <w:rsid w:val="6A87322F"/>
    <w:rsid w:val="6A8735C7"/>
    <w:rsid w:val="6A90774A"/>
    <w:rsid w:val="6A935DB5"/>
    <w:rsid w:val="6A947832"/>
    <w:rsid w:val="6A95005B"/>
    <w:rsid w:val="6A9F7D88"/>
    <w:rsid w:val="6AA10E1F"/>
    <w:rsid w:val="6AA14BBD"/>
    <w:rsid w:val="6AA51DDD"/>
    <w:rsid w:val="6AA94EB4"/>
    <w:rsid w:val="6AAA5EAE"/>
    <w:rsid w:val="6AAF010B"/>
    <w:rsid w:val="6AB134F7"/>
    <w:rsid w:val="6ABA4ECF"/>
    <w:rsid w:val="6AC812A0"/>
    <w:rsid w:val="6AC966FF"/>
    <w:rsid w:val="6ACB3360"/>
    <w:rsid w:val="6AD021DA"/>
    <w:rsid w:val="6AD30690"/>
    <w:rsid w:val="6AD865F6"/>
    <w:rsid w:val="6AE07DD4"/>
    <w:rsid w:val="6AE14931"/>
    <w:rsid w:val="6AE4077C"/>
    <w:rsid w:val="6AE76AE0"/>
    <w:rsid w:val="6AEC691F"/>
    <w:rsid w:val="6AED367B"/>
    <w:rsid w:val="6AEF3740"/>
    <w:rsid w:val="6AEF6C91"/>
    <w:rsid w:val="6AF87E20"/>
    <w:rsid w:val="6AFC4A68"/>
    <w:rsid w:val="6AFF4687"/>
    <w:rsid w:val="6B0209E5"/>
    <w:rsid w:val="6B0367D0"/>
    <w:rsid w:val="6B04232C"/>
    <w:rsid w:val="6B0E5E7C"/>
    <w:rsid w:val="6B140014"/>
    <w:rsid w:val="6B156483"/>
    <w:rsid w:val="6B174AAB"/>
    <w:rsid w:val="6B17621E"/>
    <w:rsid w:val="6B18012C"/>
    <w:rsid w:val="6B1A02A0"/>
    <w:rsid w:val="6B24695F"/>
    <w:rsid w:val="6B27124C"/>
    <w:rsid w:val="6B286242"/>
    <w:rsid w:val="6B2C6882"/>
    <w:rsid w:val="6B321C32"/>
    <w:rsid w:val="6B322639"/>
    <w:rsid w:val="6B335736"/>
    <w:rsid w:val="6B370AAC"/>
    <w:rsid w:val="6B3A66CC"/>
    <w:rsid w:val="6B4F21E3"/>
    <w:rsid w:val="6B5044F1"/>
    <w:rsid w:val="6B511016"/>
    <w:rsid w:val="6B572DCD"/>
    <w:rsid w:val="6B5A554D"/>
    <w:rsid w:val="6B64429A"/>
    <w:rsid w:val="6B6723BF"/>
    <w:rsid w:val="6B6D7B2D"/>
    <w:rsid w:val="6B705547"/>
    <w:rsid w:val="6B706C78"/>
    <w:rsid w:val="6B714A9E"/>
    <w:rsid w:val="6B7434AF"/>
    <w:rsid w:val="6B767770"/>
    <w:rsid w:val="6B777044"/>
    <w:rsid w:val="6B78643D"/>
    <w:rsid w:val="6B7A34E0"/>
    <w:rsid w:val="6B7A6AB3"/>
    <w:rsid w:val="6B840403"/>
    <w:rsid w:val="6B8972FF"/>
    <w:rsid w:val="6B8D4A34"/>
    <w:rsid w:val="6B8E1A0E"/>
    <w:rsid w:val="6B8F7F38"/>
    <w:rsid w:val="6B906DB9"/>
    <w:rsid w:val="6B910485"/>
    <w:rsid w:val="6B936777"/>
    <w:rsid w:val="6B94294A"/>
    <w:rsid w:val="6B945B21"/>
    <w:rsid w:val="6B993669"/>
    <w:rsid w:val="6B9B0EDF"/>
    <w:rsid w:val="6B9B6542"/>
    <w:rsid w:val="6B9E3B65"/>
    <w:rsid w:val="6B9E6E2D"/>
    <w:rsid w:val="6B9E79F8"/>
    <w:rsid w:val="6BA20565"/>
    <w:rsid w:val="6BA240C1"/>
    <w:rsid w:val="6BA936A1"/>
    <w:rsid w:val="6BA9465E"/>
    <w:rsid w:val="6BAA2FAD"/>
    <w:rsid w:val="6BAB6DED"/>
    <w:rsid w:val="6BB26D92"/>
    <w:rsid w:val="6BB7486B"/>
    <w:rsid w:val="6BC07F78"/>
    <w:rsid w:val="6BC152D8"/>
    <w:rsid w:val="6BC26C73"/>
    <w:rsid w:val="6BC47B69"/>
    <w:rsid w:val="6BCB5BB7"/>
    <w:rsid w:val="6BCB6FC2"/>
    <w:rsid w:val="6BCC55E2"/>
    <w:rsid w:val="6BCC761C"/>
    <w:rsid w:val="6BD12781"/>
    <w:rsid w:val="6BD36970"/>
    <w:rsid w:val="6BD42F03"/>
    <w:rsid w:val="6BD44EF8"/>
    <w:rsid w:val="6BD50A80"/>
    <w:rsid w:val="6BD542A7"/>
    <w:rsid w:val="6BDE18F8"/>
    <w:rsid w:val="6BE20FCF"/>
    <w:rsid w:val="6BE61FA1"/>
    <w:rsid w:val="6BE84428"/>
    <w:rsid w:val="6BE86E4C"/>
    <w:rsid w:val="6BE977E1"/>
    <w:rsid w:val="6BEE3856"/>
    <w:rsid w:val="6BF40694"/>
    <w:rsid w:val="6BFA3EFD"/>
    <w:rsid w:val="6BFA66BB"/>
    <w:rsid w:val="6BFB7C75"/>
    <w:rsid w:val="6C01342C"/>
    <w:rsid w:val="6C086BD2"/>
    <w:rsid w:val="6C092392"/>
    <w:rsid w:val="6C094140"/>
    <w:rsid w:val="6C0F0DFC"/>
    <w:rsid w:val="6C1037F8"/>
    <w:rsid w:val="6C1C33A2"/>
    <w:rsid w:val="6C2076DB"/>
    <w:rsid w:val="6C2471CC"/>
    <w:rsid w:val="6C247DB6"/>
    <w:rsid w:val="6C3D028D"/>
    <w:rsid w:val="6C4258A4"/>
    <w:rsid w:val="6C433194"/>
    <w:rsid w:val="6C45622D"/>
    <w:rsid w:val="6C474664"/>
    <w:rsid w:val="6C4B2C0F"/>
    <w:rsid w:val="6C4D7290"/>
    <w:rsid w:val="6C4F00BF"/>
    <w:rsid w:val="6C516149"/>
    <w:rsid w:val="6C516E54"/>
    <w:rsid w:val="6C523D39"/>
    <w:rsid w:val="6C5850C7"/>
    <w:rsid w:val="6C5B75B1"/>
    <w:rsid w:val="6C5F30C2"/>
    <w:rsid w:val="6C6248CC"/>
    <w:rsid w:val="6C636C38"/>
    <w:rsid w:val="6C660D19"/>
    <w:rsid w:val="6C6B1C76"/>
    <w:rsid w:val="6C703DEB"/>
    <w:rsid w:val="6C7120CA"/>
    <w:rsid w:val="6C744A8B"/>
    <w:rsid w:val="6C744B43"/>
    <w:rsid w:val="6C7F4814"/>
    <w:rsid w:val="6C86488E"/>
    <w:rsid w:val="6C882B7F"/>
    <w:rsid w:val="6C8A4AFB"/>
    <w:rsid w:val="6C8C0CDC"/>
    <w:rsid w:val="6C9226E6"/>
    <w:rsid w:val="6C9602E1"/>
    <w:rsid w:val="6CA43599"/>
    <w:rsid w:val="6CA81596"/>
    <w:rsid w:val="6CAF0AA4"/>
    <w:rsid w:val="6CB06CB1"/>
    <w:rsid w:val="6CB26586"/>
    <w:rsid w:val="6CB443BB"/>
    <w:rsid w:val="6CB6265D"/>
    <w:rsid w:val="6CB66411"/>
    <w:rsid w:val="6CB73791"/>
    <w:rsid w:val="6CBD6FA3"/>
    <w:rsid w:val="6CC2222E"/>
    <w:rsid w:val="6CC85DA9"/>
    <w:rsid w:val="6CCD0322"/>
    <w:rsid w:val="6CD449FA"/>
    <w:rsid w:val="6CD94347"/>
    <w:rsid w:val="6CE150BD"/>
    <w:rsid w:val="6CE36AAC"/>
    <w:rsid w:val="6CE617F1"/>
    <w:rsid w:val="6CED0484"/>
    <w:rsid w:val="6CF45D89"/>
    <w:rsid w:val="6CF46B9E"/>
    <w:rsid w:val="6CF65956"/>
    <w:rsid w:val="6D025A2B"/>
    <w:rsid w:val="6D061926"/>
    <w:rsid w:val="6D0D1D4F"/>
    <w:rsid w:val="6D0E134B"/>
    <w:rsid w:val="6D13119B"/>
    <w:rsid w:val="6D1906AC"/>
    <w:rsid w:val="6D190E4E"/>
    <w:rsid w:val="6D1E4883"/>
    <w:rsid w:val="6D1F7993"/>
    <w:rsid w:val="6D226197"/>
    <w:rsid w:val="6D293FFC"/>
    <w:rsid w:val="6D2A04B0"/>
    <w:rsid w:val="6D2A7508"/>
    <w:rsid w:val="6D2B4CDC"/>
    <w:rsid w:val="6D310512"/>
    <w:rsid w:val="6D3155F1"/>
    <w:rsid w:val="6D3802BB"/>
    <w:rsid w:val="6D392803"/>
    <w:rsid w:val="6D393DF0"/>
    <w:rsid w:val="6D3A6B7F"/>
    <w:rsid w:val="6D3B47CD"/>
    <w:rsid w:val="6D3E502D"/>
    <w:rsid w:val="6D453E71"/>
    <w:rsid w:val="6D4B7D70"/>
    <w:rsid w:val="6D4C69DA"/>
    <w:rsid w:val="6D4D62AE"/>
    <w:rsid w:val="6D4E074B"/>
    <w:rsid w:val="6D521B17"/>
    <w:rsid w:val="6D5227E1"/>
    <w:rsid w:val="6D523451"/>
    <w:rsid w:val="6D573D28"/>
    <w:rsid w:val="6D5B5D68"/>
    <w:rsid w:val="6D5F530F"/>
    <w:rsid w:val="6D5F5957"/>
    <w:rsid w:val="6D611D5A"/>
    <w:rsid w:val="6D6226FE"/>
    <w:rsid w:val="6D634650"/>
    <w:rsid w:val="6D655B59"/>
    <w:rsid w:val="6D65797C"/>
    <w:rsid w:val="6D6614DA"/>
    <w:rsid w:val="6D67533B"/>
    <w:rsid w:val="6D6854AD"/>
    <w:rsid w:val="6D6C629D"/>
    <w:rsid w:val="6D705AF2"/>
    <w:rsid w:val="6D714693"/>
    <w:rsid w:val="6D740C74"/>
    <w:rsid w:val="6D7952F5"/>
    <w:rsid w:val="6D7D27C7"/>
    <w:rsid w:val="6D7D4508"/>
    <w:rsid w:val="6D7E09A9"/>
    <w:rsid w:val="6D89074F"/>
    <w:rsid w:val="6D8B6DC6"/>
    <w:rsid w:val="6D8D5A87"/>
    <w:rsid w:val="6D8D7B48"/>
    <w:rsid w:val="6D91078F"/>
    <w:rsid w:val="6D9528E4"/>
    <w:rsid w:val="6DA21C9F"/>
    <w:rsid w:val="6DA6604A"/>
    <w:rsid w:val="6DA67CEE"/>
    <w:rsid w:val="6DA965E1"/>
    <w:rsid w:val="6DAA5431"/>
    <w:rsid w:val="6DAF0521"/>
    <w:rsid w:val="6DB34098"/>
    <w:rsid w:val="6DB545B6"/>
    <w:rsid w:val="6DB55F4E"/>
    <w:rsid w:val="6DB70EC0"/>
    <w:rsid w:val="6DB97137"/>
    <w:rsid w:val="6DBE1248"/>
    <w:rsid w:val="6DC36570"/>
    <w:rsid w:val="6DC43A67"/>
    <w:rsid w:val="6DC70AC4"/>
    <w:rsid w:val="6DC8557F"/>
    <w:rsid w:val="6DD63A13"/>
    <w:rsid w:val="6DDB3BFA"/>
    <w:rsid w:val="6DDE1B3A"/>
    <w:rsid w:val="6DE02FB4"/>
    <w:rsid w:val="6DE1142A"/>
    <w:rsid w:val="6DE30DE0"/>
    <w:rsid w:val="6DE65E6E"/>
    <w:rsid w:val="6DEE1404"/>
    <w:rsid w:val="6DF64BB5"/>
    <w:rsid w:val="6DF91927"/>
    <w:rsid w:val="6DFD57DF"/>
    <w:rsid w:val="6E01653D"/>
    <w:rsid w:val="6E0F39B5"/>
    <w:rsid w:val="6E13144D"/>
    <w:rsid w:val="6E1A2207"/>
    <w:rsid w:val="6E1B0776"/>
    <w:rsid w:val="6E1D688F"/>
    <w:rsid w:val="6E207D3A"/>
    <w:rsid w:val="6E24288B"/>
    <w:rsid w:val="6E25378A"/>
    <w:rsid w:val="6E346D08"/>
    <w:rsid w:val="6E384740"/>
    <w:rsid w:val="6E384EC5"/>
    <w:rsid w:val="6E391F1B"/>
    <w:rsid w:val="6E3A0FE2"/>
    <w:rsid w:val="6E3C748B"/>
    <w:rsid w:val="6E403FBE"/>
    <w:rsid w:val="6E4403DD"/>
    <w:rsid w:val="6E462C50"/>
    <w:rsid w:val="6E48573B"/>
    <w:rsid w:val="6E4E0530"/>
    <w:rsid w:val="6E514CED"/>
    <w:rsid w:val="6E515AFD"/>
    <w:rsid w:val="6E5166F2"/>
    <w:rsid w:val="6E520CA4"/>
    <w:rsid w:val="6E53384B"/>
    <w:rsid w:val="6E5673E4"/>
    <w:rsid w:val="6E573C5B"/>
    <w:rsid w:val="6E5C5476"/>
    <w:rsid w:val="6E5D4C17"/>
    <w:rsid w:val="6E642025"/>
    <w:rsid w:val="6E652244"/>
    <w:rsid w:val="6E672517"/>
    <w:rsid w:val="6E682310"/>
    <w:rsid w:val="6E69323F"/>
    <w:rsid w:val="6E6B638F"/>
    <w:rsid w:val="6E6C099A"/>
    <w:rsid w:val="6E6D3E03"/>
    <w:rsid w:val="6E761B28"/>
    <w:rsid w:val="6E76353F"/>
    <w:rsid w:val="6E7702EE"/>
    <w:rsid w:val="6E77468F"/>
    <w:rsid w:val="6E7F4392"/>
    <w:rsid w:val="6E8619B7"/>
    <w:rsid w:val="6E8631D8"/>
    <w:rsid w:val="6E8733BF"/>
    <w:rsid w:val="6E930833"/>
    <w:rsid w:val="6E9724BE"/>
    <w:rsid w:val="6E97293C"/>
    <w:rsid w:val="6E9A05D3"/>
    <w:rsid w:val="6E9A253E"/>
    <w:rsid w:val="6E9F4C7E"/>
    <w:rsid w:val="6EA7091A"/>
    <w:rsid w:val="6EAA31EC"/>
    <w:rsid w:val="6EAD3CB0"/>
    <w:rsid w:val="6EB02F99"/>
    <w:rsid w:val="6EB13F0A"/>
    <w:rsid w:val="6EB563D5"/>
    <w:rsid w:val="6ECE3F0B"/>
    <w:rsid w:val="6ED0271D"/>
    <w:rsid w:val="6ED84692"/>
    <w:rsid w:val="6ED92677"/>
    <w:rsid w:val="6EE008B0"/>
    <w:rsid w:val="6EE92F45"/>
    <w:rsid w:val="6EEB1486"/>
    <w:rsid w:val="6EED5F9B"/>
    <w:rsid w:val="6EEE0440"/>
    <w:rsid w:val="6EF00E36"/>
    <w:rsid w:val="6F0029A3"/>
    <w:rsid w:val="6F010820"/>
    <w:rsid w:val="6F011E8E"/>
    <w:rsid w:val="6F023656"/>
    <w:rsid w:val="6F0A71B0"/>
    <w:rsid w:val="6F10387B"/>
    <w:rsid w:val="6F1112B9"/>
    <w:rsid w:val="6F136465"/>
    <w:rsid w:val="6F150E28"/>
    <w:rsid w:val="6F1918D1"/>
    <w:rsid w:val="6F1B18A2"/>
    <w:rsid w:val="6F1C377E"/>
    <w:rsid w:val="6F1F1ECC"/>
    <w:rsid w:val="6F225983"/>
    <w:rsid w:val="6F27253B"/>
    <w:rsid w:val="6F2A4029"/>
    <w:rsid w:val="6F2B71D8"/>
    <w:rsid w:val="6F321C00"/>
    <w:rsid w:val="6F342BDD"/>
    <w:rsid w:val="6F3B13ED"/>
    <w:rsid w:val="6F3B21C3"/>
    <w:rsid w:val="6F3C2615"/>
    <w:rsid w:val="6F3C2A7E"/>
    <w:rsid w:val="6F5519CF"/>
    <w:rsid w:val="6F5D6012"/>
    <w:rsid w:val="6F657B08"/>
    <w:rsid w:val="6F6B2C8A"/>
    <w:rsid w:val="6F6B31F8"/>
    <w:rsid w:val="6F737B26"/>
    <w:rsid w:val="6F7C5DC0"/>
    <w:rsid w:val="6F7E0D23"/>
    <w:rsid w:val="6F8031F0"/>
    <w:rsid w:val="6F89086F"/>
    <w:rsid w:val="6F8C515E"/>
    <w:rsid w:val="6F8F361A"/>
    <w:rsid w:val="6F8F403F"/>
    <w:rsid w:val="6F926156"/>
    <w:rsid w:val="6F93243F"/>
    <w:rsid w:val="6F944068"/>
    <w:rsid w:val="6F944668"/>
    <w:rsid w:val="6F971E18"/>
    <w:rsid w:val="6F9A07C1"/>
    <w:rsid w:val="6F9D3CBE"/>
    <w:rsid w:val="6F9E0FBF"/>
    <w:rsid w:val="6FA040D7"/>
    <w:rsid w:val="6FA75049"/>
    <w:rsid w:val="6FA75111"/>
    <w:rsid w:val="6FA873CB"/>
    <w:rsid w:val="6FB827D6"/>
    <w:rsid w:val="6FBA5581"/>
    <w:rsid w:val="6FBC6966"/>
    <w:rsid w:val="6FBD34A2"/>
    <w:rsid w:val="6FC31C04"/>
    <w:rsid w:val="6FCC00BF"/>
    <w:rsid w:val="6FD32D55"/>
    <w:rsid w:val="6FD42F1B"/>
    <w:rsid w:val="6FD80310"/>
    <w:rsid w:val="6FD86214"/>
    <w:rsid w:val="6FDE1176"/>
    <w:rsid w:val="6FE012B4"/>
    <w:rsid w:val="6FE303BA"/>
    <w:rsid w:val="6FEA24DA"/>
    <w:rsid w:val="6FF13789"/>
    <w:rsid w:val="6FF43359"/>
    <w:rsid w:val="6FF858F4"/>
    <w:rsid w:val="6FFC5590"/>
    <w:rsid w:val="70002AE5"/>
    <w:rsid w:val="70032DF7"/>
    <w:rsid w:val="700471DF"/>
    <w:rsid w:val="70061E58"/>
    <w:rsid w:val="70075EC5"/>
    <w:rsid w:val="700C06A3"/>
    <w:rsid w:val="700E0430"/>
    <w:rsid w:val="70161521"/>
    <w:rsid w:val="70177EC4"/>
    <w:rsid w:val="701B68A4"/>
    <w:rsid w:val="701C68B9"/>
    <w:rsid w:val="701E73AD"/>
    <w:rsid w:val="70241EE8"/>
    <w:rsid w:val="70310EAC"/>
    <w:rsid w:val="7041191D"/>
    <w:rsid w:val="70432466"/>
    <w:rsid w:val="704511EB"/>
    <w:rsid w:val="704642F7"/>
    <w:rsid w:val="704D2932"/>
    <w:rsid w:val="705925BA"/>
    <w:rsid w:val="70635A75"/>
    <w:rsid w:val="70651310"/>
    <w:rsid w:val="706656E8"/>
    <w:rsid w:val="706A6AB7"/>
    <w:rsid w:val="706D1DD0"/>
    <w:rsid w:val="706E4EB9"/>
    <w:rsid w:val="707351C6"/>
    <w:rsid w:val="707406D4"/>
    <w:rsid w:val="70787AE6"/>
    <w:rsid w:val="707F03B9"/>
    <w:rsid w:val="70824A3F"/>
    <w:rsid w:val="708325A8"/>
    <w:rsid w:val="70856B87"/>
    <w:rsid w:val="7089083E"/>
    <w:rsid w:val="708F0877"/>
    <w:rsid w:val="708F690D"/>
    <w:rsid w:val="709171C3"/>
    <w:rsid w:val="70934920"/>
    <w:rsid w:val="709D4787"/>
    <w:rsid w:val="70A00DEB"/>
    <w:rsid w:val="70A803E6"/>
    <w:rsid w:val="70B40682"/>
    <w:rsid w:val="70B578AB"/>
    <w:rsid w:val="70B6309B"/>
    <w:rsid w:val="70B66741"/>
    <w:rsid w:val="70B76C7B"/>
    <w:rsid w:val="70BC32D1"/>
    <w:rsid w:val="70C148F7"/>
    <w:rsid w:val="70C16985"/>
    <w:rsid w:val="70D13B2D"/>
    <w:rsid w:val="70D311C0"/>
    <w:rsid w:val="70D527EE"/>
    <w:rsid w:val="70DA2600"/>
    <w:rsid w:val="70DB24CA"/>
    <w:rsid w:val="70DD6055"/>
    <w:rsid w:val="70DF6772"/>
    <w:rsid w:val="70E4213A"/>
    <w:rsid w:val="70E94540"/>
    <w:rsid w:val="70EA73C4"/>
    <w:rsid w:val="70EE4110"/>
    <w:rsid w:val="70F304D3"/>
    <w:rsid w:val="70FD1404"/>
    <w:rsid w:val="70FE7782"/>
    <w:rsid w:val="7104137A"/>
    <w:rsid w:val="71095914"/>
    <w:rsid w:val="710C1814"/>
    <w:rsid w:val="710D3FAE"/>
    <w:rsid w:val="711041C2"/>
    <w:rsid w:val="711A7101"/>
    <w:rsid w:val="711C66C3"/>
    <w:rsid w:val="71223981"/>
    <w:rsid w:val="71226427"/>
    <w:rsid w:val="712621C5"/>
    <w:rsid w:val="71290DE0"/>
    <w:rsid w:val="712C3535"/>
    <w:rsid w:val="712E52F8"/>
    <w:rsid w:val="71301A7A"/>
    <w:rsid w:val="713139EE"/>
    <w:rsid w:val="71335A0A"/>
    <w:rsid w:val="713600CE"/>
    <w:rsid w:val="713F0B81"/>
    <w:rsid w:val="71420031"/>
    <w:rsid w:val="71433871"/>
    <w:rsid w:val="71456464"/>
    <w:rsid w:val="71462767"/>
    <w:rsid w:val="714B0D57"/>
    <w:rsid w:val="714D0F73"/>
    <w:rsid w:val="714E73C6"/>
    <w:rsid w:val="715242AE"/>
    <w:rsid w:val="715336BB"/>
    <w:rsid w:val="715B5300"/>
    <w:rsid w:val="715E2895"/>
    <w:rsid w:val="71650284"/>
    <w:rsid w:val="7168405E"/>
    <w:rsid w:val="716C1ACF"/>
    <w:rsid w:val="716D06A8"/>
    <w:rsid w:val="716E0233"/>
    <w:rsid w:val="716F145E"/>
    <w:rsid w:val="7170332B"/>
    <w:rsid w:val="7171117C"/>
    <w:rsid w:val="717E3223"/>
    <w:rsid w:val="71804CF7"/>
    <w:rsid w:val="718103E5"/>
    <w:rsid w:val="71844269"/>
    <w:rsid w:val="71885381"/>
    <w:rsid w:val="718D136F"/>
    <w:rsid w:val="718D5813"/>
    <w:rsid w:val="719427AA"/>
    <w:rsid w:val="719A6B47"/>
    <w:rsid w:val="719E532A"/>
    <w:rsid w:val="71A26C87"/>
    <w:rsid w:val="71A63C0D"/>
    <w:rsid w:val="71A664FF"/>
    <w:rsid w:val="71A80F0E"/>
    <w:rsid w:val="71AB152E"/>
    <w:rsid w:val="71AC1237"/>
    <w:rsid w:val="71AD3F20"/>
    <w:rsid w:val="71C65F70"/>
    <w:rsid w:val="71CC0726"/>
    <w:rsid w:val="71CE4A0A"/>
    <w:rsid w:val="71D1146E"/>
    <w:rsid w:val="71D27F8A"/>
    <w:rsid w:val="71D3593A"/>
    <w:rsid w:val="71D53B8A"/>
    <w:rsid w:val="71D662BF"/>
    <w:rsid w:val="71D7141E"/>
    <w:rsid w:val="71D93441"/>
    <w:rsid w:val="71DA1A65"/>
    <w:rsid w:val="71DC4030"/>
    <w:rsid w:val="71DC43ED"/>
    <w:rsid w:val="71E1759B"/>
    <w:rsid w:val="71E444A8"/>
    <w:rsid w:val="71E61D5A"/>
    <w:rsid w:val="71E673A2"/>
    <w:rsid w:val="71E84AAC"/>
    <w:rsid w:val="71E94C70"/>
    <w:rsid w:val="71F1541A"/>
    <w:rsid w:val="71F54A3B"/>
    <w:rsid w:val="71F746C7"/>
    <w:rsid w:val="71FB2803"/>
    <w:rsid w:val="71FD4424"/>
    <w:rsid w:val="72005BB5"/>
    <w:rsid w:val="72023B0B"/>
    <w:rsid w:val="720430CB"/>
    <w:rsid w:val="720535FB"/>
    <w:rsid w:val="720A6101"/>
    <w:rsid w:val="721323BB"/>
    <w:rsid w:val="721C384C"/>
    <w:rsid w:val="721C685E"/>
    <w:rsid w:val="72222E94"/>
    <w:rsid w:val="7225120D"/>
    <w:rsid w:val="72294C72"/>
    <w:rsid w:val="722B17DF"/>
    <w:rsid w:val="722C09CB"/>
    <w:rsid w:val="723149BC"/>
    <w:rsid w:val="723313B9"/>
    <w:rsid w:val="7234300E"/>
    <w:rsid w:val="72354F44"/>
    <w:rsid w:val="723B4E5B"/>
    <w:rsid w:val="72400126"/>
    <w:rsid w:val="72431AD4"/>
    <w:rsid w:val="72464BB4"/>
    <w:rsid w:val="72476957"/>
    <w:rsid w:val="72503794"/>
    <w:rsid w:val="72510426"/>
    <w:rsid w:val="725418B3"/>
    <w:rsid w:val="72553024"/>
    <w:rsid w:val="725B76BF"/>
    <w:rsid w:val="725E4ABA"/>
    <w:rsid w:val="725F5FCE"/>
    <w:rsid w:val="72604E72"/>
    <w:rsid w:val="72677DE1"/>
    <w:rsid w:val="726874A0"/>
    <w:rsid w:val="7269024D"/>
    <w:rsid w:val="726F66D5"/>
    <w:rsid w:val="72722C8A"/>
    <w:rsid w:val="7275154C"/>
    <w:rsid w:val="72783DCD"/>
    <w:rsid w:val="727D24F1"/>
    <w:rsid w:val="727E5AAE"/>
    <w:rsid w:val="72800ED4"/>
    <w:rsid w:val="72810007"/>
    <w:rsid w:val="7285321E"/>
    <w:rsid w:val="728734CC"/>
    <w:rsid w:val="7291251D"/>
    <w:rsid w:val="7291554F"/>
    <w:rsid w:val="729B1D7D"/>
    <w:rsid w:val="729B5ACD"/>
    <w:rsid w:val="72A81162"/>
    <w:rsid w:val="72AE6CEA"/>
    <w:rsid w:val="72AF5F0F"/>
    <w:rsid w:val="72B0238D"/>
    <w:rsid w:val="72B13F7E"/>
    <w:rsid w:val="72B15531"/>
    <w:rsid w:val="72B57F5C"/>
    <w:rsid w:val="72BD60AD"/>
    <w:rsid w:val="72BF20EE"/>
    <w:rsid w:val="72C05CF2"/>
    <w:rsid w:val="72C65A98"/>
    <w:rsid w:val="72C9476C"/>
    <w:rsid w:val="72CA561A"/>
    <w:rsid w:val="72CA7CDF"/>
    <w:rsid w:val="72CC5EC7"/>
    <w:rsid w:val="72CE1ED6"/>
    <w:rsid w:val="72CF1390"/>
    <w:rsid w:val="72CF7399"/>
    <w:rsid w:val="72D1465A"/>
    <w:rsid w:val="72D21F48"/>
    <w:rsid w:val="72D507F7"/>
    <w:rsid w:val="72D90963"/>
    <w:rsid w:val="72E10CBC"/>
    <w:rsid w:val="72E2781A"/>
    <w:rsid w:val="72F1129B"/>
    <w:rsid w:val="72FC49FE"/>
    <w:rsid w:val="72FE6DD2"/>
    <w:rsid w:val="73026553"/>
    <w:rsid w:val="73037A6A"/>
    <w:rsid w:val="730833A3"/>
    <w:rsid w:val="730D3E80"/>
    <w:rsid w:val="73113251"/>
    <w:rsid w:val="73122968"/>
    <w:rsid w:val="7315586F"/>
    <w:rsid w:val="73160A5B"/>
    <w:rsid w:val="731D4975"/>
    <w:rsid w:val="731F5D5E"/>
    <w:rsid w:val="731F693F"/>
    <w:rsid w:val="73214465"/>
    <w:rsid w:val="73215891"/>
    <w:rsid w:val="73244A1D"/>
    <w:rsid w:val="732704C5"/>
    <w:rsid w:val="732D105C"/>
    <w:rsid w:val="732F7CCF"/>
    <w:rsid w:val="73306456"/>
    <w:rsid w:val="7331630B"/>
    <w:rsid w:val="7334632C"/>
    <w:rsid w:val="7337429F"/>
    <w:rsid w:val="73395F96"/>
    <w:rsid w:val="73397BD9"/>
    <w:rsid w:val="733F6699"/>
    <w:rsid w:val="7341744B"/>
    <w:rsid w:val="7344742A"/>
    <w:rsid w:val="73453959"/>
    <w:rsid w:val="73477051"/>
    <w:rsid w:val="73480A29"/>
    <w:rsid w:val="734F5EF5"/>
    <w:rsid w:val="7350226D"/>
    <w:rsid w:val="735342C3"/>
    <w:rsid w:val="7353590F"/>
    <w:rsid w:val="735836DE"/>
    <w:rsid w:val="73585B59"/>
    <w:rsid w:val="73624E24"/>
    <w:rsid w:val="736401E3"/>
    <w:rsid w:val="73677F4E"/>
    <w:rsid w:val="736822B8"/>
    <w:rsid w:val="736D3206"/>
    <w:rsid w:val="736E0175"/>
    <w:rsid w:val="736E7CB5"/>
    <w:rsid w:val="73794491"/>
    <w:rsid w:val="737A34C3"/>
    <w:rsid w:val="737C47CD"/>
    <w:rsid w:val="737E3398"/>
    <w:rsid w:val="73813540"/>
    <w:rsid w:val="73816CAA"/>
    <w:rsid w:val="73A4658F"/>
    <w:rsid w:val="73AC1526"/>
    <w:rsid w:val="73B21CFC"/>
    <w:rsid w:val="73B83549"/>
    <w:rsid w:val="73B9469D"/>
    <w:rsid w:val="73C07B48"/>
    <w:rsid w:val="73C368AC"/>
    <w:rsid w:val="73C51AD5"/>
    <w:rsid w:val="73C8759D"/>
    <w:rsid w:val="73C9154D"/>
    <w:rsid w:val="73CB3975"/>
    <w:rsid w:val="73CE08D7"/>
    <w:rsid w:val="73D026FB"/>
    <w:rsid w:val="73D17764"/>
    <w:rsid w:val="73D525E7"/>
    <w:rsid w:val="73DC65DE"/>
    <w:rsid w:val="73E03E88"/>
    <w:rsid w:val="73E0758F"/>
    <w:rsid w:val="73E31090"/>
    <w:rsid w:val="73E31098"/>
    <w:rsid w:val="73E36688"/>
    <w:rsid w:val="73E84B44"/>
    <w:rsid w:val="73EF1E6D"/>
    <w:rsid w:val="73EF4563"/>
    <w:rsid w:val="73F016A3"/>
    <w:rsid w:val="73F569D9"/>
    <w:rsid w:val="74033B6B"/>
    <w:rsid w:val="74116AD7"/>
    <w:rsid w:val="74146CF3"/>
    <w:rsid w:val="741E793C"/>
    <w:rsid w:val="74261E05"/>
    <w:rsid w:val="74282D19"/>
    <w:rsid w:val="7428520C"/>
    <w:rsid w:val="742D0962"/>
    <w:rsid w:val="742D7F41"/>
    <w:rsid w:val="74311A07"/>
    <w:rsid w:val="74374508"/>
    <w:rsid w:val="743B33FB"/>
    <w:rsid w:val="74423E1E"/>
    <w:rsid w:val="74457193"/>
    <w:rsid w:val="744B7799"/>
    <w:rsid w:val="744F0B5E"/>
    <w:rsid w:val="7452064E"/>
    <w:rsid w:val="745544FC"/>
    <w:rsid w:val="74565A74"/>
    <w:rsid w:val="745E145C"/>
    <w:rsid w:val="745E3944"/>
    <w:rsid w:val="745F7E4E"/>
    <w:rsid w:val="746026F5"/>
    <w:rsid w:val="74637B86"/>
    <w:rsid w:val="74651BB0"/>
    <w:rsid w:val="7465561B"/>
    <w:rsid w:val="74656C16"/>
    <w:rsid w:val="74693B5B"/>
    <w:rsid w:val="746A183A"/>
    <w:rsid w:val="746E420B"/>
    <w:rsid w:val="74704AA1"/>
    <w:rsid w:val="747338D1"/>
    <w:rsid w:val="747905E5"/>
    <w:rsid w:val="74796F4A"/>
    <w:rsid w:val="747B02D1"/>
    <w:rsid w:val="747B6FCE"/>
    <w:rsid w:val="748132E7"/>
    <w:rsid w:val="7482085B"/>
    <w:rsid w:val="74844A39"/>
    <w:rsid w:val="748527D2"/>
    <w:rsid w:val="74855EA2"/>
    <w:rsid w:val="74877A56"/>
    <w:rsid w:val="74890557"/>
    <w:rsid w:val="748A7EA3"/>
    <w:rsid w:val="748C2930"/>
    <w:rsid w:val="74900807"/>
    <w:rsid w:val="74907EEE"/>
    <w:rsid w:val="74923562"/>
    <w:rsid w:val="74971C7C"/>
    <w:rsid w:val="74A31C12"/>
    <w:rsid w:val="74AA27C9"/>
    <w:rsid w:val="74AF5AA0"/>
    <w:rsid w:val="74B3733F"/>
    <w:rsid w:val="74B45B65"/>
    <w:rsid w:val="74BB2314"/>
    <w:rsid w:val="74C02471"/>
    <w:rsid w:val="74C80793"/>
    <w:rsid w:val="74CA016B"/>
    <w:rsid w:val="74D15A17"/>
    <w:rsid w:val="74D2761B"/>
    <w:rsid w:val="74D62C90"/>
    <w:rsid w:val="74D64728"/>
    <w:rsid w:val="74DC2463"/>
    <w:rsid w:val="74E6423E"/>
    <w:rsid w:val="74EC5BBC"/>
    <w:rsid w:val="74EE24C2"/>
    <w:rsid w:val="74F16324"/>
    <w:rsid w:val="74F3044A"/>
    <w:rsid w:val="74F30E2D"/>
    <w:rsid w:val="74F407F8"/>
    <w:rsid w:val="74F57A24"/>
    <w:rsid w:val="74F909F0"/>
    <w:rsid w:val="74FB2087"/>
    <w:rsid w:val="74FD4D45"/>
    <w:rsid w:val="7503631D"/>
    <w:rsid w:val="75042501"/>
    <w:rsid w:val="7505367D"/>
    <w:rsid w:val="750701B4"/>
    <w:rsid w:val="7507734F"/>
    <w:rsid w:val="750827FA"/>
    <w:rsid w:val="750F58BF"/>
    <w:rsid w:val="75142036"/>
    <w:rsid w:val="75153B55"/>
    <w:rsid w:val="751855A8"/>
    <w:rsid w:val="751B565A"/>
    <w:rsid w:val="751C2AC6"/>
    <w:rsid w:val="751C6309"/>
    <w:rsid w:val="751D3279"/>
    <w:rsid w:val="751E7677"/>
    <w:rsid w:val="75241FEA"/>
    <w:rsid w:val="7524300A"/>
    <w:rsid w:val="752A47DD"/>
    <w:rsid w:val="75303212"/>
    <w:rsid w:val="75327A6D"/>
    <w:rsid w:val="75373932"/>
    <w:rsid w:val="753D12FE"/>
    <w:rsid w:val="753D4638"/>
    <w:rsid w:val="753E0A86"/>
    <w:rsid w:val="75420FE6"/>
    <w:rsid w:val="754637B9"/>
    <w:rsid w:val="75472AE0"/>
    <w:rsid w:val="754E55FC"/>
    <w:rsid w:val="75501C43"/>
    <w:rsid w:val="755313D7"/>
    <w:rsid w:val="75534EA1"/>
    <w:rsid w:val="755D2468"/>
    <w:rsid w:val="75624670"/>
    <w:rsid w:val="756D5610"/>
    <w:rsid w:val="75745394"/>
    <w:rsid w:val="75753006"/>
    <w:rsid w:val="757E75C5"/>
    <w:rsid w:val="758F29F2"/>
    <w:rsid w:val="75970D2C"/>
    <w:rsid w:val="759E362D"/>
    <w:rsid w:val="75A769DA"/>
    <w:rsid w:val="75AD3D8E"/>
    <w:rsid w:val="75B459ED"/>
    <w:rsid w:val="75B45A00"/>
    <w:rsid w:val="75B60411"/>
    <w:rsid w:val="75BA16C1"/>
    <w:rsid w:val="75BB38FA"/>
    <w:rsid w:val="75BF575B"/>
    <w:rsid w:val="75C136C2"/>
    <w:rsid w:val="75C17839"/>
    <w:rsid w:val="75C53BBD"/>
    <w:rsid w:val="75C67610"/>
    <w:rsid w:val="75CB0698"/>
    <w:rsid w:val="75CB4B5C"/>
    <w:rsid w:val="75D00C96"/>
    <w:rsid w:val="75D053AE"/>
    <w:rsid w:val="75DB67F6"/>
    <w:rsid w:val="75DC4673"/>
    <w:rsid w:val="75E40EF5"/>
    <w:rsid w:val="75E75FB5"/>
    <w:rsid w:val="75E967C8"/>
    <w:rsid w:val="75F55009"/>
    <w:rsid w:val="75FA3225"/>
    <w:rsid w:val="75FB50D3"/>
    <w:rsid w:val="760034E2"/>
    <w:rsid w:val="760231F9"/>
    <w:rsid w:val="760320C9"/>
    <w:rsid w:val="76164BEC"/>
    <w:rsid w:val="761716AF"/>
    <w:rsid w:val="76194377"/>
    <w:rsid w:val="761F58C3"/>
    <w:rsid w:val="761F7012"/>
    <w:rsid w:val="7621652A"/>
    <w:rsid w:val="762A09D1"/>
    <w:rsid w:val="762A1882"/>
    <w:rsid w:val="762A7AD4"/>
    <w:rsid w:val="762F6E99"/>
    <w:rsid w:val="763334E3"/>
    <w:rsid w:val="76333AA7"/>
    <w:rsid w:val="7635099D"/>
    <w:rsid w:val="7638258F"/>
    <w:rsid w:val="763C76DD"/>
    <w:rsid w:val="763E453E"/>
    <w:rsid w:val="764172D3"/>
    <w:rsid w:val="76435776"/>
    <w:rsid w:val="764A3CD3"/>
    <w:rsid w:val="764D7784"/>
    <w:rsid w:val="76553894"/>
    <w:rsid w:val="76554888"/>
    <w:rsid w:val="76574957"/>
    <w:rsid w:val="765C7795"/>
    <w:rsid w:val="76614C0A"/>
    <w:rsid w:val="766312C7"/>
    <w:rsid w:val="766537ED"/>
    <w:rsid w:val="76692B88"/>
    <w:rsid w:val="766A1C7F"/>
    <w:rsid w:val="766C5CBB"/>
    <w:rsid w:val="76747076"/>
    <w:rsid w:val="767B00D5"/>
    <w:rsid w:val="767C54DB"/>
    <w:rsid w:val="767E43CC"/>
    <w:rsid w:val="76866250"/>
    <w:rsid w:val="76880357"/>
    <w:rsid w:val="768816FA"/>
    <w:rsid w:val="768E234C"/>
    <w:rsid w:val="76921CBF"/>
    <w:rsid w:val="769342A7"/>
    <w:rsid w:val="769D406C"/>
    <w:rsid w:val="76A15BA3"/>
    <w:rsid w:val="76A571C7"/>
    <w:rsid w:val="76A7498B"/>
    <w:rsid w:val="76A8766E"/>
    <w:rsid w:val="76AA5BB2"/>
    <w:rsid w:val="76AC4330"/>
    <w:rsid w:val="76BA3D0F"/>
    <w:rsid w:val="76C40110"/>
    <w:rsid w:val="76C723EC"/>
    <w:rsid w:val="76C914FB"/>
    <w:rsid w:val="76CB518A"/>
    <w:rsid w:val="76CB77F9"/>
    <w:rsid w:val="76CC215C"/>
    <w:rsid w:val="76CF5F86"/>
    <w:rsid w:val="76D17E56"/>
    <w:rsid w:val="76D521E1"/>
    <w:rsid w:val="76D96E05"/>
    <w:rsid w:val="76DE0DAD"/>
    <w:rsid w:val="76E47004"/>
    <w:rsid w:val="76EB3A94"/>
    <w:rsid w:val="76F15606"/>
    <w:rsid w:val="76F244CD"/>
    <w:rsid w:val="76F64B5D"/>
    <w:rsid w:val="76FC1E21"/>
    <w:rsid w:val="76FC28D3"/>
    <w:rsid w:val="76FE0619"/>
    <w:rsid w:val="770245AD"/>
    <w:rsid w:val="770E6AAE"/>
    <w:rsid w:val="7711659E"/>
    <w:rsid w:val="77117054"/>
    <w:rsid w:val="771D2050"/>
    <w:rsid w:val="771F07E4"/>
    <w:rsid w:val="771F367A"/>
    <w:rsid w:val="7721434B"/>
    <w:rsid w:val="772415F6"/>
    <w:rsid w:val="772938E8"/>
    <w:rsid w:val="772A140E"/>
    <w:rsid w:val="772B3B04"/>
    <w:rsid w:val="77336BED"/>
    <w:rsid w:val="77341FB8"/>
    <w:rsid w:val="77342EBD"/>
    <w:rsid w:val="7739042E"/>
    <w:rsid w:val="77397905"/>
    <w:rsid w:val="773D344C"/>
    <w:rsid w:val="774441B1"/>
    <w:rsid w:val="77470212"/>
    <w:rsid w:val="7748459B"/>
    <w:rsid w:val="77495D38"/>
    <w:rsid w:val="774D116F"/>
    <w:rsid w:val="77505319"/>
    <w:rsid w:val="77527033"/>
    <w:rsid w:val="775457EA"/>
    <w:rsid w:val="77597303"/>
    <w:rsid w:val="775D7737"/>
    <w:rsid w:val="775F730A"/>
    <w:rsid w:val="776032EC"/>
    <w:rsid w:val="77665090"/>
    <w:rsid w:val="776863B2"/>
    <w:rsid w:val="776D5C09"/>
    <w:rsid w:val="776F7BBE"/>
    <w:rsid w:val="77713313"/>
    <w:rsid w:val="77752FD1"/>
    <w:rsid w:val="77762421"/>
    <w:rsid w:val="777752B5"/>
    <w:rsid w:val="77877F94"/>
    <w:rsid w:val="77882D05"/>
    <w:rsid w:val="778A018E"/>
    <w:rsid w:val="77904CC1"/>
    <w:rsid w:val="779226CA"/>
    <w:rsid w:val="779A2234"/>
    <w:rsid w:val="779A3F9A"/>
    <w:rsid w:val="779D4883"/>
    <w:rsid w:val="779D6084"/>
    <w:rsid w:val="779E60C5"/>
    <w:rsid w:val="77A80823"/>
    <w:rsid w:val="77AA2B54"/>
    <w:rsid w:val="77AD167C"/>
    <w:rsid w:val="77B138DB"/>
    <w:rsid w:val="77B32B86"/>
    <w:rsid w:val="77B51620"/>
    <w:rsid w:val="77B56B1F"/>
    <w:rsid w:val="77B70EF4"/>
    <w:rsid w:val="77B92B66"/>
    <w:rsid w:val="77B94511"/>
    <w:rsid w:val="77BA48E9"/>
    <w:rsid w:val="77BB776D"/>
    <w:rsid w:val="77BF3442"/>
    <w:rsid w:val="77BF6B25"/>
    <w:rsid w:val="77C536C6"/>
    <w:rsid w:val="77CB499F"/>
    <w:rsid w:val="77CC7ECB"/>
    <w:rsid w:val="77D114E1"/>
    <w:rsid w:val="77D45ED3"/>
    <w:rsid w:val="77D90BCB"/>
    <w:rsid w:val="77D9679D"/>
    <w:rsid w:val="77DE13A0"/>
    <w:rsid w:val="77E01BA9"/>
    <w:rsid w:val="77E03A8C"/>
    <w:rsid w:val="77E162D9"/>
    <w:rsid w:val="77E33136"/>
    <w:rsid w:val="77E46DFD"/>
    <w:rsid w:val="77F0709B"/>
    <w:rsid w:val="77F15E22"/>
    <w:rsid w:val="78016C2B"/>
    <w:rsid w:val="78087B97"/>
    <w:rsid w:val="780A138D"/>
    <w:rsid w:val="780F09F4"/>
    <w:rsid w:val="78124065"/>
    <w:rsid w:val="7812515D"/>
    <w:rsid w:val="78143E35"/>
    <w:rsid w:val="78163F41"/>
    <w:rsid w:val="781A0B21"/>
    <w:rsid w:val="781C344D"/>
    <w:rsid w:val="781E783D"/>
    <w:rsid w:val="782112A6"/>
    <w:rsid w:val="78264E47"/>
    <w:rsid w:val="782E0F82"/>
    <w:rsid w:val="782E5C2D"/>
    <w:rsid w:val="7831202C"/>
    <w:rsid w:val="78341B97"/>
    <w:rsid w:val="78363ECB"/>
    <w:rsid w:val="783C5EB8"/>
    <w:rsid w:val="783F1E06"/>
    <w:rsid w:val="78401531"/>
    <w:rsid w:val="78497472"/>
    <w:rsid w:val="785250C1"/>
    <w:rsid w:val="785811BC"/>
    <w:rsid w:val="785A5B3E"/>
    <w:rsid w:val="785D39D3"/>
    <w:rsid w:val="78624FE1"/>
    <w:rsid w:val="786F105B"/>
    <w:rsid w:val="786F3277"/>
    <w:rsid w:val="787C3EEC"/>
    <w:rsid w:val="789B351D"/>
    <w:rsid w:val="789B6A68"/>
    <w:rsid w:val="789D458E"/>
    <w:rsid w:val="789F3DAA"/>
    <w:rsid w:val="78A07FA1"/>
    <w:rsid w:val="78A738FC"/>
    <w:rsid w:val="78A90480"/>
    <w:rsid w:val="78A932D1"/>
    <w:rsid w:val="78AA3E72"/>
    <w:rsid w:val="78AC384D"/>
    <w:rsid w:val="78B87DD5"/>
    <w:rsid w:val="78BD50EF"/>
    <w:rsid w:val="78C55892"/>
    <w:rsid w:val="78C70C13"/>
    <w:rsid w:val="78CB02B0"/>
    <w:rsid w:val="78D26023"/>
    <w:rsid w:val="78D44206"/>
    <w:rsid w:val="78D95DE7"/>
    <w:rsid w:val="78DF5BEB"/>
    <w:rsid w:val="78ED469D"/>
    <w:rsid w:val="78ED796A"/>
    <w:rsid w:val="78F43452"/>
    <w:rsid w:val="78FC283D"/>
    <w:rsid w:val="78FF48FD"/>
    <w:rsid w:val="790243F1"/>
    <w:rsid w:val="79091178"/>
    <w:rsid w:val="790A3A63"/>
    <w:rsid w:val="790F2EF2"/>
    <w:rsid w:val="790F756E"/>
    <w:rsid w:val="79122A0F"/>
    <w:rsid w:val="79166F8B"/>
    <w:rsid w:val="791F4DA8"/>
    <w:rsid w:val="792A3AAF"/>
    <w:rsid w:val="792E18EE"/>
    <w:rsid w:val="7931117A"/>
    <w:rsid w:val="79316672"/>
    <w:rsid w:val="793401D8"/>
    <w:rsid w:val="793417B0"/>
    <w:rsid w:val="793A2567"/>
    <w:rsid w:val="793A7536"/>
    <w:rsid w:val="79415B14"/>
    <w:rsid w:val="79440488"/>
    <w:rsid w:val="79441FD6"/>
    <w:rsid w:val="794516D1"/>
    <w:rsid w:val="794B27AC"/>
    <w:rsid w:val="794B34AB"/>
    <w:rsid w:val="79501743"/>
    <w:rsid w:val="795409C4"/>
    <w:rsid w:val="795767C2"/>
    <w:rsid w:val="7958033C"/>
    <w:rsid w:val="79586141"/>
    <w:rsid w:val="79590BA1"/>
    <w:rsid w:val="79595BC4"/>
    <w:rsid w:val="79605AEC"/>
    <w:rsid w:val="79615127"/>
    <w:rsid w:val="796258AB"/>
    <w:rsid w:val="79671FE1"/>
    <w:rsid w:val="79694470"/>
    <w:rsid w:val="7975294A"/>
    <w:rsid w:val="79767E48"/>
    <w:rsid w:val="79787F88"/>
    <w:rsid w:val="79793D9E"/>
    <w:rsid w:val="797B10C7"/>
    <w:rsid w:val="797D28DB"/>
    <w:rsid w:val="798425E3"/>
    <w:rsid w:val="798527FB"/>
    <w:rsid w:val="79893415"/>
    <w:rsid w:val="79903044"/>
    <w:rsid w:val="79933A91"/>
    <w:rsid w:val="79961D32"/>
    <w:rsid w:val="79984E15"/>
    <w:rsid w:val="79997CE2"/>
    <w:rsid w:val="79A2466C"/>
    <w:rsid w:val="79A27982"/>
    <w:rsid w:val="79B002F1"/>
    <w:rsid w:val="79BE507A"/>
    <w:rsid w:val="79C025FA"/>
    <w:rsid w:val="79C63D93"/>
    <w:rsid w:val="79C9489A"/>
    <w:rsid w:val="79D5285D"/>
    <w:rsid w:val="79D529DC"/>
    <w:rsid w:val="79D715E9"/>
    <w:rsid w:val="79E93803"/>
    <w:rsid w:val="79EB794D"/>
    <w:rsid w:val="79EC2CAC"/>
    <w:rsid w:val="79EC628D"/>
    <w:rsid w:val="79ED6E4F"/>
    <w:rsid w:val="79EE2177"/>
    <w:rsid w:val="79EF6995"/>
    <w:rsid w:val="79F23167"/>
    <w:rsid w:val="79F24465"/>
    <w:rsid w:val="79F56E5F"/>
    <w:rsid w:val="79FE36B2"/>
    <w:rsid w:val="79FF4524"/>
    <w:rsid w:val="79FF4DD4"/>
    <w:rsid w:val="7A00775B"/>
    <w:rsid w:val="7A016D9E"/>
    <w:rsid w:val="7A055A3D"/>
    <w:rsid w:val="7A0740F9"/>
    <w:rsid w:val="7A0D129F"/>
    <w:rsid w:val="7A0F1A23"/>
    <w:rsid w:val="7A1425FB"/>
    <w:rsid w:val="7A1B2107"/>
    <w:rsid w:val="7A1B7FEA"/>
    <w:rsid w:val="7A1E29C8"/>
    <w:rsid w:val="7A210161"/>
    <w:rsid w:val="7A217370"/>
    <w:rsid w:val="7A231AD8"/>
    <w:rsid w:val="7A25189B"/>
    <w:rsid w:val="7A263EE9"/>
    <w:rsid w:val="7A2822EC"/>
    <w:rsid w:val="7A2E6360"/>
    <w:rsid w:val="7A2E6BE3"/>
    <w:rsid w:val="7A317E8E"/>
    <w:rsid w:val="7A322C2A"/>
    <w:rsid w:val="7A3529BD"/>
    <w:rsid w:val="7A356A48"/>
    <w:rsid w:val="7A364017"/>
    <w:rsid w:val="7A397E14"/>
    <w:rsid w:val="7A465F98"/>
    <w:rsid w:val="7A501FCA"/>
    <w:rsid w:val="7A5B1B59"/>
    <w:rsid w:val="7A5D0B69"/>
    <w:rsid w:val="7A5E50CF"/>
    <w:rsid w:val="7A5F3547"/>
    <w:rsid w:val="7A654F2B"/>
    <w:rsid w:val="7A680D1E"/>
    <w:rsid w:val="7A696BFB"/>
    <w:rsid w:val="7A6D4683"/>
    <w:rsid w:val="7A6E4EE5"/>
    <w:rsid w:val="7A70628E"/>
    <w:rsid w:val="7A7270AB"/>
    <w:rsid w:val="7A736C30"/>
    <w:rsid w:val="7A7E4100"/>
    <w:rsid w:val="7A8049C5"/>
    <w:rsid w:val="7A8265E1"/>
    <w:rsid w:val="7A8714CE"/>
    <w:rsid w:val="7A882970"/>
    <w:rsid w:val="7A912470"/>
    <w:rsid w:val="7A944F5E"/>
    <w:rsid w:val="7A97777F"/>
    <w:rsid w:val="7A9B2474"/>
    <w:rsid w:val="7A9F6FBE"/>
    <w:rsid w:val="7AA53BCD"/>
    <w:rsid w:val="7AA56800"/>
    <w:rsid w:val="7AAA41D3"/>
    <w:rsid w:val="7AAA671C"/>
    <w:rsid w:val="7AAB12C3"/>
    <w:rsid w:val="7AAC36D4"/>
    <w:rsid w:val="7AAF3071"/>
    <w:rsid w:val="7AAF7244"/>
    <w:rsid w:val="7AB16810"/>
    <w:rsid w:val="7AB17C70"/>
    <w:rsid w:val="7AB570C2"/>
    <w:rsid w:val="7AB66F91"/>
    <w:rsid w:val="7AB7184B"/>
    <w:rsid w:val="7AB72476"/>
    <w:rsid w:val="7AB94F83"/>
    <w:rsid w:val="7AB96CDF"/>
    <w:rsid w:val="7ABA5BFA"/>
    <w:rsid w:val="7ABC4A73"/>
    <w:rsid w:val="7ABF23A9"/>
    <w:rsid w:val="7ABF3606"/>
    <w:rsid w:val="7AC47600"/>
    <w:rsid w:val="7AC51C3D"/>
    <w:rsid w:val="7AC60BDC"/>
    <w:rsid w:val="7AC71641"/>
    <w:rsid w:val="7AC844FD"/>
    <w:rsid w:val="7ACA4A7C"/>
    <w:rsid w:val="7ACB0B2F"/>
    <w:rsid w:val="7ACB1C9F"/>
    <w:rsid w:val="7AD0073E"/>
    <w:rsid w:val="7AD02554"/>
    <w:rsid w:val="7AD5770F"/>
    <w:rsid w:val="7AD65B35"/>
    <w:rsid w:val="7ADA12E5"/>
    <w:rsid w:val="7ADA32FD"/>
    <w:rsid w:val="7AE4452F"/>
    <w:rsid w:val="7AE74015"/>
    <w:rsid w:val="7AE82F61"/>
    <w:rsid w:val="7AED2E7F"/>
    <w:rsid w:val="7AF421D9"/>
    <w:rsid w:val="7AF54323"/>
    <w:rsid w:val="7AF60C0D"/>
    <w:rsid w:val="7AF97A75"/>
    <w:rsid w:val="7AFD04B0"/>
    <w:rsid w:val="7AFF7022"/>
    <w:rsid w:val="7B001FFD"/>
    <w:rsid w:val="7B064F05"/>
    <w:rsid w:val="7B091CEE"/>
    <w:rsid w:val="7B0A08C4"/>
    <w:rsid w:val="7B0B0A2B"/>
    <w:rsid w:val="7B16616D"/>
    <w:rsid w:val="7B1A3EC5"/>
    <w:rsid w:val="7B1A6E08"/>
    <w:rsid w:val="7B227A7A"/>
    <w:rsid w:val="7B326164"/>
    <w:rsid w:val="7B3341A9"/>
    <w:rsid w:val="7B334FEE"/>
    <w:rsid w:val="7B3960C4"/>
    <w:rsid w:val="7B3A5F5B"/>
    <w:rsid w:val="7B3D2AC6"/>
    <w:rsid w:val="7B3E6340"/>
    <w:rsid w:val="7B3F192C"/>
    <w:rsid w:val="7B3F7B7E"/>
    <w:rsid w:val="7B430CF1"/>
    <w:rsid w:val="7B471686"/>
    <w:rsid w:val="7B4B7056"/>
    <w:rsid w:val="7B4F4ED5"/>
    <w:rsid w:val="7B513347"/>
    <w:rsid w:val="7B5171F4"/>
    <w:rsid w:val="7B56709B"/>
    <w:rsid w:val="7B5D1C3A"/>
    <w:rsid w:val="7B6475E5"/>
    <w:rsid w:val="7B665EE1"/>
    <w:rsid w:val="7B6709C5"/>
    <w:rsid w:val="7B67100F"/>
    <w:rsid w:val="7B676A91"/>
    <w:rsid w:val="7B686D42"/>
    <w:rsid w:val="7B687DF2"/>
    <w:rsid w:val="7B6B07CC"/>
    <w:rsid w:val="7B724258"/>
    <w:rsid w:val="7B840B03"/>
    <w:rsid w:val="7B841746"/>
    <w:rsid w:val="7B841C9B"/>
    <w:rsid w:val="7B856467"/>
    <w:rsid w:val="7B871725"/>
    <w:rsid w:val="7B8731A1"/>
    <w:rsid w:val="7B8732D3"/>
    <w:rsid w:val="7B8A691F"/>
    <w:rsid w:val="7B8B2937"/>
    <w:rsid w:val="7B8C6137"/>
    <w:rsid w:val="7B9E4242"/>
    <w:rsid w:val="7BAB57BC"/>
    <w:rsid w:val="7BAF6031"/>
    <w:rsid w:val="7BB46301"/>
    <w:rsid w:val="7BC048BE"/>
    <w:rsid w:val="7BC10ADE"/>
    <w:rsid w:val="7BC258A9"/>
    <w:rsid w:val="7BC36797"/>
    <w:rsid w:val="7BC45E69"/>
    <w:rsid w:val="7BC96951"/>
    <w:rsid w:val="7BD06A28"/>
    <w:rsid w:val="7BD06D52"/>
    <w:rsid w:val="7BD36518"/>
    <w:rsid w:val="7BD52290"/>
    <w:rsid w:val="7BD8432A"/>
    <w:rsid w:val="7BDA3564"/>
    <w:rsid w:val="7BDB5CDD"/>
    <w:rsid w:val="7BDC10B2"/>
    <w:rsid w:val="7BDD5E88"/>
    <w:rsid w:val="7BE46981"/>
    <w:rsid w:val="7BE5760C"/>
    <w:rsid w:val="7BE85669"/>
    <w:rsid w:val="7BEB0992"/>
    <w:rsid w:val="7BEC54C1"/>
    <w:rsid w:val="7BEE15C1"/>
    <w:rsid w:val="7BEF15FF"/>
    <w:rsid w:val="7BF861BD"/>
    <w:rsid w:val="7BFC7B02"/>
    <w:rsid w:val="7BFD15CA"/>
    <w:rsid w:val="7C034039"/>
    <w:rsid w:val="7C057870"/>
    <w:rsid w:val="7C101B8E"/>
    <w:rsid w:val="7C13787A"/>
    <w:rsid w:val="7C145706"/>
    <w:rsid w:val="7C155A4D"/>
    <w:rsid w:val="7C160D16"/>
    <w:rsid w:val="7C1B6BD3"/>
    <w:rsid w:val="7C1C0596"/>
    <w:rsid w:val="7C1E3B27"/>
    <w:rsid w:val="7C254F17"/>
    <w:rsid w:val="7C25698E"/>
    <w:rsid w:val="7C2F6B77"/>
    <w:rsid w:val="7C3B271A"/>
    <w:rsid w:val="7C407CB0"/>
    <w:rsid w:val="7C43148D"/>
    <w:rsid w:val="7C4411C4"/>
    <w:rsid w:val="7C443420"/>
    <w:rsid w:val="7C444ECF"/>
    <w:rsid w:val="7C4C4F90"/>
    <w:rsid w:val="7C531029"/>
    <w:rsid w:val="7C5331B5"/>
    <w:rsid w:val="7C537663"/>
    <w:rsid w:val="7C543DF3"/>
    <w:rsid w:val="7C570326"/>
    <w:rsid w:val="7C5C3589"/>
    <w:rsid w:val="7C6C5AC7"/>
    <w:rsid w:val="7C702121"/>
    <w:rsid w:val="7C703C6A"/>
    <w:rsid w:val="7C722DF5"/>
    <w:rsid w:val="7C722E9A"/>
    <w:rsid w:val="7C7657D1"/>
    <w:rsid w:val="7C765821"/>
    <w:rsid w:val="7C776165"/>
    <w:rsid w:val="7C7E0E1E"/>
    <w:rsid w:val="7C7E0FD2"/>
    <w:rsid w:val="7C816488"/>
    <w:rsid w:val="7C823224"/>
    <w:rsid w:val="7C8738BF"/>
    <w:rsid w:val="7C874101"/>
    <w:rsid w:val="7C875809"/>
    <w:rsid w:val="7C8B2109"/>
    <w:rsid w:val="7C914409"/>
    <w:rsid w:val="7C9319DF"/>
    <w:rsid w:val="7C961A20"/>
    <w:rsid w:val="7C963C0A"/>
    <w:rsid w:val="7C964089"/>
    <w:rsid w:val="7C973EAD"/>
    <w:rsid w:val="7C99045A"/>
    <w:rsid w:val="7C9A12A4"/>
    <w:rsid w:val="7CA160A3"/>
    <w:rsid w:val="7CA26586"/>
    <w:rsid w:val="7CA57663"/>
    <w:rsid w:val="7CB73C3F"/>
    <w:rsid w:val="7CB971A9"/>
    <w:rsid w:val="7CBB05B5"/>
    <w:rsid w:val="7CBB1486"/>
    <w:rsid w:val="7CC22025"/>
    <w:rsid w:val="7CC406E3"/>
    <w:rsid w:val="7CC63B2B"/>
    <w:rsid w:val="7CC65405"/>
    <w:rsid w:val="7CC6544B"/>
    <w:rsid w:val="7CC94106"/>
    <w:rsid w:val="7CC96DF4"/>
    <w:rsid w:val="7CD045DA"/>
    <w:rsid w:val="7CD24A22"/>
    <w:rsid w:val="7CD338BB"/>
    <w:rsid w:val="7CDE48B0"/>
    <w:rsid w:val="7CE01D12"/>
    <w:rsid w:val="7CE11C23"/>
    <w:rsid w:val="7CE153C1"/>
    <w:rsid w:val="7CE16A13"/>
    <w:rsid w:val="7CEA1FD3"/>
    <w:rsid w:val="7CEB4CB2"/>
    <w:rsid w:val="7CED6176"/>
    <w:rsid w:val="7CEE4FD1"/>
    <w:rsid w:val="7CF00F08"/>
    <w:rsid w:val="7CF43158"/>
    <w:rsid w:val="7CF664F5"/>
    <w:rsid w:val="7CF77FE5"/>
    <w:rsid w:val="7CF81D7A"/>
    <w:rsid w:val="7CFA0130"/>
    <w:rsid w:val="7CFE6148"/>
    <w:rsid w:val="7D0239FF"/>
    <w:rsid w:val="7D100BAB"/>
    <w:rsid w:val="7D153F4E"/>
    <w:rsid w:val="7D16490F"/>
    <w:rsid w:val="7D185D99"/>
    <w:rsid w:val="7D1C7ABE"/>
    <w:rsid w:val="7D1D3BB1"/>
    <w:rsid w:val="7D1E1F5D"/>
    <w:rsid w:val="7D200014"/>
    <w:rsid w:val="7D2C5EE0"/>
    <w:rsid w:val="7D2D0277"/>
    <w:rsid w:val="7D2E7CEF"/>
    <w:rsid w:val="7D342FE7"/>
    <w:rsid w:val="7D3456EA"/>
    <w:rsid w:val="7D4041D7"/>
    <w:rsid w:val="7D407BDD"/>
    <w:rsid w:val="7D412EEC"/>
    <w:rsid w:val="7D450F4B"/>
    <w:rsid w:val="7D451940"/>
    <w:rsid w:val="7D4674F1"/>
    <w:rsid w:val="7D471EC9"/>
    <w:rsid w:val="7D4F5793"/>
    <w:rsid w:val="7D594994"/>
    <w:rsid w:val="7D5E310E"/>
    <w:rsid w:val="7D5E40CD"/>
    <w:rsid w:val="7D600C8B"/>
    <w:rsid w:val="7D613B1D"/>
    <w:rsid w:val="7D6573C5"/>
    <w:rsid w:val="7D692C4B"/>
    <w:rsid w:val="7D6E4D7B"/>
    <w:rsid w:val="7D7004C3"/>
    <w:rsid w:val="7D701ED9"/>
    <w:rsid w:val="7D704970"/>
    <w:rsid w:val="7D71789E"/>
    <w:rsid w:val="7D772E7B"/>
    <w:rsid w:val="7D830BC4"/>
    <w:rsid w:val="7D860671"/>
    <w:rsid w:val="7D885FD9"/>
    <w:rsid w:val="7D8D013D"/>
    <w:rsid w:val="7D8E26F7"/>
    <w:rsid w:val="7D94454A"/>
    <w:rsid w:val="7D950714"/>
    <w:rsid w:val="7D9F4705"/>
    <w:rsid w:val="7DA40C38"/>
    <w:rsid w:val="7DA43CC8"/>
    <w:rsid w:val="7DA5442C"/>
    <w:rsid w:val="7DAA3E88"/>
    <w:rsid w:val="7DAC40A3"/>
    <w:rsid w:val="7DAD587B"/>
    <w:rsid w:val="7DAF3933"/>
    <w:rsid w:val="7DBA19E1"/>
    <w:rsid w:val="7DBE485A"/>
    <w:rsid w:val="7DC21FD1"/>
    <w:rsid w:val="7DC72307"/>
    <w:rsid w:val="7DCD56F2"/>
    <w:rsid w:val="7DCE6F97"/>
    <w:rsid w:val="7DD33735"/>
    <w:rsid w:val="7DD56658"/>
    <w:rsid w:val="7DDF73F6"/>
    <w:rsid w:val="7DE06CCB"/>
    <w:rsid w:val="7DE844FD"/>
    <w:rsid w:val="7DE93453"/>
    <w:rsid w:val="7DED7477"/>
    <w:rsid w:val="7DEF2580"/>
    <w:rsid w:val="7DF046BD"/>
    <w:rsid w:val="7DF16A2A"/>
    <w:rsid w:val="7DF46820"/>
    <w:rsid w:val="7DF6029C"/>
    <w:rsid w:val="7E004CD4"/>
    <w:rsid w:val="7E043D92"/>
    <w:rsid w:val="7E093D97"/>
    <w:rsid w:val="7E102231"/>
    <w:rsid w:val="7E125BE4"/>
    <w:rsid w:val="7E1E26F4"/>
    <w:rsid w:val="7E215319"/>
    <w:rsid w:val="7E2949B0"/>
    <w:rsid w:val="7E2A1707"/>
    <w:rsid w:val="7E2B2C50"/>
    <w:rsid w:val="7E2C5A8B"/>
    <w:rsid w:val="7E2F667A"/>
    <w:rsid w:val="7E3855D0"/>
    <w:rsid w:val="7E3A1BD7"/>
    <w:rsid w:val="7E4704EA"/>
    <w:rsid w:val="7E4E00D8"/>
    <w:rsid w:val="7E501CD9"/>
    <w:rsid w:val="7E545A44"/>
    <w:rsid w:val="7E576F8D"/>
    <w:rsid w:val="7E5C11D0"/>
    <w:rsid w:val="7E5F4E86"/>
    <w:rsid w:val="7E653726"/>
    <w:rsid w:val="7E682F48"/>
    <w:rsid w:val="7E6C57B6"/>
    <w:rsid w:val="7E765905"/>
    <w:rsid w:val="7E7A529F"/>
    <w:rsid w:val="7E81312F"/>
    <w:rsid w:val="7E857F9E"/>
    <w:rsid w:val="7E892F73"/>
    <w:rsid w:val="7E8D3E89"/>
    <w:rsid w:val="7E8D404B"/>
    <w:rsid w:val="7E90530F"/>
    <w:rsid w:val="7E905D13"/>
    <w:rsid w:val="7E932498"/>
    <w:rsid w:val="7E937DE0"/>
    <w:rsid w:val="7E9B65C5"/>
    <w:rsid w:val="7E9D3F0A"/>
    <w:rsid w:val="7EA21CF2"/>
    <w:rsid w:val="7EA247E2"/>
    <w:rsid w:val="7EB14C48"/>
    <w:rsid w:val="7EBC3552"/>
    <w:rsid w:val="7EBC3FD3"/>
    <w:rsid w:val="7EBD5201"/>
    <w:rsid w:val="7EC2632B"/>
    <w:rsid w:val="7ECD7433"/>
    <w:rsid w:val="7ECF191A"/>
    <w:rsid w:val="7ED14F91"/>
    <w:rsid w:val="7ED1641F"/>
    <w:rsid w:val="7ED405DD"/>
    <w:rsid w:val="7ED459BA"/>
    <w:rsid w:val="7ED83EF1"/>
    <w:rsid w:val="7ED93E46"/>
    <w:rsid w:val="7EDB720A"/>
    <w:rsid w:val="7EDB7BBE"/>
    <w:rsid w:val="7EDD10D6"/>
    <w:rsid w:val="7EDE08B6"/>
    <w:rsid w:val="7EE50102"/>
    <w:rsid w:val="7EE52B70"/>
    <w:rsid w:val="7EE55250"/>
    <w:rsid w:val="7EEA1BAF"/>
    <w:rsid w:val="7EEF6318"/>
    <w:rsid w:val="7EF00C20"/>
    <w:rsid w:val="7EF81A7B"/>
    <w:rsid w:val="7F001CE7"/>
    <w:rsid w:val="7F01514B"/>
    <w:rsid w:val="7F023690"/>
    <w:rsid w:val="7F065A4F"/>
    <w:rsid w:val="7F08472B"/>
    <w:rsid w:val="7F0B552C"/>
    <w:rsid w:val="7F0D5219"/>
    <w:rsid w:val="7F0D73B9"/>
    <w:rsid w:val="7F0F1581"/>
    <w:rsid w:val="7F130E56"/>
    <w:rsid w:val="7F1759D4"/>
    <w:rsid w:val="7F186CA9"/>
    <w:rsid w:val="7F1E0426"/>
    <w:rsid w:val="7F211A8B"/>
    <w:rsid w:val="7F2614E5"/>
    <w:rsid w:val="7F2D0749"/>
    <w:rsid w:val="7F2F094F"/>
    <w:rsid w:val="7F302409"/>
    <w:rsid w:val="7F3514EE"/>
    <w:rsid w:val="7F3A3964"/>
    <w:rsid w:val="7F3F1DCD"/>
    <w:rsid w:val="7F4042DD"/>
    <w:rsid w:val="7F456D24"/>
    <w:rsid w:val="7F4B1882"/>
    <w:rsid w:val="7F4C5230"/>
    <w:rsid w:val="7F4E77CB"/>
    <w:rsid w:val="7F530084"/>
    <w:rsid w:val="7F5320C3"/>
    <w:rsid w:val="7F5B1E61"/>
    <w:rsid w:val="7F5B2F7C"/>
    <w:rsid w:val="7F685A99"/>
    <w:rsid w:val="7F6A1C5C"/>
    <w:rsid w:val="7F6B4C36"/>
    <w:rsid w:val="7F773DE3"/>
    <w:rsid w:val="7F78656C"/>
    <w:rsid w:val="7F7A6281"/>
    <w:rsid w:val="7F7B3ADA"/>
    <w:rsid w:val="7F7C13BE"/>
    <w:rsid w:val="7F86189F"/>
    <w:rsid w:val="7F8A5140"/>
    <w:rsid w:val="7F8A58A4"/>
    <w:rsid w:val="7F8C685E"/>
    <w:rsid w:val="7F900575"/>
    <w:rsid w:val="7F984AA7"/>
    <w:rsid w:val="7F984F8F"/>
    <w:rsid w:val="7F985AAF"/>
    <w:rsid w:val="7F9A12A2"/>
    <w:rsid w:val="7F9A3252"/>
    <w:rsid w:val="7F9B2A01"/>
    <w:rsid w:val="7F9E5CD8"/>
    <w:rsid w:val="7F9E63F8"/>
    <w:rsid w:val="7FA00F71"/>
    <w:rsid w:val="7FA16F1B"/>
    <w:rsid w:val="7FA3270A"/>
    <w:rsid w:val="7FA53D28"/>
    <w:rsid w:val="7FAC50B6"/>
    <w:rsid w:val="7FAF16B5"/>
    <w:rsid w:val="7FB64187"/>
    <w:rsid w:val="7FB942DD"/>
    <w:rsid w:val="7FC5035C"/>
    <w:rsid w:val="7FC656EC"/>
    <w:rsid w:val="7FC81287"/>
    <w:rsid w:val="7FC8464E"/>
    <w:rsid w:val="7FCC0610"/>
    <w:rsid w:val="7FCF1671"/>
    <w:rsid w:val="7FD4460D"/>
    <w:rsid w:val="7FDB64E1"/>
    <w:rsid w:val="7FDD7966"/>
    <w:rsid w:val="7FE47E50"/>
    <w:rsid w:val="7FE56D6D"/>
    <w:rsid w:val="7FEC2278"/>
    <w:rsid w:val="7FF05622"/>
    <w:rsid w:val="7FF4272E"/>
    <w:rsid w:val="7FF52F01"/>
    <w:rsid w:val="7FF75CBF"/>
    <w:rsid w:val="7FF778D2"/>
    <w:rsid w:val="7FF8741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nhideWhenUsed="0" w:uiPriority="9" w:semiHidden="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name="toc 1" w:locked="1"/>
    <w:lsdException w:qFormat="1" w:unhideWhenUsed="0" w:uiPriority="39" w:semiHidden="0" w:name="toc 2" w:locked="1"/>
    <w:lsdException w:qFormat="1"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qFormat="1"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99"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qFormat="1" w:unhideWhenUsed="0" w:uiPriority="0" w:semiHidden="0" w:name="HTML Code" w:locked="1"/>
    <w:lsdException w:unhideWhenUsed="0" w:uiPriority="0" w:semiHidden="0" w:name="HTML Definition" w:locked="1"/>
    <w:lsdException w:qFormat="1" w:unhideWhenUsed="0" w:uiPriority="0" w:semiHidden="0" w:name="HTML Keyboard" w:locked="1"/>
    <w:lsdException w:unhideWhenUsed="0" w:uiPriority="0" w:semiHidden="0" w:name="HTML Preformatted" w:locked="1"/>
    <w:lsdException w:qFormat="1"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4">
    <w:name w:val="heading 3"/>
    <w:basedOn w:val="1"/>
    <w:next w:val="1"/>
    <w:qFormat/>
    <w:locked/>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paragraph" w:styleId="5">
    <w:name w:val="heading 4"/>
    <w:basedOn w:val="1"/>
    <w:next w:val="1"/>
    <w:qFormat/>
    <w:locked/>
    <w:uiPriority w:val="0"/>
    <w:pPr>
      <w:keepNext/>
      <w:keepLines/>
      <w:spacing w:before="280" w:after="290" w:line="374" w:lineRule="auto"/>
      <w:outlineLvl w:val="3"/>
    </w:pPr>
    <w:rPr>
      <w:rFonts w:ascii="BankGothic Lt BT" w:hAnsi="BankGothic Lt BT" w:eastAsia="黑体"/>
      <w:b/>
      <w:bCs/>
      <w:sz w:val="28"/>
      <w:szCs w:val="28"/>
    </w:rPr>
  </w:style>
  <w:style w:type="paragraph" w:styleId="6">
    <w:name w:val="heading 6"/>
    <w:basedOn w:val="1"/>
    <w:next w:val="1"/>
    <w:qFormat/>
    <w:locked/>
    <w:uiPriority w:val="9"/>
    <w:pPr>
      <w:adjustRightInd w:val="0"/>
      <w:snapToGrid w:val="0"/>
      <w:jc w:val="center"/>
      <w:outlineLvl w:val="5"/>
    </w:pPr>
    <w:rPr>
      <w:rFonts w:ascii="Times New Roman" w:hAnsi="Times New Roman"/>
      <w:b/>
      <w:kern w:val="0"/>
      <w:sz w:val="24"/>
      <w:szCs w:val="24"/>
    </w:rPr>
  </w:style>
  <w:style w:type="character" w:default="1" w:styleId="35">
    <w:name w:val="Default Paragraph Font"/>
    <w:semiHidden/>
    <w:qFormat/>
    <w:uiPriority w:val="0"/>
  </w:style>
  <w:style w:type="table" w:default="1" w:styleId="33">
    <w:name w:val="Normal Table"/>
    <w:semiHidden/>
    <w:qFormat/>
    <w:uiPriority w:val="0"/>
    <w:tblPr>
      <w:tblCellMar>
        <w:top w:w="0" w:type="dxa"/>
        <w:left w:w="108" w:type="dxa"/>
        <w:bottom w:w="0" w:type="dxa"/>
        <w:right w:w="108" w:type="dxa"/>
      </w:tblCellMar>
    </w:tblPr>
  </w:style>
  <w:style w:type="paragraph" w:styleId="7">
    <w:name w:val="table of authorities"/>
    <w:basedOn w:val="1"/>
    <w:next w:val="1"/>
    <w:qFormat/>
    <w:locked/>
    <w:uiPriority w:val="0"/>
    <w:pPr>
      <w:ind w:left="420" w:leftChars="200"/>
    </w:pPr>
  </w:style>
  <w:style w:type="paragraph" w:styleId="8">
    <w:name w:val="Normal Indent"/>
    <w:basedOn w:val="1"/>
    <w:next w:val="1"/>
    <w:qFormat/>
    <w:locked/>
    <w:uiPriority w:val="0"/>
    <w:pPr>
      <w:ind w:firstLine="420"/>
    </w:pPr>
    <w:rPr>
      <w:szCs w:val="20"/>
    </w:rPr>
  </w:style>
  <w:style w:type="paragraph" w:styleId="9">
    <w:name w:val="caption"/>
    <w:basedOn w:val="1"/>
    <w:next w:val="1"/>
    <w:qFormat/>
    <w:locked/>
    <w:uiPriority w:val="0"/>
    <w:pPr>
      <w:spacing w:before="152" w:beforeLines="0" w:after="160" w:afterLines="0"/>
      <w:jc w:val="center"/>
    </w:pPr>
    <w:rPr>
      <w:szCs w:val="21"/>
    </w:rPr>
  </w:style>
  <w:style w:type="paragraph" w:styleId="10">
    <w:name w:val="Document Map"/>
    <w:basedOn w:val="1"/>
    <w:semiHidden/>
    <w:qFormat/>
    <w:locked/>
    <w:uiPriority w:val="0"/>
    <w:pPr>
      <w:shd w:val="clear" w:color="auto" w:fill="000080"/>
    </w:pPr>
  </w:style>
  <w:style w:type="paragraph" w:styleId="11">
    <w:name w:val="annotation text"/>
    <w:basedOn w:val="1"/>
    <w:link w:val="65"/>
    <w:semiHidden/>
    <w:qFormat/>
    <w:uiPriority w:val="0"/>
    <w:pPr>
      <w:jc w:val="left"/>
    </w:pPr>
    <w:rPr>
      <w:kern w:val="0"/>
      <w:sz w:val="24"/>
      <w:szCs w:val="20"/>
    </w:rPr>
  </w:style>
  <w:style w:type="paragraph" w:styleId="12">
    <w:name w:val="Body Text"/>
    <w:basedOn w:val="1"/>
    <w:next w:val="13"/>
    <w:link w:val="75"/>
    <w:qFormat/>
    <w:uiPriority w:val="0"/>
    <w:pPr>
      <w:widowControl/>
      <w:snapToGrid w:val="0"/>
      <w:spacing w:before="60" w:after="160" w:line="259" w:lineRule="auto"/>
      <w:ind w:right="113"/>
    </w:pPr>
    <w:rPr>
      <w:kern w:val="0"/>
      <w:sz w:val="18"/>
      <w:szCs w:val="20"/>
    </w:rPr>
  </w:style>
  <w:style w:type="paragraph" w:customStyle="1" w:styleId="13">
    <w:name w:val="Date1"/>
    <w:basedOn w:val="1"/>
    <w:next w:val="1"/>
    <w:qFormat/>
    <w:uiPriority w:val="0"/>
    <w:pPr>
      <w:adjustRightInd w:val="0"/>
      <w:jc w:val="left"/>
      <w:textAlignment w:val="baseline"/>
    </w:pPr>
    <w:rPr>
      <w:rFonts w:ascii="宋体" w:hAnsi="宋体"/>
      <w:sz w:val="28"/>
      <w:szCs w:val="20"/>
    </w:rPr>
  </w:style>
  <w:style w:type="paragraph" w:styleId="14">
    <w:name w:val="Body Text Indent"/>
    <w:basedOn w:val="1"/>
    <w:next w:val="15"/>
    <w:link w:val="71"/>
    <w:qFormat/>
    <w:uiPriority w:val="0"/>
    <w:pPr>
      <w:spacing w:after="120"/>
      <w:ind w:left="420" w:leftChars="200"/>
    </w:pPr>
    <w:rPr>
      <w:kern w:val="0"/>
      <w:sz w:val="24"/>
      <w:szCs w:val="20"/>
    </w:rPr>
  </w:style>
  <w:style w:type="paragraph" w:styleId="15">
    <w:name w:val="toc 3"/>
    <w:basedOn w:val="1"/>
    <w:next w:val="1"/>
    <w:unhideWhenUsed/>
    <w:qFormat/>
    <w:locked/>
    <w:uiPriority w:val="39"/>
    <w:pPr>
      <w:spacing w:line="240" w:lineRule="auto"/>
      <w:ind w:left="840" w:leftChars="400" w:firstLine="0" w:firstLineChars="0"/>
    </w:pPr>
    <w:rPr>
      <w:sz w:val="21"/>
    </w:rPr>
  </w:style>
  <w:style w:type="paragraph" w:styleId="16">
    <w:name w:val="Plain Text"/>
    <w:basedOn w:val="1"/>
    <w:next w:val="1"/>
    <w:qFormat/>
    <w:locked/>
    <w:uiPriority w:val="0"/>
    <w:rPr>
      <w:rFonts w:ascii="宋体" w:hAnsi="Courier New"/>
      <w:szCs w:val="21"/>
    </w:rPr>
  </w:style>
  <w:style w:type="paragraph" w:styleId="17">
    <w:name w:val="Date"/>
    <w:basedOn w:val="1"/>
    <w:next w:val="1"/>
    <w:link w:val="89"/>
    <w:qFormat/>
    <w:uiPriority w:val="0"/>
    <w:pPr>
      <w:ind w:left="100" w:leftChars="2500"/>
    </w:pPr>
    <w:rPr>
      <w:kern w:val="0"/>
      <w:sz w:val="24"/>
      <w:szCs w:val="20"/>
    </w:rPr>
  </w:style>
  <w:style w:type="paragraph" w:styleId="18">
    <w:name w:val="Body Text Indent 2"/>
    <w:basedOn w:val="1"/>
    <w:next w:val="1"/>
    <w:qFormat/>
    <w:locked/>
    <w:uiPriority w:val="0"/>
    <w:pPr>
      <w:spacing w:after="120" w:line="480" w:lineRule="auto"/>
      <w:ind w:left="420" w:leftChars="200"/>
    </w:pPr>
  </w:style>
  <w:style w:type="paragraph" w:styleId="19">
    <w:name w:val="Balloon Text"/>
    <w:basedOn w:val="1"/>
    <w:link w:val="84"/>
    <w:semiHidden/>
    <w:qFormat/>
    <w:uiPriority w:val="0"/>
    <w:rPr>
      <w:kern w:val="0"/>
      <w:sz w:val="18"/>
      <w:szCs w:val="20"/>
    </w:rPr>
  </w:style>
  <w:style w:type="paragraph" w:styleId="20">
    <w:name w:val="footer"/>
    <w:basedOn w:val="1"/>
    <w:link w:val="86"/>
    <w:qFormat/>
    <w:uiPriority w:val="99"/>
    <w:pPr>
      <w:tabs>
        <w:tab w:val="center" w:pos="4153"/>
        <w:tab w:val="right" w:pos="8306"/>
      </w:tabs>
      <w:snapToGrid w:val="0"/>
      <w:jc w:val="left"/>
    </w:pPr>
    <w:rPr>
      <w:kern w:val="0"/>
      <w:sz w:val="18"/>
      <w:szCs w:val="20"/>
    </w:rPr>
  </w:style>
  <w:style w:type="paragraph" w:styleId="21">
    <w:name w:val="header"/>
    <w:basedOn w:val="1"/>
    <w:next w:val="22"/>
    <w:link w:val="66"/>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22">
    <w:name w:val="样式5"/>
    <w:basedOn w:val="1"/>
    <w:qFormat/>
    <w:uiPriority w:val="0"/>
    <w:pPr>
      <w:snapToGrid w:val="0"/>
      <w:spacing w:line="360" w:lineRule="auto"/>
      <w:ind w:firstLine="510"/>
    </w:pPr>
    <w:rPr>
      <w:sz w:val="24"/>
    </w:rPr>
  </w:style>
  <w:style w:type="paragraph" w:styleId="23">
    <w:name w:val="toc 1"/>
    <w:basedOn w:val="1"/>
    <w:next w:val="1"/>
    <w:semiHidden/>
    <w:qFormat/>
    <w:locked/>
    <w:uiPriority w:val="0"/>
  </w:style>
  <w:style w:type="paragraph" w:styleId="24">
    <w:name w:val="List"/>
    <w:basedOn w:val="1"/>
    <w:qFormat/>
    <w:locked/>
    <w:uiPriority w:val="0"/>
    <w:pPr>
      <w:ind w:left="200" w:hanging="200" w:hangingChars="200"/>
    </w:pPr>
    <w:rPr>
      <w:sz w:val="21"/>
      <w:szCs w:val="20"/>
    </w:rPr>
  </w:style>
  <w:style w:type="paragraph" w:styleId="25">
    <w:name w:val="Body Text Indent 3"/>
    <w:basedOn w:val="1"/>
    <w:qFormat/>
    <w:locked/>
    <w:uiPriority w:val="0"/>
    <w:pPr>
      <w:spacing w:line="560" w:lineRule="exact"/>
      <w:ind w:firstLine="560" w:firstLineChars="200"/>
    </w:pPr>
    <w:rPr>
      <w:sz w:val="28"/>
    </w:rPr>
  </w:style>
  <w:style w:type="paragraph" w:styleId="26">
    <w:name w:val="toc 2"/>
    <w:basedOn w:val="1"/>
    <w:next w:val="1"/>
    <w:qFormat/>
    <w:locked/>
    <w:uiPriority w:val="39"/>
    <w:pPr>
      <w:tabs>
        <w:tab w:val="right" w:leader="dot" w:pos="8302"/>
      </w:tabs>
      <w:ind w:left="420" w:leftChars="200"/>
    </w:pPr>
    <w:rPr>
      <w:rFonts w:ascii="新宋体" w:hAnsi="新宋体" w:eastAsia="新宋体"/>
      <w:b/>
    </w:rPr>
  </w:style>
  <w:style w:type="paragraph" w:styleId="27">
    <w:name w:val="Body Text 2"/>
    <w:basedOn w:val="1"/>
    <w:next w:val="1"/>
    <w:qFormat/>
    <w:locked/>
    <w:uiPriority w:val="0"/>
    <w:pPr>
      <w:spacing w:after="120" w:line="480" w:lineRule="auto"/>
    </w:pPr>
    <w:rPr>
      <w:szCs w:val="24"/>
    </w:rPr>
  </w:style>
  <w:style w:type="paragraph" w:styleId="28">
    <w:name w:val="Normal (Web)"/>
    <w:basedOn w:val="1"/>
    <w:link w:val="72"/>
    <w:qFormat/>
    <w:uiPriority w:val="0"/>
    <w:pPr>
      <w:widowControl/>
      <w:spacing w:before="100" w:beforeAutospacing="1" w:after="100" w:afterAutospacing="1"/>
      <w:jc w:val="left"/>
    </w:pPr>
    <w:rPr>
      <w:rFonts w:ascii="宋体" w:hAnsi="宋体"/>
      <w:kern w:val="0"/>
      <w:sz w:val="24"/>
      <w:szCs w:val="20"/>
    </w:rPr>
  </w:style>
  <w:style w:type="paragraph" w:styleId="29">
    <w:name w:val="Title"/>
    <w:basedOn w:val="1"/>
    <w:next w:val="1"/>
    <w:qFormat/>
    <w:locked/>
    <w:uiPriority w:val="0"/>
    <w:pPr>
      <w:spacing w:before="240" w:after="60"/>
      <w:jc w:val="left"/>
      <w:outlineLvl w:val="0"/>
    </w:pPr>
    <w:rPr>
      <w:rFonts w:ascii="Arial" w:hAnsi="Arial"/>
      <w:b/>
      <w:sz w:val="32"/>
    </w:rPr>
  </w:style>
  <w:style w:type="paragraph" w:styleId="30">
    <w:name w:val="annotation subject"/>
    <w:basedOn w:val="11"/>
    <w:next w:val="11"/>
    <w:link w:val="88"/>
    <w:semiHidden/>
    <w:qFormat/>
    <w:uiPriority w:val="0"/>
    <w:rPr>
      <w:b/>
      <w:kern w:val="2"/>
    </w:rPr>
  </w:style>
  <w:style w:type="paragraph" w:styleId="31">
    <w:name w:val="Body Text First Indent"/>
    <w:basedOn w:val="12"/>
    <w:qFormat/>
    <w:locked/>
    <w:uiPriority w:val="0"/>
    <w:pPr>
      <w:overflowPunct w:val="0"/>
      <w:autoSpaceDE w:val="0"/>
      <w:autoSpaceDN w:val="0"/>
      <w:adjustRightInd w:val="0"/>
      <w:spacing w:line="360" w:lineRule="auto"/>
      <w:ind w:firstLine="539"/>
    </w:pPr>
  </w:style>
  <w:style w:type="paragraph" w:styleId="32">
    <w:name w:val="Body Text First Indent 2"/>
    <w:basedOn w:val="14"/>
    <w:next w:val="1"/>
    <w:qFormat/>
    <w:locked/>
    <w:uiPriority w:val="99"/>
    <w:pPr>
      <w:ind w:firstLine="420"/>
    </w:pPr>
  </w:style>
  <w:style w:type="table" w:styleId="34">
    <w:name w:val="Table Grid"/>
    <w:basedOn w:val="3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locked/>
    <w:uiPriority w:val="0"/>
    <w:rPr>
      <w:b/>
    </w:rPr>
  </w:style>
  <w:style w:type="character" w:styleId="37">
    <w:name w:val="page number"/>
    <w:basedOn w:val="35"/>
    <w:qFormat/>
    <w:locked/>
    <w:uiPriority w:val="0"/>
    <w:rPr>
      <w:rFonts w:hint="default" w:ascii="Times New Roman" w:hAnsi="Times New Roman" w:cs="Times New Roman"/>
    </w:rPr>
  </w:style>
  <w:style w:type="character" w:styleId="38">
    <w:name w:val="FollowedHyperlink"/>
    <w:basedOn w:val="35"/>
    <w:qFormat/>
    <w:locked/>
    <w:uiPriority w:val="0"/>
    <w:rPr>
      <w:color w:val="333333"/>
      <w:u w:val="none"/>
    </w:rPr>
  </w:style>
  <w:style w:type="character" w:styleId="39">
    <w:name w:val="Emphasis"/>
    <w:basedOn w:val="35"/>
    <w:qFormat/>
    <w:locked/>
    <w:uiPriority w:val="0"/>
  </w:style>
  <w:style w:type="character" w:styleId="40">
    <w:name w:val="Hyperlink"/>
    <w:basedOn w:val="35"/>
    <w:qFormat/>
    <w:locked/>
    <w:uiPriority w:val="0"/>
    <w:rPr>
      <w:color w:val="333333"/>
      <w:u w:val="none"/>
    </w:rPr>
  </w:style>
  <w:style w:type="character" w:styleId="41">
    <w:name w:val="HTML Code"/>
    <w:basedOn w:val="35"/>
    <w:qFormat/>
    <w:locked/>
    <w:uiPriority w:val="0"/>
    <w:rPr>
      <w:rFonts w:ascii="Consolas" w:hAnsi="Consolas" w:eastAsia="Consolas" w:cs="Consolas"/>
      <w:color w:val="E83E8C"/>
      <w:sz w:val="21"/>
      <w:szCs w:val="21"/>
    </w:rPr>
  </w:style>
  <w:style w:type="character" w:styleId="42">
    <w:name w:val="annotation reference"/>
    <w:basedOn w:val="35"/>
    <w:semiHidden/>
    <w:qFormat/>
    <w:uiPriority w:val="0"/>
    <w:rPr>
      <w:sz w:val="21"/>
    </w:rPr>
  </w:style>
  <w:style w:type="character" w:styleId="43">
    <w:name w:val="HTML Keyboard"/>
    <w:basedOn w:val="35"/>
    <w:qFormat/>
    <w:locked/>
    <w:uiPriority w:val="0"/>
    <w:rPr>
      <w:rFonts w:hint="default" w:ascii="Consolas" w:hAnsi="Consolas" w:eastAsia="Consolas" w:cs="Consolas"/>
      <w:color w:val="FFFFFF"/>
      <w:sz w:val="21"/>
      <w:szCs w:val="21"/>
      <w:shd w:val="clear" w:color="auto" w:fill="212529"/>
    </w:rPr>
  </w:style>
  <w:style w:type="character" w:styleId="44">
    <w:name w:val="HTML Sample"/>
    <w:basedOn w:val="35"/>
    <w:qFormat/>
    <w:locked/>
    <w:uiPriority w:val="0"/>
    <w:rPr>
      <w:rFonts w:hint="default" w:ascii="Consolas" w:hAnsi="Consolas" w:eastAsia="Consolas" w:cs="Consolas"/>
      <w:sz w:val="21"/>
      <w:szCs w:val="21"/>
    </w:rPr>
  </w:style>
  <w:style w:type="paragraph" w:customStyle="1" w:styleId="45">
    <w:name w:val="xl27"/>
    <w:basedOn w:val="7"/>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6">
    <w:name w:val="表格"/>
    <w:basedOn w:val="12"/>
    <w:next w:val="1"/>
    <w:link w:val="67"/>
    <w:qFormat/>
    <w:uiPriority w:val="0"/>
    <w:pPr>
      <w:adjustRightInd w:val="0"/>
      <w:snapToGrid w:val="0"/>
      <w:spacing w:beforeLines="10" w:afterLines="10" w:line="259" w:lineRule="auto"/>
      <w:jc w:val="center"/>
    </w:pPr>
    <w:rPr>
      <w:rFonts w:ascii="宋体"/>
      <w:kern w:val="0"/>
    </w:rPr>
  </w:style>
  <w:style w:type="paragraph" w:customStyle="1" w:styleId="47">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样式 正文文本缩进 + 行距: 1.5 倍行距"/>
    <w:basedOn w:val="14"/>
    <w:qFormat/>
    <w:uiPriority w:val="0"/>
    <w:pPr>
      <w:spacing w:before="0" w:after="120"/>
      <w:ind w:left="90" w:leftChars="32" w:firstLine="560" w:firstLineChars="200"/>
    </w:pPr>
    <w:rPr>
      <w:rFonts w:ascii="Times New Roman" w:cs="宋体"/>
    </w:rPr>
  </w:style>
  <w:style w:type="paragraph" w:customStyle="1" w:styleId="49">
    <w:name w:val="Default"/>
    <w:basedOn w:val="50"/>
    <w:unhideWhenUsed/>
    <w:qFormat/>
    <w:uiPriority w:val="99"/>
    <w:pPr>
      <w:widowControl w:val="0"/>
      <w:autoSpaceDE w:val="0"/>
      <w:autoSpaceDN w:val="0"/>
    </w:pPr>
    <w:rPr>
      <w:rFonts w:hint="eastAsia" w:ascii="黑体" w:hAnsi="黑体" w:eastAsia="黑体" w:cs="Times New Roman"/>
      <w:color w:val="000000"/>
      <w:sz w:val="24"/>
      <w:lang w:val="en-US" w:eastAsia="zh-CN" w:bidi="ar-SA"/>
    </w:rPr>
  </w:style>
  <w:style w:type="paragraph" w:customStyle="1" w:styleId="50">
    <w:name w:val="纯文本1"/>
    <w:basedOn w:val="1"/>
    <w:qFormat/>
    <w:uiPriority w:val="0"/>
    <w:pPr>
      <w:jc w:val="center"/>
      <w:textAlignment w:val="baseline"/>
    </w:pPr>
    <w:rPr>
      <w:rFonts w:ascii="宋体" w:hAnsi="Courier New"/>
      <w:szCs w:val="20"/>
    </w:rPr>
  </w:style>
  <w:style w:type="paragraph" w:customStyle="1" w:styleId="51">
    <w:name w:val="表头"/>
    <w:basedOn w:val="1"/>
    <w:qFormat/>
    <w:uiPriority w:val="0"/>
    <w:pPr>
      <w:tabs>
        <w:tab w:val="left" w:pos="1021"/>
      </w:tabs>
      <w:spacing w:before="60" w:beforeLines="0"/>
      <w:jc w:val="center"/>
    </w:pPr>
    <w:rPr>
      <w:rFonts w:ascii="Arial" w:hAnsi="Arial" w:eastAsia="黑体" w:cs="Arial"/>
      <w:kern w:val="24"/>
      <w:sz w:val="24"/>
    </w:rPr>
  </w:style>
  <w:style w:type="paragraph" w:customStyle="1" w:styleId="52">
    <w:name w:val="样式 样式 首行缩进:  2 字符 + 首行缩进:  2 字符"/>
    <w:basedOn w:val="1"/>
    <w:next w:val="23"/>
    <w:qFormat/>
    <w:uiPriority w:val="0"/>
    <w:pPr>
      <w:snapToGrid w:val="0"/>
      <w:spacing w:line="360" w:lineRule="auto"/>
      <w:ind w:firstLine="560" w:firstLineChars="200"/>
    </w:pPr>
    <w:rPr>
      <w:spacing w:val="0"/>
      <w:sz w:val="28"/>
    </w:rPr>
  </w:style>
  <w:style w:type="paragraph" w:customStyle="1" w:styleId="5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54">
    <w:name w:val="报告正文"/>
    <w:basedOn w:val="1"/>
    <w:link w:val="136"/>
    <w:qFormat/>
    <w:uiPriority w:val="0"/>
    <w:pPr>
      <w:adjustRightInd w:val="0"/>
      <w:snapToGrid w:val="0"/>
      <w:ind w:firstLine="200" w:firstLineChars="200"/>
    </w:pPr>
    <w:rPr>
      <w:rFonts w:ascii="宋体"/>
      <w:sz w:val="24"/>
      <w:szCs w:val="20"/>
    </w:rPr>
  </w:style>
  <w:style w:type="paragraph" w:customStyle="1" w:styleId="55">
    <w:name w:val="四级条标题"/>
    <w:basedOn w:val="56"/>
    <w:next w:val="60"/>
    <w:qFormat/>
    <w:uiPriority w:val="0"/>
    <w:pPr>
      <w:tabs>
        <w:tab w:val="left" w:pos="1260"/>
      </w:tabs>
      <w:outlineLvl w:val="5"/>
    </w:pPr>
    <w:rPr>
      <w:szCs w:val="20"/>
    </w:rPr>
  </w:style>
  <w:style w:type="paragraph" w:customStyle="1" w:styleId="56">
    <w:name w:val="三级条标题"/>
    <w:basedOn w:val="57"/>
    <w:next w:val="60"/>
    <w:qFormat/>
    <w:uiPriority w:val="0"/>
    <w:pPr>
      <w:numPr>
        <w:ilvl w:val="0"/>
        <w:numId w:val="0"/>
      </w:numPr>
      <w:tabs>
        <w:tab w:val="left" w:pos="1260"/>
      </w:tabs>
      <w:outlineLvl w:val="4"/>
    </w:pPr>
  </w:style>
  <w:style w:type="paragraph" w:customStyle="1" w:styleId="57">
    <w:name w:val="二级条标题"/>
    <w:basedOn w:val="58"/>
    <w:next w:val="60"/>
    <w:qFormat/>
    <w:uiPriority w:val="0"/>
    <w:pPr>
      <w:numPr>
        <w:ilvl w:val="3"/>
      </w:numPr>
      <w:tabs>
        <w:tab w:val="left" w:pos="1260"/>
      </w:tabs>
      <w:outlineLvl w:val="3"/>
    </w:pPr>
  </w:style>
  <w:style w:type="paragraph" w:customStyle="1" w:styleId="58">
    <w:name w:val="一级条标题"/>
    <w:basedOn w:val="59"/>
    <w:next w:val="60"/>
    <w:qFormat/>
    <w:uiPriority w:val="0"/>
    <w:pPr>
      <w:numPr>
        <w:ilvl w:val="2"/>
        <w:numId w:val="1"/>
      </w:numPr>
      <w:spacing w:beforeLines="0" w:afterLines="0"/>
      <w:outlineLvl w:val="2"/>
    </w:pPr>
  </w:style>
  <w:style w:type="paragraph" w:customStyle="1" w:styleId="59">
    <w:name w:val="章标题"/>
    <w:next w:val="60"/>
    <w:qFormat/>
    <w:uiPriority w:val="0"/>
    <w:pPr>
      <w:spacing w:beforeLines="50" w:afterLines="50"/>
      <w:jc w:val="both"/>
      <w:outlineLvl w:val="1"/>
    </w:pPr>
    <w:rPr>
      <w:rFonts w:ascii="黑体" w:hAnsi="Times New Roman" w:eastAsia="黑体" w:cs="Times New Roman"/>
      <w:sz w:val="21"/>
      <w:szCs w:val="22"/>
      <w:lang w:val="en-US" w:eastAsia="zh-CN" w:bidi="ar-SA"/>
    </w:rPr>
  </w:style>
  <w:style w:type="paragraph" w:customStyle="1" w:styleId="6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61">
    <w:name w:val="reader-word-layer reader-word-s46-2"/>
    <w:basedOn w:val="1"/>
    <w:next w:val="62"/>
    <w:qFormat/>
    <w:uiPriority w:val="0"/>
    <w:pPr>
      <w:widowControl/>
      <w:spacing w:before="100" w:beforeAutospacing="1" w:after="100" w:afterAutospacing="1"/>
      <w:jc w:val="left"/>
    </w:pPr>
    <w:rPr>
      <w:rFonts w:ascii="宋体" w:hAnsi="宋体" w:cs="宋体"/>
      <w:kern w:val="0"/>
      <w:sz w:val="24"/>
      <w:szCs w:val="24"/>
    </w:rPr>
  </w:style>
  <w:style w:type="paragraph" w:customStyle="1" w:styleId="62">
    <w:name w:val="xl35"/>
    <w:basedOn w:val="1"/>
    <w:next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Arial Unicode MS" w:hAnsi="Arial Unicode MS" w:eastAsia="Arial Unicode MS"/>
      <w:spacing w:val="12"/>
      <w:kern w:val="0"/>
      <w:sz w:val="24"/>
      <w:szCs w:val="24"/>
    </w:rPr>
  </w:style>
  <w:style w:type="paragraph" w:customStyle="1" w:styleId="63">
    <w:name w:val="表格内容"/>
    <w:basedOn w:val="64"/>
    <w:next w:val="1"/>
    <w:qFormat/>
    <w:uiPriority w:val="99"/>
    <w:pPr>
      <w:spacing w:line="240" w:lineRule="atLeast"/>
      <w:jc w:val="center"/>
    </w:pPr>
    <w:rPr>
      <w:szCs w:val="24"/>
    </w:rPr>
  </w:style>
  <w:style w:type="paragraph" w:customStyle="1" w:styleId="64">
    <w:name w:val="填表内容"/>
    <w:basedOn w:val="1"/>
    <w:qFormat/>
    <w:uiPriority w:val="0"/>
    <w:pPr>
      <w:adjustRightInd w:val="0"/>
      <w:spacing w:line="240" w:lineRule="auto"/>
      <w:ind w:firstLine="0" w:firstLineChars="0"/>
      <w:jc w:val="left"/>
      <w:textAlignment w:val="baseline"/>
    </w:pPr>
    <w:rPr>
      <w:rFonts w:ascii="楷体_GB2312" w:hAnsi="楷体_GB2312" w:eastAsia="宋体"/>
      <w:sz w:val="21"/>
      <w:szCs w:val="20"/>
    </w:rPr>
  </w:style>
  <w:style w:type="character" w:customStyle="1" w:styleId="65">
    <w:name w:val="批注文字 Char"/>
    <w:link w:val="11"/>
    <w:qFormat/>
    <w:locked/>
    <w:uiPriority w:val="0"/>
    <w:rPr>
      <w:rFonts w:ascii="Times New Roman" w:hAnsi="Times New Roman" w:eastAsia="宋体"/>
      <w:sz w:val="24"/>
    </w:rPr>
  </w:style>
  <w:style w:type="character" w:customStyle="1" w:styleId="66">
    <w:name w:val="页眉 Char1"/>
    <w:basedOn w:val="35"/>
    <w:link w:val="21"/>
    <w:qFormat/>
    <w:uiPriority w:val="0"/>
  </w:style>
  <w:style w:type="character" w:customStyle="1" w:styleId="67">
    <w:name w:val="表格 Char"/>
    <w:link w:val="46"/>
    <w:qFormat/>
    <w:locked/>
    <w:uiPriority w:val="0"/>
    <w:rPr>
      <w:rFonts w:ascii="宋体"/>
      <w:sz w:val="21"/>
    </w:rPr>
  </w:style>
  <w:style w:type="character" w:customStyle="1" w:styleId="68">
    <w:name w:val="wx-space"/>
    <w:basedOn w:val="35"/>
    <w:qFormat/>
    <w:uiPriority w:val="0"/>
  </w:style>
  <w:style w:type="character" w:customStyle="1" w:styleId="69">
    <w:name w:val="页脚 字符"/>
    <w:basedOn w:val="35"/>
    <w:qFormat/>
    <w:uiPriority w:val="99"/>
  </w:style>
  <w:style w:type="character" w:customStyle="1" w:styleId="70">
    <w:name w:val="日期 字符"/>
    <w:semiHidden/>
    <w:qFormat/>
    <w:uiPriority w:val="0"/>
    <w:rPr>
      <w:rFonts w:ascii="Times New Roman" w:hAnsi="Times New Roman" w:eastAsia="宋体"/>
      <w:sz w:val="24"/>
    </w:rPr>
  </w:style>
  <w:style w:type="character" w:customStyle="1" w:styleId="71">
    <w:name w:val="正文文本缩进 Char"/>
    <w:link w:val="14"/>
    <w:semiHidden/>
    <w:qFormat/>
    <w:locked/>
    <w:uiPriority w:val="0"/>
    <w:rPr>
      <w:rFonts w:ascii="Times New Roman" w:hAnsi="Times New Roman" w:eastAsia="宋体"/>
      <w:sz w:val="24"/>
    </w:rPr>
  </w:style>
  <w:style w:type="character" w:customStyle="1" w:styleId="72">
    <w:name w:val="普通(网站) Char"/>
    <w:link w:val="28"/>
    <w:qFormat/>
    <w:locked/>
    <w:uiPriority w:val="0"/>
    <w:rPr>
      <w:rFonts w:ascii="宋体" w:hAnsi="宋体" w:eastAsia="宋体"/>
      <w:sz w:val="24"/>
    </w:rPr>
  </w:style>
  <w:style w:type="character" w:customStyle="1" w:styleId="73">
    <w:name w:val="hover20"/>
    <w:basedOn w:val="35"/>
    <w:qFormat/>
    <w:uiPriority w:val="0"/>
    <w:rPr>
      <w:color w:val="000000"/>
      <w:shd w:val="clear" w:color="auto" w:fill="FFFFFF"/>
    </w:rPr>
  </w:style>
  <w:style w:type="character" w:customStyle="1" w:styleId="74">
    <w:name w:val="页眉 Char"/>
    <w:qFormat/>
    <w:locked/>
    <w:uiPriority w:val="0"/>
    <w:rPr>
      <w:sz w:val="18"/>
    </w:rPr>
  </w:style>
  <w:style w:type="character" w:customStyle="1" w:styleId="75">
    <w:name w:val="正文文本 Char"/>
    <w:link w:val="12"/>
    <w:qFormat/>
    <w:locked/>
    <w:uiPriority w:val="0"/>
    <w:rPr>
      <w:sz w:val="18"/>
    </w:rPr>
  </w:style>
  <w:style w:type="character" w:customStyle="1" w:styleId="76">
    <w:name w:val="unnamed11"/>
    <w:qFormat/>
    <w:uiPriority w:val="0"/>
    <w:rPr>
      <w:sz w:val="21"/>
    </w:rPr>
  </w:style>
  <w:style w:type="character" w:customStyle="1" w:styleId="77">
    <w:name w:val="apple-converted-space"/>
    <w:basedOn w:val="35"/>
    <w:qFormat/>
    <w:uiPriority w:val="0"/>
    <w:rPr>
      <w:rFonts w:hint="default" w:ascii="Times New Roman" w:hAnsi="Times New Roman" w:cs="Times New Roman"/>
    </w:rPr>
  </w:style>
  <w:style w:type="character" w:customStyle="1" w:styleId="78">
    <w:name w:val="正文文本 字符1"/>
    <w:semiHidden/>
    <w:qFormat/>
    <w:uiPriority w:val="0"/>
    <w:rPr>
      <w:rFonts w:ascii="Times New Roman" w:hAnsi="Times New Roman" w:eastAsia="宋体"/>
      <w:sz w:val="24"/>
    </w:rPr>
  </w:style>
  <w:style w:type="character" w:customStyle="1" w:styleId="79">
    <w:name w:val="样式 正文首行缩进 + 小四 左 段后: 0 磅 行距: 1.5 倍行距 Char"/>
    <w:link w:val="80"/>
    <w:qFormat/>
    <w:uiPriority w:val="0"/>
    <w:rPr>
      <w:rFonts w:ascii="宋体" w:hAnsi="Verdana"/>
      <w:kern w:val="0"/>
      <w:sz w:val="24"/>
      <w:szCs w:val="30"/>
    </w:rPr>
  </w:style>
  <w:style w:type="paragraph" w:customStyle="1" w:styleId="80">
    <w:name w:val="样式 正文首行缩进 + 小四 左 段后: 0 磅 行距: 1.5 倍行距"/>
    <w:basedOn w:val="31"/>
    <w:link w:val="79"/>
    <w:qFormat/>
    <w:uiPriority w:val="0"/>
    <w:pPr>
      <w:spacing w:after="0" w:line="360" w:lineRule="auto"/>
      <w:ind w:firstLine="480" w:firstLineChars="200"/>
      <w:jc w:val="left"/>
    </w:pPr>
    <w:rPr>
      <w:rFonts w:ascii="宋体" w:hAnsi="Verdana"/>
      <w:sz w:val="24"/>
      <w:szCs w:val="30"/>
    </w:rPr>
  </w:style>
  <w:style w:type="character" w:customStyle="1" w:styleId="81">
    <w:name w:val="jxz"/>
    <w:basedOn w:val="35"/>
    <w:qFormat/>
    <w:uiPriority w:val="0"/>
    <w:rPr>
      <w:shd w:val="clear" w:color="auto" w:fill="71A0D3"/>
    </w:rPr>
  </w:style>
  <w:style w:type="character" w:customStyle="1" w:styleId="82">
    <w:name w:val="bsharetext"/>
    <w:basedOn w:val="35"/>
    <w:qFormat/>
    <w:uiPriority w:val="0"/>
  </w:style>
  <w:style w:type="character" w:customStyle="1" w:styleId="83">
    <w:name w:val="15"/>
    <w:basedOn w:val="35"/>
    <w:qFormat/>
    <w:uiPriority w:val="0"/>
    <w:rPr>
      <w:rFonts w:hint="default" w:ascii="Times New Roman" w:hAnsi="Times New Roman" w:cs="Times New Roman"/>
    </w:rPr>
  </w:style>
  <w:style w:type="character" w:customStyle="1" w:styleId="84">
    <w:name w:val="批注框文本 Char"/>
    <w:link w:val="19"/>
    <w:semiHidden/>
    <w:qFormat/>
    <w:locked/>
    <w:uiPriority w:val="0"/>
    <w:rPr>
      <w:rFonts w:ascii="Times New Roman" w:hAnsi="Times New Roman" w:eastAsia="宋体"/>
      <w:sz w:val="18"/>
    </w:rPr>
  </w:style>
  <w:style w:type="character" w:customStyle="1" w:styleId="85">
    <w:name w:val="批注文字 字符1"/>
    <w:semiHidden/>
    <w:qFormat/>
    <w:uiPriority w:val="0"/>
    <w:rPr>
      <w:rFonts w:ascii="Times New Roman" w:hAnsi="Times New Roman" w:eastAsia="宋体"/>
      <w:sz w:val="24"/>
    </w:rPr>
  </w:style>
  <w:style w:type="character" w:customStyle="1" w:styleId="86">
    <w:name w:val="页脚 Char"/>
    <w:link w:val="20"/>
    <w:qFormat/>
    <w:locked/>
    <w:uiPriority w:val="99"/>
    <w:rPr>
      <w:sz w:val="18"/>
    </w:rPr>
  </w:style>
  <w:style w:type="character" w:customStyle="1" w:styleId="87">
    <w:name w:val="share"/>
    <w:basedOn w:val="35"/>
    <w:qFormat/>
    <w:uiPriority w:val="0"/>
  </w:style>
  <w:style w:type="character" w:customStyle="1" w:styleId="88">
    <w:name w:val="批注主题 Char"/>
    <w:link w:val="30"/>
    <w:semiHidden/>
    <w:qFormat/>
    <w:locked/>
    <w:uiPriority w:val="0"/>
    <w:rPr>
      <w:rFonts w:ascii="Times New Roman" w:hAnsi="Times New Roman" w:eastAsia="宋体"/>
      <w:b/>
      <w:kern w:val="2"/>
      <w:sz w:val="24"/>
    </w:rPr>
  </w:style>
  <w:style w:type="character" w:customStyle="1" w:styleId="89">
    <w:name w:val="日期 Char"/>
    <w:link w:val="17"/>
    <w:qFormat/>
    <w:locked/>
    <w:uiPriority w:val="0"/>
    <w:rPr>
      <w:rFonts w:ascii="Times New Roman" w:hAnsi="Times New Roman" w:eastAsia="宋体"/>
      <w:sz w:val="24"/>
    </w:rPr>
  </w:style>
  <w:style w:type="character" w:customStyle="1" w:styleId="90">
    <w:name w:val="wx-space1"/>
    <w:basedOn w:val="35"/>
    <w:qFormat/>
    <w:uiPriority w:val="0"/>
  </w:style>
  <w:style w:type="paragraph" w:customStyle="1" w:styleId="91">
    <w:name w:val="xl37"/>
    <w:basedOn w:val="1"/>
    <w:semiHidden/>
    <w:qFormat/>
    <w:uiPriority w:val="0"/>
    <w:pPr>
      <w:widowControl/>
      <w:spacing w:before="100" w:beforeAutospacing="1" w:after="100" w:afterAutospacing="1"/>
      <w:jc w:val="center"/>
    </w:pPr>
    <w:rPr>
      <w:rFonts w:ascii="宋体" w:hAnsi="宋体"/>
      <w:kern w:val="0"/>
      <w:sz w:val="24"/>
    </w:rPr>
  </w:style>
  <w:style w:type="paragraph" w:customStyle="1" w:styleId="92">
    <w:name w:val="表头样式1"/>
    <w:basedOn w:val="1"/>
    <w:qFormat/>
    <w:uiPriority w:val="0"/>
    <w:pPr>
      <w:spacing w:after="80" w:afterLines="0" w:line="480" w:lineRule="atLeast"/>
      <w:jc w:val="center"/>
    </w:pPr>
    <w:rPr>
      <w:rFonts w:eastAsia="黑体"/>
      <w:b/>
      <w:sz w:val="24"/>
      <w:szCs w:val="20"/>
    </w:rPr>
  </w:style>
  <w:style w:type="paragraph" w:customStyle="1" w:styleId="93">
    <w:name w:val="表格内容自定"/>
    <w:basedOn w:val="1"/>
    <w:qFormat/>
    <w:uiPriority w:val="0"/>
    <w:pPr>
      <w:spacing w:line="280" w:lineRule="exact"/>
      <w:jc w:val="center"/>
    </w:pPr>
    <w:rPr>
      <w:kern w:val="0"/>
      <w:sz w:val="18"/>
      <w:szCs w:val="21"/>
    </w:rPr>
  </w:style>
  <w:style w:type="paragraph" w:customStyle="1" w:styleId="94">
    <w:name w:val="表字体"/>
    <w:next w:val="1"/>
    <w:unhideWhenUsed/>
    <w:qFormat/>
    <w:uiPriority w:val="0"/>
    <w:pPr>
      <w:jc w:val="center"/>
    </w:pPr>
    <w:rPr>
      <w:rFonts w:ascii="Times New Roman" w:hAnsi="Times New Roman" w:eastAsia="宋体" w:cs="Times New Roman"/>
      <w:sz w:val="21"/>
      <w:lang w:val="en-US" w:eastAsia="zh-CN" w:bidi="ar-SA"/>
    </w:rPr>
  </w:style>
  <w:style w:type="paragraph" w:customStyle="1" w:styleId="95">
    <w:name w:val="hj-正文"/>
    <w:basedOn w:val="1"/>
    <w:qFormat/>
    <w:uiPriority w:val="0"/>
    <w:pPr>
      <w:spacing w:line="360" w:lineRule="auto"/>
      <w:ind w:firstLine="480" w:firstLineChars="200"/>
    </w:pPr>
    <w:rPr>
      <w:rFonts w:ascii="Times New Roman" w:hAnsi="Times New Roman"/>
      <w:kern w:val="0"/>
      <w:sz w:val="24"/>
      <w:szCs w:val="20"/>
    </w:rPr>
  </w:style>
  <w:style w:type="paragraph" w:customStyle="1" w:styleId="96">
    <w:name w:val="Table Paragraph"/>
    <w:basedOn w:val="1"/>
    <w:qFormat/>
    <w:uiPriority w:val="1"/>
    <w:pPr>
      <w:spacing w:before="171"/>
      <w:ind w:left="40"/>
    </w:pPr>
    <w:rPr>
      <w:rFonts w:ascii="宋体" w:hAnsi="宋体" w:eastAsia="宋体" w:cs="宋体"/>
      <w:lang w:val="zh-CN" w:eastAsia="zh-CN" w:bidi="zh-CN"/>
    </w:rPr>
  </w:style>
  <w:style w:type="paragraph" w:customStyle="1" w:styleId="97">
    <w:name w:val="文章正文样式"/>
    <w:basedOn w:val="1"/>
    <w:qFormat/>
    <w:uiPriority w:val="0"/>
    <w:pPr>
      <w:spacing w:line="520" w:lineRule="exact"/>
      <w:ind w:firstLine="480" w:firstLineChars="200"/>
      <w:jc w:val="left"/>
    </w:pPr>
    <w:rPr>
      <w:rFonts w:ascii="宋体" w:hAnsi="宋体" w:cs="宋体"/>
      <w:sz w:val="24"/>
      <w:szCs w:val="20"/>
    </w:rPr>
  </w:style>
  <w:style w:type="paragraph" w:customStyle="1" w:styleId="98">
    <w:name w:val="0-1正文"/>
    <w:basedOn w:val="1"/>
    <w:qFormat/>
    <w:uiPriority w:val="0"/>
    <w:pPr>
      <w:autoSpaceDE w:val="0"/>
      <w:autoSpaceDN w:val="0"/>
      <w:adjustRightInd w:val="0"/>
      <w:snapToGrid w:val="0"/>
      <w:spacing w:line="360" w:lineRule="auto"/>
      <w:ind w:firstLine="200" w:firstLineChars="200"/>
    </w:pPr>
    <w:rPr>
      <w:rFonts w:cs="宋体"/>
      <w:kern w:val="0"/>
      <w:szCs w:val="21"/>
    </w:rPr>
  </w:style>
  <w:style w:type="paragraph" w:customStyle="1" w:styleId="99">
    <w:name w:val="样式 标题 1 + 四号 段前: 0 磅 段后: 0 磅 行距: 1.5 倍行距"/>
    <w:basedOn w:val="100"/>
    <w:next w:val="1"/>
    <w:qFormat/>
    <w:uiPriority w:val="0"/>
    <w:pPr>
      <w:spacing w:line="360" w:lineRule="auto"/>
      <w:jc w:val="center"/>
    </w:pPr>
  </w:style>
  <w:style w:type="paragraph" w:customStyle="1" w:styleId="100">
    <w:name w:val="1正文"/>
    <w:basedOn w:val="1"/>
    <w:qFormat/>
    <w:uiPriority w:val="0"/>
    <w:pPr>
      <w:spacing w:line="500" w:lineRule="exact"/>
      <w:ind w:firstLine="588" w:firstLineChars="196"/>
    </w:pPr>
    <w:rPr>
      <w:rFonts w:eastAsia="楷体_GB2312"/>
      <w:sz w:val="30"/>
      <w:szCs w:val="30"/>
    </w:rPr>
  </w:style>
  <w:style w:type="paragraph" w:customStyle="1" w:styleId="101">
    <w:name w:val="正文2"/>
    <w:basedOn w:val="1"/>
    <w:qFormat/>
    <w:uiPriority w:val="0"/>
    <w:pPr>
      <w:spacing w:line="360" w:lineRule="auto"/>
      <w:ind w:firstLine="200" w:firstLineChars="200"/>
    </w:pPr>
    <w:rPr>
      <w:sz w:val="24"/>
    </w:rPr>
  </w:style>
  <w:style w:type="paragraph" w:customStyle="1" w:styleId="102">
    <w:name w:val="表文字"/>
    <w:basedOn w:val="1"/>
    <w:next w:val="103"/>
    <w:qFormat/>
    <w:uiPriority w:val="0"/>
    <w:pPr>
      <w:overflowPunct w:val="0"/>
      <w:autoSpaceDE w:val="0"/>
      <w:autoSpaceDN w:val="0"/>
      <w:adjustRightInd w:val="0"/>
      <w:spacing w:line="240" w:lineRule="atLeast"/>
      <w:textAlignment w:val="baseline"/>
    </w:pPr>
    <w:rPr>
      <w:kern w:val="0"/>
      <w:sz w:val="24"/>
      <w:szCs w:val="20"/>
    </w:rPr>
  </w:style>
  <w:style w:type="paragraph" w:customStyle="1" w:styleId="103">
    <w:name w:val="表字居中"/>
    <w:basedOn w:val="102"/>
    <w:next w:val="12"/>
    <w:qFormat/>
    <w:uiPriority w:val="0"/>
    <w:pPr>
      <w:overflowPunct w:val="0"/>
      <w:autoSpaceDE w:val="0"/>
      <w:autoSpaceDN w:val="0"/>
      <w:adjustRightInd w:val="0"/>
      <w:jc w:val="center"/>
      <w:textAlignment w:val="baseline"/>
    </w:pPr>
    <w:rPr>
      <w:rFonts w:cs="宋体"/>
      <w:kern w:val="0"/>
      <w:sz w:val="24"/>
    </w:rPr>
  </w:style>
  <w:style w:type="paragraph" w:customStyle="1" w:styleId="104">
    <w:name w:val="表格表头"/>
    <w:basedOn w:val="1"/>
    <w:unhideWhenUsed/>
    <w:qFormat/>
    <w:uiPriority w:val="0"/>
    <w:pPr>
      <w:adjustRightInd w:val="0"/>
      <w:snapToGrid w:val="0"/>
      <w:spacing w:beforeLines="0" w:afterLines="0" w:line="240" w:lineRule="auto"/>
      <w:ind w:firstLine="0" w:firstLineChars="0"/>
      <w:jc w:val="center"/>
    </w:pPr>
    <w:rPr>
      <w:rFonts w:hint="eastAsia"/>
      <w:b/>
      <w:kern w:val="0"/>
      <w:sz w:val="21"/>
      <w:szCs w:val="20"/>
    </w:rPr>
  </w:style>
  <w:style w:type="paragraph" w:customStyle="1" w:styleId="105">
    <w:name w:val=" Char1"/>
    <w:basedOn w:val="1"/>
    <w:qFormat/>
    <w:uiPriority w:val="0"/>
    <w:pPr>
      <w:spacing w:line="360" w:lineRule="auto"/>
      <w:ind w:firstLine="200" w:firstLineChars="200"/>
    </w:pPr>
  </w:style>
  <w:style w:type="paragraph" w:customStyle="1" w:styleId="106">
    <w:name w:val="君邦正文"/>
    <w:qFormat/>
    <w:uiPriority w:val="0"/>
    <w:pPr>
      <w:spacing w:after="60" w:line="360" w:lineRule="auto"/>
      <w:ind w:firstLine="480" w:firstLineChars="200"/>
      <w:jc w:val="both"/>
    </w:pPr>
    <w:rPr>
      <w:rFonts w:ascii="Times New Roman" w:hAnsi="Times New Roman" w:eastAsia="宋体" w:cs="Times New Roman"/>
      <w:bCs/>
      <w:snapToGrid w:val="0"/>
      <w:sz w:val="24"/>
      <w:lang w:val="en-US" w:eastAsia="zh-CN" w:bidi="ar-SA"/>
    </w:rPr>
  </w:style>
  <w:style w:type="paragraph" w:customStyle="1" w:styleId="107">
    <w:name w:val="X-0"/>
    <w:basedOn w:val="98"/>
    <w:qFormat/>
    <w:uiPriority w:val="0"/>
    <w:rPr>
      <w:sz w:val="24"/>
    </w:rPr>
  </w:style>
  <w:style w:type="paragraph" w:customStyle="1" w:styleId="108">
    <w:name w:val="表格字体"/>
    <w:basedOn w:val="1"/>
    <w:qFormat/>
    <w:uiPriority w:val="0"/>
    <w:pPr>
      <w:jc w:val="center"/>
    </w:pPr>
    <w:rPr>
      <w:rFonts w:ascii="Arial" w:hAnsi="Arial" w:eastAsia="宋体" w:cs="Times New Roman"/>
      <w:szCs w:val="20"/>
    </w:rPr>
  </w:style>
  <w:style w:type="paragraph" w:customStyle="1" w:styleId="109">
    <w:name w:val="正文1"/>
    <w:basedOn w:val="1"/>
    <w:next w:val="1"/>
    <w:unhideWhenUsed/>
    <w:qFormat/>
    <w:uiPriority w:val="0"/>
    <w:pPr>
      <w:spacing w:beforeLines="0" w:afterLines="0"/>
      <w:ind w:firstLine="723" w:firstLineChars="200"/>
    </w:pPr>
    <w:rPr>
      <w:rFonts w:hint="eastAsia" w:eastAsia="Times New Roman"/>
      <w:kern w:val="0"/>
      <w:szCs w:val="20"/>
    </w:rPr>
  </w:style>
  <w:style w:type="paragraph" w:customStyle="1" w:styleId="110">
    <w:name w:val="回车"/>
    <w:basedOn w:val="1"/>
    <w:next w:val="53"/>
    <w:qFormat/>
    <w:uiPriority w:val="0"/>
    <w:pPr>
      <w:widowControl/>
      <w:pBdr>
        <w:top w:val="none" w:color="auto" w:sz="0" w:space="0"/>
        <w:left w:val="none" w:color="auto" w:sz="0" w:space="0"/>
        <w:bottom w:val="none" w:color="auto" w:sz="0" w:space="0"/>
        <w:right w:val="none" w:color="auto" w:sz="0" w:space="0"/>
      </w:pBdr>
      <w:spacing w:before="100" w:beforeLines="0" w:beforeAutospacing="1" w:after="100" w:afterLines="0" w:afterAutospacing="1"/>
      <w:jc w:val="center"/>
      <w:textAlignment w:val="center"/>
    </w:pPr>
    <w:rPr>
      <w:rFonts w:hint="eastAsia" w:ascii="仿宋_GB2312" w:hAnsi="仿宋_GB2312" w:eastAsia="宋体" w:cs="Arial Unicode MS"/>
      <w:kern w:val="0"/>
      <w:sz w:val="28"/>
      <w:szCs w:val="28"/>
    </w:rPr>
  </w:style>
  <w:style w:type="paragraph" w:customStyle="1" w:styleId="111">
    <w:name w:val="表1表2"/>
    <w:basedOn w:val="1"/>
    <w:qFormat/>
    <w:uiPriority w:val="0"/>
    <w:pPr>
      <w:autoSpaceDE w:val="0"/>
      <w:autoSpaceDN w:val="0"/>
      <w:adjustRightInd w:val="0"/>
      <w:spacing w:line="360" w:lineRule="auto"/>
      <w:jc w:val="center"/>
      <w:textAlignment w:val="center"/>
    </w:pPr>
    <w:rPr>
      <w:rFonts w:eastAsia="仿宋_GB2312"/>
      <w:kern w:val="0"/>
      <w:sz w:val="24"/>
      <w:szCs w:val="21"/>
    </w:rPr>
  </w:style>
  <w:style w:type="paragraph" w:customStyle="1" w:styleId="112">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11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4">
    <w:name w:val="Table Text"/>
    <w:basedOn w:val="1"/>
    <w:semiHidden/>
    <w:qFormat/>
    <w:uiPriority w:val="0"/>
    <w:rPr>
      <w:rFonts w:ascii="宋体" w:hAnsi="宋体" w:eastAsia="宋体" w:cs="宋体"/>
      <w:sz w:val="20"/>
      <w:szCs w:val="20"/>
      <w:lang w:val="en-US" w:eastAsia="en-US" w:bidi="ar-SA"/>
    </w:rPr>
  </w:style>
  <w:style w:type="paragraph" w:customStyle="1" w:styleId="115">
    <w:name w:val="p0"/>
    <w:basedOn w:val="1"/>
    <w:qFormat/>
    <w:uiPriority w:val="0"/>
    <w:pPr>
      <w:widowControl/>
    </w:pPr>
    <w:rPr>
      <w:kern w:val="0"/>
      <w:szCs w:val="21"/>
    </w:rPr>
  </w:style>
  <w:style w:type="paragraph" w:customStyle="1" w:styleId="116">
    <w:name w:val="WPSOffice手动目录 1"/>
    <w:qFormat/>
    <w:uiPriority w:val="0"/>
    <w:pPr>
      <w:ind w:leftChars="0"/>
    </w:pPr>
    <w:rPr>
      <w:rFonts w:ascii="Times New Roman" w:hAnsi="Times New Roman" w:eastAsia="宋体" w:cs="Times New Roman"/>
      <w:sz w:val="20"/>
      <w:szCs w:val="20"/>
    </w:rPr>
  </w:style>
  <w:style w:type="paragraph" w:customStyle="1" w:styleId="117">
    <w:name w:val="xl30"/>
    <w:basedOn w:val="1"/>
    <w:qFormat/>
    <w:uiPriority w:val="0"/>
    <w:pPr>
      <w:widowControl/>
      <w:pBdr>
        <w:left w:val="single" w:color="auto" w:sz="12" w:space="0"/>
        <w:right w:val="single" w:color="auto" w:sz="4" w:space="0"/>
      </w:pBdr>
      <w:spacing w:before="100" w:after="100"/>
      <w:jc w:val="center"/>
    </w:pPr>
    <w:rPr>
      <w:rFonts w:ascii="宋体" w:hAnsi="宋体"/>
      <w:kern w:val="0"/>
      <w:sz w:val="24"/>
      <w:szCs w:val="20"/>
    </w:rPr>
  </w:style>
  <w:style w:type="paragraph" w:customStyle="1" w:styleId="118">
    <w:name w:val="九晟表格"/>
    <w:basedOn w:val="1"/>
    <w:qFormat/>
    <w:uiPriority w:val="0"/>
    <w:pPr>
      <w:jc w:val="center"/>
    </w:pPr>
    <w:rPr>
      <w:rFonts w:hAnsi="宋体"/>
      <w:szCs w:val="21"/>
    </w:rPr>
  </w:style>
  <w:style w:type="paragraph" w:customStyle="1" w:styleId="119">
    <w:name w:val="正文（用）"/>
    <w:basedOn w:val="1"/>
    <w:qFormat/>
    <w:uiPriority w:val="0"/>
    <w:pPr>
      <w:spacing w:line="360" w:lineRule="auto"/>
      <w:ind w:firstLine="480" w:firstLineChars="200"/>
      <w:jc w:val="left"/>
    </w:pPr>
    <w:rPr>
      <w:rFonts w:ascii="宋体" w:hAnsi="宋体" w:eastAsia="宋体" w:cs="宋体"/>
      <w:sz w:val="24"/>
      <w:szCs w:val="20"/>
    </w:rPr>
  </w:style>
  <w:style w:type="paragraph" w:customStyle="1" w:styleId="120">
    <w:name w:val="表格文字"/>
    <w:basedOn w:val="31"/>
    <w:qFormat/>
    <w:uiPriority w:val="0"/>
    <w:pPr>
      <w:adjustRightInd w:val="0"/>
      <w:snapToGrid w:val="0"/>
      <w:jc w:val="center"/>
    </w:pPr>
    <w:rPr>
      <w:rFonts w:ascii="宋体" w:hAnsi="宋体"/>
      <w:szCs w:val="18"/>
    </w:rPr>
  </w:style>
  <w:style w:type="paragraph" w:customStyle="1" w:styleId="121">
    <w:name w:val="正  文"/>
    <w:basedOn w:val="1"/>
    <w:next w:val="1"/>
    <w:qFormat/>
    <w:uiPriority w:val="0"/>
    <w:pPr>
      <w:spacing w:line="360" w:lineRule="auto"/>
      <w:ind w:firstLine="560" w:firstLineChars="200"/>
    </w:pPr>
    <w:rPr>
      <w:rFonts w:ascii="宋体" w:hAnsi="宋体" w:cs="仿宋_GB2312"/>
      <w:sz w:val="24"/>
      <w:szCs w:val="28"/>
    </w:rPr>
  </w:style>
  <w:style w:type="paragraph" w:customStyle="1" w:styleId="122">
    <w:name w:val="表格题注"/>
    <w:qFormat/>
    <w:uiPriority w:val="0"/>
    <w:pPr>
      <w:jc w:val="center"/>
    </w:pPr>
    <w:rPr>
      <w:rFonts w:ascii="Times New Roman" w:hAnsi="Times New Roman" w:eastAsia="宋体" w:cs="Times New Roman"/>
      <w:b/>
      <w:sz w:val="21"/>
      <w:szCs w:val="24"/>
      <w:lang w:val="en-US" w:eastAsia="zh-CN" w:bidi="ar-SA"/>
    </w:rPr>
  </w:style>
  <w:style w:type="paragraph" w:customStyle="1" w:styleId="123">
    <w:name w:val="表标题"/>
    <w:next w:val="46"/>
    <w:qFormat/>
    <w:uiPriority w:val="0"/>
    <w:pPr>
      <w:jc w:val="center"/>
    </w:pPr>
    <w:rPr>
      <w:rFonts w:ascii="Times New Roman" w:hAnsi="Times New Roman" w:eastAsia="宋体" w:cs="Times New Roman"/>
      <w:b/>
      <w:sz w:val="21"/>
      <w:lang w:val="en-US" w:eastAsia="zh-CN" w:bidi="ar-SA"/>
    </w:rPr>
  </w:style>
  <w:style w:type="paragraph" w:customStyle="1" w:styleId="124">
    <w:name w:val="正文5"/>
    <w:basedOn w:val="1"/>
    <w:qFormat/>
    <w:uiPriority w:val="99"/>
    <w:pPr>
      <w:widowControl/>
      <w:spacing w:line="360" w:lineRule="auto"/>
      <w:ind w:firstLine="200" w:firstLineChars="200"/>
      <w:jc w:val="left"/>
    </w:pPr>
    <w:rPr>
      <w:rFonts w:cs="宋体"/>
      <w:kern w:val="0"/>
      <w:sz w:val="24"/>
    </w:rPr>
  </w:style>
  <w:style w:type="paragraph" w:customStyle="1" w:styleId="125">
    <w:name w:val="样式2"/>
    <w:basedOn w:val="1"/>
    <w:qFormat/>
    <w:uiPriority w:val="0"/>
    <w:pPr>
      <w:spacing w:line="360" w:lineRule="auto"/>
      <w:ind w:firstLine="200" w:firstLineChars="200"/>
    </w:pPr>
    <w:rPr>
      <w:sz w:val="24"/>
    </w:rPr>
  </w:style>
  <w:style w:type="paragraph" w:customStyle="1" w:styleId="126">
    <w:name w:val="普通(网站)2"/>
    <w:basedOn w:val="1"/>
    <w:qFormat/>
    <w:uiPriority w:val="0"/>
    <w:pPr>
      <w:widowControl/>
      <w:spacing w:before="100" w:beforeAutospacing="1" w:after="100" w:afterAutospacing="1"/>
      <w:jc w:val="left"/>
    </w:pPr>
    <w:rPr>
      <w:rFonts w:ascii="宋体" w:hAnsi="宋体"/>
      <w:sz w:val="24"/>
      <w:szCs w:val="20"/>
    </w:rPr>
  </w:style>
  <w:style w:type="table" w:customStyle="1" w:styleId="127">
    <w:name w:val="Table Normal"/>
    <w:unhideWhenUsed/>
    <w:qFormat/>
    <w:uiPriority w:val="0"/>
    <w:tblPr>
      <w:tblCellMar>
        <w:top w:w="0" w:type="dxa"/>
        <w:left w:w="0" w:type="dxa"/>
        <w:bottom w:w="0" w:type="dxa"/>
        <w:right w:w="0" w:type="dxa"/>
      </w:tblCellMar>
    </w:tblPr>
  </w:style>
  <w:style w:type="character" w:customStyle="1" w:styleId="128">
    <w:name w:val="lishishuju"/>
    <w:basedOn w:val="35"/>
    <w:qFormat/>
    <w:uiPriority w:val="0"/>
    <w:rPr>
      <w:b/>
      <w:color w:val="000052"/>
      <w:sz w:val="24"/>
      <w:szCs w:val="24"/>
      <w:bdr w:val="single" w:color="E3E3E3" w:sz="6" w:space="0"/>
    </w:rPr>
  </w:style>
  <w:style w:type="character" w:customStyle="1" w:styleId="129">
    <w:name w:val="radio-btn"/>
    <w:basedOn w:val="35"/>
    <w:qFormat/>
    <w:uiPriority w:val="0"/>
    <w:rPr>
      <w:sz w:val="24"/>
      <w:szCs w:val="24"/>
    </w:rPr>
  </w:style>
  <w:style w:type="character" w:customStyle="1" w:styleId="130">
    <w:name w:val="radio-btn1"/>
    <w:basedOn w:val="35"/>
    <w:qFormat/>
    <w:uiPriority w:val="0"/>
    <w:rPr>
      <w:sz w:val="21"/>
      <w:szCs w:val="21"/>
    </w:rPr>
  </w:style>
  <w:style w:type="character" w:customStyle="1" w:styleId="131">
    <w:name w:val="radio-btn2"/>
    <w:basedOn w:val="35"/>
    <w:qFormat/>
    <w:uiPriority w:val="0"/>
    <w:rPr>
      <w:sz w:val="24"/>
      <w:szCs w:val="24"/>
    </w:rPr>
  </w:style>
  <w:style w:type="character" w:customStyle="1" w:styleId="132">
    <w:name w:val="znspantitle"/>
    <w:basedOn w:val="35"/>
    <w:qFormat/>
    <w:uiPriority w:val="0"/>
    <w:rPr>
      <w:b/>
      <w:color w:val="333333"/>
    </w:rPr>
  </w:style>
  <w:style w:type="character" w:customStyle="1" w:styleId="133">
    <w:name w:val="lable"/>
    <w:basedOn w:val="35"/>
    <w:qFormat/>
    <w:uiPriority w:val="0"/>
    <w:rPr>
      <w:sz w:val="24"/>
      <w:szCs w:val="24"/>
    </w:rPr>
  </w:style>
  <w:style w:type="character" w:customStyle="1" w:styleId="134">
    <w:name w:val="cur1"/>
    <w:basedOn w:val="35"/>
    <w:qFormat/>
    <w:uiPriority w:val="0"/>
    <w:rPr>
      <w:color w:val="FFFFFF"/>
      <w:shd w:val="clear" w:fill="2F6B98"/>
    </w:rPr>
  </w:style>
  <w:style w:type="character" w:customStyle="1" w:styleId="135">
    <w:name w:val="disabled"/>
    <w:basedOn w:val="35"/>
    <w:qFormat/>
    <w:uiPriority w:val="0"/>
    <w:rPr>
      <w:vanish/>
    </w:rPr>
  </w:style>
  <w:style w:type="character" w:customStyle="1" w:styleId="136">
    <w:name w:val="报告正文 Char1"/>
    <w:link w:val="54"/>
    <w:qFormat/>
    <w:uiPriority w:val="0"/>
    <w:rPr>
      <w:rFonts w:ascii="宋体"/>
      <w:sz w:val="24"/>
      <w:szCs w:val="20"/>
    </w:rPr>
  </w:style>
  <w:style w:type="paragraph" w:customStyle="1" w:styleId="137">
    <w:name w:val="表格第一行"/>
    <w:next w:val="1"/>
    <w:qFormat/>
    <w:uiPriority w:val="0"/>
    <w:pPr>
      <w:widowControl/>
      <w:adjustRightInd w:val="0"/>
      <w:snapToGrid w:val="0"/>
      <w:spacing w:line="320" w:lineRule="exact"/>
      <w:jc w:val="center"/>
      <w:textAlignment w:val="baseline"/>
    </w:pPr>
    <w:rPr>
      <w:rFonts w:ascii="Times New Roman" w:hAnsi="Times New Roman" w:eastAsia="宋体" w:cs="Times New Roman"/>
      <w:b/>
      <w:kern w:val="0"/>
      <w:sz w:val="21"/>
      <w:szCs w:val="21"/>
    </w:rPr>
  </w:style>
  <w:style w:type="paragraph" w:customStyle="1" w:styleId="138">
    <w:name w:val="表的正文"/>
    <w:basedOn w:val="1"/>
    <w:link w:val="158"/>
    <w:qFormat/>
    <w:uiPriority w:val="0"/>
    <w:pPr>
      <w:pBdr>
        <w:top w:val="none" w:color="auto" w:sz="0" w:space="1"/>
        <w:left w:val="none" w:color="auto" w:sz="0" w:space="4"/>
        <w:bottom w:val="none" w:color="auto" w:sz="0" w:space="1"/>
        <w:right w:val="none" w:color="auto" w:sz="0" w:space="4"/>
      </w:pBdr>
      <w:tabs>
        <w:tab w:val="left" w:pos="1021"/>
      </w:tabs>
      <w:spacing w:line="240" w:lineRule="auto"/>
      <w:jc w:val="center"/>
    </w:pPr>
    <w:rPr>
      <w:rFonts w:hint="eastAsia" w:ascii="Times New Roman" w:hAnsi="Times New Roman" w:eastAsia="Times New Roman"/>
      <w:color w:val="000000"/>
      <w:szCs w:val="21"/>
      <w:shd w:val="clear" w:color="auto" w:fill="auto"/>
      <w:lang w:bidi="en-US"/>
    </w:rPr>
  </w:style>
  <w:style w:type="paragraph" w:customStyle="1" w:styleId="139">
    <w:name w:val="表标题2"/>
    <w:basedOn w:val="1"/>
    <w:qFormat/>
    <w:uiPriority w:val="0"/>
    <w:pPr>
      <w:numPr>
        <w:ilvl w:val="0"/>
        <w:numId w:val="2"/>
      </w:numPr>
      <w:spacing w:before="120" w:beforeLines="0" w:line="240" w:lineRule="auto"/>
      <w:ind w:firstLine="0" w:firstLineChars="0"/>
      <w:jc w:val="center"/>
    </w:pPr>
    <w:rPr>
      <w:rFonts w:eastAsia="黑体"/>
      <w:b/>
      <w:sz w:val="21"/>
      <w:szCs w:val="20"/>
    </w:rPr>
  </w:style>
  <w:style w:type="paragraph" w:customStyle="1" w:styleId="140">
    <w:name w:val="样式9"/>
    <w:basedOn w:val="1"/>
    <w:qFormat/>
    <w:uiPriority w:val="0"/>
    <w:pPr>
      <w:adjustRightInd w:val="0"/>
      <w:snapToGrid w:val="0"/>
      <w:spacing w:line="460" w:lineRule="exact"/>
      <w:ind w:firstLine="520" w:firstLineChars="200"/>
    </w:pPr>
    <w:rPr>
      <w:sz w:val="26"/>
      <w:szCs w:val="26"/>
    </w:rPr>
  </w:style>
  <w:style w:type="paragraph" w:customStyle="1" w:styleId="141">
    <w:name w:val="明显引用1"/>
    <w:basedOn w:val="1"/>
    <w:next w:val="1"/>
    <w:qFormat/>
    <w:uiPriority w:val="0"/>
    <w:pPr>
      <w:widowControl/>
      <w:wordWrap w:val="0"/>
      <w:ind w:left="950" w:right="950"/>
      <w:jc w:val="center"/>
    </w:pPr>
    <w:rPr>
      <w:i/>
      <w:kern w:val="0"/>
      <w:szCs w:val="21"/>
    </w:rPr>
  </w:style>
  <w:style w:type="paragraph" w:customStyle="1" w:styleId="142">
    <w:name w:val="蓝森正文"/>
    <w:qFormat/>
    <w:uiPriority w:val="0"/>
    <w:pPr>
      <w:widowControl w:val="0"/>
      <w:adjustRightInd w:val="0"/>
      <w:snapToGrid w:val="0"/>
      <w:spacing w:line="520" w:lineRule="exact"/>
      <w:ind w:firstLine="480" w:firstLineChars="200"/>
      <w:jc w:val="both"/>
    </w:pPr>
    <w:rPr>
      <w:rFonts w:ascii="宋体" w:hAnsi="宋体" w:eastAsia="宋体" w:cs="Times New Roman"/>
      <w:bCs/>
      <w:kern w:val="2"/>
      <w:sz w:val="24"/>
      <w:lang w:val="en-US" w:eastAsia="zh-CN" w:bidi="ar-SA"/>
    </w:rPr>
  </w:style>
  <w:style w:type="paragraph" w:customStyle="1" w:styleId="143">
    <w:name w:val="表格标题"/>
    <w:basedOn w:val="31"/>
    <w:autoRedefine/>
    <w:qFormat/>
    <w:uiPriority w:val="0"/>
    <w:pPr>
      <w:spacing w:before="0" w:beforeLines="0" w:line="360" w:lineRule="auto"/>
      <w:ind w:firstLine="0" w:firstLineChars="0"/>
      <w:jc w:val="center"/>
    </w:pPr>
    <w:rPr>
      <w:rFonts w:ascii="Times New Roman" w:hAnsi="Times New Roman" w:eastAsia="黑体" w:cs="Times New Roman"/>
      <w:sz w:val="24"/>
    </w:rPr>
  </w:style>
  <w:style w:type="paragraph" w:customStyle="1" w:styleId="144">
    <w:name w:val="封面"/>
    <w:basedOn w:val="1"/>
    <w:qFormat/>
    <w:uiPriority w:val="0"/>
    <w:pPr>
      <w:spacing w:line="720" w:lineRule="auto"/>
      <w:ind w:firstLine="0" w:firstLineChars="0"/>
      <w:jc w:val="center"/>
    </w:pPr>
    <w:rPr>
      <w:rFonts w:ascii="Times New Roman" w:hAnsi="Times New Roman"/>
      <w:b/>
      <w:sz w:val="44"/>
    </w:rPr>
  </w:style>
  <w:style w:type="paragraph" w:customStyle="1" w:styleId="145">
    <w:name w:val="图表头"/>
    <w:basedOn w:val="1"/>
    <w:qFormat/>
    <w:uiPriority w:val="0"/>
    <w:pPr>
      <w:spacing w:line="240" w:lineRule="auto"/>
      <w:ind w:firstLine="0" w:firstLineChars="0"/>
      <w:jc w:val="center"/>
    </w:pPr>
    <w:rPr>
      <w:b/>
      <w:sz w:val="21"/>
      <w:szCs w:val="21"/>
    </w:rPr>
  </w:style>
  <w:style w:type="paragraph" w:customStyle="1" w:styleId="146">
    <w:name w:val="表格报告书"/>
    <w:next w:val="147"/>
    <w:qFormat/>
    <w:uiPriority w:val="0"/>
    <w:pPr>
      <w:spacing w:before="20" w:line="240" w:lineRule="auto"/>
      <w:ind w:firstLine="0" w:firstLineChars="0"/>
      <w:jc w:val="center"/>
    </w:pPr>
    <w:rPr>
      <w:rFonts w:ascii="Times New Roman" w:hAnsi="Times New Roman" w:eastAsia="宋体" w:cs="Times New Roman"/>
      <w:kern w:val="2"/>
      <w:sz w:val="21"/>
      <w:szCs w:val="24"/>
      <w:lang w:val="en-US" w:eastAsia="zh-CN" w:bidi="ar-SA"/>
    </w:rPr>
  </w:style>
  <w:style w:type="paragraph" w:customStyle="1" w:styleId="147">
    <w:name w:val="正文报告书"/>
    <w:next w:val="1"/>
    <w:qFormat/>
    <w:uiPriority w:val="0"/>
    <w:pPr>
      <w:spacing w:before="20" w:line="360" w:lineRule="auto"/>
      <w:ind w:firstLine="643" w:firstLineChars="200"/>
    </w:pPr>
    <w:rPr>
      <w:rFonts w:ascii="Times New Roman" w:hAnsi="Times New Roman" w:eastAsia="宋体" w:cs="Times New Roman"/>
      <w:kern w:val="2"/>
      <w:sz w:val="24"/>
      <w:szCs w:val="24"/>
      <w:lang w:val="en-US" w:eastAsia="zh-CN" w:bidi="ar-SA"/>
    </w:rPr>
  </w:style>
  <w:style w:type="paragraph" w:styleId="148">
    <w:name w:val="List Paragraph"/>
    <w:basedOn w:val="1"/>
    <w:qFormat/>
    <w:uiPriority w:val="34"/>
    <w:pPr>
      <w:tabs>
        <w:tab w:val="left" w:pos="1021"/>
      </w:tabs>
      <w:ind w:firstLine="420" w:firstLineChars="200"/>
    </w:pPr>
  </w:style>
  <w:style w:type="paragraph" w:customStyle="1" w:styleId="149">
    <w:name w:val="样式 文本正文 + 首行缩进:  2 字符"/>
    <w:basedOn w:val="1"/>
    <w:qFormat/>
    <w:uiPriority w:val="0"/>
    <w:pPr>
      <w:spacing w:line="360" w:lineRule="auto"/>
      <w:ind w:firstLine="200" w:firstLineChars="200"/>
    </w:pPr>
    <w:rPr>
      <w:rFonts w:ascii="Calibri" w:hAnsi="Calibri" w:cs="宋体"/>
      <w:sz w:val="24"/>
      <w:szCs w:val="20"/>
    </w:rPr>
  </w:style>
  <w:style w:type="paragraph" w:customStyle="1" w:styleId="150">
    <w:name w:val="表图标题"/>
    <w:basedOn w:val="1"/>
    <w:qFormat/>
    <w:uiPriority w:val="0"/>
    <w:pPr>
      <w:spacing w:line="240" w:lineRule="auto"/>
      <w:jc w:val="center"/>
    </w:pPr>
    <w:rPr>
      <w:rFonts w:ascii="Times New Roman" w:hAnsi="Times New Roman" w:eastAsia="宋体"/>
      <w:b/>
      <w:bCs/>
      <w:sz w:val="21"/>
    </w:rPr>
  </w:style>
  <w:style w:type="paragraph" w:customStyle="1" w:styleId="151">
    <w:name w:val="表头(G)"/>
    <w:basedOn w:val="1"/>
    <w:semiHidden/>
    <w:qFormat/>
    <w:uiPriority w:val="0"/>
    <w:pPr>
      <w:tabs>
        <w:tab w:val="left" w:pos="1021"/>
      </w:tabs>
      <w:spacing w:line="288" w:lineRule="auto"/>
      <w:jc w:val="center"/>
    </w:pPr>
    <w:rPr>
      <w:rFonts w:ascii="Arial" w:hAnsi="Arial" w:eastAsia="黑体"/>
      <w:b/>
      <w:color w:val="000000"/>
      <w:kern w:val="24"/>
      <w:sz w:val="24"/>
    </w:rPr>
  </w:style>
  <w:style w:type="paragraph" w:customStyle="1" w:styleId="152">
    <w:name w:val="正文格式"/>
    <w:basedOn w:val="1"/>
    <w:qFormat/>
    <w:uiPriority w:val="0"/>
    <w:pPr>
      <w:spacing w:line="360" w:lineRule="auto"/>
      <w:ind w:firstLine="482"/>
    </w:pPr>
    <w:rPr>
      <w:rFonts w:ascii="宋体" w:hAnsi="宋体"/>
      <w:sz w:val="24"/>
    </w:rPr>
  </w:style>
  <w:style w:type="paragraph" w:customStyle="1" w:styleId="153">
    <w:name w:val="表格-易恒"/>
    <w:basedOn w:val="12"/>
    <w:qFormat/>
    <w:uiPriority w:val="1"/>
    <w:pPr>
      <w:widowControl w:val="0"/>
      <w:snapToGrid/>
      <w:spacing w:before="100" w:beforeAutospacing="1" w:after="0" w:line="240" w:lineRule="auto"/>
      <w:ind w:right="0"/>
      <w:jc w:val="center"/>
    </w:pPr>
    <w:rPr>
      <w:kern w:val="2"/>
      <w:sz w:val="21"/>
      <w:szCs w:val="21"/>
    </w:rPr>
  </w:style>
  <w:style w:type="paragraph" w:customStyle="1" w:styleId="154">
    <w:name w:val="表"/>
    <w:basedOn w:val="1"/>
    <w:next w:val="1"/>
    <w:qFormat/>
    <w:uiPriority w:val="0"/>
    <w:pPr>
      <w:adjustRightInd w:val="0"/>
      <w:snapToGrid w:val="0"/>
      <w:jc w:val="center"/>
    </w:pPr>
    <w:rPr>
      <w:rFonts w:ascii="Times New Roman" w:hAnsi="Times New Roman" w:eastAsia="宋体" w:cs="Times New Roman"/>
      <w:sz w:val="21"/>
    </w:rPr>
  </w:style>
  <w:style w:type="character" w:customStyle="1" w:styleId="155">
    <w:name w:val="表的正文 Char"/>
    <w:autoRedefine/>
    <w:qFormat/>
    <w:uiPriority w:val="0"/>
    <w:rPr>
      <w:rFonts w:hint="eastAsia" w:ascii="Times New Roman" w:hAnsi="Times New Roman" w:eastAsia="Times New Roman" w:cs="Arial"/>
      <w:snapToGrid w:val="0"/>
      <w:color w:val="000000"/>
      <w:kern w:val="0"/>
      <w:sz w:val="21"/>
      <w:szCs w:val="21"/>
      <w:shd w:val="clear" w:color="auto" w:fill="auto"/>
      <w:lang w:eastAsia="zh-CN" w:bidi="en-US"/>
    </w:rPr>
  </w:style>
  <w:style w:type="paragraph" w:customStyle="1" w:styleId="156">
    <w:name w:val="加粗"/>
    <w:basedOn w:val="157"/>
    <w:next w:val="1"/>
    <w:autoRedefine/>
    <w:qFormat/>
    <w:uiPriority w:val="0"/>
    <w:pPr>
      <w:ind w:firstLine="480" w:firstLineChars="200"/>
    </w:pPr>
  </w:style>
  <w:style w:type="paragraph" w:customStyle="1" w:styleId="157">
    <w:name w:val="加粗顶头"/>
    <w:next w:val="1"/>
    <w:autoRedefine/>
    <w:qFormat/>
    <w:uiPriority w:val="0"/>
    <w:pPr>
      <w:adjustRightInd w:val="0"/>
      <w:snapToGrid w:val="0"/>
      <w:spacing w:line="360" w:lineRule="auto"/>
      <w:ind w:firstLine="0" w:firstLineChars="0"/>
    </w:pPr>
    <w:rPr>
      <w:rFonts w:ascii="Calibri" w:hAnsi="Calibri" w:eastAsia="宋体" w:cs="Times New Roman"/>
      <w:b/>
      <w:sz w:val="24"/>
    </w:rPr>
  </w:style>
  <w:style w:type="character" w:customStyle="1" w:styleId="158">
    <w:name w:val="表的正文 Char1"/>
    <w:link w:val="138"/>
    <w:autoRedefine/>
    <w:qFormat/>
    <w:uiPriority w:val="0"/>
    <w:rPr>
      <w:rFonts w:hint="eastAsia" w:ascii="Times New Roman" w:hAnsi="Times New Roman" w:eastAsia="Times New Roman"/>
      <w:color w:val="000000"/>
      <w:szCs w:val="21"/>
      <w:shd w:val="clear" w:color="auto" w:fill="auto"/>
      <w:lang w:bidi="en-US"/>
    </w:rPr>
  </w:style>
  <w:style w:type="paragraph" w:customStyle="1" w:styleId="159">
    <w:name w:val="正文_11"/>
    <w:autoRedefine/>
    <w:qFormat/>
    <w:uiPriority w:val="0"/>
    <w:pPr>
      <w:widowControl w:val="0"/>
      <w:jc w:val="both"/>
    </w:pPr>
    <w:rPr>
      <w:rFonts w:ascii="Calibri" w:hAnsi="Calibri"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microsoft.com/office/2011/relationships/people" Target="people.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wmf"/><Relationship Id="rId13" Type="http://schemas.openxmlformats.org/officeDocument/2006/relationships/oleObject" Target="embeddings/oleObject2.bin"/><Relationship Id="rId12" Type="http://schemas.openxmlformats.org/officeDocument/2006/relationships/image" Target="media/image3.w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68</Pages>
  <Words>11653</Words>
  <Characters>12165</Characters>
  <Lines>540</Lines>
  <Paragraphs>152</Paragraphs>
  <TotalTime>117</TotalTime>
  <ScaleCrop>false</ScaleCrop>
  <LinksUpToDate>false</LinksUpToDate>
  <CharactersWithSpaces>12294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刘宇灏</cp:lastModifiedBy>
  <cp:lastPrinted>2026-08-21T02:25:00Z</cp:lastPrinted>
  <dcterms:modified xsi:type="dcterms:W3CDTF">2026-09-10T01:27:23Z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D8BAA0DBBDE448EFA6885670598CDFDC_13</vt:lpwstr>
  </property>
  <property fmtid="{D5CDD505-2E9C-101B-9397-08002B2CF9AE}" pid="4" name="KSOTemplateDocerSaveRecord">
    <vt:lpwstr>eyJoZGlkIjoiZTcwOWE3NGU0NGY2YmViN2YyYjYyOWQyNGUyOGEyN2MiLCJ1c2VySWQiOiIxNjc2NDg1OTI4In0=</vt:lpwstr>
  </property>
</Properties>
</file>