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88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</w:p>
    <w:p>
      <w:pPr>
        <w:ind w:firstLine="880"/>
        <w:jc w:val="center"/>
        <w:rPr>
          <w:rFonts w:ascii="方正小标宋简体" w:hAnsi="宋体" w:eastAsia="方正小标宋简体" w:cs="宋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年度岳阳县信访局整体支出</w:t>
      </w:r>
    </w:p>
    <w:p>
      <w:pPr>
        <w:ind w:firstLine="880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绩效自评报告</w:t>
      </w: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b/>
          <w:bCs/>
          <w:spacing w:val="-28"/>
          <w:sz w:val="32"/>
          <w:szCs w:val="32"/>
          <w:lang w:eastAsia="zh-CN"/>
        </w:rPr>
        <w:t>部门(单位)名称：</w:t>
      </w:r>
      <w:r>
        <w:rPr>
          <w:rFonts w:hint="eastAsia" w:ascii="楷体_GB2312" w:eastAsia="楷体_GB2312"/>
          <w:b/>
          <w:bCs/>
          <w:spacing w:val="-28"/>
          <w:sz w:val="32"/>
          <w:szCs w:val="32"/>
          <w:u w:val="single"/>
          <w:lang w:eastAsia="zh-CN"/>
        </w:rPr>
        <w:t>(盖章)</w:t>
      </w:r>
    </w:p>
    <w:p>
      <w:pPr>
        <w:spacing w:before="274" w:line="225" w:lineRule="auto"/>
        <w:ind w:firstLine="617"/>
        <w:jc w:val="center"/>
        <w:rPr>
          <w:rFonts w:hint="eastAsia" w:ascii="楷体_GB2312" w:hAnsi="仿宋" w:eastAsia="楷体_GB2312" w:cs="仿宋"/>
          <w:b/>
          <w:bCs/>
          <w:snapToGrid w:val="0"/>
          <w:color w:val="000000"/>
          <w:spacing w:val="-28"/>
          <w:sz w:val="32"/>
          <w:szCs w:val="32"/>
          <w:lang w:val="en-US" w:eastAsia="zh-CN" w:bidi="ar-SA"/>
        </w:rPr>
      </w:pPr>
      <w:r>
        <w:rPr>
          <w:rFonts w:hint="eastAsia" w:ascii="楷体_GB2312" w:hAnsi="仿宋" w:eastAsia="楷体_GB2312" w:cs="仿宋"/>
          <w:b/>
          <w:bCs/>
          <w:snapToGrid w:val="0"/>
          <w:color w:val="000000"/>
          <w:spacing w:val="-28"/>
          <w:sz w:val="32"/>
          <w:szCs w:val="32"/>
          <w:lang w:val="en-US" w:eastAsia="zh-CN" w:bidi="ar-SA"/>
        </w:rPr>
        <w:t>2026年5月13日</w:t>
      </w:r>
    </w:p>
    <w:p>
      <w:pPr>
        <w:pStyle w:val="3"/>
        <w:spacing w:before="211" w:line="224" w:lineRule="auto"/>
        <w:ind w:firstLine="638"/>
        <w:jc w:val="both"/>
        <w:rPr>
          <w:b/>
          <w:bCs/>
          <w:spacing w:val="18"/>
          <w:sz w:val="30"/>
          <w:szCs w:val="30"/>
          <w:lang w:eastAsia="zh-CN"/>
        </w:rPr>
      </w:pPr>
    </w:p>
    <w:p>
      <w:pPr>
        <w:pStyle w:val="5"/>
        <w:ind w:firstLine="360"/>
        <w:rPr>
          <w:rFonts w:ascii="宋体" w:hAnsi="宋体" w:eastAsia="宋体"/>
          <w:lang w:eastAsia="zh-CN"/>
        </w:rPr>
      </w:pPr>
    </w:p>
    <w:p>
      <w:pPr>
        <w:pStyle w:val="3"/>
        <w:widowControl/>
        <w:kinsoku w:val="0"/>
        <w:wordWrap/>
        <w:autoSpaceDE w:val="0"/>
        <w:autoSpaceDN w:val="0"/>
        <w:adjustRightInd w:val="0"/>
        <w:snapToGrid w:val="0"/>
        <w:spacing w:before="211" w:after="0" w:line="560" w:lineRule="exact"/>
        <w:ind w:left="0" w:leftChars="0" w:right="0" w:firstLine="638"/>
        <w:jc w:val="both"/>
        <w:outlineLvl w:val="9"/>
        <w:rPr>
          <w:b/>
          <w:bCs/>
          <w:spacing w:val="18"/>
          <w:sz w:val="30"/>
          <w:szCs w:val="30"/>
          <w:lang w:eastAsia="zh-CN"/>
        </w:rPr>
        <w:sectPr>
          <w:headerReference r:id="rId4" w:type="first"/>
          <w:footerReference r:id="rId7" w:type="first"/>
          <w:footerReference r:id="rId5" w:type="default"/>
          <w:footerReference r:id="rId6" w:type="even"/>
          <w:pgSz w:w="11907" w:h="16839"/>
          <w:pgMar w:top="2098" w:right="1474" w:bottom="1985" w:left="1588" w:header="0" w:footer="1588" w:gutter="0"/>
          <w:pgNumType w:fmt="numberInDash"/>
          <w:cols w:space="720" w:num="1"/>
          <w:titlePg/>
          <w:docGrid w:linePitch="286" w:charSpace="0"/>
        </w:sectPr>
      </w:pPr>
    </w:p>
    <w:p>
      <w:pPr>
        <w:pStyle w:val="3"/>
        <w:widowControl/>
        <w:kinsoku w:val="0"/>
        <w:wordWrap/>
        <w:autoSpaceDE w:val="0"/>
        <w:autoSpaceDN w:val="0"/>
        <w:adjustRightInd w:val="0"/>
        <w:snapToGrid w:val="0"/>
        <w:spacing w:before="211" w:after="0" w:line="560" w:lineRule="exact"/>
        <w:ind w:left="0" w:leftChars="0" w:right="0" w:firstLine="638"/>
        <w:jc w:val="both"/>
        <w:outlineLvl w:val="9"/>
        <w:rPr>
          <w:b/>
          <w:bCs/>
          <w:spacing w:val="18"/>
          <w:sz w:val="30"/>
          <w:szCs w:val="30"/>
          <w:lang w:eastAsia="zh-CN"/>
        </w:rPr>
      </w:pPr>
    </w:p>
    <w:p>
      <w:pPr>
        <w:pStyle w:val="3"/>
        <w:widowControl/>
        <w:numPr>
          <w:ilvl w:val="0"/>
          <w:numId w:val="1"/>
        </w:numPr>
        <w:kinsoku w:val="0"/>
        <w:wordWrap/>
        <w:autoSpaceDE w:val="0"/>
        <w:autoSpaceDN w:val="0"/>
        <w:adjustRightInd w:val="0"/>
        <w:snapToGrid w:val="0"/>
        <w:spacing w:before="211" w:after="0" w:line="560" w:lineRule="exact"/>
        <w:ind w:left="0" w:leftChars="0" w:right="0" w:firstLine="64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部门</w:t>
      </w:r>
      <w:r>
        <w:rPr>
          <w:rFonts w:ascii="方正黑体_GBK" w:eastAsia="方正黑体_GBK"/>
          <w:sz w:val="32"/>
          <w:szCs w:val="32"/>
          <w:lang w:eastAsia="zh-CN"/>
        </w:rPr>
        <w:t>(</w:t>
      </w:r>
      <w:r>
        <w:rPr>
          <w:rFonts w:hint="eastAsia" w:ascii="方正黑体_GBK" w:eastAsia="方正黑体_GBK"/>
          <w:sz w:val="32"/>
          <w:szCs w:val="32"/>
          <w:lang w:eastAsia="zh-CN"/>
        </w:rPr>
        <w:t>单位</w:t>
      </w:r>
      <w:r>
        <w:rPr>
          <w:rFonts w:ascii="方正黑体_GBK" w:eastAsia="方正黑体_GBK"/>
          <w:sz w:val="32"/>
          <w:szCs w:val="32"/>
          <w:lang w:eastAsia="zh-CN"/>
        </w:rPr>
        <w:t>)</w:t>
      </w:r>
      <w:r>
        <w:rPr>
          <w:rFonts w:hint="eastAsia" w:ascii="方正黑体_GBK" w:eastAsia="方正黑体_GBK"/>
          <w:sz w:val="32"/>
          <w:szCs w:val="32"/>
          <w:lang w:eastAsia="zh-CN"/>
        </w:rPr>
        <w:t>基本情况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outlineLvl w:val="9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（一）职能职责</w:t>
      </w:r>
    </w:p>
    <w:p>
      <w:pPr>
        <w:pStyle w:val="7"/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before="0" w:beforeAutospacing="0" w:after="0" w:afterAutospacing="0" w:line="560" w:lineRule="exact"/>
        <w:ind w:left="0" w:leftChars="0" w:right="0" w:firstLine="48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 xml:space="preserve">   1、负责处理人民群众给县委、县政府及其领导同志的来信，接待处理群众来访，受理处理网络信访，为领导同志接待上访群众做好组织服务工作。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2、承办中央、省、市、县委、县政府交办的信访事项，县乡镇（办事处）、县直各单位交办信访事项，督促检查处理落实情况。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3、综合、反映人民群众在信访中提出的重要意见、建议和问题，开展调查研究，为县委、县政府提供信访信息。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4、协同有关部门处理跨地区、跨部门的重大信访问题，协调处理群众到市赴省进京上访，协调全县各级党政机关的信访工作。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5、研究、起草有关信访工作的政策规定;开展信访工作宣传和调研；指导全县信访工作业务，总结推广信访工作经验，提出加强和改进信访工作的意见。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6、掌握全县信访工作队伍建设情况，提出加强信访队伍建设的措施，对信访工作中失职、渎职行为提出处理建议，组织信访干部培训，指导信访部门办公自动化建设。</w:t>
      </w:r>
    </w:p>
    <w:p>
      <w:pPr>
        <w:widowControl/>
        <w:shd w:val="clear" w:color="auto" w:fill="FFFFFF"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800" w:firstLineChars="250"/>
        <w:jc w:val="both"/>
        <w:textAlignment w:val="center"/>
        <w:outlineLvl w:val="9"/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7、协助县委、县政府交办的其他事项。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outlineLvl w:val="9"/>
        <w:rPr>
          <w:rFonts w:eastAsia="仿宋_GB2312" w:cs="仿宋_GB2312"/>
          <w:kern w:val="0"/>
          <w:sz w:val="32"/>
          <w:szCs w:val="32"/>
        </w:rPr>
      </w:pPr>
      <w:r>
        <w:rPr>
          <w:rFonts w:hint="eastAsia" w:eastAsia="仿宋_GB2312" w:cs="仿宋_GB2312"/>
          <w:kern w:val="0"/>
          <w:sz w:val="32"/>
          <w:szCs w:val="32"/>
        </w:rPr>
        <w:t>（二）机构设置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岳阳县信访局，现有干部职工1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人，设局长1名，副局长3名。</w:t>
      </w:r>
      <w:r>
        <w:rPr>
          <w:rFonts w:ascii="仿宋" w:hAnsi="仿宋" w:eastAsia="仿宋"/>
          <w:sz w:val="32"/>
          <w:szCs w:val="32"/>
        </w:rPr>
        <w:t>内设办公室、办信网信室、协调督查室、政策法规室4个股室，下设正股级公益一类事业单位——岳阳县人民来访接待中心。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二、一般公共预算支出情况</w:t>
      </w:r>
    </w:p>
    <w:p>
      <w:pPr>
        <w:pStyle w:val="10"/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3"/>
        <w:jc w:val="both"/>
        <w:outlineLvl w:val="9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楷体_GB2312"/>
          <w:b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基本支出情况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年基本支出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307.44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万元，其中人员经费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190.75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万元，主要包括：基本工资、津贴补贴、奖金、机关事业单位基本养老保险缴费、职工基本医疗保险缴费、公务员医疗补助缴费、其他社会保障缴费、住房公积金、医疗费、其他职工福利支出等；日常公用经费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116.69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万元，主要包括：办公费、印刷费、咨询费、手续费、水费、电费、邮电费、物业管理费、差旅费、维修（护）费、会议费、培训费、专用材料费、劳务费等，其中三公经费支出0.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万元：因公出国（境）费用0元，公务接待费0.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万元，公务用车运行维护费0元。年初我局制定经费预算时，明确了“三公经费”控制标准。</w:t>
      </w:r>
    </w:p>
    <w:p>
      <w:pPr>
        <w:pStyle w:val="10"/>
        <w:widowControl/>
        <w:numPr>
          <w:ilvl w:val="0"/>
          <w:numId w:val="2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3"/>
        <w:jc w:val="both"/>
        <w:outlineLvl w:val="9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项目支出情况</w:t>
      </w:r>
    </w:p>
    <w:p>
      <w:pPr>
        <w:pStyle w:val="10"/>
        <w:widowControl/>
        <w:numPr>
          <w:numId w:val="0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/>
        <w:jc w:val="both"/>
        <w:outlineLvl w:val="9"/>
        <w:rPr>
          <w:rFonts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年信访局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支出为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125.32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万元。主要用于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信访专项业务项目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支出。</w:t>
      </w:r>
    </w:p>
    <w:p>
      <w:pPr>
        <w:pStyle w:val="10"/>
        <w:widowControl/>
        <w:numPr>
          <w:numId w:val="0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/>
        <w:jc w:val="both"/>
        <w:outlineLvl w:val="9"/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p>
      <w:pPr>
        <w:widowControl/>
        <w:numPr>
          <w:ilvl w:val="0"/>
          <w:numId w:val="3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政府性基金预算支出情况</w:t>
      </w:r>
    </w:p>
    <w:p>
      <w:pPr>
        <w:widowControl/>
        <w:numPr>
          <w:numId w:val="0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2025年度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政府性基金预算支出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0万元。</w:t>
      </w:r>
    </w:p>
    <w:p>
      <w:pPr>
        <w:widowControl/>
        <w:numPr>
          <w:ilvl w:val="0"/>
          <w:numId w:val="4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国有资本经营预算支出情况</w:t>
      </w:r>
    </w:p>
    <w:p>
      <w:pPr>
        <w:widowControl/>
        <w:numPr>
          <w:numId w:val="0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2025年度国有资本经营预算支出0万元。</w:t>
      </w:r>
    </w:p>
    <w:p>
      <w:pPr>
        <w:widowControl/>
        <w:numPr>
          <w:ilvl w:val="0"/>
          <w:numId w:val="5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社会保险基金预算支出情况</w:t>
      </w:r>
    </w:p>
    <w:p>
      <w:pPr>
        <w:widowControl/>
        <w:numPr>
          <w:numId w:val="0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黑体_GBK" w:eastAsia="方正黑体_GBK"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2025年度社会保险基金预算支出0万元。</w:t>
      </w:r>
    </w:p>
    <w:p>
      <w:pPr>
        <w:widowControl/>
        <w:numPr>
          <w:ilvl w:val="0"/>
          <w:numId w:val="6"/>
        </w:numPr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部门整体支出绩效情况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岳阳县信访局在县领导的支持和县财政局的具体指导下，积极推进预算绩效管理工作，不断提高绩效管理工作的质量和水平，提高财政资金的使用效益，取得了较好成效。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七、存在的问题及原因分析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1、资金支付过程中存在没有对应资金的用途性质使用的情况，主要原因为部分项目资金指标在年中下达，但资金使用可能在上半年就发生了，导致部分资金指标混用。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预算编制工作有待细化。预算编制不够明确和细化，预算编制的合理性需要提高，预算执行力度还要进一步加强。 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、人员素质有待进一步提高。由于预算绩效管理工作开展时间较短，加上缺乏系统的培训，会计人员对预算绩效管理认识不到位、理解不充分，对工作重点把握不到位。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八、下一步改进措施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1.细化预算编制工作，认真做好预算的编制。进一步加强单位内部机构各办公室的预算管理意识， 严格按照预算编制的相关制度和要求进行预算编制；全面编制预算项目，优先保障固定性的、相对刚性的费用支出项目，尽量压缩变动性的、有控制空间的费用项目，进一步提高预算编制的科学性、严谨性和可控性。加强内部预算编制的审核和预算控制指标的下达。 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2.加强财务管理，严格财务审核。加强单位财务管理，健全单位财务管理制度体系，规范单位财务行为。在费用报账支付时，按照预算规定的费用项目和用途进行资金使用审核、列报支付、财务核算， 杜绝超支现象的发生。 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3.对相关人员加强培训，特别是针对《预算法》《行政事业单位会计制度》等学习培训，规范部门预算收支核算，切实提高部门预算收支管理水平。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  <w:lang w:eastAsia="zh-CN"/>
        </w:rPr>
        <w:t>九、部门整体支出绩效自评结果拟应用和公开情况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1、我单位逐步建立绩效评价与部门预算相结合的结果应用机制，实行绩效评价结果在部门预算编制和执行中的应用，促进财政资金的合理分配与有效使用。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2、我单位按规定在政府门户网站公开了绩效自评的相关信息。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eastAsia="黑体"/>
          <w:sz w:val="32"/>
          <w:szCs w:val="32"/>
          <w:lang w:eastAsia="zh-CN"/>
        </w:rPr>
      </w:pPr>
      <w:r>
        <w:rPr>
          <w:rFonts w:hint="eastAsia" w:eastAsia="黑体"/>
          <w:sz w:val="32"/>
          <w:szCs w:val="32"/>
          <w:lang w:eastAsia="zh-CN"/>
        </w:rPr>
        <w:t>十、其他需要说明的情况</w:t>
      </w:r>
    </w:p>
    <w:p>
      <w:pPr>
        <w:widowControl/>
        <w:kinsoku w:val="0"/>
        <w:wordWrap/>
        <w:autoSpaceDE w:val="0"/>
        <w:autoSpaceDN w:val="0"/>
        <w:adjustRightInd w:val="0"/>
        <w:snapToGrid w:val="0"/>
        <w:spacing w:after="0" w:line="560" w:lineRule="exact"/>
        <w:ind w:left="0" w:leftChars="0" w:right="0" w:firstLine="640" w:firstLineChars="200"/>
        <w:jc w:val="both"/>
        <w:outlineLvl w:val="9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无。</w:t>
      </w:r>
    </w:p>
    <w:p>
      <w:pPr>
        <w:spacing w:line="600" w:lineRule="exact"/>
        <w:ind w:firstLine="640" w:firstLineChars="200"/>
        <w:jc w:val="distribute"/>
        <w:rPr>
          <w:rFonts w:hint="eastAsia" w:eastAsia="仿宋_GB2312"/>
          <w:sz w:val="32"/>
          <w:szCs w:val="32"/>
          <w:lang w:eastAsia="zh-CN"/>
        </w:rPr>
      </w:pPr>
    </w:p>
    <w:p>
      <w:pPr>
        <w:spacing w:line="600" w:lineRule="exact"/>
        <w:jc w:val="both"/>
        <w:rPr>
          <w:rFonts w:hint="eastAsia" w:eastAsia="仿宋_GB2312"/>
          <w:sz w:val="32"/>
          <w:szCs w:val="32"/>
          <w:lang w:eastAsia="zh-CN"/>
        </w:rPr>
      </w:pP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报告需要以下附件：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1</w:t>
      </w:r>
      <w:r>
        <w:rPr>
          <w:rFonts w:hint="eastAsia" w:eastAsia="仿宋_GB2312"/>
          <w:sz w:val="32"/>
          <w:szCs w:val="32"/>
          <w:lang w:eastAsia="zh-CN"/>
        </w:rPr>
        <w:t>、部门整体支出绩效评价基础数据表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2</w:t>
      </w:r>
      <w:r>
        <w:rPr>
          <w:rFonts w:hint="eastAsia" w:eastAsia="仿宋_GB2312"/>
          <w:sz w:val="32"/>
          <w:szCs w:val="32"/>
          <w:lang w:eastAsia="zh-CN"/>
        </w:rPr>
        <w:t>、部门整体支出绩效自评表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3</w:t>
      </w:r>
      <w:r>
        <w:rPr>
          <w:rFonts w:hint="eastAsia" w:eastAsia="仿宋_GB2312"/>
          <w:sz w:val="32"/>
          <w:szCs w:val="32"/>
          <w:lang w:eastAsia="zh-CN"/>
        </w:rPr>
        <w:t>、项目支出绩效自评表（每个一级项目支出一张表）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4</w:t>
      </w:r>
      <w:r>
        <w:rPr>
          <w:rFonts w:hint="eastAsia" w:eastAsia="仿宋_GB2312"/>
          <w:sz w:val="32"/>
          <w:szCs w:val="32"/>
          <w:lang w:eastAsia="zh-CN"/>
        </w:rPr>
        <w:t>、政府性基金预算支出情况表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5</w:t>
      </w:r>
      <w:r>
        <w:rPr>
          <w:rFonts w:hint="eastAsia" w:eastAsia="仿宋_GB2312"/>
          <w:sz w:val="32"/>
          <w:szCs w:val="32"/>
          <w:lang w:eastAsia="zh-CN"/>
        </w:rPr>
        <w:t>、国有资本经营预算支出情况表</w:t>
      </w:r>
    </w:p>
    <w:p>
      <w:pPr>
        <w:spacing w:line="600" w:lineRule="exact"/>
        <w:ind w:firstLine="640" w:firstLineChars="20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sz w:val="32"/>
          <w:szCs w:val="32"/>
          <w:lang w:eastAsia="zh-CN"/>
        </w:rPr>
        <w:t>6</w:t>
      </w:r>
      <w:r>
        <w:rPr>
          <w:rFonts w:hint="eastAsia" w:eastAsia="仿宋_GB2312"/>
          <w:sz w:val="32"/>
          <w:szCs w:val="32"/>
          <w:lang w:eastAsia="zh-CN"/>
        </w:rPr>
        <w:t>、社会保险基金预算支出情况表</w:t>
      </w:r>
    </w:p>
    <w:p>
      <w:pPr>
        <w:spacing w:line="600" w:lineRule="exact"/>
        <w:jc w:val="both"/>
        <w:rPr>
          <w:rFonts w:eastAsia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560" w:lineRule="exact"/>
        <w:ind w:firstLine="896"/>
        <w:jc w:val="center"/>
        <w:rPr>
          <w:rFonts w:ascii="方正小标宋简体" w:hAnsi="宋体" w:eastAsia="方正小标宋简体" w:cs="宋体"/>
          <w:bCs/>
          <w:spacing w:val="8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pacing w:val="8"/>
          <w:sz w:val="44"/>
          <w:szCs w:val="44"/>
          <w:lang w:eastAsia="zh-CN"/>
        </w:rPr>
        <w:t>202</w:t>
      </w:r>
      <w:r>
        <w:rPr>
          <w:rFonts w:hint="eastAsia" w:ascii="方正小标宋简体" w:hAnsi="宋体" w:eastAsia="方正小标宋简体" w:cs="宋体"/>
          <w:bCs/>
          <w:spacing w:val="8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bCs/>
          <w:spacing w:val="8"/>
          <w:sz w:val="44"/>
          <w:szCs w:val="44"/>
          <w:lang w:eastAsia="zh-CN"/>
        </w:rPr>
        <w:t>年度部门整体支出绩效评价基础</w:t>
      </w:r>
    </w:p>
    <w:p>
      <w:pPr>
        <w:spacing w:line="560" w:lineRule="exact"/>
        <w:ind w:firstLine="896"/>
        <w:jc w:val="center"/>
        <w:rPr>
          <w:rFonts w:ascii="方正小标宋简体" w:hAnsi="宋体" w:eastAsia="方正小标宋简体" w:cs="宋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宋体"/>
          <w:bCs/>
          <w:spacing w:val="8"/>
          <w:sz w:val="44"/>
          <w:szCs w:val="44"/>
          <w:lang w:eastAsia="zh-CN"/>
        </w:rPr>
        <w:t>数据表</w:t>
      </w:r>
    </w:p>
    <w:p>
      <w:pPr>
        <w:spacing w:line="177" w:lineRule="exact"/>
        <w:ind w:firstLine="420"/>
        <w:rPr>
          <w:lang w:eastAsia="zh-CN"/>
        </w:rPr>
      </w:pPr>
    </w:p>
    <w:tbl>
      <w:tblPr>
        <w:tblW w:w="94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1"/>
        <w:gridCol w:w="1158"/>
        <w:gridCol w:w="958"/>
        <w:gridCol w:w="960"/>
        <w:gridCol w:w="1079"/>
        <w:gridCol w:w="1039"/>
        <w:gridCol w:w="94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271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财政供养人员情况</w:t>
            </w:r>
            <w:r>
              <w:rPr>
                <w:rFonts w:hint="eastAsia" w:ascii="仿宋_GB2312" w:eastAsia="仿宋_GB2312"/>
              </w:rPr>
              <w:t>(</w:t>
            </w:r>
            <w:r>
              <w:rPr>
                <w:rFonts w:hint="eastAsia" w:ascii="仿宋_GB2312" w:hAnsi="宋体" w:eastAsia="仿宋_GB2312" w:cs="宋体"/>
              </w:rPr>
              <w:t>人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编制数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</w:rPr>
              <w:t>年实际在职人数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630" w:firstLineChars="30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控制率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13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13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100%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经费控制情况</w:t>
            </w:r>
            <w:r>
              <w:rPr>
                <w:rFonts w:hint="eastAsia" w:ascii="仿宋_GB2312" w:eastAsia="仿宋_GB2312"/>
              </w:rPr>
              <w:t>(</w:t>
            </w:r>
            <w:r>
              <w:rPr>
                <w:rFonts w:hint="eastAsia" w:ascii="仿宋_GB2312" w:hAnsi="宋体" w:eastAsia="仿宋_GB2312" w:cs="宋体"/>
              </w:rPr>
              <w:t>万元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</w:rPr>
              <w:t>年决算数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</w:rPr>
              <w:t>年预算数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202</w:t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</w:rPr>
              <w:t>年决算数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三公经费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0.4864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0.3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、公务用车购置和维护经费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其中：公车购置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公车运行维护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  <w:r>
              <w:rPr>
                <w:rFonts w:hint="eastAsia" w:ascii="仿宋_GB2312" w:hAnsi="宋体" w:eastAsia="仿宋_GB2312" w:cs="宋体"/>
              </w:rPr>
              <w:t>、出国经费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</w:t>
            </w:r>
            <w:r>
              <w:rPr>
                <w:rFonts w:hint="eastAsia" w:ascii="仿宋_GB2312" w:hAnsi="宋体" w:eastAsia="仿宋_GB2312" w:cs="宋体"/>
              </w:rPr>
              <w:t>、公务接待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ind w:firstLine="42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0.4864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0.3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 w:firstLineChars="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项目支出：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ind w:firstLine="42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131.726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19.5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125.32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  <w:r>
              <w:rPr>
                <w:rFonts w:hint="eastAsia" w:ascii="仿宋_GB2312" w:hAnsi="宋体" w:eastAsia="仿宋_GB2312" w:cs="宋体"/>
              </w:rPr>
              <w:t>、业务工作经费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ind w:firstLine="420" w:firstLineChars="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131.726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19.5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125.32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</w:t>
            </w:r>
            <w:r>
              <w:rPr>
                <w:rFonts w:hint="eastAsia" w:ascii="仿宋_GB2312" w:hAnsi="宋体" w:eastAsia="仿宋_GB2312" w:cs="宋体"/>
              </w:rPr>
              <w:t>、运行维护经费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、县级专项资金</w:t>
            </w:r>
            <w:r>
              <w:rPr>
                <w:rFonts w:hint="eastAsia" w:ascii="仿宋_GB2312" w:eastAsia="仿宋_GB2312"/>
                <w:lang w:eastAsia="zh-CN"/>
              </w:rPr>
              <w:t>(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一个专项一行</w:t>
            </w:r>
            <w:r>
              <w:rPr>
                <w:rFonts w:hint="eastAsia" w:ascii="仿宋_GB2312" w:eastAsia="仿宋_GB2312"/>
                <w:lang w:eastAsia="zh-CN"/>
              </w:rPr>
              <w:t>)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公用经费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223.0878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24.36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219.45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其中：办公经费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17.78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4.2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11.2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水费、电费、差旅费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7.58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4.2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13.38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会议费、培训费</w:t>
            </w:r>
          </w:p>
        </w:tc>
        <w:tc>
          <w:tcPr>
            <w:tcW w:w="2116" w:type="dxa"/>
            <w:gridSpan w:val="2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0.9134</w:t>
            </w: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0.5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3.41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政府采购金额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3271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部门基本支出预算调整</w:t>
            </w:r>
          </w:p>
        </w:tc>
        <w:tc>
          <w:tcPr>
            <w:tcW w:w="2116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20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3271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楼堂馆所控制情况</w:t>
            </w:r>
          </w:p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(2023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年完工项目</w:t>
            </w:r>
            <w:r>
              <w:rPr>
                <w:rFonts w:hint="eastAsia" w:ascii="仿宋_GB2312" w:eastAsia="仿宋_GB2312"/>
                <w:lang w:eastAsia="zh-CN"/>
              </w:rPr>
              <w:t>)</w:t>
            </w:r>
          </w:p>
        </w:tc>
        <w:tc>
          <w:tcPr>
            <w:tcW w:w="1158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批复规模</w:t>
            </w:r>
            <w:r>
              <w:rPr>
                <w:rFonts w:hint="eastAsia" w:ascii="仿宋_GB2312" w:eastAsia="仿宋_GB2312"/>
              </w:rPr>
              <w:t xml:space="preserve"> (m</w:t>
            </w:r>
            <w:r>
              <w:rPr>
                <w:rFonts w:hint="eastAsia" w:eastAsia="仿宋_GB2312"/>
              </w:rPr>
              <w:t>²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958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实际规模</w:t>
            </w:r>
            <w:r>
              <w:rPr>
                <w:rFonts w:hint="eastAsia" w:ascii="仿宋_GB2312" w:eastAsia="仿宋_GB2312"/>
              </w:rPr>
              <w:t>(m</w:t>
            </w:r>
            <w:r>
              <w:rPr>
                <w:rFonts w:hint="eastAsia" w:eastAsia="仿宋_GB2312"/>
              </w:rPr>
              <w:t>²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960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规规模控制率</w:t>
            </w:r>
          </w:p>
        </w:tc>
        <w:tc>
          <w:tcPr>
            <w:tcW w:w="107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预算投资</w:t>
            </w:r>
          </w:p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</w:t>
            </w:r>
            <w:r>
              <w:rPr>
                <w:rFonts w:hint="eastAsia" w:ascii="仿宋_GB2312" w:hAnsi="宋体" w:eastAsia="仿宋_GB2312" w:cs="宋体"/>
              </w:rPr>
              <w:t>万元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103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实际投资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(</w:t>
            </w:r>
            <w:r>
              <w:rPr>
                <w:rFonts w:hint="eastAsia" w:ascii="仿宋_GB2312" w:hAnsi="宋体" w:eastAsia="仿宋_GB2312" w:cs="宋体"/>
              </w:rPr>
              <w:t>万元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944" w:type="dxa"/>
            <w:vAlign w:val="center"/>
          </w:tcPr>
          <w:p>
            <w:pPr>
              <w:ind w:firstLine="420"/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资概控</w:t>
            </w:r>
          </w:p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制率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271" w:type="dxa"/>
            <w:vMerge w:val="continue"/>
            <w:tcBorders>
              <w:top w:val="nil"/>
            </w:tcBorders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1158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958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960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1079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1039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  <w:tc>
          <w:tcPr>
            <w:tcW w:w="944" w:type="dxa"/>
            <w:vAlign w:val="top"/>
          </w:tcPr>
          <w:p>
            <w:pPr>
              <w:pStyle w:val="9"/>
              <w:ind w:firstLine="42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3271" w:type="dxa"/>
            <w:vAlign w:val="top"/>
          </w:tcPr>
          <w:p>
            <w:pPr>
              <w:spacing w:before="128" w:line="201" w:lineRule="auto"/>
              <w:ind w:firstLine="420"/>
              <w:jc w:val="center"/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ascii="仿宋_GB2312" w:hAnsi="宋体" w:eastAsia="仿宋_GB2312" w:cs="宋体"/>
                <w:lang w:eastAsia="zh-CN"/>
              </w:rPr>
              <w:t>厉行节约保障措施</w:t>
            </w:r>
          </w:p>
        </w:tc>
        <w:tc>
          <w:tcPr>
            <w:tcW w:w="6138" w:type="dxa"/>
            <w:gridSpan w:val="6"/>
            <w:vAlign w:val="top"/>
          </w:tcPr>
          <w:p>
            <w:pPr>
              <w:pStyle w:val="9"/>
              <w:ind w:firstLine="420"/>
              <w:jc w:val="both"/>
            </w:pPr>
            <w:r>
              <w:rPr>
                <w:rFonts w:hint="eastAsia" w:ascii="仿宋_GB2312" w:hAnsi="宋体" w:eastAsia="仿宋_GB2312" w:cs="宋体"/>
                <w:snapToGrid w:val="0"/>
                <w:color w:val="000000"/>
                <w:sz w:val="21"/>
                <w:szCs w:val="21"/>
                <w:lang w:val="en-US" w:eastAsia="zh-CN" w:bidi="ar-SA"/>
              </w:rPr>
              <w:t>严格落实中央八项规定和过“紧日子”相关要求，坚持勤俭节约、反对铺张浪费，细化预算，确保机关运转。</w:t>
            </w:r>
          </w:p>
        </w:tc>
      </w:tr>
    </w:tbl>
    <w:p>
      <w:pPr>
        <w:rPr>
          <w:rFonts w:ascii="仿宋_GB2312" w:eastAsia="仿宋_GB2312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说明：</w:t>
      </w:r>
      <w:r>
        <w:rPr>
          <w:rFonts w:hint="eastAsia" w:ascii="仿宋_GB2312" w:eastAsia="仿宋_GB2312"/>
          <w:sz w:val="24"/>
          <w:szCs w:val="24"/>
          <w:lang w:eastAsia="zh-CN"/>
        </w:rPr>
        <w:t>“</w:t>
      </w: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项目支出</w:t>
      </w:r>
      <w:r>
        <w:rPr>
          <w:rFonts w:hint="eastAsia" w:ascii="仿宋_GB2312" w:eastAsia="仿宋_GB2312"/>
          <w:sz w:val="24"/>
          <w:szCs w:val="24"/>
          <w:lang w:eastAsia="zh-CN"/>
        </w:rPr>
        <w:t>”</w:t>
      </w: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需要填报基本支出以外的所有项目支出情况，</w:t>
      </w:r>
      <w:r>
        <w:rPr>
          <w:rFonts w:hint="eastAsia" w:ascii="仿宋_GB2312" w:eastAsia="仿宋_GB2312"/>
          <w:sz w:val="24"/>
          <w:szCs w:val="24"/>
          <w:lang w:eastAsia="zh-CN"/>
        </w:rPr>
        <w:t>“</w:t>
      </w: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公用经费</w:t>
      </w:r>
      <w:r>
        <w:rPr>
          <w:rFonts w:hint="eastAsia" w:ascii="仿宋_GB2312" w:eastAsia="仿宋_GB2312"/>
          <w:sz w:val="24"/>
          <w:szCs w:val="24"/>
          <w:lang w:eastAsia="zh-CN"/>
        </w:rPr>
        <w:t>”</w:t>
      </w:r>
      <w:r>
        <w:rPr>
          <w:rFonts w:hint="eastAsia" w:ascii="仿宋_GB2312" w:hAnsi="宋体" w:eastAsia="仿宋_GB2312" w:cs="宋体"/>
          <w:sz w:val="24"/>
          <w:szCs w:val="24"/>
          <w:lang w:eastAsia="zh-CN"/>
        </w:rPr>
        <w:t>填报基本支出中的一般商品和服务支出。</w:t>
      </w:r>
    </w:p>
    <w:p>
      <w:pPr>
        <w:pStyle w:val="3"/>
        <w:spacing w:before="65" w:line="228" w:lineRule="auto"/>
        <w:ind w:firstLine="102" w:firstLineChars="49"/>
        <w:rPr>
          <w:rFonts w:ascii="仿宋_GB2312" w:hAnsi="宋体" w:eastAsia="仿宋_GB2312" w:cs="宋体"/>
          <w:sz w:val="21"/>
          <w:szCs w:val="21"/>
          <w:lang w:eastAsia="zh-CN"/>
        </w:rPr>
      </w:pPr>
      <w:r>
        <w:rPr>
          <w:rFonts w:ascii="仿宋_GB2312" w:hAnsi="宋体" w:eastAsia="仿宋_GB2312" w:cs="宋体"/>
          <w:sz w:val="21"/>
          <w:szCs w:val="21"/>
          <w:lang w:eastAsia="zh-CN"/>
        </w:rPr>
        <w:t>填表人：</w:t>
      </w:r>
      <w:r>
        <w:rPr>
          <w:rFonts w:hint="eastAsia" w:ascii="仿宋_GB2312" w:hAnsi="宋体" w:eastAsia="仿宋_GB2312" w:cs="宋体"/>
          <w:sz w:val="21"/>
          <w:szCs w:val="21"/>
          <w:lang w:eastAsia="zh-CN"/>
        </w:rPr>
        <w:t>张瑜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   填报日期：</w:t>
      </w:r>
      <w:r>
        <w:rPr>
          <w:rFonts w:hint="eastAsia" w:ascii="仿宋_GB2312" w:hAnsi="宋体" w:eastAsia="仿宋_GB2312" w:cs="宋体"/>
          <w:sz w:val="21"/>
          <w:szCs w:val="21"/>
          <w:lang w:val="en-US" w:eastAsia="zh-CN"/>
        </w:rPr>
        <w:t>2026.05</w:t>
      </w:r>
      <w:r>
        <w:rPr>
          <w:rFonts w:hint="eastAsia" w:ascii="仿宋_GB2312" w:hAnsi="宋体" w:eastAsia="仿宋_GB2312" w:cs="宋体"/>
          <w:sz w:val="21"/>
          <w:szCs w:val="21"/>
          <w:lang w:eastAsia="zh-CN"/>
        </w:rPr>
        <w:t xml:space="preserve">  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联系电话： </w:t>
      </w:r>
      <w:r>
        <w:rPr>
          <w:rFonts w:hint="eastAsia" w:ascii="仿宋_GB2312" w:hAnsi="宋体" w:eastAsia="仿宋_GB2312" w:cs="宋体"/>
          <w:sz w:val="21"/>
          <w:szCs w:val="21"/>
          <w:lang w:val="en-US" w:eastAsia="zh-CN"/>
        </w:rPr>
        <w:t>13638409592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   单位负责人签字：</w:t>
      </w:r>
    </w:p>
    <w:p>
      <w:pPr>
        <w:spacing w:line="228" w:lineRule="auto"/>
        <w:ind w:firstLine="400"/>
        <w:rPr>
          <w:rFonts w:eastAsia="宋体"/>
          <w:sz w:val="20"/>
          <w:szCs w:val="20"/>
          <w:lang w:eastAsia="zh-CN"/>
        </w:rPr>
        <w:sectPr>
          <w:footerReference r:id="rId10" w:type="first"/>
          <w:footerReference r:id="rId8" w:type="default"/>
          <w:footerReference r:id="rId9" w:type="even"/>
          <w:pgSz w:w="11907" w:h="16839"/>
          <w:pgMar w:top="2098" w:right="1474" w:bottom="1985" w:left="1588" w:header="0" w:footer="1588" w:gutter="0"/>
          <w:pgNumType w:fmt="numberInDash" w:start="1"/>
          <w:cols w:space="720" w:num="1"/>
          <w:titlePg/>
          <w:docGrid w:linePitch="286" w:charSpace="0"/>
        </w:sectPr>
      </w:pPr>
    </w:p>
    <w:p>
      <w:pPr>
        <w:spacing w:before="117" w:line="219" w:lineRule="auto"/>
        <w:ind w:firstLine="896"/>
        <w:jc w:val="center"/>
        <w:rPr>
          <w:rFonts w:ascii="方正小标宋简体" w:hAnsi="宋体" w:eastAsia="方正小标宋简体" w:cs="宋体"/>
          <w:bCs/>
          <w:spacing w:val="8"/>
          <w:sz w:val="44"/>
          <w:szCs w:val="44"/>
          <w:lang w:eastAsia="zh-CN"/>
        </w:rPr>
      </w:pPr>
      <w:r>
        <w:rPr>
          <w:rFonts w:ascii="方正小标宋简体" w:hAnsi="宋体" w:eastAsia="方正小标宋简体" w:cs="宋体"/>
          <w:bCs/>
          <w:spacing w:val="8"/>
          <w:sz w:val="44"/>
          <w:szCs w:val="44"/>
          <w:lang w:eastAsia="zh-CN"/>
        </w:rPr>
        <w:t>202</w:t>
      </w:r>
      <w:r>
        <w:rPr>
          <w:rFonts w:hint="eastAsia" w:ascii="方正小标宋简体" w:hAnsi="宋体" w:eastAsia="方正小标宋简体" w:cs="宋体"/>
          <w:bCs/>
          <w:spacing w:val="8"/>
          <w:sz w:val="44"/>
          <w:szCs w:val="44"/>
          <w:lang w:val="en-US" w:eastAsia="zh-CN"/>
        </w:rPr>
        <w:t>5</w:t>
      </w:r>
      <w:r>
        <w:rPr>
          <w:rFonts w:ascii="方正小标宋简体" w:hAnsi="宋体" w:eastAsia="方正小标宋简体" w:cs="宋体"/>
          <w:bCs/>
          <w:spacing w:val="8"/>
          <w:sz w:val="44"/>
          <w:szCs w:val="44"/>
          <w:lang w:eastAsia="zh-CN"/>
        </w:rPr>
        <w:t>年度部门整体支出绩效自评表</w:t>
      </w:r>
    </w:p>
    <w:p>
      <w:pPr>
        <w:spacing w:line="237" w:lineRule="exact"/>
        <w:ind w:firstLine="420"/>
        <w:rPr>
          <w:lang w:eastAsia="zh-CN"/>
        </w:rPr>
      </w:pPr>
    </w:p>
    <w:tbl>
      <w:tblPr>
        <w:tblW w:w="9979" w:type="dxa"/>
        <w:tblInd w:w="-7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4"/>
        <w:gridCol w:w="1069"/>
        <w:gridCol w:w="1029"/>
        <w:gridCol w:w="1249"/>
        <w:gridCol w:w="1298"/>
        <w:gridCol w:w="1269"/>
        <w:gridCol w:w="699"/>
        <w:gridCol w:w="869"/>
        <w:gridCol w:w="14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074" w:type="dxa"/>
            <w:vAlign w:val="center"/>
          </w:tcPr>
          <w:p>
            <w:pPr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预算部门</w:t>
            </w:r>
          </w:p>
          <w:p>
            <w:pPr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名称</w:t>
            </w:r>
          </w:p>
        </w:tc>
        <w:tc>
          <w:tcPr>
            <w:tcW w:w="8905" w:type="dxa"/>
            <w:gridSpan w:val="8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岳阳县信访局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  <w:p>
            <w:pPr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年度预算申请</w:t>
            </w:r>
            <w:r>
              <w:rPr>
                <w:rFonts w:hint="eastAsia" w:ascii="仿宋_GB2312" w:eastAsia="仿宋_GB2312"/>
              </w:rPr>
              <w:t>(</w:t>
            </w:r>
            <w:r>
              <w:rPr>
                <w:rFonts w:hint="eastAsia" w:ascii="仿宋_GB2312" w:hAnsi="宋体" w:eastAsia="仿宋_GB2312" w:cs="宋体"/>
              </w:rPr>
              <w:t>万元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2098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年初预算数</w:t>
            </w: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全年预算数</w:t>
            </w: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全年执行数</w:t>
            </w: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分值</w:t>
            </w: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执行率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得分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098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年度资金总额</w:t>
            </w:r>
          </w:p>
        </w:tc>
        <w:tc>
          <w:tcPr>
            <w:tcW w:w="124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175.17</w:t>
            </w:r>
          </w:p>
        </w:tc>
        <w:tc>
          <w:tcPr>
            <w:tcW w:w="129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434.88</w:t>
            </w:r>
          </w:p>
        </w:tc>
        <w:tc>
          <w:tcPr>
            <w:tcW w:w="12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433.6</w:t>
            </w:r>
          </w:p>
        </w:tc>
        <w:tc>
          <w:tcPr>
            <w:tcW w:w="69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9.7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%</w:t>
            </w:r>
          </w:p>
        </w:tc>
        <w:tc>
          <w:tcPr>
            <w:tcW w:w="14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按收入性质分：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按支出性质分：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其中：一般公共预算：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420.38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/>
              </w:rPr>
            </w:pPr>
            <w:r>
              <w:rPr>
                <w:rFonts w:hint="eastAsia" w:ascii="仿宋_GB2312" w:hAnsi="宋体" w:eastAsia="仿宋_GB2312" w:cs="宋体"/>
              </w:rPr>
              <w:t>其中：基本支出：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195.52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政府性基金拨款：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3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/>
              </w:rPr>
            </w:pPr>
            <w:r>
              <w:rPr>
                <w:rFonts w:hint="eastAsia" w:ascii="仿宋_GB2312" w:hAnsi="宋体" w:eastAsia="仿宋_GB2312" w:cs="宋体"/>
              </w:rPr>
              <w:t>项目支出：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238.08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纳入专户管理的非税收入拨款：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0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hint="default" w:ascii="仿宋_GB2312" w:eastAsia="仿宋_GB2312"/>
                <w:lang w:val="en-US"/>
              </w:rPr>
            </w:pPr>
            <w:r>
              <w:rPr>
                <w:rFonts w:hint="eastAsia" w:ascii="仿宋_GB2312" w:hAnsi="宋体" w:eastAsia="仿宋_GB2312" w:cs="宋体"/>
              </w:rPr>
              <w:t>其他资金：</w:t>
            </w:r>
            <w:r>
              <w:rPr>
                <w:rFonts w:hint="eastAsia" w:ascii="仿宋_GB2312" w:hAnsi="宋体" w:eastAsia="仿宋_GB2312" w:cs="宋体"/>
                <w:lang w:val="en-US" w:eastAsia="zh-CN"/>
              </w:rPr>
              <w:t>11.5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074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年度总体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</w:rPr>
              <w:t>目标</w:t>
            </w:r>
          </w:p>
        </w:tc>
        <w:tc>
          <w:tcPr>
            <w:tcW w:w="4645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预期目标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实际完成情况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4645" w:type="dxa"/>
            <w:gridSpan w:val="4"/>
            <w:vAlign w:val="center"/>
          </w:tcPr>
          <w:p>
            <w:pPr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目标1：全年预算申请到位和下达数量在95%以上，三公经费变动率≤0；</w:t>
            </w:r>
          </w:p>
          <w:p>
            <w:pPr>
              <w:jc w:val="both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目标2：社会效益、经济效益、生态效益、可持续影响和社会公众满意度达到预期目标。</w:t>
            </w:r>
          </w:p>
        </w:tc>
        <w:tc>
          <w:tcPr>
            <w:tcW w:w="4260" w:type="dxa"/>
            <w:gridSpan w:val="4"/>
            <w:vAlign w:val="center"/>
          </w:tcPr>
          <w:p>
            <w:pPr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1：全年预算申请到位和下达数量在95%以上，三公经费变动率≤0；</w:t>
            </w:r>
          </w:p>
          <w:p>
            <w:pPr>
              <w:jc w:val="both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2：社会效益、经济效益、生态效益、可持续影响和社会公众满意度达到预期目标。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074" w:type="dxa"/>
            <w:vMerge w:val="restart"/>
            <w:tcBorders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绩效指标</w:t>
            </w:r>
          </w:p>
        </w:tc>
        <w:tc>
          <w:tcPr>
            <w:tcW w:w="1069" w:type="dxa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一级指标</w:t>
            </w:r>
          </w:p>
        </w:tc>
        <w:tc>
          <w:tcPr>
            <w:tcW w:w="102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二级指标</w:t>
            </w:r>
          </w:p>
        </w:tc>
        <w:tc>
          <w:tcPr>
            <w:tcW w:w="124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三级指标</w:t>
            </w:r>
          </w:p>
        </w:tc>
        <w:tc>
          <w:tcPr>
            <w:tcW w:w="1298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年度指标值</w:t>
            </w:r>
          </w:p>
        </w:tc>
        <w:tc>
          <w:tcPr>
            <w:tcW w:w="126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实际完成值</w:t>
            </w:r>
          </w:p>
        </w:tc>
        <w:tc>
          <w:tcPr>
            <w:tcW w:w="69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分值</w:t>
            </w:r>
          </w:p>
        </w:tc>
        <w:tc>
          <w:tcPr>
            <w:tcW w:w="869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得分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偏差原因分析及改进措施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06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产出指标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(50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数量指标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信访工作联席会议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≥5次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组织召开信访工作联席会议不低于5次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诉签订息息访协议书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≥30份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签订息诉息访协议书达到30份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信访劝返人次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≥100人次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信访劝返人次达到100人次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信访接待群众人数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00人次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信访接待群众达到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00人次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质量指标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接访件交办率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=100%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100%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劝返成功率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≥80%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≥80%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时效指标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访求件答复及时率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=100%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=100%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6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成本指标</w:t>
            </w: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效益指标</w:t>
            </w:r>
            <w:r>
              <w:rPr>
                <w:rFonts w:hint="eastAsia" w:ascii="仿宋_GB2312" w:eastAsia="仿宋_GB2312"/>
              </w:rPr>
              <w:t>(30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经济效益指标</w:t>
            </w: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社会效益指标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接访事件升级概率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定性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降低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信访积案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定性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减少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生态效益指标</w:t>
            </w: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可持续影响指标</w:t>
            </w: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满意度指标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(10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1029" w:type="dxa"/>
            <w:vMerge w:val="restart"/>
            <w:tcBorders>
              <w:bottom w:val="nil"/>
            </w:tcBorders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服务对象满意度指标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信访群众满意度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≥95%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信访群众满意度≥95%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9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07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6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29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4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98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869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074" w:type="dxa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eastAsia="zh-CN"/>
              </w:rPr>
            </w:pPr>
          </w:p>
        </w:tc>
        <w:tc>
          <w:tcPr>
            <w:tcW w:w="1069" w:type="dxa"/>
            <w:vAlign w:val="center"/>
          </w:tcPr>
          <w:p>
            <w:pPr>
              <w:ind w:firstLine="42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成本指标</w:t>
            </w:r>
          </w:p>
        </w:tc>
        <w:tc>
          <w:tcPr>
            <w:tcW w:w="102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default" w:ascii="仿宋_GB2312" w:hAnsi="宋体" w:eastAsia="仿宋_GB2312" w:cs="宋体"/>
                <w:lang w:eastAsia="zh-CN"/>
              </w:rPr>
              <w:t>经济成本指标</w:t>
            </w:r>
          </w:p>
        </w:tc>
        <w:tc>
          <w:tcPr>
            <w:tcW w:w="124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default" w:ascii="仿宋" w:hAnsi="宋体"/>
                <w:b w:val="0"/>
                <w:i w:val="0"/>
                <w:color w:val="000000"/>
                <w:sz w:val="20"/>
                <w:u w:val="none"/>
              </w:rPr>
              <w:t>预算控制数</w:t>
            </w:r>
          </w:p>
        </w:tc>
        <w:tc>
          <w:tcPr>
            <w:tcW w:w="1298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val="en-US" w:eastAsia="zh-CN"/>
              </w:rPr>
              <w:t>175.17389</w:t>
            </w:r>
          </w:p>
        </w:tc>
        <w:tc>
          <w:tcPr>
            <w:tcW w:w="126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</w:t>
            </w:r>
            <w:r>
              <w:rPr>
                <w:rFonts w:hint="eastAsia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val="en-US" w:eastAsia="zh-CN"/>
              </w:rPr>
              <w:t>75.17389</w:t>
            </w:r>
          </w:p>
        </w:tc>
        <w:tc>
          <w:tcPr>
            <w:tcW w:w="699" w:type="dxa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86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仿宋_GB2312" w:eastAsia="仿宋_GB2312"/>
              </w:rPr>
            </w:pPr>
            <w:r>
              <w:rPr>
                <w:rFonts w:hint="default" w:ascii="仿宋_GB2312" w:hAnsi="仿宋_GB2312" w:eastAsia="仿宋_GB2312"/>
                <w:b w:val="0"/>
                <w:i w:val="0"/>
                <w:color w:val="000000"/>
                <w:sz w:val="20"/>
                <w:u w:val="none"/>
                <w:lang w:eastAsia="zh-CN"/>
              </w:rPr>
              <w:t>10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6988" w:type="dxa"/>
            <w:gridSpan w:val="6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总分</w:t>
            </w:r>
          </w:p>
        </w:tc>
        <w:tc>
          <w:tcPr>
            <w:tcW w:w="699" w:type="dxa"/>
            <w:vAlign w:val="center"/>
          </w:tcPr>
          <w:p>
            <w:pPr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100</w:t>
            </w:r>
          </w:p>
        </w:tc>
        <w:tc>
          <w:tcPr>
            <w:tcW w:w="869" w:type="dxa"/>
            <w:vAlign w:val="center"/>
          </w:tcPr>
          <w:p>
            <w:pPr>
              <w:jc w:val="both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98.97</w:t>
            </w:r>
          </w:p>
        </w:tc>
        <w:tc>
          <w:tcPr>
            <w:tcW w:w="1423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</w:tbl>
    <w:p>
      <w:pPr>
        <w:pStyle w:val="3"/>
        <w:spacing w:before="65" w:line="228" w:lineRule="auto"/>
        <w:rPr>
          <w:rFonts w:ascii="仿宋_GB2312" w:hAnsi="宋体" w:eastAsia="仿宋_GB2312" w:cs="宋体"/>
          <w:sz w:val="21"/>
          <w:szCs w:val="21"/>
          <w:lang w:eastAsia="zh-CN"/>
        </w:rPr>
      </w:pPr>
      <w:r>
        <w:rPr>
          <w:rFonts w:ascii="仿宋_GB2312" w:hAnsi="宋体" w:eastAsia="仿宋_GB2312" w:cs="宋体"/>
          <w:sz w:val="21"/>
          <w:szCs w:val="21"/>
          <w:lang w:eastAsia="zh-CN"/>
        </w:rPr>
        <w:t>填表人：</w:t>
      </w:r>
      <w:r>
        <w:rPr>
          <w:rFonts w:hint="eastAsia" w:ascii="仿宋_GB2312" w:hAnsi="宋体" w:eastAsia="仿宋_GB2312" w:cs="宋体"/>
          <w:sz w:val="21"/>
          <w:szCs w:val="21"/>
          <w:lang w:eastAsia="zh-CN"/>
        </w:rPr>
        <w:t>张瑜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   填报日期：</w:t>
      </w:r>
      <w:r>
        <w:rPr>
          <w:rFonts w:hint="eastAsia" w:ascii="仿宋_GB2312" w:hAnsi="宋体" w:eastAsia="仿宋_GB2312" w:cs="宋体"/>
          <w:sz w:val="21"/>
          <w:szCs w:val="21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宋体" w:eastAsia="仿宋_GB2312" w:cs="宋体"/>
          <w:sz w:val="21"/>
          <w:szCs w:val="21"/>
          <w:lang w:val="en-US" w:eastAsia="zh-CN"/>
        </w:rPr>
        <w:t>.05</w:t>
      </w:r>
      <w:r>
        <w:rPr>
          <w:rFonts w:hint="eastAsia" w:ascii="仿宋_GB2312" w:hAnsi="宋体" w:eastAsia="仿宋_GB2312" w:cs="宋体"/>
          <w:sz w:val="21"/>
          <w:szCs w:val="21"/>
          <w:lang w:eastAsia="zh-CN"/>
        </w:rPr>
        <w:t xml:space="preserve">  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联系电话： </w:t>
      </w:r>
      <w:r>
        <w:rPr>
          <w:rFonts w:hint="eastAsia" w:ascii="仿宋_GB2312" w:hAnsi="宋体" w:eastAsia="仿宋_GB2312" w:cs="宋体"/>
          <w:sz w:val="21"/>
          <w:szCs w:val="21"/>
          <w:lang w:val="en-US" w:eastAsia="zh-CN"/>
        </w:rPr>
        <w:t>13638409592</w:t>
      </w:r>
      <w:r>
        <w:rPr>
          <w:rFonts w:ascii="仿宋_GB2312" w:hAnsi="宋体" w:eastAsia="仿宋_GB2312" w:cs="宋体"/>
          <w:sz w:val="21"/>
          <w:szCs w:val="21"/>
          <w:lang w:eastAsia="zh-CN"/>
        </w:rPr>
        <w:t xml:space="preserve">   单位负责人签字：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before="114" w:line="219" w:lineRule="auto"/>
        <w:ind w:firstLine="857"/>
        <w:jc w:val="center"/>
        <w:rPr>
          <w:rFonts w:ascii="宋体" w:hAnsi="宋体" w:eastAsia="宋体" w:cs="宋体"/>
          <w:sz w:val="44"/>
          <w:szCs w:val="44"/>
          <w:lang w:eastAsia="zh-CN"/>
        </w:rPr>
      </w:pPr>
      <w:r>
        <w:rPr>
          <w:rFonts w:ascii="宋体" w:hAnsi="宋体" w:eastAsia="宋体" w:cs="宋体"/>
          <w:b/>
          <w:bCs/>
          <w:spacing w:val="-13"/>
          <w:sz w:val="44"/>
          <w:szCs w:val="44"/>
          <w:lang w:eastAsia="zh-CN"/>
        </w:rPr>
        <w:t>部门整体支出绩效自评工作考核评分表</w:t>
      </w:r>
    </w:p>
    <w:p>
      <w:pPr>
        <w:spacing w:line="220" w:lineRule="exact"/>
        <w:ind w:firstLine="420"/>
        <w:rPr>
          <w:lang w:eastAsia="zh-CN"/>
        </w:rPr>
      </w:pPr>
    </w:p>
    <w:tbl>
      <w:tblPr>
        <w:tblW w:w="9842" w:type="dxa"/>
        <w:tblInd w:w="-59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1157"/>
        <w:gridCol w:w="4957"/>
        <w:gridCol w:w="29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</w:trPr>
        <w:tc>
          <w:tcPr>
            <w:tcW w:w="746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一级</w:t>
            </w:r>
          </w:p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指标</w:t>
            </w:r>
          </w:p>
        </w:tc>
        <w:tc>
          <w:tcPr>
            <w:tcW w:w="1157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二级指标</w:t>
            </w:r>
          </w:p>
        </w:tc>
        <w:tc>
          <w:tcPr>
            <w:tcW w:w="4957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评分标准</w:t>
            </w:r>
          </w:p>
        </w:tc>
        <w:tc>
          <w:tcPr>
            <w:tcW w:w="2982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所需佐证材料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  <w:p>
            <w:pPr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布置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工作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</w:t>
            </w:r>
            <w:r>
              <w:rPr>
                <w:rFonts w:hint="eastAsia" w:ascii="仿宋_GB2312" w:hAnsi="宋体" w:eastAsia="仿宋_GB2312" w:cs="宋体"/>
              </w:rPr>
              <w:t>分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自评通知</w:t>
            </w:r>
            <w:r>
              <w:rPr>
                <w:rFonts w:hint="eastAsia" w:ascii="仿宋_GB2312" w:eastAsia="仿宋_GB2312"/>
              </w:rPr>
              <w:t>(8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4957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印发绩效自评通知的得</w:t>
            </w: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分，否则不得分</w:t>
            </w: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按照本规程规定，绩效自评通知包括自评范围、自评主要依据、自评主要内容、自评程序和步骤、有关要求等内容，并附有本通知要求的附件的，得</w:t>
            </w:r>
            <w:r>
              <w:rPr>
                <w:rFonts w:hint="eastAsia" w:ascii="仿宋_GB2312" w:eastAsia="仿宋_GB2312"/>
                <w:lang w:eastAsia="zh-CN"/>
              </w:rPr>
              <w:t>6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分；否则缺</w:t>
            </w: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项扣</w:t>
            </w: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分，最多扣</w:t>
            </w:r>
            <w:r>
              <w:rPr>
                <w:rFonts w:hint="eastAsia" w:ascii="仿宋_GB2312" w:eastAsia="仿宋_GB2312"/>
                <w:lang w:eastAsia="zh-CN"/>
              </w:rPr>
              <w:t>6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分。</w:t>
            </w:r>
          </w:p>
        </w:tc>
        <w:tc>
          <w:tcPr>
            <w:tcW w:w="2982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绩效自评通知盖章的电子版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工作小组</w:t>
            </w:r>
            <w:r>
              <w:rPr>
                <w:rFonts w:hint="eastAsia" w:ascii="仿宋_GB2312" w:eastAsia="仿宋_GB2312"/>
              </w:rPr>
              <w:t>(2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4957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成立绩效自评工作小组的得</w:t>
            </w: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分，否则不得分</w:t>
            </w:r>
          </w:p>
        </w:tc>
        <w:tc>
          <w:tcPr>
            <w:tcW w:w="2982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本部门、本单位预算绩效管理领导小组</w:t>
            </w:r>
            <w:r>
              <w:rPr>
                <w:rFonts w:hint="eastAsia" w:ascii="仿宋_GB2312" w:eastAsia="仿宋_GB2312"/>
                <w:lang w:eastAsia="zh-CN"/>
              </w:rPr>
              <w:t>/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绩效评价工作小组有关文件盖章的电子版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实施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评价</w:t>
            </w:r>
          </w:p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20</w:t>
            </w:r>
            <w:r>
              <w:rPr>
                <w:rFonts w:hint="eastAsia" w:ascii="仿宋_GB2312" w:hAnsi="宋体" w:eastAsia="仿宋_GB2312" w:cs="宋体"/>
              </w:rPr>
              <w:t>分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单位自查</w:t>
            </w:r>
          </w:p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(10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4957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县级预算部门本级和所属单位都要开展绩效自查，转移支付项目单位都要开展绩效自查，各乡镇及办事处都要汇总本区域转移支付情况；以上各项每发现一个单位没有做相应工作的，扣</w:t>
            </w: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分，最多扣</w:t>
            </w:r>
            <w:r>
              <w:rPr>
                <w:rFonts w:hint="eastAsia" w:ascii="仿宋_GB2312" w:eastAsia="仿宋_GB2312"/>
                <w:lang w:eastAsia="zh-CN"/>
              </w:rPr>
              <w:t>10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分。</w:t>
            </w:r>
          </w:p>
        </w:tc>
        <w:tc>
          <w:tcPr>
            <w:tcW w:w="2982" w:type="dxa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、转移支付项目单位名称和资金情况清单</w:t>
            </w: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、有转移支付资金的部门汇总情况的盖章</w:t>
            </w:r>
            <w:r>
              <w:rPr>
                <w:rFonts w:hint="eastAsia" w:ascii="仿宋_GB2312" w:eastAsia="仿宋_GB2312"/>
                <w:lang w:eastAsia="zh-CN"/>
              </w:rPr>
              <w:t>PDF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提交报告</w:t>
            </w:r>
          </w:p>
          <w:p>
            <w:pPr>
              <w:ind w:firstLine="42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(10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按时向县财政局报送报告的得</w:t>
            </w:r>
            <w:r>
              <w:rPr>
                <w:rFonts w:hint="eastAsia" w:ascii="仿宋_GB2312" w:eastAsia="仿宋_GB2312"/>
                <w:lang w:eastAsia="zh-CN"/>
              </w:rPr>
              <w:t>10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分；每推迟一个工作日报送报告的扣</w:t>
            </w: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分，最多扣</w:t>
            </w:r>
            <w:r>
              <w:rPr>
                <w:rFonts w:hint="eastAsia" w:ascii="仿宋_GB2312" w:eastAsia="仿宋_GB2312"/>
                <w:lang w:eastAsia="zh-CN"/>
              </w:rPr>
              <w:t>10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</w:trPr>
        <w:tc>
          <w:tcPr>
            <w:tcW w:w="746" w:type="dxa"/>
            <w:vMerge w:val="restart"/>
            <w:tcBorders>
              <w:bottom w:val="nil"/>
            </w:tcBorders>
            <w:vAlign w:val="center"/>
          </w:tcPr>
          <w:p>
            <w:pPr>
              <w:ind w:firstLine="420"/>
              <w:rPr>
                <w:rFonts w:ascii="仿宋_GB2312" w:eastAsia="仿宋_GB2312"/>
                <w:lang w:eastAsia="zh-CN"/>
              </w:rPr>
            </w:pP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自评</w:t>
            </w: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报告</w:t>
            </w:r>
          </w:p>
          <w:p>
            <w:pPr>
              <w:ind w:firstLine="420"/>
              <w:rPr>
                <w:rFonts w:ascii="仿宋_GB2312" w:eastAsia="仿宋_GB2312"/>
                <w:lang w:eastAsia="zh-CN"/>
              </w:rPr>
            </w:pPr>
          </w:p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70</w:t>
            </w:r>
            <w:r>
              <w:rPr>
                <w:rFonts w:hint="eastAsia" w:ascii="仿宋_GB2312" w:hAnsi="宋体" w:eastAsia="仿宋_GB2312" w:cs="宋体"/>
              </w:rPr>
              <w:t>分</w:t>
            </w: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lang w:eastAsia="zh-CN"/>
              </w:rPr>
            </w:pPr>
            <w:r>
              <w:rPr>
                <w:rFonts w:hint="eastAsia" w:ascii="仿宋_GB2312" w:hAnsi="宋体" w:eastAsia="仿宋_GB2312" w:cs="宋体"/>
              </w:rPr>
              <w:t>完整性</w:t>
            </w: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(15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绩效自评报告正文部分内容齐全的，得</w:t>
            </w:r>
            <w:r>
              <w:rPr>
                <w:rFonts w:hint="eastAsia" w:ascii="仿宋_GB2312" w:eastAsia="仿宋_GB2312"/>
                <w:lang w:eastAsia="zh-CN"/>
              </w:rPr>
              <w:t>8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分；否则每少一个部分扣</w:t>
            </w: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分，最多扣</w:t>
            </w:r>
            <w:r>
              <w:rPr>
                <w:rFonts w:hint="eastAsia" w:ascii="仿宋_GB2312" w:eastAsia="仿宋_GB2312"/>
                <w:lang w:eastAsia="zh-CN"/>
              </w:rPr>
              <w:t>8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</w:t>
            </w:r>
            <w:r>
              <w:rPr>
                <w:rFonts w:hint="eastAsia" w:ascii="仿宋_GB2312" w:eastAsia="仿宋_GB2312"/>
                <w:lang w:eastAsia="zh-CN"/>
              </w:rPr>
              <w:t xml:space="preserve"> 2.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绩效自评报告附件部分内容齐全的，得</w:t>
            </w:r>
            <w:r>
              <w:rPr>
                <w:rFonts w:hint="eastAsia" w:ascii="仿宋_GB2312" w:eastAsia="仿宋_GB2312"/>
                <w:lang w:eastAsia="zh-CN"/>
              </w:rPr>
              <w:t>7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分；否则每少一个部分扣</w:t>
            </w: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分，最多扣</w:t>
            </w:r>
            <w:r>
              <w:rPr>
                <w:rFonts w:hint="eastAsia" w:ascii="仿宋_GB2312" w:eastAsia="仿宋_GB2312"/>
                <w:lang w:eastAsia="zh-CN"/>
              </w:rPr>
              <w:t>7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74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绩效自评表</w:t>
            </w:r>
            <w:r>
              <w:rPr>
                <w:rFonts w:hint="eastAsia" w:ascii="仿宋_GB2312" w:eastAsia="仿宋_GB2312"/>
              </w:rPr>
              <w:t>(20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、部门整体支出和项目支出绩效指标反映产出、效益、服务对象满意度方面的指标和预算执行率的权重符合《岳阳县县级预算部门绩效自评操作规程》要求的，得</w:t>
            </w:r>
            <w:r>
              <w:rPr>
                <w:rFonts w:hint="eastAsia" w:ascii="仿宋_GB2312" w:eastAsia="仿宋_GB2312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分，否则按比例扣除相应的分数。</w:t>
            </w: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2.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部门整体支出和项目支出绩效指标全部细化到三级指标的，得</w:t>
            </w:r>
            <w:r>
              <w:rPr>
                <w:rFonts w:hint="eastAsia" w:ascii="仿宋_GB2312" w:eastAsia="仿宋_GB2312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分；部分细化的，酌情扣分；没有细化的，不得分。</w:t>
            </w:r>
          </w:p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3.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部门整体支出和项目支出三级绩效指标内涵明确、具体、可衡量的得</w:t>
            </w:r>
            <w:r>
              <w:rPr>
                <w:rFonts w:hint="eastAsia" w:ascii="仿宋_GB2312" w:eastAsia="仿宋_GB2312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分；突出核心指标，精简实用的得</w:t>
            </w:r>
            <w:r>
              <w:rPr>
                <w:rFonts w:hint="eastAsia" w:ascii="仿宋_GB2312" w:eastAsia="仿宋_GB2312"/>
                <w:lang w:eastAsia="zh-CN"/>
              </w:rPr>
              <w:t>3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分；指标与部门整体支出和项目支出密切相关，全面反映产出和效益的得</w:t>
            </w:r>
            <w:r>
              <w:rPr>
                <w:rFonts w:hint="eastAsia" w:ascii="仿宋_GB2312" w:eastAsia="仿宋_GB2312"/>
                <w:lang w:eastAsia="zh-CN"/>
              </w:rPr>
              <w:t>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分；否则，每项酌情扣分，最多扣</w:t>
            </w:r>
            <w:r>
              <w:rPr>
                <w:rFonts w:hint="eastAsia" w:ascii="仿宋_GB2312" w:eastAsia="仿宋_GB2312"/>
                <w:lang w:eastAsia="zh-CN"/>
              </w:rPr>
              <w:t>10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746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反映问题情况</w:t>
            </w:r>
            <w:r>
              <w:rPr>
                <w:rFonts w:hint="eastAsia" w:ascii="仿宋_GB2312" w:eastAsia="仿宋_GB2312"/>
              </w:rPr>
              <w:t>(20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从预算和预算绩效管理，部门履职效能，资金分配、使用和管理，资产和财务管理，政府采购等方面归纳问题、分析原因全面的，得</w:t>
            </w:r>
            <w:r>
              <w:rPr>
                <w:rFonts w:hint="eastAsia" w:ascii="仿宋_GB2312" w:eastAsia="仿宋_GB2312"/>
                <w:lang w:eastAsia="zh-CN"/>
              </w:rPr>
              <w:t>20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分；反映问题、分析原因较全面的，得</w:t>
            </w:r>
            <w:r>
              <w:rPr>
                <w:rFonts w:hint="eastAsia" w:ascii="仿宋_GB2312" w:eastAsia="仿宋_GB2312"/>
                <w:lang w:eastAsia="zh-CN"/>
              </w:rPr>
              <w:t xml:space="preserve">16—18 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分；反映问题、分析原因不全面的，得</w:t>
            </w:r>
            <w:r>
              <w:rPr>
                <w:rFonts w:hint="eastAsia" w:ascii="仿宋_GB2312" w:eastAsia="仿宋_GB2312"/>
                <w:lang w:eastAsia="zh-CN"/>
              </w:rPr>
              <w:t>13—15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分；问题未归纳且过于简单的，得</w:t>
            </w:r>
            <w:r>
              <w:rPr>
                <w:rFonts w:hint="eastAsia" w:ascii="仿宋_GB2312" w:eastAsia="仿宋_GB2312"/>
                <w:lang w:eastAsia="zh-CN"/>
              </w:rPr>
              <w:t>10-12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分；只提出资金不足问题的不得分；其他情况酌情扣分。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746" w:type="dxa"/>
            <w:vMerge w:val="continue"/>
            <w:tcBorders>
              <w:top w:val="nil"/>
            </w:tcBorders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  <w:lang w:eastAsia="zh-CN"/>
              </w:rPr>
            </w:pPr>
          </w:p>
        </w:tc>
        <w:tc>
          <w:tcPr>
            <w:tcW w:w="1157" w:type="dxa"/>
            <w:vAlign w:val="center"/>
          </w:tcPr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建议情况</w:t>
            </w:r>
          </w:p>
          <w:p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(15</w:t>
            </w:r>
            <w:r>
              <w:rPr>
                <w:rFonts w:hint="eastAsia" w:ascii="仿宋_GB2312" w:hAnsi="宋体" w:eastAsia="仿宋_GB2312" w:cs="宋体"/>
              </w:rPr>
              <w:t>分</w:t>
            </w:r>
            <w:r>
              <w:rPr>
                <w:rFonts w:hint="eastAsia" w:ascii="仿宋_GB2312" w:eastAsia="仿宋_GB2312"/>
              </w:rPr>
              <w:t>)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both"/>
              <w:rPr>
                <w:rFonts w:ascii="仿宋_GB2312" w:eastAsia="仿宋_GB231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lang w:eastAsia="zh-CN"/>
              </w:rPr>
              <w:t>建议与问题对应且全面的得</w:t>
            </w:r>
            <w:r>
              <w:rPr>
                <w:rFonts w:hint="eastAsia" w:ascii="仿宋_GB2312" w:eastAsia="仿宋_GB2312"/>
                <w:lang w:eastAsia="zh-CN"/>
              </w:rPr>
              <w:t>15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分，建议比较全面的得</w:t>
            </w:r>
            <w:r>
              <w:rPr>
                <w:rFonts w:hint="eastAsia" w:ascii="仿宋_GB2312" w:eastAsia="仿宋_GB2312"/>
                <w:lang w:eastAsia="zh-CN"/>
              </w:rPr>
              <w:t>12—14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分，建议不全面的得</w:t>
            </w:r>
            <w:r>
              <w:rPr>
                <w:rFonts w:hint="eastAsia" w:ascii="仿宋_GB2312" w:eastAsia="仿宋_GB2312"/>
                <w:lang w:eastAsia="zh-CN"/>
              </w:rPr>
              <w:t xml:space="preserve">9—11  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分，建议过于简单的得</w:t>
            </w:r>
            <w:r>
              <w:rPr>
                <w:rFonts w:hint="eastAsia" w:ascii="仿宋_GB2312" w:eastAsia="仿宋_GB2312"/>
                <w:lang w:eastAsia="zh-CN"/>
              </w:rPr>
              <w:t>6—8</w:t>
            </w:r>
            <w:r>
              <w:rPr>
                <w:rFonts w:hint="eastAsia" w:ascii="仿宋_GB2312" w:hAnsi="宋体" w:eastAsia="仿宋_GB2312" w:cs="宋体"/>
                <w:lang w:eastAsia="zh-CN"/>
              </w:rPr>
              <w:t>分，只提出加大资金投入建议的不得分；其他情况酌情扣分。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746" w:type="dxa"/>
            <w:vAlign w:val="center"/>
          </w:tcPr>
          <w:p>
            <w:pPr>
              <w:rPr>
                <w:rFonts w:ascii="仿宋_GB2312" w:eastAsia="仿宋_GB2312"/>
              </w:rPr>
            </w:pPr>
            <w:r>
              <w:rPr>
                <w:rFonts w:hint="eastAsia" w:ascii="仿宋_GB2312" w:hAnsi="宋体" w:eastAsia="仿宋_GB2312" w:cs="宋体"/>
              </w:rPr>
              <w:t>合计</w:t>
            </w:r>
          </w:p>
        </w:tc>
        <w:tc>
          <w:tcPr>
            <w:tcW w:w="1157" w:type="dxa"/>
            <w:vAlign w:val="center"/>
          </w:tcPr>
          <w:p>
            <w:pPr>
              <w:ind w:firstLine="42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100</w:t>
            </w:r>
            <w:r>
              <w:rPr>
                <w:rFonts w:hint="eastAsia" w:ascii="仿宋_GB2312" w:hAnsi="宋体" w:eastAsia="仿宋_GB2312" w:cs="宋体"/>
              </w:rPr>
              <w:t>分</w:t>
            </w:r>
          </w:p>
        </w:tc>
        <w:tc>
          <w:tcPr>
            <w:tcW w:w="7939" w:type="dxa"/>
            <w:gridSpan w:val="2"/>
            <w:vAlign w:val="center"/>
          </w:tcPr>
          <w:p>
            <w:pPr>
              <w:ind w:firstLine="420"/>
              <w:jc w:val="center"/>
              <w:rPr>
                <w:rFonts w:ascii="仿宋_GB2312" w:eastAsia="仿宋_GB2312"/>
              </w:rPr>
            </w:pPr>
          </w:p>
        </w:tc>
      </w:tr>
    </w:tbl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11" w:type="default"/>
      <w:footerReference r:id="rId12" w:type="even"/>
      <w:pgSz w:w="11907" w:h="16839"/>
      <w:pgMar w:top="2098" w:right="1474" w:bottom="1985" w:left="1588" w:header="0" w:footer="1588" w:gutter="0"/>
      <w:pgNumType w:fmt="numberInDash"/>
      <w:cols w:space="720" w:num="1"/>
      <w:titlePg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libri">
    <w:altName w:val="微软雅黑"/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黑体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t>- 3 -</w:t>
    </w:r>
    <w:r>
      <w:rPr>
        <w:rFonts w:ascii="宋体" w:hAnsi="宋体" w:eastAsia="宋体"/>
        <w:sz w:val="28"/>
        <w:szCs w:val="28"/>
      </w:rPr>
      <w:fldChar w:fldCharType="end"/>
    </w:r>
  </w:p>
  <w:p>
    <w:pPr>
      <w:spacing w:before="1" w:line="175" w:lineRule="auto"/>
      <w:ind w:left="444"/>
      <w:rPr>
        <w:rFonts w:ascii="宋体" w:hAnsi="宋体" w:eastAsia="宋体" w:cs="宋体"/>
        <w:sz w:val="26"/>
        <w:szCs w:val="2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t>- 2 -</w:t>
    </w:r>
    <w:r>
      <w:rPr>
        <w:rFonts w:ascii="宋体" w:hAnsi="宋体" w:eastAsia="宋体"/>
        <w:sz w:val="28"/>
        <w:szCs w:val="28"/>
      </w:rPr>
      <w:fldChar w:fldCharType="end"/>
    </w:r>
  </w:p>
  <w:p>
    <w:pPr>
      <w:pStyle w:val="5"/>
      <w:rPr>
        <w:rFonts w:eastAsia="宋体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jc w:val="right"/>
      <w:rPr>
        <w:rFonts w:ascii="宋体" w:hAnsi="宋体" w:eastAsia="宋体"/>
        <w:sz w:val="28"/>
        <w:szCs w:val="28"/>
      </w:rPr>
    </w:pPr>
    <w:r>
      <w:rPr>
        <w:rFonts w:ascii="Arial" w:hAnsi="Arial" w:eastAsia="Arial" w:cs="Arial"/>
        <w:snapToGrid w:val="0"/>
        <w:color w:val="000000"/>
        <w:sz w:val="28"/>
        <w:szCs w:val="18"/>
        <w:lang w:val="en-US" w:eastAsia="en-US" w:bidi="ar-SA"/>
      </w:rPr>
      <w:pict>
        <v:shape id="文本框11" o:spid="_x0000_s1025" type="#_x0000_t202" style="position:absolute;left:0;margin-top:0pt;height:144pt;width:144pt;mso-position-horizontal:center;mso-position-horizontal-relative:margin;mso-wrap-style:none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5"/>
                  <w:jc w:val="right"/>
                </w:pP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t>- 3 -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spacing w:before="1" w:line="175" w:lineRule="auto"/>
      <w:ind w:left="444"/>
      <w:rPr>
        <w:rFonts w:ascii="宋体" w:hAnsi="宋体" w:eastAsia="宋体" w:cs="宋体"/>
        <w:sz w:val="26"/>
        <w:szCs w:val="26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rPr>
        <w:rFonts w:ascii="宋体" w:hAnsi="宋体" w:eastAsia="宋体"/>
        <w:sz w:val="28"/>
        <w:szCs w:val="28"/>
      </w:rPr>
    </w:pPr>
    <w:r>
      <w:rPr>
        <w:rFonts w:ascii="Arial" w:hAnsi="Arial" w:eastAsia="Arial" w:cs="Arial"/>
        <w:snapToGrid w:val="0"/>
        <w:color w:val="000000"/>
        <w:sz w:val="28"/>
        <w:szCs w:val="18"/>
        <w:lang w:val="en-US" w:eastAsia="en-US" w:bidi="ar-SA"/>
      </w:rPr>
      <w:pict>
        <v:shape id="文本框12" o:spid="_x0000_s1026" type="#_x0000_t202" style="position:absolute;left:0;margin-top:0pt;height:144pt;width:144pt;mso-position-horizontal:center;mso-position-horizontal-relative:margin;mso-wrap-style:none;rotation:0f;z-index:251659264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5"/>
                </w:pP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t>- 2 -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pStyle w:val="5"/>
      <w:rPr>
        <w:rFonts w:eastAsia="宋体"/>
        <w:lang w:eastAsia="zh-CN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</w:pPr>
    <w:r>
      <w:rPr>
        <w:rFonts w:ascii="Arial" w:hAnsi="Arial" w:eastAsia="Arial" w:cs="Arial"/>
        <w:snapToGrid w:val="0"/>
        <w:color w:val="000000"/>
        <w:sz w:val="18"/>
        <w:szCs w:val="18"/>
        <w:lang w:val="en-US" w:eastAsia="en-US" w:bidi="ar-SA"/>
      </w:rPr>
      <w:pict>
        <v:shape id="文本框13" o:spid="_x0000_s1027" type="#_x0000_t202" style="position:absolute;left:0;margin-top:0pt;height:144pt;width:144pt;mso-position-horizontal:center;mso-position-horizontal-relative:margin;mso-wrap-style:none;rotation:0f;z-index:251660288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 w:eastAsia="宋体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 w:eastAsia="宋体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eastAsia="宋体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- 1 -</w:t>
                </w:r>
                <w:r>
                  <w:rPr>
                    <w:rFonts w:hint="eastAsia" w:eastAsia="宋体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jc w:val="right"/>
      <w:rPr>
        <w:rFonts w:ascii="宋体" w:hAnsi="宋体" w:eastAsia="宋体"/>
        <w:sz w:val="28"/>
        <w:szCs w:val="28"/>
      </w:rPr>
    </w:pPr>
    <w:r>
      <w:rPr>
        <w:rFonts w:ascii="Arial" w:hAnsi="Arial" w:eastAsia="Arial" w:cs="Arial"/>
        <w:snapToGrid w:val="0"/>
        <w:color w:val="000000"/>
        <w:sz w:val="28"/>
        <w:szCs w:val="18"/>
        <w:lang w:val="en-US" w:eastAsia="en-US" w:bidi="ar-SA"/>
      </w:rPr>
      <w:pict>
        <v:shape id="文本框14" o:spid="_x0000_s1028" type="#_x0000_t202" style="position:absolute;left:0;margin-top:0pt;height:144pt;width:144pt;mso-position-horizontal:center;mso-position-horizontal-relative:margin;mso-wrap-style:none;rotation:0f;z-index:251661312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5"/>
                  <w:jc w:val="right"/>
                </w:pP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t>- 9 -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spacing w:before="1" w:line="175" w:lineRule="auto"/>
      <w:ind w:left="444"/>
      <w:rPr>
        <w:rFonts w:ascii="宋体" w:hAnsi="宋体" w:eastAsia="宋体" w:cs="宋体"/>
        <w:sz w:val="26"/>
        <w:szCs w:val="26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5"/>
      <w:rPr>
        <w:rFonts w:ascii="宋体" w:hAnsi="宋体" w:eastAsia="宋体"/>
        <w:sz w:val="28"/>
        <w:szCs w:val="28"/>
      </w:rPr>
    </w:pPr>
    <w:r>
      <w:rPr>
        <w:rFonts w:ascii="Arial" w:hAnsi="Arial" w:eastAsia="Arial" w:cs="Arial"/>
        <w:snapToGrid w:val="0"/>
        <w:color w:val="000000"/>
        <w:sz w:val="28"/>
        <w:szCs w:val="18"/>
        <w:lang w:val="en-US" w:eastAsia="en-US" w:bidi="ar-SA"/>
      </w:rPr>
      <w:pict>
        <v:shape id="文本框15" o:spid="_x0000_s1029" type="#_x0000_t202" style="position:absolute;left:0;margin-top:0pt;height:144pt;width:144pt;mso-position-horizontal:center;mso-position-horizontal-relative:margin;mso-wrap-style:none;rotation:0f;z-index:251662336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5"/>
                </w:pP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separate"/>
                </w:r>
                <w:r>
                  <w:t>- 10 -</w:t>
                </w:r>
                <w:r>
                  <w:rPr>
                    <w:rFonts w:ascii="宋体" w:hAnsi="宋体" w:eastAsia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pStyle w:val="5"/>
      <w:rPr>
        <w:rFonts w:eastAsia="宋体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718162572">
    <w:nsid w:val="6669148C"/>
    <w:multiLevelType w:val="singleLevel"/>
    <w:tmpl w:val="6669148C"/>
    <w:lvl w:ilvl="0" w:tentative="1">
      <w:start w:val="1"/>
      <w:numFmt w:val="chineseCounting"/>
      <w:suff w:val="nothing"/>
      <w:lvlText w:val="%1、"/>
      <w:lvlJc w:val="left"/>
    </w:lvl>
  </w:abstractNum>
  <w:abstractNum w:abstractNumId="1718164498">
    <w:nsid w:val="66691C12"/>
    <w:multiLevelType w:val="singleLevel"/>
    <w:tmpl w:val="66691C12"/>
    <w:lvl w:ilvl="0" w:tentative="1">
      <w:start w:val="3"/>
      <w:numFmt w:val="chineseCounting"/>
      <w:suff w:val="nothing"/>
      <w:lvlText w:val="%1、"/>
      <w:lvlJc w:val="left"/>
    </w:lvl>
  </w:abstractNum>
  <w:abstractNum w:abstractNumId="1718164543">
    <w:nsid w:val="66691C3F"/>
    <w:multiLevelType w:val="singleLevel"/>
    <w:tmpl w:val="66691C3F"/>
    <w:lvl w:ilvl="0" w:tentative="1">
      <w:start w:val="5"/>
      <w:numFmt w:val="chineseCounting"/>
      <w:suff w:val="nothing"/>
      <w:lvlText w:val="%1、"/>
      <w:lvlJc w:val="left"/>
    </w:lvl>
  </w:abstractNum>
  <w:abstractNum w:abstractNumId="1718164520">
    <w:nsid w:val="66691C28"/>
    <w:multiLevelType w:val="singleLevel"/>
    <w:tmpl w:val="66691C28"/>
    <w:lvl w:ilvl="0" w:tentative="1">
      <w:start w:val="4"/>
      <w:numFmt w:val="chineseCounting"/>
      <w:suff w:val="nothing"/>
      <w:lvlText w:val="%1、"/>
      <w:lvlJc w:val="left"/>
    </w:lvl>
  </w:abstractNum>
  <w:abstractNum w:abstractNumId="1718164590">
    <w:nsid w:val="66691C6E"/>
    <w:multiLevelType w:val="singleLevel"/>
    <w:tmpl w:val="66691C6E"/>
    <w:lvl w:ilvl="0" w:tentative="1">
      <w:start w:val="6"/>
      <w:numFmt w:val="chineseCounting"/>
      <w:suff w:val="nothing"/>
      <w:lvlText w:val="%1、"/>
      <w:lvlJc w:val="left"/>
    </w:lvl>
  </w:abstractNum>
  <w:abstractNum w:abstractNumId="1718164171">
    <w:nsid w:val="66691ACB"/>
    <w:multiLevelType w:val="singleLevel"/>
    <w:tmpl w:val="66691ACB"/>
    <w:lvl w:ilvl="0" w:tentative="1">
      <w:start w:val="2"/>
      <w:numFmt w:val="chineseCounting"/>
      <w:suff w:val="nothing"/>
      <w:lvlText w:val="（%1）"/>
      <w:lvlJc w:val="left"/>
    </w:lvl>
  </w:abstractNum>
  <w:num w:numId="1">
    <w:abstractNumId w:val="1718162572"/>
  </w:num>
  <w:num w:numId="2">
    <w:abstractNumId w:val="1718164171"/>
  </w:num>
  <w:num w:numId="3">
    <w:abstractNumId w:val="1718164498"/>
  </w:num>
  <w:num w:numId="4">
    <w:abstractNumId w:val="1718164520"/>
  </w:num>
  <w:num w:numId="5">
    <w:abstractNumId w:val="1718164543"/>
  </w:num>
  <w:num w:numId="6">
    <w:abstractNumId w:val="17181645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 w:val="1"/>
  <w:bordersDoNotSurroundHeader w:val="0"/>
  <w:bordersDoNotSurroundFooter w:val="0"/>
  <w:documentProtection w:enforcement="0"/>
  <w:defaultTabStop w:val="420"/>
  <w:evenAndOddHeaders w:val="1"/>
  <w:drawingGridHorizontalSpacing w:val="105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qFormat="1" w:unhideWhenUsed="0" w:uiPriority="0" w:semiHidden="0" w:name="Balloon Text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paragraph" w:styleId="2">
    <w:name w:val="toa heading"/>
    <w:basedOn w:val="1"/>
    <w:next w:val="1"/>
    <w:uiPriority w:val="0"/>
    <w:pPr>
      <w:spacing w:before="120" w:after="200" w:line="276" w:lineRule="auto"/>
    </w:pPr>
    <w:rPr>
      <w:rFonts w:ascii="Arial" w:hAnsi="Arial"/>
      <w:sz w:val="24"/>
    </w:rPr>
  </w:style>
  <w:style w:type="paragraph" w:styleId="3">
    <w:name w:val="Body Text"/>
    <w:basedOn w:val="1"/>
    <w:semiHidden/>
    <w:qFormat/>
    <w:uiPriority w:val="0"/>
    <w:pPr>
      <w:spacing w:before="20" w:line="222" w:lineRule="auto"/>
    </w:pPr>
    <w:rPr>
      <w:rFonts w:ascii="仿宋" w:hAnsi="仿宋" w:eastAsia="仿宋" w:cs="仿宋"/>
      <w:sz w:val="35"/>
      <w:szCs w:val="35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pacing w:line="560" w:lineRule="exac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9">
    <w:name w:val="Table Text"/>
    <w:basedOn w:val="1"/>
    <w:semiHidden/>
    <w:qFormat/>
    <w:uiPriority w:val="0"/>
  </w:style>
  <w:style w:type="paragraph" w:customStyle="1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页脚 Char"/>
    <w:basedOn w:val="8"/>
    <w:link w:val="5"/>
    <w:qFormat/>
    <w:uiPriority w:val="99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批注框文本 Char"/>
    <w:basedOn w:val="8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footer" Target="footer6.xml"/><Relationship Id="rId11" Type="http://schemas.openxmlformats.org/officeDocument/2006/relationships/footer" Target="footer7.xml"/><Relationship Id="rId12" Type="http://schemas.openxmlformats.org/officeDocument/2006/relationships/footer" Target="footer8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<Relationship Id="rId15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4.xml"/><Relationship Id="rId9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5" textRotate="1"/>
    <customShpInfo spid="_x0000_s1026" textRotate="1"/>
    <customShpInfo spid="_x0000_s1027" textRotate="1"/>
    <customShpInfo spid="_x0000_s1028" textRotate="1"/>
    <customShpInfo spid="_x0000_s102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48</Words>
  <Characters>55</Characters>
  <Lines>42</Lines>
  <Paragraphs>11</Paragraphs>
  <ScaleCrop>false</ScaleCrop>
  <LinksUpToDate>false</LinksUpToDate>
  <CharactersWithSpaces>0</CharactersWithSpaces>
  <Application>Kingsoft Office_9.1.0.4560_{F1E327BC-269C-435d-A152-05C5408002CA}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2024-03-25T08:56:00Z</dcterms:created>
  <dc:creator>Administrator</dc:creator>
  <cp:lastModifiedBy>www.dayanzai.me</cp:lastModifiedBy>
  <cp:lastPrinted>2024-06-12T07:08:00Z</cp:lastPrinted>
  <dcterms:modified xsi:type="dcterms:W3CDTF">2026-05-14T09:02:19Z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2024-03-21T15:29:00Z</vt:filetime>
  </property>
  <property fmtid="{D5CDD505-2E9C-101B-9397-08002B2CF9AE}" pid="4" name="UsrData">
    <vt:lpwstr>65fbe1d271bc50001f716906wl</vt:lpwstr>
  </property>
  <property fmtid="{D5CDD505-2E9C-101B-9397-08002B2CF9AE}" pid="5" name="KSOProductBuildVer">
    <vt:lpwstr>1033-9.1.0.4560</vt:lpwstr>
  </property>
  <property fmtid="{D5CDD505-2E9C-101B-9397-08002B2CF9AE}" pid="6" name="ICV">
    <vt:lpwstr>7863570836064237B5B0EE3419BAB8E8_13</vt:lpwstr>
  </property>
  <property fmtid="{D5CDD505-2E9C-101B-9397-08002B2CF9AE}" pid="7" name="KSOTemplateDocerSaveRecord">
    <vt:lpwstr>eyJoZGlkIjoiYjI1NGQ3OTg1NGZlYWM2OTJkZTUwYzZmMjkwMTViYjciLCJ1c2VySWQiOiIxNjYwOTA0MTM0In0=</vt:lpwstr>
  </property>
</Properties>
</file>