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A9976">
      <w:pPr>
        <w:pStyle w:val="13"/>
        <w:jc w:val="center"/>
        <w:rPr>
          <w:rFonts w:hint="eastAsia" w:ascii="微软雅黑" w:hAnsi="微软雅黑" w:eastAsia="微软雅黑" w:cs="微软雅黑"/>
          <w:sz w:val="56"/>
          <w:szCs w:val="56"/>
        </w:rPr>
      </w:pPr>
    </w:p>
    <w:p w14:paraId="6AA61587">
      <w:pPr>
        <w:pStyle w:val="13"/>
        <w:jc w:val="center"/>
        <w:rPr>
          <w:rFonts w:hint="eastAsia" w:ascii="微软雅黑" w:hAnsi="微软雅黑" w:eastAsia="微软雅黑" w:cs="微软雅黑"/>
          <w:sz w:val="56"/>
          <w:szCs w:val="56"/>
        </w:rPr>
      </w:pPr>
    </w:p>
    <w:p w14:paraId="063A3D1E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B43E4A7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70F1861E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1F82586A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岳阳县社会救助服务中心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75AE3C46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68E4FE28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4F27891B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434F2FB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4CE7E7DC">
      <w:pPr>
        <w:bidi w:val="0"/>
        <w:rPr>
          <w:rFonts w:hint="eastAsia" w:ascii="微软雅黑" w:hAnsi="微软雅黑" w:eastAsia="微软雅黑" w:cs="微软雅黑"/>
        </w:rPr>
      </w:pPr>
    </w:p>
    <w:p w14:paraId="23A8E8C6">
      <w:pPr>
        <w:pStyle w:val="13"/>
        <w:spacing w:line="500" w:lineRule="exact"/>
        <w:jc w:val="center"/>
        <w:rPr>
          <w:rFonts w:hint="eastAsia"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1AB9E1F8">
      <w:pPr>
        <w:pStyle w:val="13"/>
        <w:spacing w:line="500" w:lineRule="exact"/>
        <w:jc w:val="center"/>
        <w:rPr>
          <w:rFonts w:hint="eastAsia" w:ascii="微软雅黑" w:hAnsi="微软雅黑" w:eastAsia="微软雅黑" w:cs="微软雅黑"/>
          <w:b/>
          <w:sz w:val="36"/>
          <w:szCs w:val="28"/>
        </w:rPr>
      </w:pPr>
    </w:p>
    <w:p w14:paraId="157216F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第一部分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岳阳县社会救助服务中心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eastAsia="zh-CN"/>
        </w:rPr>
        <w:t>部门（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单位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概况</w:t>
      </w:r>
    </w:p>
    <w:p w14:paraId="240AF2E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46A6DDD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78ED566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第二部分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部门决算表</w:t>
      </w:r>
    </w:p>
    <w:p w14:paraId="34CC4E5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725EC0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0471765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3A7FE9A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00946C6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375E430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711A9B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437AF57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3E3B4F8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6998845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第三部分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部门决算情况说明</w:t>
      </w:r>
    </w:p>
    <w:p w14:paraId="11DA723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337BFC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6F47155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3FB4FFB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19CF113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17C6FEC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6877610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七</w:t>
      </w:r>
      <w:r>
        <w:rPr>
          <w:rFonts w:hint="eastAsia" w:ascii="微软雅黑" w:hAnsi="微软雅黑" w:eastAsia="微软雅黑" w:cs="微软雅黑"/>
          <w:sz w:val="28"/>
          <w:szCs w:val="28"/>
        </w:rPr>
        <w:t>、政府性基金预算收入支出决算情况</w:t>
      </w:r>
    </w:p>
    <w:p w14:paraId="09B7EC0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八</w:t>
      </w:r>
      <w:r>
        <w:rPr>
          <w:rFonts w:hint="eastAsia" w:ascii="微软雅黑" w:hAnsi="微软雅黑" w:eastAsia="微软雅黑" w:cs="微软雅黑"/>
          <w:sz w:val="28"/>
          <w:szCs w:val="28"/>
        </w:rPr>
        <w:t>、国有资本经营预算财政拨款支出决算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情况</w:t>
      </w:r>
    </w:p>
    <w:p w14:paraId="05ECA7F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九</w:t>
      </w:r>
      <w:r>
        <w:rPr>
          <w:rFonts w:hint="eastAsia" w:ascii="微软雅黑" w:hAnsi="微软雅黑" w:eastAsia="微软雅黑" w:cs="微软雅黑"/>
          <w:sz w:val="28"/>
          <w:szCs w:val="28"/>
        </w:rPr>
        <w:t>、财政拨款三公经费支出决算情况说明</w:t>
      </w:r>
    </w:p>
    <w:p w14:paraId="3E34862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400371D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0F2A30E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2894561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59CBBFA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十四、</w:t>
      </w:r>
      <w:r>
        <w:rPr>
          <w:rFonts w:hint="eastAsia" w:ascii="微软雅黑" w:hAnsi="微软雅黑" w:eastAsia="微软雅黑" w:cs="微软雅黑"/>
          <w:sz w:val="28"/>
          <w:szCs w:val="28"/>
        </w:rPr>
        <w:t>关于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评价</w:t>
      </w:r>
      <w:r>
        <w:rPr>
          <w:rFonts w:hint="eastAsia" w:ascii="微软雅黑" w:hAnsi="微软雅黑" w:eastAsia="微软雅黑" w:cs="微软雅黑"/>
          <w:sz w:val="28"/>
          <w:szCs w:val="28"/>
        </w:rPr>
        <w:t>情况的说明</w:t>
      </w:r>
    </w:p>
    <w:p w14:paraId="1103F9D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第四部分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名词解释</w:t>
      </w:r>
    </w:p>
    <w:p w14:paraId="69E08CA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第五部分 附件</w:t>
      </w:r>
    </w:p>
    <w:p w14:paraId="326A9DE3">
      <w:pPr>
        <w:pStyle w:val="13"/>
        <w:spacing w:line="500" w:lineRule="exact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br w:type="page"/>
      </w:r>
    </w:p>
    <w:p w14:paraId="11BF87EE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3B2202FE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557614D6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42296566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50222A74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5FE8B51E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</w:p>
    <w:p w14:paraId="66291003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岳阳县社会救助服务中心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部门（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单位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）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概况</w:t>
      </w:r>
    </w:p>
    <w:p w14:paraId="173AE3A4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24FAF5A5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FD6A7F7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9AD0A7F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3F84CF8C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22E8C870">
      <w:pPr>
        <w:pStyle w:val="14"/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部门职责</w:t>
      </w:r>
    </w:p>
    <w:p w14:paraId="454BBC5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（一）负责贯彻执行有关最低生活保障的政策法规。</w:t>
      </w:r>
    </w:p>
    <w:p w14:paraId="492326E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（二）为城乡居民提供最低生活保障。</w:t>
      </w:r>
    </w:p>
    <w:p w14:paraId="2A35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（三）为农村特困对象提供社会救助和临时救助。</w:t>
      </w:r>
    </w:p>
    <w:p w14:paraId="1675BDDD">
      <w:pPr>
        <w:widowControl/>
        <w:spacing w:line="600" w:lineRule="exact"/>
        <w:rPr>
          <w:rFonts w:hint="eastAsia" w:ascii="微软雅黑" w:hAnsi="微软雅黑" w:eastAsia="微软雅黑" w:cs="微软雅黑"/>
          <w:b/>
          <w:bCs w:val="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kern w:val="0"/>
          <w:sz w:val="32"/>
          <w:szCs w:val="32"/>
        </w:rPr>
        <w:t>二、机构设置及决算单位构成</w:t>
      </w:r>
    </w:p>
    <w:p w14:paraId="7D3663F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（一）内设机构设置。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本单位系民政局属二级机构，内设 7个股室，分别是：办公室、综合信息股、城市低保股、农村低保股、特困供养股、信息比对股，工会。年末实有在职人数12人。</w:t>
      </w:r>
    </w:p>
    <w:p w14:paraId="2B505DC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（二）决算单位构成。本单位没有所属下级机构，因此本年度部门决算仅为本级部门决算。</w:t>
      </w:r>
    </w:p>
    <w:p w14:paraId="5426C2C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</w:p>
    <w:p w14:paraId="7A7504E3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3D2C1952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7560790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5A3E38E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9224D5D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0358D151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</w:p>
    <w:p w14:paraId="36C01BF0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1140C2C5">
      <w:pPr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  <w:t>（见附件）</w:t>
      </w:r>
    </w:p>
    <w:p w14:paraId="3FB8F864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B052895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1A38A4B0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9AF1447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1AC08E3D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7928C40F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0"/>
          <w:szCs w:val="70"/>
        </w:rPr>
      </w:pPr>
    </w:p>
    <w:p w14:paraId="2DD92FE3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422B5A88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7701B91A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47981D21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17FCB2AF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2CA93B76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0AB426D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一、收入支出决算总体情况说明</w:t>
      </w:r>
    </w:p>
    <w:p w14:paraId="2A01CBA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224.31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相</w:t>
      </w:r>
      <w:r>
        <w:rPr>
          <w:rFonts w:hint="eastAsia" w:ascii="微软雅黑" w:hAnsi="微软雅黑" w:eastAsia="微软雅黑" w:cs="微软雅黑"/>
          <w:sz w:val="32"/>
          <w:szCs w:val="32"/>
        </w:rPr>
        <w:t>比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增加43.28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23.91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人员调入。</w:t>
      </w:r>
    </w:p>
    <w:p w14:paraId="2E3574C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二、收入决算情况说明</w:t>
      </w:r>
    </w:p>
    <w:p w14:paraId="00348825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224.31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154.22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万元，占68.75%；上级补助收入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70.08万元，占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31.24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41B031C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三、支出决算情况说明</w:t>
      </w:r>
    </w:p>
    <w:p w14:paraId="690A847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年度支出合计184.58万元，其中：基本支出166.17万元，占90.03%；项目支出18.41万元，占9.97%；上缴上级支出0万元，占0%；经营支出0万元，占0%；对附属单位补助支出0万元，占0%。</w:t>
      </w:r>
    </w:p>
    <w:p w14:paraId="440FCE0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四、财政拨款收入支出决算总体情况说明</w:t>
      </w:r>
    </w:p>
    <w:p w14:paraId="07470B1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度财政拨款收、支总计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154.22</w:t>
      </w:r>
      <w:r>
        <w:rPr>
          <w:rFonts w:ascii="微软雅黑" w:hAnsi="微软雅黑" w:eastAsia="微软雅黑" w:cs="微软雅黑"/>
          <w:sz w:val="32"/>
        </w:rPr>
        <w:t>万元，与上年相比，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增加15.09</w:t>
      </w:r>
      <w:r>
        <w:rPr>
          <w:rFonts w:ascii="微软雅黑" w:hAnsi="微软雅黑" w:eastAsia="微软雅黑" w:cs="微软雅黑"/>
          <w:sz w:val="32"/>
        </w:rPr>
        <w:t>万元,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增加10.93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人员调入。</w:t>
      </w:r>
    </w:p>
    <w:p w14:paraId="2DCAE40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五、一般公共预算财政拨款支出决算情况说明</w:t>
      </w:r>
    </w:p>
    <w:p w14:paraId="202F9A9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（一）财政拨款支出决算总体情况</w:t>
      </w:r>
    </w:p>
    <w:p w14:paraId="0AEDEDE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154.22</w:t>
      </w:r>
      <w:r>
        <w:rPr>
          <w:rFonts w:ascii="微软雅黑" w:hAnsi="微软雅黑" w:eastAsia="微软雅黑" w:cs="微软雅黑"/>
          <w:sz w:val="32"/>
        </w:rPr>
        <w:t>万元，占本年支出合计的83.55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%，与上年相比，财政拨款支出</w:t>
      </w:r>
      <w:r>
        <w:rPr>
          <w:rFonts w:ascii="微软雅黑" w:hAnsi="微软雅黑" w:eastAsia="微软雅黑" w:cs="微软雅黑"/>
          <w:sz w:val="32"/>
        </w:rPr>
        <w:t>增长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15.09</w:t>
      </w:r>
      <w:r>
        <w:rPr>
          <w:rFonts w:ascii="微软雅黑" w:hAnsi="微软雅黑" w:eastAsia="微软雅黑" w:cs="微软雅黑"/>
          <w:sz w:val="32"/>
        </w:rPr>
        <w:t>万元,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增加10.93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人员调入。</w:t>
      </w:r>
    </w:p>
    <w:p w14:paraId="64556F6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（二）财政拨款支出决算结构情况</w:t>
      </w:r>
    </w:p>
    <w:p w14:paraId="0177827E">
      <w:pPr>
        <w:pStyle w:val="13"/>
        <w:ind w:firstLine="640" w:firstLineChars="200"/>
        <w:rPr>
          <w:rFonts w:hint="eastAsia" w:ascii="微软雅黑" w:hAnsi="微软雅黑" w:eastAsia="微软雅黑" w:cs="微软雅黑"/>
          <w:sz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154.22</w:t>
      </w:r>
      <w:r>
        <w:rPr>
          <w:rFonts w:ascii="微软雅黑" w:hAnsi="微软雅黑" w:eastAsia="微软雅黑" w:cs="微软雅黑"/>
          <w:sz w:val="32"/>
        </w:rPr>
        <w:t>万元，主要用于以下方面：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社会保障和就业（类）</w:t>
      </w:r>
      <w:r>
        <w:rPr>
          <w:rFonts w:hint="eastAsia" w:ascii="微软雅黑" w:hAnsi="微软雅黑" w:eastAsia="微软雅黑" w:cs="微软雅黑"/>
          <w:sz w:val="32"/>
        </w:rPr>
        <w:t>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140.88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91.35</w:t>
      </w:r>
      <w:r>
        <w:rPr>
          <w:rFonts w:hint="eastAsia" w:ascii="微软雅黑" w:hAnsi="微软雅黑" w:eastAsia="微软雅黑" w:cs="微软雅黑"/>
          <w:sz w:val="32"/>
        </w:rPr>
        <w:t>%；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卫生健康</w:t>
      </w:r>
      <w:r>
        <w:rPr>
          <w:rFonts w:hint="eastAsia" w:ascii="微软雅黑" w:hAnsi="微软雅黑" w:eastAsia="微软雅黑" w:cs="微软雅黑"/>
          <w:sz w:val="32"/>
        </w:rPr>
        <w:t>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5.90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3.83</w:t>
      </w:r>
      <w:r>
        <w:rPr>
          <w:rFonts w:hint="eastAsia" w:ascii="微软雅黑" w:hAnsi="微软雅黑" w:eastAsia="微软雅黑" w:cs="微软雅黑"/>
          <w:sz w:val="32"/>
        </w:rPr>
        <w:t>%;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住房保障</w:t>
      </w:r>
      <w:r>
        <w:rPr>
          <w:rFonts w:hint="eastAsia" w:ascii="微软雅黑" w:hAnsi="微软雅黑" w:eastAsia="微软雅黑" w:cs="微软雅黑"/>
          <w:sz w:val="32"/>
        </w:rPr>
        <w:t>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7.45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4.82</w:t>
      </w:r>
      <w:r>
        <w:rPr>
          <w:rFonts w:hint="eastAsia" w:ascii="微软雅黑" w:hAnsi="微软雅黑" w:eastAsia="微软雅黑" w:cs="微软雅黑"/>
          <w:sz w:val="32"/>
        </w:rPr>
        <w:t>%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40FE352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（三）财政拨款支出决算具体情况</w:t>
      </w:r>
    </w:p>
    <w:p w14:paraId="6632AC9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28.96</w:t>
      </w:r>
      <w:r>
        <w:rPr>
          <w:rFonts w:ascii="微软雅黑" w:hAnsi="微软雅黑" w:eastAsia="微软雅黑" w:cs="微软雅黑"/>
          <w:sz w:val="32"/>
        </w:rPr>
        <w:t>万元，支出决算数为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154.22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119.59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%，其中：</w:t>
      </w:r>
    </w:p>
    <w:p w14:paraId="5B716EE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社会保障和就业支出</w:t>
      </w:r>
      <w:r>
        <w:rPr>
          <w:rFonts w:hint="eastAsia" w:ascii="微软雅黑" w:hAnsi="微软雅黑" w:eastAsia="微软雅黑" w:cs="微软雅黑"/>
          <w:sz w:val="32"/>
        </w:rPr>
        <w:t>（类）民政管理事务（款）其他民政管理事务支出（项）。</w:t>
      </w:r>
    </w:p>
    <w:p w14:paraId="223F7CD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9.82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9.82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1A86ECE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2、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社会保障和就业支出</w:t>
      </w:r>
      <w:r>
        <w:rPr>
          <w:rFonts w:hint="eastAsia" w:ascii="微软雅黑" w:hAnsi="微软雅黑" w:eastAsia="微软雅黑" w:cs="微软雅黑"/>
          <w:sz w:val="32"/>
        </w:rPr>
        <w:t>（类）行政事业单位养老支出（款） 机关事业单位基本养老保险缴费支出（项）。</w:t>
      </w:r>
    </w:p>
    <w:p w14:paraId="7075694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9.93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9.93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49FEC00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</w:rPr>
        <w:t>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社会保障和就业支出</w:t>
      </w:r>
      <w:r>
        <w:rPr>
          <w:rFonts w:hint="eastAsia" w:ascii="微软雅黑" w:hAnsi="微软雅黑" w:eastAsia="微软雅黑" w:cs="微软雅黑"/>
          <w:sz w:val="32"/>
        </w:rPr>
        <w:t>（类）民政管理事务（款） 行政运行（项）。</w:t>
      </w:r>
    </w:p>
    <w:p w14:paraId="0F98A2F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95.29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120.55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126.51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大于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的原因是人员调入。</w:t>
      </w:r>
    </w:p>
    <w:p w14:paraId="3D160A6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32"/>
        </w:rPr>
        <w:t>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社会保障和就业支出</w:t>
      </w:r>
      <w:r>
        <w:rPr>
          <w:rFonts w:hint="eastAsia" w:ascii="微软雅黑" w:hAnsi="微软雅黑" w:eastAsia="微软雅黑" w:cs="微软雅黑"/>
          <w:sz w:val="32"/>
        </w:rPr>
        <w:t>（类）其他社会保障和就业支出（款）其他社会保障和就业支出（项）。</w:t>
      </w:r>
    </w:p>
    <w:p w14:paraId="10A38D0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0.58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0.58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5110AF1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32"/>
        </w:rPr>
        <w:t>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卫生健康支出</w:t>
      </w:r>
      <w:r>
        <w:rPr>
          <w:rFonts w:hint="eastAsia" w:ascii="微软雅黑" w:hAnsi="微软雅黑" w:eastAsia="微软雅黑" w:cs="微软雅黑"/>
          <w:sz w:val="32"/>
        </w:rPr>
        <w:t>（类）行政事业单位医疗（款）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事业</w:t>
      </w:r>
      <w:r>
        <w:rPr>
          <w:rFonts w:hint="eastAsia" w:ascii="微软雅黑" w:hAnsi="微软雅黑" w:eastAsia="微软雅黑" w:cs="微软雅黑"/>
          <w:sz w:val="32"/>
        </w:rPr>
        <w:t>单位医疗（项）。</w:t>
      </w:r>
    </w:p>
    <w:p w14:paraId="28B7098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5.28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5.28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419230C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卫生健康支出</w:t>
      </w:r>
      <w:r>
        <w:rPr>
          <w:rFonts w:hint="eastAsia" w:ascii="微软雅黑" w:hAnsi="微软雅黑" w:eastAsia="微软雅黑" w:cs="微软雅黑"/>
          <w:sz w:val="32"/>
        </w:rPr>
        <w:t>（类）行政事业单位医疗（款）公务员医疗补助（项）。</w:t>
      </w:r>
    </w:p>
    <w:p w14:paraId="7037B2A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0.62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0.62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5B34A69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32"/>
        </w:rPr>
        <w:t>、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住房保障支出</w:t>
      </w:r>
      <w:r>
        <w:rPr>
          <w:rFonts w:hint="eastAsia" w:ascii="微软雅黑" w:hAnsi="微软雅黑" w:eastAsia="微软雅黑" w:cs="微软雅黑"/>
          <w:sz w:val="32"/>
        </w:rPr>
        <w:t>（类）住房改革支出（款）住房公积金（项）。</w:t>
      </w:r>
    </w:p>
    <w:p w14:paraId="698B5CE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7.45</w:t>
      </w:r>
      <w:r>
        <w:rPr>
          <w:rFonts w:hint="eastAsia" w:ascii="微软雅黑" w:hAnsi="微软雅黑" w:eastAsia="微软雅黑" w:cs="微软雅黑"/>
          <w:sz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7.45</w:t>
      </w:r>
      <w:r>
        <w:rPr>
          <w:rFonts w:hint="eastAsia" w:ascii="微软雅黑" w:hAnsi="微软雅黑" w:eastAsia="微软雅黑" w:cs="微软雅黑"/>
          <w:sz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</w:rPr>
        <w:t>%，决算数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</w:rPr>
        <w:t>年初预算数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持平。</w:t>
      </w:r>
    </w:p>
    <w:p w14:paraId="5C5C91D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六、一般公共预算财政拨款基本支出决算情况说明</w:t>
      </w:r>
    </w:p>
    <w:p w14:paraId="2E8D46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44.41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3A44A7F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人员经费</w:t>
      </w:r>
      <w:r>
        <w:rPr>
          <w:rFonts w:ascii="微软雅黑" w:hAnsi="微软雅黑" w:eastAsia="微软雅黑" w:cs="微软雅黑"/>
          <w:sz w:val="32"/>
        </w:rPr>
        <w:t>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27.82</w:t>
      </w:r>
      <w:r>
        <w:rPr>
          <w:rFonts w:ascii="微软雅黑" w:hAnsi="微软雅黑" w:eastAsia="微软雅黑" w:cs="微软雅黑"/>
          <w:sz w:val="32"/>
        </w:rPr>
        <w:t>万元，占基本支出的8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51</w:t>
      </w:r>
      <w:r>
        <w:rPr>
          <w:rFonts w:ascii="微软雅黑" w:hAnsi="微软雅黑" w:eastAsia="微软雅黑" w:cs="微软雅黑"/>
          <w:sz w:val="32"/>
        </w:rPr>
        <w:t>%,主要包括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5D79D9D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公用经费</w:t>
      </w:r>
      <w:r>
        <w:rPr>
          <w:rFonts w:ascii="微软雅黑" w:hAnsi="微软雅黑" w:eastAsia="微软雅黑" w:cs="微软雅黑"/>
          <w:sz w:val="32"/>
        </w:rPr>
        <w:t>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6.58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11.49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%，主要包括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办公费、印刷费、水费、电费、邮电费、物业管理费、差旅费、维修（护）费、租赁费、培训费、劳务费、工会经费、其他交通费用、其他商品和服务支出。</w:t>
      </w:r>
    </w:p>
    <w:p w14:paraId="186AF02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七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、政府性基金预算收入支出决算情况</w:t>
      </w:r>
    </w:p>
    <w:p w14:paraId="66931FE8">
      <w:pPr>
        <w:pStyle w:val="13"/>
        <w:ind w:firstLine="640" w:firstLineChars="20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本单位无政府性基金收支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798CB96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八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、国有资本经营预算财政拨款支出决算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情况</w:t>
      </w:r>
    </w:p>
    <w:p w14:paraId="140433E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本单位无国有资本经营</w:t>
      </w:r>
      <w:r>
        <w:rPr>
          <w:rFonts w:hint="eastAsia" w:ascii="微软雅黑" w:hAnsi="微软雅黑" w:eastAsia="微软雅黑" w:cs="微软雅黑"/>
          <w:sz w:val="32"/>
          <w:lang w:eastAsia="zh-CN"/>
        </w:rPr>
        <w:t>预算财政拨款支出。</w:t>
      </w:r>
    </w:p>
    <w:p w14:paraId="03EF82A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highlight w:val="none"/>
          <w:lang w:eastAsia="zh-CN"/>
        </w:rPr>
        <w:t>九、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财政拨款三公经费支出决算情况说明</w:t>
      </w:r>
    </w:p>
    <w:p w14:paraId="222AAB5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（一）“三公”经费财政拨款支出决算总体情况说明</w:t>
      </w:r>
    </w:p>
    <w:p w14:paraId="1BD52C3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““三公”经费财政拨款支出预算为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3BFB27A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及上年数持平。</w:t>
      </w:r>
    </w:p>
    <w:p w14:paraId="4E143AB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及上年数持平。</w:t>
      </w:r>
    </w:p>
    <w:p w14:paraId="38BC6EA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2294A3E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7130F27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（二）“三公”经费财政拨款支出决算具体情况说明</w:t>
      </w:r>
    </w:p>
    <w:p w14:paraId="7C75373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7903235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及上年数持平。</w:t>
      </w:r>
    </w:p>
    <w:p w14:paraId="228C4A8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及上年数持平。</w:t>
      </w:r>
    </w:p>
    <w:p w14:paraId="380654D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65A2E1A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29080DF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val="en-US" w:eastAsia="zh-CN"/>
        </w:rPr>
      </w:pPr>
    </w:p>
    <w:p w14:paraId="1B4472F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十、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关于机关运行经费支出说明</w:t>
      </w:r>
    </w:p>
    <w:p w14:paraId="632AAD6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本级和所属单位均为事业单位，按照机关运行经费的口径，本年度机关运行经费为0。</w:t>
      </w:r>
    </w:p>
    <w:p w14:paraId="5835FDE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一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、一般性支出情况说明</w:t>
      </w:r>
    </w:p>
    <w:p w14:paraId="25063A58">
      <w:pPr>
        <w:pStyle w:val="13"/>
        <w:ind w:firstLine="640" w:firstLineChars="200"/>
        <w:rPr>
          <w:rFonts w:hint="eastAsia"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18</w:t>
      </w:r>
      <w:r>
        <w:rPr>
          <w:rFonts w:ascii="微软雅黑" w:hAnsi="微软雅黑" w:eastAsia="微软雅黑" w:cs="微软雅黑"/>
          <w:sz w:val="32"/>
        </w:rPr>
        <w:t>万元，用于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湖南省事业单位工作人员网上培训</w:t>
      </w:r>
      <w:r>
        <w:rPr>
          <w:rFonts w:hint="eastAsia" w:ascii="微软雅黑" w:hAnsi="微软雅黑" w:eastAsia="微软雅黑" w:cs="微软雅黑"/>
          <w:sz w:val="32"/>
        </w:rPr>
        <w:t>；举办节庆、晚会、论坛、赛事活动，开支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</w:rPr>
        <w:t>万元。</w:t>
      </w:r>
    </w:p>
    <w:p w14:paraId="72C3B2C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二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、关于政府采购支出说明</w:t>
      </w:r>
    </w:p>
    <w:p w14:paraId="443EC90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16.11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12.11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万元、政府采购服务支出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32"/>
          <w:szCs w:val="32"/>
        </w:rPr>
        <w:t>万元。授予中小企业合同金额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16.11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%，其中：授予小微企业合同金额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16.11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  <w:szCs w:val="32"/>
        </w:rPr>
        <w:t>%。货物采购授予中小企业合同金额占货物支出金额的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75.29</w:t>
      </w:r>
      <w:r>
        <w:rPr>
          <w:rFonts w:hint="eastAsia" w:ascii="微软雅黑" w:hAnsi="微软雅黑" w:eastAsia="微软雅黑" w:cs="微软雅黑"/>
          <w:sz w:val="32"/>
          <w:szCs w:val="32"/>
        </w:rPr>
        <w:t>%，工程采购授予中小企业合同金额占工程支出金额的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%，服务采购授予中小企业合同金额占服务支出金额的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24.71</w:t>
      </w:r>
      <w:r>
        <w:rPr>
          <w:rFonts w:hint="eastAsia" w:ascii="微软雅黑" w:hAnsi="微软雅黑" w:eastAsia="微软雅黑" w:cs="微软雅黑"/>
          <w:sz w:val="32"/>
          <w:szCs w:val="32"/>
        </w:rPr>
        <w:t>%。</w:t>
      </w:r>
    </w:p>
    <w:p w14:paraId="2E5EAD4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三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、关于国有资产占用情况说明</w:t>
      </w:r>
    </w:p>
    <w:p w14:paraId="534EC283">
      <w:pPr>
        <w:pStyle w:val="13"/>
        <w:ind w:firstLine="640" w:firstLineChars="20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辆，其中，主要领导干部用车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辆，机要通信用车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辆、应急保障用车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辆、执法执勤用车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辆、特种专业技术用车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辆、其他用车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辆，；单位价值50万元以上通用设备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台（套）；单位价值100万元以上专用设备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台（套）。</w:t>
      </w:r>
    </w:p>
    <w:p w14:paraId="1097948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四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度绩效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  <w:t>评价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情况的说明</w:t>
      </w:r>
    </w:p>
    <w:p w14:paraId="15877EB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根据《中共中央 国务院关于全面实施预算绩效管理的意见》（中发〔2018〕34号）、《中共湖南省委办公厅 湖南省人民政府办公厅关于全面实施预算绩效管理的实施意见（湘办发〔2019〕10号）文件精神，结合《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岳</w:t>
      </w:r>
      <w:r>
        <w:rPr>
          <w:rFonts w:hint="eastAsia" w:ascii="微软雅黑" w:hAnsi="微软雅黑" w:eastAsia="微软雅黑" w:cs="微软雅黑"/>
          <w:sz w:val="32"/>
          <w:szCs w:val="32"/>
        </w:rPr>
        <w:t>阳市财政局关于开展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度部门绩效自评工作的通知》要求，为进一步规范财政资金管理，强化绩效和责任意识，切实提高财政资金使用效益，我单位对部门整体支出支出进行了绩效自评。</w:t>
      </w:r>
    </w:p>
    <w:p w14:paraId="7C73344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部门整体支出绩效自评得分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96</w:t>
      </w:r>
      <w:r>
        <w:rPr>
          <w:rFonts w:hint="eastAsia" w:ascii="微软雅黑" w:hAnsi="微软雅黑" w:eastAsia="微软雅黑" w:cs="微软雅黑"/>
          <w:sz w:val="32"/>
          <w:szCs w:val="32"/>
        </w:rPr>
        <w:t>，评价等级为“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优秀</w:t>
      </w:r>
      <w:r>
        <w:rPr>
          <w:rFonts w:hint="eastAsia" w:ascii="微软雅黑" w:hAnsi="微软雅黑" w:eastAsia="微软雅黑" w:cs="微软雅黑"/>
          <w:sz w:val="32"/>
          <w:szCs w:val="32"/>
        </w:rPr>
        <w:t>”；</w:t>
      </w:r>
    </w:p>
    <w:p w14:paraId="71B699A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已按市财政局统一要求在我单位门户网站公开。</w:t>
      </w:r>
    </w:p>
    <w:p w14:paraId="7238C29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</w:p>
    <w:p w14:paraId="236350F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报告见附件。</w:t>
      </w:r>
    </w:p>
    <w:p w14:paraId="53EC4EB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7626BF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6E6F1A3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34ADAA99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3B810295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0D6C4062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401081C5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269CB18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2B10CA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4FA8EFEC">
      <w:pPr>
        <w:rPr>
          <w:rFonts w:hint="eastAsia"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4A429A30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4F01676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00B72341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0457B14F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附件</w:t>
      </w:r>
    </w:p>
    <w:p w14:paraId="7A04FEAB">
      <w:pPr>
        <w:ind w:firstLine="640" w:firstLineChars="200"/>
        <w:jc w:val="lef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25897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1DF57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482261"/>
    <w:rsid w:val="074309F6"/>
    <w:rsid w:val="07966D78"/>
    <w:rsid w:val="07E04F3D"/>
    <w:rsid w:val="096227F5"/>
    <w:rsid w:val="0AC57974"/>
    <w:rsid w:val="0AF51DD4"/>
    <w:rsid w:val="0DD2242D"/>
    <w:rsid w:val="0F9016DB"/>
    <w:rsid w:val="0FE268D2"/>
    <w:rsid w:val="10654FAC"/>
    <w:rsid w:val="107B12A9"/>
    <w:rsid w:val="10A73DA4"/>
    <w:rsid w:val="11A63AC3"/>
    <w:rsid w:val="13135140"/>
    <w:rsid w:val="134641EF"/>
    <w:rsid w:val="136B7D14"/>
    <w:rsid w:val="15986B0A"/>
    <w:rsid w:val="15A64981"/>
    <w:rsid w:val="176E362E"/>
    <w:rsid w:val="17D85E72"/>
    <w:rsid w:val="18A478EF"/>
    <w:rsid w:val="191A1185"/>
    <w:rsid w:val="1A4B623A"/>
    <w:rsid w:val="21680401"/>
    <w:rsid w:val="22ED4D29"/>
    <w:rsid w:val="27B766F6"/>
    <w:rsid w:val="29701875"/>
    <w:rsid w:val="2D046FFD"/>
    <w:rsid w:val="2F026361"/>
    <w:rsid w:val="2F5729E1"/>
    <w:rsid w:val="2F7F4FBD"/>
    <w:rsid w:val="306F0E15"/>
    <w:rsid w:val="31B77767"/>
    <w:rsid w:val="3319216C"/>
    <w:rsid w:val="33E12879"/>
    <w:rsid w:val="34095384"/>
    <w:rsid w:val="34E24AFB"/>
    <w:rsid w:val="36E96615"/>
    <w:rsid w:val="3BC62A80"/>
    <w:rsid w:val="3FD348C7"/>
    <w:rsid w:val="40C80669"/>
    <w:rsid w:val="41940D6D"/>
    <w:rsid w:val="42415557"/>
    <w:rsid w:val="42FC322C"/>
    <w:rsid w:val="44AC435F"/>
    <w:rsid w:val="487D493C"/>
    <w:rsid w:val="493A4AAE"/>
    <w:rsid w:val="49A01BF5"/>
    <w:rsid w:val="4BF77AF3"/>
    <w:rsid w:val="4C76404F"/>
    <w:rsid w:val="4CAA2ABF"/>
    <w:rsid w:val="4D3642A2"/>
    <w:rsid w:val="4D542DAB"/>
    <w:rsid w:val="4DA105FD"/>
    <w:rsid w:val="4EC70B92"/>
    <w:rsid w:val="512C2F2E"/>
    <w:rsid w:val="52E579D6"/>
    <w:rsid w:val="54BA0ABE"/>
    <w:rsid w:val="55C63EE6"/>
    <w:rsid w:val="570F5142"/>
    <w:rsid w:val="5777D4F5"/>
    <w:rsid w:val="57D94F90"/>
    <w:rsid w:val="59561490"/>
    <w:rsid w:val="59743537"/>
    <w:rsid w:val="5B4F3FC2"/>
    <w:rsid w:val="5D2E44D2"/>
    <w:rsid w:val="5DA84284"/>
    <w:rsid w:val="5DB1138B"/>
    <w:rsid w:val="5E026FEC"/>
    <w:rsid w:val="5EB522EE"/>
    <w:rsid w:val="5FC6BB1E"/>
    <w:rsid w:val="5FF720F1"/>
    <w:rsid w:val="62865D5A"/>
    <w:rsid w:val="63930AB7"/>
    <w:rsid w:val="643C1282"/>
    <w:rsid w:val="645753D4"/>
    <w:rsid w:val="65B05FE0"/>
    <w:rsid w:val="660109D5"/>
    <w:rsid w:val="6720463D"/>
    <w:rsid w:val="679C55F1"/>
    <w:rsid w:val="6BD30F4C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07412D"/>
    <w:rsid w:val="743957DE"/>
    <w:rsid w:val="75063912"/>
    <w:rsid w:val="772C33D8"/>
    <w:rsid w:val="776B5ABC"/>
    <w:rsid w:val="776D2CE2"/>
    <w:rsid w:val="77C37683"/>
    <w:rsid w:val="79FF515B"/>
    <w:rsid w:val="7C4D3A17"/>
    <w:rsid w:val="7E9F11B4"/>
    <w:rsid w:val="7FC69637"/>
    <w:rsid w:val="7FFDB408"/>
    <w:rsid w:val="CBFF70E0"/>
    <w:rsid w:val="EEABED75"/>
    <w:rsid w:val="FB36E1A6"/>
    <w:rsid w:val="FFFF1C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3614</Words>
  <Characters>4069</Characters>
  <Lines>63</Lines>
  <Paragraphs>18</Paragraphs>
  <TotalTime>11</TotalTime>
  <ScaleCrop>false</ScaleCrop>
  <LinksUpToDate>false</LinksUpToDate>
  <CharactersWithSpaces>4084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2026-09-07T08:47:58Z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79D64ECD222F4C2D840EA27C5C8EF599_13</vt:lpwstr>
  </property>
</Properties>
</file>