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4FAC4">
      <w:pPr>
        <w:widowControl/>
        <w:kinsoku w:val="0"/>
        <w:autoSpaceDE w:val="0"/>
        <w:autoSpaceDN w:val="0"/>
        <w:adjustRightInd w:val="0"/>
        <w:snapToGrid w:val="0"/>
        <w:ind w:firstLine="602"/>
        <w:jc w:val="center"/>
        <w:textAlignment w:val="baseline"/>
        <w:rPr>
          <w:rFonts w:ascii="仿宋" w:hAnsi="仿宋" w:eastAsia="仿宋" w:cstheme="majorEastAsia"/>
          <w:b/>
          <w:bCs/>
          <w:snapToGrid w:val="0"/>
          <w:color w:val="000000"/>
          <w:kern w:val="0"/>
          <w:sz w:val="40"/>
          <w:szCs w:val="40"/>
        </w:rPr>
      </w:pPr>
    </w:p>
    <w:p w14:paraId="04E81BA3">
      <w:pPr>
        <w:widowControl/>
        <w:kinsoku w:val="0"/>
        <w:autoSpaceDE w:val="0"/>
        <w:autoSpaceDN w:val="0"/>
        <w:adjustRightInd w:val="0"/>
        <w:snapToGrid w:val="0"/>
        <w:ind w:firstLine="602"/>
        <w:jc w:val="center"/>
        <w:textAlignment w:val="baseline"/>
        <w:rPr>
          <w:rFonts w:ascii="仿宋" w:hAnsi="仿宋" w:eastAsia="仿宋" w:cstheme="majorEastAsia"/>
          <w:b/>
          <w:bCs/>
          <w:snapToGrid w:val="0"/>
          <w:color w:val="000000"/>
          <w:kern w:val="0"/>
          <w:sz w:val="30"/>
          <w:szCs w:val="30"/>
        </w:rPr>
      </w:pPr>
    </w:p>
    <w:p w14:paraId="5BB4EF9E">
      <w:pPr>
        <w:widowControl/>
        <w:kinsoku w:val="0"/>
        <w:autoSpaceDE w:val="0"/>
        <w:autoSpaceDN w:val="0"/>
        <w:adjustRightInd w:val="0"/>
        <w:snapToGrid w:val="0"/>
        <w:ind w:firstLine="602"/>
        <w:jc w:val="center"/>
        <w:textAlignment w:val="baseline"/>
        <w:rPr>
          <w:rFonts w:ascii="仿宋" w:hAnsi="仿宋" w:eastAsia="仿宋" w:cstheme="majorEastAsia"/>
          <w:b/>
          <w:bCs/>
          <w:snapToGrid w:val="0"/>
          <w:color w:val="000000"/>
          <w:kern w:val="0"/>
          <w:sz w:val="30"/>
          <w:szCs w:val="30"/>
        </w:rPr>
      </w:pPr>
    </w:p>
    <w:p w14:paraId="7E31ABB9">
      <w:pPr>
        <w:widowControl/>
        <w:kinsoku w:val="0"/>
        <w:autoSpaceDE w:val="0"/>
        <w:autoSpaceDN w:val="0"/>
        <w:adjustRightInd w:val="0"/>
        <w:snapToGrid w:val="0"/>
        <w:ind w:firstLine="803"/>
        <w:jc w:val="center"/>
        <w:textAlignment w:val="baseline"/>
        <w:rPr>
          <w:rFonts w:hint="eastAsia" w:asciiTheme="majorEastAsia" w:hAnsiTheme="majorEastAsia" w:eastAsiaTheme="majorEastAsia" w:cstheme="majorEastAsia"/>
          <w:b/>
          <w:bCs/>
          <w:snapToGrid w:val="0"/>
          <w:color w:val="000000"/>
          <w:kern w:val="0"/>
          <w:sz w:val="72"/>
          <w:szCs w:val="44"/>
        </w:rPr>
      </w:pPr>
    </w:p>
    <w:p w14:paraId="56EEFC41">
      <w:pPr>
        <w:widowControl/>
        <w:kinsoku w:val="0"/>
        <w:autoSpaceDE w:val="0"/>
        <w:autoSpaceDN w:val="0"/>
        <w:adjustRightInd w:val="0"/>
        <w:snapToGrid w:val="0"/>
        <w:jc w:val="center"/>
        <w:textAlignment w:val="baseline"/>
        <w:rPr>
          <w:rFonts w:hint="eastAsia" w:asciiTheme="majorEastAsia" w:hAnsiTheme="majorEastAsia" w:eastAsiaTheme="majorEastAsia" w:cstheme="majorEastAsia"/>
          <w:b/>
          <w:bCs/>
          <w:snapToGrid w:val="0"/>
          <w:color w:val="000000"/>
          <w:kern w:val="0"/>
          <w:sz w:val="72"/>
          <w:szCs w:val="44"/>
        </w:rPr>
      </w:pPr>
      <w:r>
        <w:rPr>
          <w:rFonts w:hint="eastAsia" w:asciiTheme="majorEastAsia" w:hAnsiTheme="majorEastAsia" w:eastAsiaTheme="majorEastAsia" w:cstheme="majorEastAsia"/>
          <w:b/>
          <w:bCs/>
          <w:snapToGrid w:val="0"/>
          <w:color w:val="000000"/>
          <w:kern w:val="0"/>
          <w:sz w:val="72"/>
          <w:szCs w:val="44"/>
        </w:rPr>
        <w:t>2025年度</w:t>
      </w:r>
    </w:p>
    <w:p w14:paraId="7A9E4997">
      <w:pPr>
        <w:widowControl/>
        <w:kinsoku w:val="0"/>
        <w:autoSpaceDE w:val="0"/>
        <w:autoSpaceDN w:val="0"/>
        <w:adjustRightInd w:val="0"/>
        <w:snapToGrid w:val="0"/>
        <w:jc w:val="center"/>
        <w:textAlignment w:val="baseline"/>
        <w:rPr>
          <w:rFonts w:asciiTheme="majorEastAsia" w:hAnsiTheme="majorEastAsia" w:eastAsiaTheme="majorEastAsia" w:cstheme="majorEastAsia"/>
          <w:b/>
          <w:bCs/>
          <w:snapToGrid w:val="0"/>
          <w:color w:val="000000"/>
          <w:kern w:val="0"/>
          <w:sz w:val="72"/>
          <w:szCs w:val="44"/>
        </w:rPr>
      </w:pPr>
      <w:r>
        <w:rPr>
          <w:rFonts w:hint="eastAsia" w:asciiTheme="majorEastAsia" w:hAnsiTheme="majorEastAsia" w:eastAsiaTheme="majorEastAsia" w:cstheme="majorEastAsia"/>
          <w:b/>
          <w:bCs/>
          <w:snapToGrid w:val="0"/>
          <w:color w:val="000000"/>
          <w:kern w:val="0"/>
          <w:sz w:val="72"/>
          <w:szCs w:val="44"/>
        </w:rPr>
        <w:t>岳阳县残疾人联合会</w:t>
      </w:r>
    </w:p>
    <w:p w14:paraId="6FF16479">
      <w:pPr>
        <w:widowControl/>
        <w:kinsoku w:val="0"/>
        <w:autoSpaceDE w:val="0"/>
        <w:autoSpaceDN w:val="0"/>
        <w:adjustRightInd w:val="0"/>
        <w:snapToGrid w:val="0"/>
        <w:jc w:val="center"/>
        <w:textAlignment w:val="baseline"/>
        <w:rPr>
          <w:rFonts w:asciiTheme="majorEastAsia" w:hAnsiTheme="majorEastAsia" w:eastAsiaTheme="majorEastAsia" w:cstheme="majorEastAsia"/>
          <w:b/>
          <w:bCs/>
          <w:snapToGrid w:val="0"/>
          <w:color w:val="000000"/>
          <w:kern w:val="0"/>
          <w:sz w:val="72"/>
          <w:szCs w:val="44"/>
        </w:rPr>
      </w:pPr>
      <w:r>
        <w:rPr>
          <w:rFonts w:hint="eastAsia" w:asciiTheme="majorEastAsia" w:hAnsiTheme="majorEastAsia" w:eastAsiaTheme="majorEastAsia" w:cstheme="majorEastAsia"/>
          <w:b/>
          <w:bCs/>
          <w:snapToGrid w:val="0"/>
          <w:color w:val="000000"/>
          <w:kern w:val="0"/>
          <w:sz w:val="72"/>
          <w:szCs w:val="44"/>
        </w:rPr>
        <w:t>整体支出绩效自评报告</w:t>
      </w:r>
    </w:p>
    <w:p w14:paraId="36AB3463">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7F973BE1">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7546C189">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78608942">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4D19831D">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164D7EEF">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7A406F12">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6AB97CD7">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1056D65E">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1535843F">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8"/>
          <w:szCs w:val="30"/>
        </w:rPr>
      </w:pPr>
    </w:p>
    <w:p w14:paraId="0386AFCC">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b/>
          <w:bCs/>
          <w:snapToGrid w:val="0"/>
          <w:color w:val="000000"/>
          <w:spacing w:val="-28"/>
          <w:sz w:val="40"/>
          <w:szCs w:val="30"/>
        </w:rPr>
      </w:pPr>
    </w:p>
    <w:p w14:paraId="4A1E1ACD">
      <w:pPr>
        <w:kinsoku w:val="0"/>
        <w:autoSpaceDE w:val="0"/>
        <w:autoSpaceDN w:val="0"/>
        <w:adjustRightInd w:val="0"/>
        <w:snapToGrid w:val="0"/>
        <w:spacing w:before="78" w:line="221" w:lineRule="auto"/>
        <w:ind w:firstLine="691"/>
        <w:jc w:val="center"/>
        <w:textAlignment w:val="baseline"/>
        <w:rPr>
          <w:rFonts w:cs="仿宋" w:asciiTheme="majorEastAsia" w:hAnsiTheme="majorEastAsia" w:eastAsiaTheme="majorEastAsia"/>
          <w:snapToGrid w:val="0"/>
          <w:color w:val="000000"/>
          <w:sz w:val="40"/>
          <w:szCs w:val="30"/>
        </w:rPr>
      </w:pPr>
      <w:r>
        <w:rPr>
          <w:rFonts w:hint="eastAsia" w:cs="仿宋" w:asciiTheme="majorEastAsia" w:hAnsiTheme="majorEastAsia" w:eastAsiaTheme="majorEastAsia"/>
          <w:b/>
          <w:bCs/>
          <w:snapToGrid w:val="0"/>
          <w:color w:val="000000"/>
          <w:spacing w:val="-28"/>
          <w:sz w:val="40"/>
          <w:szCs w:val="30"/>
        </w:rPr>
        <w:t>部门(单位)名称：</w:t>
      </w:r>
      <w:r>
        <w:rPr>
          <w:rFonts w:hint="eastAsia" w:cs="仿宋" w:asciiTheme="majorEastAsia" w:hAnsiTheme="majorEastAsia" w:eastAsiaTheme="majorEastAsia"/>
          <w:b/>
          <w:bCs/>
          <w:snapToGrid w:val="0"/>
          <w:color w:val="000000"/>
          <w:spacing w:val="-28"/>
          <w:sz w:val="40"/>
          <w:szCs w:val="30"/>
          <w:u w:val="single"/>
        </w:rPr>
        <w:t>岳阳县残疾人联合会</w:t>
      </w:r>
    </w:p>
    <w:p w14:paraId="24D0C6E1">
      <w:pPr>
        <w:widowControl/>
        <w:kinsoku w:val="0"/>
        <w:autoSpaceDE w:val="0"/>
        <w:autoSpaceDN w:val="0"/>
        <w:adjustRightInd w:val="0"/>
        <w:snapToGrid w:val="0"/>
        <w:spacing w:before="274" w:line="225" w:lineRule="auto"/>
        <w:ind w:firstLine="751"/>
        <w:jc w:val="center"/>
        <w:textAlignment w:val="baseline"/>
        <w:rPr>
          <w:rFonts w:cs="楷体" w:asciiTheme="majorEastAsia" w:hAnsiTheme="majorEastAsia" w:eastAsiaTheme="majorEastAsia"/>
          <w:snapToGrid w:val="0"/>
          <w:color w:val="000000"/>
          <w:kern w:val="0"/>
          <w:sz w:val="40"/>
          <w:szCs w:val="30"/>
        </w:rPr>
      </w:pPr>
      <w:r>
        <w:rPr>
          <w:rFonts w:hint="eastAsia" w:cs="楷体" w:asciiTheme="majorEastAsia" w:hAnsiTheme="majorEastAsia" w:eastAsiaTheme="majorEastAsia"/>
          <w:b/>
          <w:bCs/>
          <w:snapToGrid w:val="0"/>
          <w:color w:val="000000"/>
          <w:spacing w:val="-13"/>
          <w:kern w:val="0"/>
          <w:sz w:val="40"/>
          <w:szCs w:val="30"/>
        </w:rPr>
        <w:t>2026年5</w:t>
      </w:r>
      <w:r>
        <w:rPr>
          <w:rFonts w:hint="eastAsia" w:cs="楷体" w:asciiTheme="majorEastAsia" w:hAnsiTheme="majorEastAsia" w:eastAsiaTheme="majorEastAsia"/>
          <w:snapToGrid w:val="0"/>
          <w:color w:val="000000"/>
          <w:spacing w:val="-13"/>
          <w:kern w:val="0"/>
          <w:sz w:val="40"/>
          <w:szCs w:val="30"/>
        </w:rPr>
        <w:t>月12</w:t>
      </w:r>
      <w:r>
        <w:rPr>
          <w:rFonts w:hint="eastAsia" w:cs="楷体" w:asciiTheme="majorEastAsia" w:hAnsiTheme="majorEastAsia" w:eastAsiaTheme="majorEastAsia"/>
          <w:b/>
          <w:bCs/>
          <w:snapToGrid w:val="0"/>
          <w:color w:val="000000"/>
          <w:spacing w:val="-13"/>
          <w:kern w:val="0"/>
          <w:sz w:val="40"/>
          <w:szCs w:val="30"/>
        </w:rPr>
        <w:t>日</w:t>
      </w:r>
    </w:p>
    <w:p w14:paraId="35DD9A69">
      <w:pPr>
        <w:kinsoku w:val="0"/>
        <w:autoSpaceDE w:val="0"/>
        <w:autoSpaceDN w:val="0"/>
        <w:adjustRightInd w:val="0"/>
        <w:snapToGrid w:val="0"/>
        <w:spacing w:before="211" w:line="224" w:lineRule="auto"/>
        <w:ind w:firstLine="875"/>
        <w:jc w:val="center"/>
        <w:textAlignment w:val="baseline"/>
        <w:rPr>
          <w:rFonts w:cs="仿宋" w:asciiTheme="majorEastAsia" w:hAnsiTheme="majorEastAsia" w:eastAsiaTheme="majorEastAsia"/>
          <w:b/>
          <w:bCs/>
          <w:snapToGrid w:val="0"/>
          <w:color w:val="000000"/>
          <w:spacing w:val="18"/>
          <w:sz w:val="40"/>
          <w:szCs w:val="30"/>
        </w:rPr>
      </w:pPr>
      <w:r>
        <w:rPr>
          <w:rFonts w:cs="仿宋" w:asciiTheme="majorEastAsia" w:hAnsiTheme="majorEastAsia" w:eastAsiaTheme="majorEastAsia"/>
          <w:b/>
          <w:bCs/>
          <w:snapToGrid w:val="0"/>
          <w:color w:val="000000"/>
          <w:spacing w:val="18"/>
          <w:sz w:val="40"/>
          <w:szCs w:val="30"/>
        </w:rPr>
        <w:t>(此页为封面)</w:t>
      </w:r>
    </w:p>
    <w:p w14:paraId="0BC4435E">
      <w:pPr>
        <w:kinsoku w:val="0"/>
        <w:autoSpaceDE w:val="0"/>
        <w:autoSpaceDN w:val="0"/>
        <w:adjustRightInd w:val="0"/>
        <w:snapToGrid w:val="0"/>
        <w:spacing w:before="211" w:line="224" w:lineRule="auto"/>
        <w:ind w:firstLine="875"/>
        <w:textAlignment w:val="baseline"/>
        <w:rPr>
          <w:rFonts w:cs="仿宋" w:asciiTheme="majorEastAsia" w:hAnsiTheme="majorEastAsia" w:eastAsiaTheme="majorEastAsia"/>
          <w:b/>
          <w:bCs/>
          <w:snapToGrid w:val="0"/>
          <w:color w:val="000000"/>
          <w:spacing w:val="18"/>
          <w:sz w:val="40"/>
          <w:szCs w:val="30"/>
        </w:rPr>
      </w:pPr>
    </w:p>
    <w:sdt>
      <w:sdtPr>
        <w:rPr>
          <w:rFonts w:cs="Arial" w:asciiTheme="majorEastAsia" w:hAnsiTheme="majorEastAsia" w:eastAsiaTheme="majorEastAsia"/>
          <w:snapToGrid w:val="0"/>
          <w:color w:val="000000"/>
          <w:sz w:val="40"/>
          <w:szCs w:val="30"/>
          <w:lang w:eastAsia="en-US"/>
        </w:rPr>
        <w:id w:val="3580075"/>
        <w:showingPlcHdr/>
      </w:sdtPr>
      <w:sdtEndPr>
        <w:rPr>
          <w:rFonts w:hint="eastAsia" w:ascii="仿宋" w:hAnsi="仿宋" w:eastAsia="仿宋" w:cs="Arial"/>
          <w:snapToGrid w:val="0"/>
          <w:color w:val="000000"/>
          <w:sz w:val="30"/>
          <w:szCs w:val="30"/>
          <w:lang w:eastAsia="en-US"/>
        </w:rPr>
      </w:sdtEndPr>
      <w:sdtContent>
        <w:p w14:paraId="6D80383E">
          <w:pPr>
            <w:tabs>
              <w:tab w:val="center" w:pos="4153"/>
              <w:tab w:val="right" w:pos="8306"/>
            </w:tabs>
            <w:kinsoku w:val="0"/>
            <w:autoSpaceDE w:val="0"/>
            <w:autoSpaceDN w:val="0"/>
            <w:adjustRightInd w:val="0"/>
            <w:snapToGrid w:val="0"/>
            <w:spacing w:line="560" w:lineRule="exact"/>
            <w:ind w:firstLine="800"/>
            <w:textAlignment w:val="baseline"/>
            <w:rPr>
              <w:rFonts w:cs="Arial" w:asciiTheme="majorEastAsia" w:hAnsiTheme="majorEastAsia" w:eastAsiaTheme="majorEastAsia"/>
              <w:snapToGrid w:val="0"/>
              <w:color w:val="000000"/>
              <w:sz w:val="40"/>
              <w:szCs w:val="30"/>
              <w:lang w:eastAsia="en-US"/>
            </w:rPr>
          </w:pPr>
          <w:r>
            <w:rPr>
              <w:rFonts w:cs="Arial" w:asciiTheme="majorEastAsia" w:hAnsiTheme="majorEastAsia" w:eastAsiaTheme="majorEastAsia"/>
              <w:snapToGrid w:val="0"/>
              <w:color w:val="000000"/>
              <w:sz w:val="40"/>
              <w:szCs w:val="30"/>
              <w:lang w:eastAsia="en-US"/>
            </w:rPr>
            <w:t xml:space="preserve">     </w:t>
          </w:r>
        </w:p>
      </w:sdtContent>
    </w:sdt>
    <w:p w14:paraId="0A9EAA7E">
      <w:pPr>
        <w:widowControl/>
        <w:kinsoku w:val="0"/>
        <w:autoSpaceDE w:val="0"/>
        <w:autoSpaceDN w:val="0"/>
        <w:adjustRightInd w:val="0"/>
        <w:snapToGrid w:val="0"/>
        <w:spacing w:line="600" w:lineRule="exact"/>
        <w:ind w:firstLine="600" w:firstLineChars="200"/>
        <w:textAlignment w:val="baseline"/>
        <w:rPr>
          <w:rFonts w:ascii="黑体" w:hAnsi="黑体" w:eastAsia="黑体" w:cs="黑体"/>
          <w:snapToGrid w:val="0"/>
          <w:color w:val="000000"/>
          <w:kern w:val="0"/>
          <w:sz w:val="30"/>
          <w:szCs w:val="30"/>
        </w:rPr>
      </w:pPr>
      <w:r>
        <w:rPr>
          <w:rFonts w:hint="eastAsia" w:ascii="黑体" w:hAnsi="黑体" w:eastAsia="黑体" w:cs="黑体"/>
          <w:snapToGrid w:val="0"/>
          <w:color w:val="000000"/>
          <w:kern w:val="0"/>
          <w:sz w:val="30"/>
          <w:szCs w:val="30"/>
        </w:rPr>
        <w:t>一、</w:t>
      </w:r>
      <w:r>
        <w:rPr>
          <w:rFonts w:hint="eastAsia" w:ascii="黑体" w:hAnsi="黑体" w:eastAsia="黑体" w:cs="黑体"/>
          <w:b/>
          <w:snapToGrid w:val="0"/>
          <w:color w:val="000000"/>
          <w:kern w:val="0"/>
          <w:sz w:val="30"/>
          <w:szCs w:val="30"/>
        </w:rPr>
        <w:t>部门基本情况</w:t>
      </w:r>
    </w:p>
    <w:p w14:paraId="2FDCCF03">
      <w:pPr>
        <w:widowControl/>
        <w:shd w:val="clear" w:color="auto" w:fill="FFFFFF"/>
        <w:spacing w:line="600" w:lineRule="exact"/>
        <w:ind w:firstLine="602" w:firstLineChars="200"/>
        <w:jc w:val="left"/>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（一）主要职能</w:t>
      </w:r>
    </w:p>
    <w:p w14:paraId="7E2ACBEC">
      <w:pPr>
        <w:widowControl/>
        <w:shd w:val="clear" w:color="auto" w:fill="FFFFFF"/>
        <w:spacing w:line="600" w:lineRule="exact"/>
        <w:ind w:firstLine="600" w:firstLineChars="200"/>
        <w:jc w:val="left"/>
        <w:rPr>
          <w:rFonts w:ascii="仿宋" w:hAnsi="仿宋" w:eastAsia="仿宋" w:cs="宋体"/>
          <w:bCs/>
          <w:color w:val="000000"/>
          <w:kern w:val="0"/>
          <w:sz w:val="30"/>
          <w:szCs w:val="30"/>
        </w:rPr>
      </w:pPr>
      <w:r>
        <w:rPr>
          <w:rFonts w:hint="eastAsia" w:ascii="仿宋" w:hAnsi="仿宋" w:eastAsia="仿宋" w:cs="宋体"/>
          <w:bCs/>
          <w:color w:val="000000"/>
          <w:kern w:val="0"/>
          <w:sz w:val="30"/>
          <w:szCs w:val="30"/>
        </w:rPr>
        <w:t>我会主要职能是听取残疾人意见，反映残疾人需要，维护残疾人权益，为残疾人服务，沟通政府、社会与残疾人之间的联系，动员社会理解、尊重、关心、帮助残疾人。</w:t>
      </w:r>
    </w:p>
    <w:p w14:paraId="32590E21">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bCs/>
          <w:color w:val="000000"/>
          <w:kern w:val="0"/>
          <w:sz w:val="30"/>
          <w:szCs w:val="30"/>
        </w:rPr>
        <w:t>1、</w:t>
      </w:r>
      <w:r>
        <w:rPr>
          <w:rFonts w:hint="eastAsia" w:ascii="仿宋" w:hAnsi="仿宋" w:eastAsia="仿宋" w:cs="宋体"/>
          <w:color w:val="000000"/>
          <w:kern w:val="0"/>
          <w:sz w:val="30"/>
          <w:szCs w:val="30"/>
        </w:rPr>
        <w:t>宣传贯彻《中华人民共和国残疾人保障法》，在县委、县政府的领导和市残联的指导下开展工作，发展全县残疾人事业。维护残疾人在政治、经济、文化、社会等方面平等的公民权利，密切联系残疾人，听取残疾人意见，反映残疾人需求，全心全意为残疾人服务。</w:t>
      </w:r>
    </w:p>
    <w:p w14:paraId="0788FFB6">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bCs/>
          <w:color w:val="000000"/>
          <w:kern w:val="0"/>
          <w:sz w:val="30"/>
          <w:szCs w:val="30"/>
        </w:rPr>
        <w:t>2、</w:t>
      </w:r>
      <w:r>
        <w:rPr>
          <w:rFonts w:hint="eastAsia" w:ascii="仿宋" w:hAnsi="仿宋" w:eastAsia="仿宋" w:cs="宋体"/>
          <w:color w:val="000000"/>
          <w:kern w:val="0"/>
          <w:sz w:val="30"/>
          <w:szCs w:val="30"/>
        </w:rPr>
        <w:t>团结、教育残疾人遵守法律，履行应尽义务，自尊、自信、自强、自立。</w:t>
      </w:r>
    </w:p>
    <w:p w14:paraId="4AE440DE">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bCs/>
          <w:color w:val="000000"/>
          <w:kern w:val="0"/>
          <w:sz w:val="30"/>
          <w:szCs w:val="30"/>
        </w:rPr>
        <w:t>3、</w:t>
      </w:r>
      <w:r>
        <w:rPr>
          <w:rFonts w:hint="eastAsia" w:ascii="仿宋" w:hAnsi="仿宋" w:eastAsia="仿宋" w:cs="宋体"/>
          <w:color w:val="000000"/>
          <w:kern w:val="0"/>
          <w:sz w:val="30"/>
          <w:szCs w:val="30"/>
        </w:rPr>
        <w:t>沟通政府、社会与残疾人之间的联系，宣传残疾人事业，动员社会理解、尊重、关心、帮助残疾人。</w:t>
      </w:r>
    </w:p>
    <w:p w14:paraId="0B6FF42C">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bCs/>
          <w:color w:val="000000"/>
          <w:kern w:val="0"/>
          <w:sz w:val="30"/>
          <w:szCs w:val="30"/>
        </w:rPr>
        <w:t>4、</w:t>
      </w:r>
      <w:r>
        <w:rPr>
          <w:rFonts w:hint="eastAsia" w:ascii="仿宋" w:hAnsi="仿宋" w:eastAsia="仿宋" w:cs="宋体"/>
          <w:color w:val="000000"/>
          <w:kern w:val="0"/>
          <w:sz w:val="30"/>
          <w:szCs w:val="30"/>
        </w:rPr>
        <w:t>开展和促进残疾人康复、教育、扶贫、劳动就业、维权、文化体育、社会保障和残疾预防等工作，改善残疾人参与社会生活的环境和条件。</w:t>
      </w:r>
    </w:p>
    <w:p w14:paraId="560552EA">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bCs/>
          <w:color w:val="000000"/>
          <w:kern w:val="0"/>
          <w:sz w:val="30"/>
          <w:szCs w:val="30"/>
        </w:rPr>
        <w:t>5、</w:t>
      </w:r>
      <w:r>
        <w:rPr>
          <w:rFonts w:hint="eastAsia" w:ascii="仿宋" w:hAnsi="仿宋" w:eastAsia="仿宋" w:cs="宋体"/>
          <w:color w:val="000000"/>
          <w:kern w:val="0"/>
          <w:sz w:val="30"/>
          <w:szCs w:val="30"/>
        </w:rPr>
        <w:t>协助政府研究、制定和实施残疾人事业的法律、法规、政策、规划，发挥综合、协调、咨询、服务作用，对有关领域的工作进行管理和指导。</w:t>
      </w:r>
    </w:p>
    <w:p w14:paraId="229781F6">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bCs/>
          <w:color w:val="000000"/>
          <w:kern w:val="0"/>
          <w:sz w:val="30"/>
          <w:szCs w:val="30"/>
        </w:rPr>
        <w:t>6、</w:t>
      </w:r>
      <w:r>
        <w:rPr>
          <w:rFonts w:hint="eastAsia" w:ascii="仿宋" w:hAnsi="仿宋" w:eastAsia="仿宋" w:cs="宋体"/>
          <w:color w:val="000000"/>
          <w:kern w:val="0"/>
          <w:sz w:val="30"/>
          <w:szCs w:val="30"/>
        </w:rPr>
        <w:t>管理和发放《中华人民共和国残疾人证》。</w:t>
      </w:r>
    </w:p>
    <w:p w14:paraId="42DD5F82">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bCs/>
          <w:color w:val="000000"/>
          <w:kern w:val="0"/>
          <w:sz w:val="30"/>
          <w:szCs w:val="30"/>
        </w:rPr>
        <w:t>7、</w:t>
      </w:r>
      <w:r>
        <w:rPr>
          <w:rFonts w:hint="eastAsia" w:ascii="仿宋" w:hAnsi="仿宋" w:eastAsia="仿宋" w:cs="宋体"/>
          <w:color w:val="000000"/>
          <w:kern w:val="0"/>
          <w:sz w:val="30"/>
          <w:szCs w:val="30"/>
        </w:rPr>
        <w:t>管理和指导各类残疾人群众组织，培养残疾人工作者，使残疾人在残疾人组织中更加活跃，残疾人组织在基层更加活跃，残疾人和残疾人组织在社会上更加活跃。</w:t>
      </w:r>
    </w:p>
    <w:p w14:paraId="64140756">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8、承担政府交办的其他工作。</w:t>
      </w:r>
    </w:p>
    <w:p w14:paraId="54DB2311">
      <w:pPr>
        <w:widowControl/>
        <w:shd w:val="clear" w:color="auto" w:fill="FFFFFF"/>
        <w:spacing w:line="600" w:lineRule="exact"/>
        <w:ind w:firstLine="602" w:firstLineChars="200"/>
        <w:jc w:val="left"/>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（二）机构设置</w:t>
      </w:r>
    </w:p>
    <w:p w14:paraId="49A98751">
      <w:pPr>
        <w:widowControl/>
        <w:shd w:val="clear" w:color="auto" w:fill="FFFFFF"/>
        <w:spacing w:line="600" w:lineRule="exact"/>
        <w:ind w:firstLine="600" w:firstLineChars="200"/>
        <w:jc w:val="left"/>
        <w:rPr>
          <w:rFonts w:ascii="仿宋" w:hAnsi="仿宋" w:eastAsia="仿宋" w:cs="宋体"/>
          <w:color w:val="000000"/>
          <w:kern w:val="0"/>
          <w:sz w:val="30"/>
          <w:szCs w:val="30"/>
        </w:rPr>
      </w:pPr>
      <w:r>
        <w:rPr>
          <w:rFonts w:hint="eastAsia" w:ascii="仿宋" w:hAnsi="仿宋" w:eastAsia="仿宋" w:cs="宋体"/>
          <w:color w:val="000000"/>
          <w:kern w:val="0"/>
          <w:sz w:val="30"/>
          <w:szCs w:val="30"/>
        </w:rPr>
        <w:t>我单位在职干部职工22人，退休人员5人；其中财政全额拨款人员14人，财政差额拨款8人。单位内设综合办公室、康复股、教育就业股、维权股；二级机构一个，岳阳县残疾人劳动就业服务站。</w:t>
      </w:r>
    </w:p>
    <w:p w14:paraId="7F0DBF03">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二、一般公共预算支出情况</w:t>
      </w:r>
    </w:p>
    <w:p w14:paraId="31658BDB">
      <w:pPr>
        <w:widowControl/>
        <w:shd w:val="clear" w:color="auto" w:fill="FFFFFF"/>
        <w:spacing w:line="600" w:lineRule="exact"/>
        <w:ind w:firstLine="600"/>
        <w:jc w:val="left"/>
        <w:rPr>
          <w:rFonts w:ascii="仿宋" w:hAnsi="仿宋" w:eastAsia="仿宋" w:cs="仿宋_GB2312"/>
          <w:bCs/>
          <w:snapToGrid w:val="0"/>
          <w:color w:val="000000"/>
          <w:sz w:val="30"/>
          <w:szCs w:val="30"/>
        </w:rPr>
      </w:pPr>
      <w:r>
        <w:rPr>
          <w:rFonts w:hint="eastAsia" w:ascii="仿宋" w:hAnsi="仿宋" w:eastAsia="仿宋" w:cs="仿宋_GB2312"/>
          <w:bCs/>
          <w:snapToGrid w:val="0"/>
          <w:color w:val="000000"/>
          <w:sz w:val="30"/>
          <w:szCs w:val="30"/>
        </w:rPr>
        <w:t>2025年度收入总计1571.06万元，其中：一般公共财政拨款1335.9万元，政府性基金拨款212.85万元，纳入专户管理的非税收入拨款0万元,其他收入22.31万元。</w:t>
      </w:r>
    </w:p>
    <w:p w14:paraId="122633E3">
      <w:pPr>
        <w:numPr>
          <w:ilvl w:val="0"/>
          <w:numId w:val="1"/>
        </w:numPr>
        <w:adjustRightInd w:val="0"/>
        <w:snapToGrid w:val="0"/>
        <w:spacing w:line="600" w:lineRule="exact"/>
        <w:ind w:left="0" w:firstLine="600" w:firstLineChars="200"/>
        <w:contextualSpacing/>
        <w:rPr>
          <w:rFonts w:ascii="仿宋" w:hAnsi="仿宋" w:eastAsia="仿宋" w:cs="仿宋_GB2312"/>
          <w:bCs/>
          <w:snapToGrid w:val="0"/>
          <w:color w:val="000000"/>
          <w:sz w:val="30"/>
          <w:szCs w:val="30"/>
        </w:rPr>
      </w:pPr>
      <w:r>
        <w:rPr>
          <w:rFonts w:hint="eastAsia" w:ascii="仿宋" w:hAnsi="仿宋" w:eastAsia="仿宋" w:cs="仿宋_GB2312"/>
          <w:bCs/>
          <w:snapToGrid w:val="0"/>
          <w:color w:val="000000"/>
          <w:sz w:val="30"/>
          <w:szCs w:val="30"/>
        </w:rPr>
        <w:t>2025年总支出1571.06万元，</w:t>
      </w:r>
      <w:r>
        <w:rPr>
          <w:rFonts w:hint="eastAsia" w:ascii="仿宋" w:hAnsi="仿宋" w:eastAsia="仿宋" w:cs="仿宋_GB2312"/>
          <w:b/>
          <w:snapToGrid w:val="0"/>
          <w:color w:val="000000"/>
          <w:sz w:val="30"/>
          <w:szCs w:val="30"/>
        </w:rPr>
        <w:t>基本支出：377.93万元。</w:t>
      </w:r>
      <w:r>
        <w:rPr>
          <w:rFonts w:hint="eastAsia" w:ascii="仿宋" w:hAnsi="仿宋" w:eastAsia="仿宋" w:cs="仿宋_GB2312"/>
          <w:bCs/>
          <w:snapToGrid w:val="0"/>
          <w:color w:val="000000"/>
          <w:sz w:val="30"/>
          <w:szCs w:val="30"/>
        </w:rPr>
        <w:t>包括人员经费支出286.15万元，公用经费支出91.78万元。明细为</w:t>
      </w:r>
      <w:r>
        <w:rPr>
          <w:rFonts w:hint="eastAsia" w:ascii="仿宋" w:hAnsi="仿宋" w:eastAsia="仿宋" w:cs="仿宋_GB2312"/>
          <w:bCs/>
          <w:color w:val="000000"/>
          <w:sz w:val="30"/>
          <w:szCs w:val="30"/>
        </w:rPr>
        <w:t>工资福利支出279.75万元，商品和服务支出91.78万元，对个人和家庭的补助6.4万元。</w:t>
      </w:r>
      <w:r>
        <w:rPr>
          <w:rFonts w:hint="eastAsia" w:ascii="仿宋" w:hAnsi="仿宋" w:eastAsia="仿宋" w:cs="宋体"/>
          <w:b/>
          <w:bCs/>
          <w:snapToGrid w:val="0"/>
          <w:color w:val="000000"/>
          <w:kern w:val="0"/>
          <w:sz w:val="30"/>
          <w:szCs w:val="30"/>
        </w:rPr>
        <w:t>项目支出：</w:t>
      </w:r>
      <w:r>
        <w:rPr>
          <w:rFonts w:hint="eastAsia" w:ascii="仿宋" w:hAnsi="仿宋" w:eastAsia="仿宋" w:cs="仿宋_GB2312"/>
          <w:b/>
          <w:bCs/>
          <w:snapToGrid w:val="0"/>
          <w:color w:val="000000"/>
          <w:sz w:val="30"/>
          <w:szCs w:val="30"/>
        </w:rPr>
        <w:t>1193.13万元。</w:t>
      </w:r>
      <w:r>
        <w:rPr>
          <w:rFonts w:hint="eastAsia" w:ascii="仿宋" w:hAnsi="仿宋" w:eastAsia="仿宋" w:cs="仿宋_GB2312"/>
          <w:bCs/>
          <w:snapToGrid w:val="0"/>
          <w:color w:val="000000"/>
          <w:sz w:val="30"/>
          <w:szCs w:val="30"/>
        </w:rPr>
        <w:t>其中</w:t>
      </w:r>
      <w:r>
        <w:rPr>
          <w:rFonts w:hint="eastAsia" w:ascii="仿宋" w:hAnsi="仿宋" w:eastAsia="仿宋" w:cs="仿宋_GB2312"/>
          <w:bCs/>
          <w:color w:val="000000"/>
          <w:sz w:val="30"/>
          <w:szCs w:val="30"/>
        </w:rPr>
        <w:t>工资福利支出2.88万元，商品和服务支出549.15万元，对个人和家庭的补助641.10万元</w:t>
      </w:r>
      <w:r>
        <w:rPr>
          <w:rFonts w:hint="eastAsia" w:ascii="仿宋" w:hAnsi="仿宋" w:eastAsia="仿宋" w:cs="仿宋_GB2312"/>
          <w:bCs/>
          <w:snapToGrid w:val="0"/>
          <w:color w:val="000000"/>
          <w:sz w:val="30"/>
          <w:szCs w:val="30"/>
        </w:rPr>
        <w:t>。</w:t>
      </w:r>
    </w:p>
    <w:p w14:paraId="64DB1235">
      <w:pPr>
        <w:numPr>
          <w:ilvl w:val="0"/>
          <w:numId w:val="1"/>
        </w:numPr>
        <w:adjustRightInd w:val="0"/>
        <w:snapToGrid w:val="0"/>
        <w:spacing w:line="600" w:lineRule="exact"/>
        <w:ind w:left="0" w:firstLine="600" w:firstLineChars="200"/>
        <w:contextualSpacing/>
        <w:rPr>
          <w:rFonts w:ascii="仿宋" w:hAnsi="仿宋" w:eastAsia="仿宋" w:cs="仿宋_GB2312"/>
          <w:bCs/>
          <w:snapToGrid w:val="0"/>
          <w:color w:val="000000"/>
          <w:sz w:val="30"/>
          <w:szCs w:val="30"/>
        </w:rPr>
      </w:pPr>
      <w:r>
        <w:rPr>
          <w:rFonts w:hint="eastAsia" w:ascii="仿宋" w:hAnsi="仿宋" w:eastAsia="仿宋" w:cs="仿宋_GB2312"/>
          <w:bCs/>
          <w:snapToGrid w:val="0"/>
          <w:color w:val="000000"/>
          <w:sz w:val="30"/>
          <w:szCs w:val="30"/>
        </w:rPr>
        <w:t>一般公共预算支出1335.9万元，其中基本支出377.53万元，包括人员经费286.14万元，公用经费91.38万元。明细为</w:t>
      </w:r>
      <w:r>
        <w:rPr>
          <w:rFonts w:hint="eastAsia" w:ascii="仿宋" w:hAnsi="仿宋" w:eastAsia="仿宋" w:cs="仿宋_GB2312"/>
          <w:bCs/>
          <w:color w:val="000000"/>
          <w:sz w:val="30"/>
          <w:szCs w:val="30"/>
        </w:rPr>
        <w:t>工资福利支出279.75万元，商品和服务支出91.38万元，对个人和家庭的补助6.4万元。</w:t>
      </w:r>
      <w:r>
        <w:rPr>
          <w:rFonts w:hint="eastAsia" w:ascii="仿宋" w:hAnsi="仿宋" w:eastAsia="仿宋" w:cs="宋体"/>
          <w:b/>
          <w:bCs/>
          <w:snapToGrid w:val="0"/>
          <w:color w:val="000000"/>
          <w:kern w:val="0"/>
          <w:sz w:val="30"/>
          <w:szCs w:val="30"/>
        </w:rPr>
        <w:t>项目支出：</w:t>
      </w:r>
      <w:r>
        <w:rPr>
          <w:rFonts w:hint="eastAsia" w:ascii="仿宋" w:hAnsi="仿宋" w:eastAsia="仿宋" w:cs="仿宋_GB2312"/>
          <w:b/>
          <w:bCs/>
          <w:snapToGrid w:val="0"/>
          <w:color w:val="000000"/>
          <w:sz w:val="30"/>
          <w:szCs w:val="30"/>
        </w:rPr>
        <w:t>958.37万元。</w:t>
      </w:r>
      <w:r>
        <w:rPr>
          <w:rFonts w:hint="eastAsia" w:ascii="仿宋" w:hAnsi="仿宋" w:eastAsia="仿宋" w:cs="仿宋_GB2312"/>
          <w:bCs/>
          <w:snapToGrid w:val="0"/>
          <w:color w:val="000000"/>
          <w:sz w:val="30"/>
          <w:szCs w:val="30"/>
        </w:rPr>
        <w:t>其中</w:t>
      </w:r>
      <w:r>
        <w:rPr>
          <w:rFonts w:hint="eastAsia" w:ascii="仿宋" w:hAnsi="仿宋" w:eastAsia="仿宋" w:cs="仿宋_GB2312"/>
          <w:bCs/>
          <w:color w:val="000000"/>
          <w:sz w:val="30"/>
          <w:szCs w:val="30"/>
        </w:rPr>
        <w:t>商品和服务支出509万元，对个人和家庭的补助449.37万元</w:t>
      </w:r>
      <w:r>
        <w:rPr>
          <w:rFonts w:hint="eastAsia" w:ascii="仿宋" w:hAnsi="仿宋" w:eastAsia="仿宋" w:cs="仿宋_GB2312"/>
          <w:bCs/>
          <w:snapToGrid w:val="0"/>
          <w:color w:val="000000"/>
          <w:sz w:val="30"/>
          <w:szCs w:val="30"/>
        </w:rPr>
        <w:t>。</w:t>
      </w:r>
    </w:p>
    <w:p w14:paraId="0AD950DD">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三、政府性基金预算支出情况</w:t>
      </w:r>
    </w:p>
    <w:p w14:paraId="63F90CBF">
      <w:pPr>
        <w:widowControl/>
        <w:kinsoku w:val="0"/>
        <w:autoSpaceDE w:val="0"/>
        <w:autoSpaceDN w:val="0"/>
        <w:adjustRightInd w:val="0"/>
        <w:snapToGrid w:val="0"/>
        <w:spacing w:line="600" w:lineRule="exact"/>
        <w:ind w:firstLine="600" w:firstLineChars="200"/>
        <w:textAlignment w:val="baseline"/>
        <w:rPr>
          <w:rFonts w:ascii="仿宋" w:hAnsi="仿宋" w:eastAsia="仿宋" w:cs="仿宋_GB2312"/>
          <w:bCs/>
          <w:color w:val="000000"/>
          <w:sz w:val="30"/>
          <w:szCs w:val="30"/>
        </w:rPr>
      </w:pPr>
      <w:r>
        <w:rPr>
          <w:rFonts w:hint="eastAsia" w:ascii="仿宋" w:hAnsi="仿宋" w:eastAsia="仿宋" w:cs="仿宋_GB2312"/>
          <w:bCs/>
          <w:color w:val="000000"/>
          <w:sz w:val="30"/>
          <w:szCs w:val="30"/>
        </w:rPr>
        <w:t>2025年度政府性基金预算收入212.85万元，支出212.85万元，其中商品和服务支出22.55万元，对个人和家庭的补助190.3万元。</w:t>
      </w:r>
    </w:p>
    <w:p w14:paraId="257499EE">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四、国有资本经营预算支出情况</w:t>
      </w:r>
    </w:p>
    <w:p w14:paraId="04A6CBD7">
      <w:pPr>
        <w:adjustRightInd w:val="0"/>
        <w:snapToGrid w:val="0"/>
        <w:spacing w:line="600" w:lineRule="exact"/>
        <w:ind w:firstLine="600" w:firstLineChars="200"/>
        <w:contextualSpacing/>
        <w:rPr>
          <w:rFonts w:ascii="仿宋" w:hAnsi="仿宋" w:eastAsia="仿宋" w:cs="仿宋_GB2312"/>
          <w:bCs/>
          <w:color w:val="000000"/>
          <w:sz w:val="30"/>
          <w:szCs w:val="30"/>
        </w:rPr>
      </w:pPr>
      <w:r>
        <w:rPr>
          <w:rFonts w:hint="eastAsia" w:ascii="仿宋" w:hAnsi="仿宋" w:eastAsia="仿宋" w:cs="仿宋_GB2312"/>
          <w:bCs/>
          <w:color w:val="000000"/>
          <w:sz w:val="30"/>
          <w:szCs w:val="30"/>
        </w:rPr>
        <w:t>无</w:t>
      </w:r>
    </w:p>
    <w:p w14:paraId="6F656FCD">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五、社会保险基金预算支出情况</w:t>
      </w:r>
    </w:p>
    <w:p w14:paraId="77006CC6">
      <w:pPr>
        <w:adjustRightInd w:val="0"/>
        <w:snapToGrid w:val="0"/>
        <w:spacing w:line="600" w:lineRule="exact"/>
        <w:ind w:firstLine="600" w:firstLineChars="200"/>
        <w:contextualSpacing/>
        <w:rPr>
          <w:rFonts w:ascii="仿宋" w:hAnsi="仿宋" w:eastAsia="仿宋" w:cs="仿宋_GB2312"/>
          <w:bCs/>
          <w:color w:val="000000"/>
          <w:sz w:val="30"/>
          <w:szCs w:val="30"/>
        </w:rPr>
      </w:pPr>
      <w:r>
        <w:rPr>
          <w:rFonts w:hint="eastAsia" w:ascii="仿宋" w:hAnsi="仿宋" w:eastAsia="仿宋" w:cs="仿宋_GB2312"/>
          <w:bCs/>
          <w:color w:val="000000"/>
          <w:sz w:val="30"/>
          <w:szCs w:val="30"/>
        </w:rPr>
        <w:t>无</w:t>
      </w:r>
    </w:p>
    <w:p w14:paraId="528E63A1">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lang w:eastAsia="zh-CN"/>
        </w:rPr>
        <w:t>六、</w:t>
      </w:r>
      <w:r>
        <w:rPr>
          <w:rFonts w:hint="eastAsia" w:ascii="黑体" w:hAnsi="黑体" w:eastAsia="黑体" w:cs="黑体"/>
          <w:b/>
          <w:snapToGrid w:val="0"/>
          <w:color w:val="000000"/>
          <w:kern w:val="0"/>
          <w:sz w:val="30"/>
          <w:szCs w:val="30"/>
        </w:rPr>
        <w:t>非财政拨款支出情况</w:t>
      </w:r>
    </w:p>
    <w:p w14:paraId="74DB44D4">
      <w:pPr>
        <w:widowControl/>
        <w:kinsoku w:val="0"/>
        <w:autoSpaceDE w:val="0"/>
        <w:autoSpaceDN w:val="0"/>
        <w:adjustRightInd w:val="0"/>
        <w:snapToGrid w:val="0"/>
        <w:spacing w:line="600" w:lineRule="exact"/>
        <w:ind w:firstLine="600" w:firstLineChars="200"/>
        <w:textAlignment w:val="baseline"/>
        <w:rPr>
          <w:rFonts w:ascii="仿宋" w:hAnsi="仿宋" w:eastAsia="仿宋" w:cs="仿宋_GB2312"/>
          <w:bCs/>
          <w:color w:val="000000"/>
          <w:sz w:val="30"/>
          <w:szCs w:val="30"/>
        </w:rPr>
      </w:pPr>
      <w:r>
        <w:rPr>
          <w:rFonts w:hint="eastAsia" w:ascii="仿宋" w:hAnsi="仿宋" w:eastAsia="仿宋" w:cs="仿宋_GB2312"/>
          <w:bCs/>
          <w:color w:val="000000"/>
          <w:sz w:val="30"/>
          <w:szCs w:val="30"/>
        </w:rPr>
        <w:t>2025年度其他收入22.31万元，支出22.31万元，其中基本支出0.4万元；项目支出21.91万元。</w:t>
      </w:r>
    </w:p>
    <w:p w14:paraId="20785B80">
      <w:pPr>
        <w:widowControl/>
        <w:kinsoku w:val="0"/>
        <w:autoSpaceDE w:val="0"/>
        <w:autoSpaceDN w:val="0"/>
        <w:adjustRightInd w:val="0"/>
        <w:snapToGrid w:val="0"/>
        <w:spacing w:line="600" w:lineRule="exact"/>
        <w:ind w:firstLine="602" w:firstLineChars="200"/>
        <w:textAlignment w:val="baseline"/>
        <w:rPr>
          <w:rFonts w:ascii="仿宋" w:hAnsi="仿宋" w:eastAsia="仿宋" w:cs="仿宋_GB2312"/>
          <w:snapToGrid w:val="0"/>
          <w:color w:val="000000"/>
          <w:sz w:val="30"/>
          <w:szCs w:val="30"/>
          <w:shd w:val="clear" w:color="auto" w:fill="FFFFFF"/>
        </w:rPr>
      </w:pPr>
      <w:r>
        <w:rPr>
          <w:rFonts w:hint="eastAsia" w:ascii="黑体" w:hAnsi="黑体" w:eastAsia="黑体" w:cs="黑体"/>
          <w:b/>
          <w:snapToGrid w:val="0"/>
          <w:color w:val="000000"/>
          <w:kern w:val="0"/>
          <w:sz w:val="30"/>
          <w:szCs w:val="30"/>
        </w:rPr>
        <w:t>七、部门整体支出绩效情况</w:t>
      </w:r>
    </w:p>
    <w:p w14:paraId="1418C76A">
      <w:pPr>
        <w:snapToGrid w:val="0"/>
        <w:spacing w:line="520" w:lineRule="exact"/>
        <w:ind w:firstLine="600" w:firstLineChars="200"/>
        <w:rPr>
          <w:rFonts w:ascii="仿宋" w:hAnsi="仿宋" w:eastAsia="仿宋"/>
          <w:sz w:val="30"/>
          <w:szCs w:val="30"/>
        </w:rPr>
      </w:pPr>
      <w:r>
        <w:rPr>
          <w:rFonts w:hint="eastAsia" w:ascii="仿宋" w:hAnsi="仿宋" w:eastAsia="仿宋"/>
          <w:sz w:val="30"/>
          <w:szCs w:val="30"/>
        </w:rPr>
        <w:t>2025年，我们投入500余万元，超额完成省重点民生实事项目残疾儿童康复救助和残疾人托养服务的年度目标任务。累计扶助292名0-6岁残疾儿童到各定点机构接受康复救助服务，任务完成率167.97%；资助150名残疾人接受居家托养服务，50名残疾人接受寄宿托养服务。开展就业援助月活动，协调用人单位提供残疾人岗位18个；推动校企签定合作协议，定向培养电商主播、网络客服等新兴职业残疾人才11名，新增残疾人就业22人，其中应届高校毕业生就业率达到100%；实施“阳光增收计划”，为160名农村困难残疾人提供实用技术培训。120名残疾人（家庭子女）获得1000-6000元不等的教育资助。推进友好单元建设。对30户困难重度残疾人进行家庭无障碍改造，极大改善了残疾人居住环境。通过“一网通办”集成服务，实现残疾人证办理等“多事联办”。先后开展两轮集中下乡办证服务，为1000余名困难对象办理残疾人证，确保惠残政策落地落实。严守政治、安全、稳定、返贫四条底线。接待处理残疾人来信来访110余件次，问题处理率达100%。开展防返贫监测和残疾人动态更新数据调查，掌握2万余名残疾人基本状况，确保应补尽补、应保尽保，应纳尽纳。深入开展“我为残疾人朋友办实事”常态化结对帮扶活动，守牢不发生残疾人家庭规模性返贫的底线。</w:t>
      </w:r>
    </w:p>
    <w:p w14:paraId="7F709C22">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八、存在的问题及原因分析</w:t>
      </w:r>
    </w:p>
    <w:p w14:paraId="32117288">
      <w:pPr>
        <w:adjustRightInd w:val="0"/>
        <w:snapToGrid w:val="0"/>
        <w:spacing w:line="600" w:lineRule="exact"/>
        <w:ind w:firstLine="602" w:firstLineChars="200"/>
        <w:contextualSpacing/>
        <w:rPr>
          <w:rFonts w:ascii="仿宋" w:hAnsi="仿宋" w:eastAsia="仿宋" w:cs="Times New Roman"/>
          <w:color w:val="000000"/>
          <w:sz w:val="30"/>
          <w:szCs w:val="30"/>
        </w:rPr>
      </w:pPr>
      <w:r>
        <w:rPr>
          <w:rFonts w:hint="eastAsia" w:ascii="仿宋" w:hAnsi="仿宋" w:eastAsia="仿宋" w:cs="楷体"/>
          <w:b/>
          <w:bCs/>
          <w:color w:val="000000"/>
          <w:sz w:val="30"/>
          <w:szCs w:val="30"/>
          <w:lang w:val="en-US" w:eastAsia="zh-CN"/>
        </w:rPr>
        <w:t>1</w:t>
      </w:r>
      <w:r>
        <w:rPr>
          <w:rFonts w:hint="eastAsia" w:ascii="仿宋" w:hAnsi="仿宋" w:eastAsia="仿宋" w:cs="楷体"/>
          <w:b/>
          <w:bCs/>
          <w:color w:val="000000"/>
          <w:sz w:val="30"/>
          <w:szCs w:val="30"/>
        </w:rPr>
        <w:t>、残疾人需求无法得到全部满足。</w:t>
      </w:r>
      <w:r>
        <w:rPr>
          <w:rFonts w:hint="eastAsia" w:ascii="仿宋" w:hAnsi="仿宋" w:eastAsia="仿宋" w:cs="Times New Roman"/>
          <w:color w:val="000000"/>
          <w:sz w:val="30"/>
          <w:szCs w:val="30"/>
        </w:rPr>
        <w:t>我县残疾人基础较大，残疾人对辅具识配、无障碍改造、困难扶持等方面的需求很大，虽然我们在此方面的投入逐年增大，但仍然无法满足残疾人的需求。今后，我们将继续加大投入力度，着力改善残疾人生产生活环境。</w:t>
      </w:r>
    </w:p>
    <w:p w14:paraId="54E9FFA7">
      <w:pPr>
        <w:adjustRightInd w:val="0"/>
        <w:snapToGrid w:val="0"/>
        <w:spacing w:line="600" w:lineRule="exact"/>
        <w:ind w:firstLine="602" w:firstLineChars="200"/>
        <w:contextualSpacing/>
        <w:rPr>
          <w:rFonts w:ascii="仿宋" w:hAnsi="仿宋" w:eastAsia="仿宋" w:cs="Times New Roman"/>
          <w:color w:val="000000"/>
          <w:sz w:val="30"/>
          <w:szCs w:val="30"/>
        </w:rPr>
      </w:pPr>
      <w:r>
        <w:rPr>
          <w:rFonts w:hint="eastAsia" w:ascii="仿宋" w:hAnsi="仿宋" w:eastAsia="仿宋" w:cs="楷体"/>
          <w:b/>
          <w:bCs/>
          <w:snapToGrid w:val="0"/>
          <w:color w:val="000000"/>
          <w:kern w:val="32"/>
          <w:sz w:val="30"/>
          <w:szCs w:val="30"/>
          <w:lang w:val="en-US" w:eastAsia="zh-CN"/>
        </w:rPr>
        <w:t>2</w:t>
      </w:r>
      <w:r>
        <w:rPr>
          <w:rFonts w:hint="eastAsia" w:ascii="仿宋" w:hAnsi="仿宋" w:eastAsia="仿宋" w:cs="楷体"/>
          <w:b/>
          <w:bCs/>
          <w:snapToGrid w:val="0"/>
          <w:color w:val="000000"/>
          <w:kern w:val="32"/>
          <w:sz w:val="30"/>
          <w:szCs w:val="30"/>
        </w:rPr>
        <w:t>、残疾人就业创业培训实用性不够。</w:t>
      </w:r>
      <w:r>
        <w:rPr>
          <w:rFonts w:hint="eastAsia" w:ascii="仿宋" w:hAnsi="仿宋" w:eastAsia="仿宋" w:cs="仿宋"/>
          <w:snapToGrid w:val="0"/>
          <w:color w:val="000000"/>
          <w:kern w:val="32"/>
          <w:sz w:val="30"/>
          <w:szCs w:val="30"/>
        </w:rPr>
        <w:t>受残疾人身体、知识面、经济条件、创业平台等原因制约，残疾人</w:t>
      </w:r>
      <w:r>
        <w:rPr>
          <w:rFonts w:hint="eastAsia" w:ascii="仿宋" w:hAnsi="仿宋" w:eastAsia="仿宋" w:cs="仿宋"/>
          <w:color w:val="000000"/>
          <w:sz w:val="30"/>
          <w:szCs w:val="30"/>
        </w:rPr>
        <w:t>就业率受阻，大面积开展农村种养，需要更切合实际，更因地制宜。就业典型推荐缺乏社会说服能力，以点带面工作有待提高。</w:t>
      </w:r>
    </w:p>
    <w:p w14:paraId="738B098E">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九、下一步改进措施</w:t>
      </w:r>
    </w:p>
    <w:p w14:paraId="3BA5D1B3">
      <w:pPr>
        <w:widowControl/>
        <w:kinsoku w:val="0"/>
        <w:autoSpaceDE w:val="0"/>
        <w:autoSpaceDN w:val="0"/>
        <w:adjustRightInd w:val="0"/>
        <w:snapToGrid w:val="0"/>
        <w:spacing w:line="600" w:lineRule="exact"/>
        <w:ind w:firstLine="602" w:firstLineChars="200"/>
        <w:contextualSpacing/>
        <w:jc w:val="left"/>
        <w:textAlignment w:val="baseline"/>
        <w:rPr>
          <w:rFonts w:ascii="仿宋" w:hAnsi="仿宋" w:eastAsia="仿宋" w:cs="宋体"/>
          <w:b/>
          <w:snapToGrid w:val="0"/>
          <w:color w:val="000000"/>
          <w:kern w:val="0"/>
          <w:sz w:val="30"/>
          <w:szCs w:val="30"/>
        </w:rPr>
      </w:pPr>
      <w:r>
        <w:rPr>
          <w:rFonts w:hint="eastAsia" w:ascii="仿宋" w:hAnsi="仿宋" w:eastAsia="仿宋" w:cs="宋体"/>
          <w:b/>
          <w:snapToGrid w:val="0"/>
          <w:color w:val="000000"/>
          <w:kern w:val="0"/>
          <w:sz w:val="30"/>
          <w:szCs w:val="30"/>
          <w:lang w:val="en-US" w:eastAsia="zh-CN"/>
        </w:rPr>
        <w:t>1</w:t>
      </w:r>
      <w:r>
        <w:rPr>
          <w:rFonts w:hint="eastAsia" w:ascii="仿宋" w:hAnsi="仿宋" w:eastAsia="仿宋" w:cs="宋体"/>
          <w:b/>
          <w:snapToGrid w:val="0"/>
          <w:color w:val="000000"/>
          <w:kern w:val="0"/>
          <w:sz w:val="30"/>
          <w:szCs w:val="30"/>
        </w:rPr>
        <w:t>、加大项目争取力度，着力解决残疾人需求。</w:t>
      </w:r>
    </w:p>
    <w:p w14:paraId="38DFC598">
      <w:pPr>
        <w:widowControl/>
        <w:kinsoku w:val="0"/>
        <w:autoSpaceDE w:val="0"/>
        <w:autoSpaceDN w:val="0"/>
        <w:adjustRightInd w:val="0"/>
        <w:snapToGrid w:val="0"/>
        <w:spacing w:line="600" w:lineRule="exact"/>
        <w:ind w:firstLine="600" w:firstLineChars="200"/>
        <w:contextualSpacing/>
        <w:jc w:val="left"/>
        <w:textAlignment w:val="baseline"/>
        <w:rPr>
          <w:rFonts w:ascii="仿宋" w:hAnsi="仿宋" w:eastAsia="仿宋" w:cs="宋体"/>
          <w:b/>
          <w:snapToGrid w:val="0"/>
          <w:color w:val="000000"/>
          <w:kern w:val="0"/>
          <w:sz w:val="30"/>
          <w:szCs w:val="30"/>
        </w:rPr>
      </w:pPr>
      <w:r>
        <w:rPr>
          <w:rFonts w:hint="eastAsia" w:ascii="仿宋" w:hAnsi="仿宋" w:eastAsia="仿宋" w:cs="Times New Roman"/>
          <w:snapToGrid w:val="0"/>
          <w:color w:val="000000"/>
          <w:sz w:val="30"/>
          <w:szCs w:val="30"/>
        </w:rPr>
        <w:t>认真组织实施残疾人需求摸底调查，积极向上级财政、残联争取项目资金，加大残疾人康复、创业、就业培训、无障碍改造、辅助适配等项目实施力度，逐步解决我县残疾人的合理需求。</w:t>
      </w:r>
    </w:p>
    <w:p w14:paraId="687E3B5A">
      <w:pPr>
        <w:widowControl/>
        <w:kinsoku w:val="0"/>
        <w:autoSpaceDE w:val="0"/>
        <w:autoSpaceDN w:val="0"/>
        <w:adjustRightInd w:val="0"/>
        <w:snapToGrid w:val="0"/>
        <w:spacing w:line="600" w:lineRule="exact"/>
        <w:ind w:firstLine="602" w:firstLineChars="200"/>
        <w:contextualSpacing/>
        <w:jc w:val="left"/>
        <w:textAlignment w:val="baseline"/>
        <w:rPr>
          <w:rFonts w:ascii="仿宋" w:hAnsi="仿宋" w:eastAsia="仿宋" w:cs="宋体"/>
          <w:b/>
          <w:snapToGrid w:val="0"/>
          <w:color w:val="000000"/>
          <w:kern w:val="0"/>
          <w:sz w:val="30"/>
          <w:szCs w:val="30"/>
        </w:rPr>
      </w:pPr>
      <w:r>
        <w:rPr>
          <w:rFonts w:hint="eastAsia" w:ascii="仿宋" w:hAnsi="仿宋" w:eastAsia="仿宋" w:cs="宋体"/>
          <w:b/>
          <w:snapToGrid w:val="0"/>
          <w:color w:val="000000"/>
          <w:kern w:val="0"/>
          <w:sz w:val="30"/>
          <w:szCs w:val="30"/>
          <w:lang w:val="en-US" w:eastAsia="zh-CN"/>
        </w:rPr>
        <w:t>2</w:t>
      </w:r>
      <w:r>
        <w:rPr>
          <w:rFonts w:hint="eastAsia" w:ascii="仿宋" w:hAnsi="仿宋" w:eastAsia="仿宋" w:cs="宋体"/>
          <w:b/>
          <w:snapToGrid w:val="0"/>
          <w:color w:val="000000"/>
          <w:kern w:val="0"/>
          <w:sz w:val="30"/>
          <w:szCs w:val="30"/>
        </w:rPr>
        <w:t>、科学制订培训</w:t>
      </w:r>
      <w:bookmarkStart w:id="0" w:name="_GoBack"/>
      <w:bookmarkEnd w:id="0"/>
      <w:r>
        <w:rPr>
          <w:rFonts w:hint="eastAsia" w:ascii="仿宋" w:hAnsi="仿宋" w:eastAsia="仿宋" w:cs="宋体"/>
          <w:b/>
          <w:snapToGrid w:val="0"/>
          <w:color w:val="000000"/>
          <w:kern w:val="0"/>
          <w:sz w:val="30"/>
          <w:szCs w:val="30"/>
        </w:rPr>
        <w:t>计划，促进残疾人就业创业。</w:t>
      </w:r>
    </w:p>
    <w:p w14:paraId="3E38752E">
      <w:pPr>
        <w:widowControl/>
        <w:kinsoku w:val="0"/>
        <w:autoSpaceDE w:val="0"/>
        <w:autoSpaceDN w:val="0"/>
        <w:adjustRightInd w:val="0"/>
        <w:snapToGrid w:val="0"/>
        <w:spacing w:line="600" w:lineRule="exact"/>
        <w:ind w:firstLine="600" w:firstLineChars="200"/>
        <w:contextualSpacing/>
        <w:jc w:val="left"/>
        <w:textAlignment w:val="baseline"/>
        <w:rPr>
          <w:rFonts w:ascii="仿宋" w:hAnsi="仿宋" w:eastAsia="仿宋" w:cs="宋体"/>
          <w:snapToGrid w:val="0"/>
          <w:color w:val="000000"/>
          <w:kern w:val="0"/>
          <w:sz w:val="30"/>
          <w:szCs w:val="30"/>
        </w:rPr>
      </w:pPr>
      <w:r>
        <w:rPr>
          <w:rFonts w:hint="eastAsia" w:ascii="仿宋" w:hAnsi="仿宋" w:eastAsia="仿宋" w:cs="宋体"/>
          <w:snapToGrid w:val="0"/>
          <w:color w:val="000000"/>
          <w:kern w:val="0"/>
          <w:sz w:val="30"/>
          <w:szCs w:val="30"/>
        </w:rPr>
        <w:t>对我县残疾人就业情况进行详细摸底，并建立完善的台账，做实基础性工作。多渠道、多形式开展残疾人实用技能培训，让更多的残疾人走上就业岗位。</w:t>
      </w:r>
    </w:p>
    <w:p w14:paraId="2CA35B2B">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十、部门整体支出绩效自评结果拟应用和公开情况</w:t>
      </w:r>
    </w:p>
    <w:p w14:paraId="2BE0AF36">
      <w:pPr>
        <w:widowControl/>
        <w:kinsoku w:val="0"/>
        <w:autoSpaceDE w:val="0"/>
        <w:autoSpaceDN w:val="0"/>
        <w:adjustRightInd w:val="0"/>
        <w:snapToGrid w:val="0"/>
        <w:spacing w:line="600" w:lineRule="exact"/>
        <w:ind w:firstLine="600" w:firstLineChars="200"/>
        <w:contextualSpacing/>
        <w:jc w:val="left"/>
        <w:textAlignment w:val="baseline"/>
        <w:rPr>
          <w:rFonts w:ascii="仿宋" w:hAnsi="仿宋" w:eastAsia="仿宋" w:cs="宋体"/>
          <w:snapToGrid w:val="0"/>
          <w:color w:val="000000"/>
          <w:kern w:val="0"/>
          <w:sz w:val="30"/>
          <w:szCs w:val="30"/>
        </w:rPr>
      </w:pPr>
      <w:r>
        <w:rPr>
          <w:rFonts w:hint="eastAsia" w:ascii="仿宋" w:hAnsi="仿宋" w:eastAsia="仿宋" w:cs="宋体"/>
          <w:snapToGrid w:val="0"/>
          <w:color w:val="000000"/>
          <w:kern w:val="0"/>
          <w:sz w:val="30"/>
          <w:szCs w:val="30"/>
        </w:rPr>
        <w:t>综合自评得分为98分，评价等级为“优”，部门较好地完成了绩效目标，并按要求公开部门预算及决算。</w:t>
      </w:r>
    </w:p>
    <w:p w14:paraId="55593BAE">
      <w:pPr>
        <w:widowControl/>
        <w:kinsoku w:val="0"/>
        <w:autoSpaceDE w:val="0"/>
        <w:autoSpaceDN w:val="0"/>
        <w:adjustRightInd w:val="0"/>
        <w:snapToGrid w:val="0"/>
        <w:spacing w:line="600" w:lineRule="exact"/>
        <w:ind w:firstLine="602" w:firstLineChars="200"/>
        <w:textAlignment w:val="baseline"/>
        <w:rPr>
          <w:rFonts w:ascii="黑体" w:hAnsi="黑体" w:eastAsia="黑体" w:cs="黑体"/>
          <w:b/>
          <w:snapToGrid w:val="0"/>
          <w:color w:val="000000"/>
          <w:kern w:val="0"/>
          <w:sz w:val="30"/>
          <w:szCs w:val="30"/>
        </w:rPr>
      </w:pPr>
      <w:r>
        <w:rPr>
          <w:rFonts w:hint="eastAsia" w:ascii="黑体" w:hAnsi="黑体" w:eastAsia="黑体" w:cs="黑体"/>
          <w:b/>
          <w:snapToGrid w:val="0"/>
          <w:color w:val="000000"/>
          <w:kern w:val="0"/>
          <w:sz w:val="30"/>
          <w:szCs w:val="30"/>
        </w:rPr>
        <w:t>十一、其他需要说明的情况</w:t>
      </w:r>
    </w:p>
    <w:p w14:paraId="128009B0">
      <w:pPr>
        <w:widowControl/>
        <w:kinsoku w:val="0"/>
        <w:autoSpaceDE w:val="0"/>
        <w:autoSpaceDN w:val="0"/>
        <w:adjustRightInd w:val="0"/>
        <w:snapToGrid w:val="0"/>
        <w:spacing w:line="600" w:lineRule="exact"/>
        <w:ind w:firstLine="600" w:firstLineChars="200"/>
        <w:textAlignment w:val="baseline"/>
        <w:rPr>
          <w:rFonts w:ascii="仿宋" w:hAnsi="仿宋" w:eastAsia="仿宋" w:cs="Arial"/>
          <w:snapToGrid w:val="0"/>
          <w:color w:val="000000"/>
          <w:kern w:val="0"/>
          <w:sz w:val="30"/>
          <w:szCs w:val="30"/>
        </w:rPr>
      </w:pPr>
      <w:r>
        <w:rPr>
          <w:rFonts w:hint="eastAsia" w:ascii="仿宋" w:hAnsi="仿宋" w:eastAsia="仿宋" w:cs="Arial"/>
          <w:snapToGrid w:val="0"/>
          <w:color w:val="000000"/>
          <w:kern w:val="0"/>
          <w:sz w:val="30"/>
          <w:szCs w:val="30"/>
        </w:rPr>
        <w:t>无</w:t>
      </w:r>
    </w:p>
    <w:p w14:paraId="53335D15">
      <w:pPr>
        <w:widowControl/>
        <w:kinsoku w:val="0"/>
        <w:autoSpaceDE w:val="0"/>
        <w:autoSpaceDN w:val="0"/>
        <w:adjustRightInd w:val="0"/>
        <w:snapToGrid w:val="0"/>
        <w:spacing w:line="600" w:lineRule="exact"/>
        <w:textAlignment w:val="baseline"/>
        <w:rPr>
          <w:rFonts w:ascii="仿宋" w:hAnsi="仿宋" w:eastAsia="仿宋" w:cs="Arial"/>
          <w:snapToGrid w:val="0"/>
          <w:color w:val="000000"/>
          <w:kern w:val="0"/>
          <w:sz w:val="30"/>
          <w:szCs w:val="30"/>
        </w:rPr>
      </w:pPr>
    </w:p>
    <w:p w14:paraId="207E4DC2">
      <w:pPr>
        <w:rPr>
          <w:rFonts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9240E2"/>
    <w:multiLevelType w:val="multilevel"/>
    <w:tmpl w:val="5F9240E2"/>
    <w:lvl w:ilvl="0" w:tentative="0">
      <w:start w:val="1"/>
      <w:numFmt w:val="decimal"/>
      <w:lvlText w:val="%1、"/>
      <w:lvlJc w:val="left"/>
      <w:pPr>
        <w:ind w:left="1430" w:hanging="720"/>
      </w:pPr>
      <w:rPr>
        <w:rFonts w:hint="default"/>
      </w:rPr>
    </w:lvl>
    <w:lvl w:ilvl="1" w:tentative="0">
      <w:start w:val="1"/>
      <w:numFmt w:val="lowerLetter"/>
      <w:lvlText w:val="%2)"/>
      <w:lvlJc w:val="left"/>
      <w:pPr>
        <w:ind w:left="1428" w:hanging="420"/>
      </w:pPr>
    </w:lvl>
    <w:lvl w:ilvl="2" w:tentative="0">
      <w:start w:val="1"/>
      <w:numFmt w:val="lowerRoman"/>
      <w:lvlText w:val="%3."/>
      <w:lvlJc w:val="right"/>
      <w:pPr>
        <w:ind w:left="1848" w:hanging="420"/>
      </w:pPr>
    </w:lvl>
    <w:lvl w:ilvl="3" w:tentative="0">
      <w:start w:val="1"/>
      <w:numFmt w:val="decimal"/>
      <w:lvlText w:val="%4."/>
      <w:lvlJc w:val="left"/>
      <w:pPr>
        <w:ind w:left="2268" w:hanging="420"/>
      </w:pPr>
    </w:lvl>
    <w:lvl w:ilvl="4" w:tentative="0">
      <w:start w:val="1"/>
      <w:numFmt w:val="lowerLetter"/>
      <w:lvlText w:val="%5)"/>
      <w:lvlJc w:val="left"/>
      <w:pPr>
        <w:ind w:left="2688" w:hanging="420"/>
      </w:pPr>
    </w:lvl>
    <w:lvl w:ilvl="5" w:tentative="0">
      <w:start w:val="1"/>
      <w:numFmt w:val="lowerRoman"/>
      <w:lvlText w:val="%6."/>
      <w:lvlJc w:val="right"/>
      <w:pPr>
        <w:ind w:left="3108" w:hanging="420"/>
      </w:pPr>
    </w:lvl>
    <w:lvl w:ilvl="6" w:tentative="0">
      <w:start w:val="1"/>
      <w:numFmt w:val="decimal"/>
      <w:lvlText w:val="%7."/>
      <w:lvlJc w:val="left"/>
      <w:pPr>
        <w:ind w:left="3528" w:hanging="420"/>
      </w:pPr>
    </w:lvl>
    <w:lvl w:ilvl="7" w:tentative="0">
      <w:start w:val="1"/>
      <w:numFmt w:val="lowerLetter"/>
      <w:lvlText w:val="%8)"/>
      <w:lvlJc w:val="left"/>
      <w:pPr>
        <w:ind w:left="3948" w:hanging="420"/>
      </w:pPr>
    </w:lvl>
    <w:lvl w:ilvl="8" w:tentative="0">
      <w:start w:val="1"/>
      <w:numFmt w:val="lowerRoman"/>
      <w:lvlText w:val="%9."/>
      <w:lvlJc w:val="right"/>
      <w:pPr>
        <w:ind w:left="436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ZjYjJmNzQyZGJhNjZhMmM2MjExNDdkNWVlMzEzMGMifQ=="/>
  </w:docVars>
  <w:rsids>
    <w:rsidRoot w:val="28AE3D5A"/>
    <w:rsid w:val="00375F48"/>
    <w:rsid w:val="003A6B98"/>
    <w:rsid w:val="00445257"/>
    <w:rsid w:val="004D7035"/>
    <w:rsid w:val="00645545"/>
    <w:rsid w:val="00653DE1"/>
    <w:rsid w:val="009261A0"/>
    <w:rsid w:val="009B6E72"/>
    <w:rsid w:val="00B22425"/>
    <w:rsid w:val="00C56B3C"/>
    <w:rsid w:val="00F7082C"/>
    <w:rsid w:val="10E347A8"/>
    <w:rsid w:val="1E192A36"/>
    <w:rsid w:val="28AE3D5A"/>
    <w:rsid w:val="2A9563A6"/>
    <w:rsid w:val="346F4372"/>
    <w:rsid w:val="3EAF5B65"/>
    <w:rsid w:val="45236DFE"/>
    <w:rsid w:val="5061129F"/>
    <w:rsid w:val="514D1D73"/>
    <w:rsid w:val="547A3C05"/>
    <w:rsid w:val="60891586"/>
    <w:rsid w:val="615D0E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qFormat/>
    <w:uiPriority w:val="0"/>
    <w:rPr>
      <w:kern w:val="2"/>
      <w:sz w:val="18"/>
      <w:szCs w:val="18"/>
    </w:rPr>
  </w:style>
  <w:style w:type="character" w:customStyle="1" w:styleId="8">
    <w:name w:val="页眉 Char"/>
    <w:basedOn w:val="6"/>
    <w:link w:val="4"/>
    <w:qFormat/>
    <w:uiPriority w:val="0"/>
    <w:rPr>
      <w:kern w:val="2"/>
      <w:sz w:val="18"/>
      <w:szCs w:val="18"/>
    </w:rPr>
  </w:style>
  <w:style w:type="character" w:customStyle="1" w:styleId="9">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DABA155-B734-49F1-9FFC-D305B48B490D}">
  <ds:schemaRefs/>
</ds:datastoreItem>
</file>

<file path=docProps/app.xml><?xml version="1.0" encoding="utf-8"?>
<Properties xmlns="http://schemas.openxmlformats.org/officeDocument/2006/extended-properties" xmlns:vt="http://schemas.openxmlformats.org/officeDocument/2006/docPropsVTypes">
  <Template>Normal</Template>
  <Pages>6</Pages>
  <Words>2306</Words>
  <Characters>2517</Characters>
  <Lines>18</Lines>
  <Paragraphs>5</Paragraphs>
  <TotalTime>2</TotalTime>
  <ScaleCrop>false</ScaleCrop>
  <LinksUpToDate>false</LinksUpToDate>
  <CharactersWithSpaces>2522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2026-05-12T09:13:00Z</dcterms:created>
  <dc:creator>蚂蚁</dc:creator>
  <cp:lastModifiedBy>懂你</cp:lastModifiedBy>
  <dcterms:modified xsi:type="dcterms:W3CDTF">2026-09-16T10:33:41Z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D9C105C65F0047DC98D52BBC4D580D29_13</vt:lpwstr>
  </property>
  <property fmtid="{D5CDD505-2E9C-101B-9397-08002B2CF9AE}" pid="4" name="KSOTemplateDocerSaveRecord">
    <vt:lpwstr>eyJoZGlkIjoiZmZjYjJmNzQyZGJhNjZhMmM2MjExNDdkNWVlMzEzMGMiLCJ1c2VySWQiOiIzNjA5MDM3MTMifQ==</vt:lpwstr>
  </property>
</Properties>
</file>