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608E4">
      <w:pPr>
        <w:ind w:firstLine="880"/>
        <w:jc w:val="center"/>
        <w:rPr>
          <w:rFonts w:hint="eastAsia" w:ascii="微软雅黑" w:eastAsia="微软雅黑"/>
          <w:sz w:val="44"/>
          <w:szCs w:val="44"/>
          <w:lang w:eastAsia="zh-CN"/>
        </w:rPr>
      </w:pPr>
    </w:p>
    <w:p w14:paraId="39F046FF">
      <w:pPr>
        <w:ind w:firstLine="880"/>
        <w:jc w:val="center"/>
        <w:rPr>
          <w:rFonts w:hint="eastAsia" w:ascii="微软雅黑" w:eastAsia="微软雅黑"/>
          <w:sz w:val="44"/>
          <w:szCs w:val="44"/>
          <w:lang w:eastAsia="zh-CN"/>
        </w:rPr>
      </w:pPr>
    </w:p>
    <w:p w14:paraId="5CCEBABE">
      <w:pPr>
        <w:jc w:val="center"/>
        <w:rPr>
          <w:rFonts w:hint="eastAsia" w:ascii="微软雅黑" w:hAnsi="宋体" w:eastAsia="微软雅黑" w:cs="宋体"/>
          <w:sz w:val="44"/>
          <w:szCs w:val="44"/>
          <w:lang w:eastAsia="zh-CN"/>
        </w:rPr>
      </w:pPr>
      <w:r>
        <w:rPr>
          <w:rFonts w:hint="eastAsia" w:ascii="微软雅黑" w:eastAsia="微软雅黑"/>
          <w:sz w:val="44"/>
          <w:szCs w:val="44"/>
          <w:lang w:eastAsia="zh-CN"/>
        </w:rPr>
        <w:t>202</w:t>
      </w:r>
      <w:r>
        <w:rPr>
          <w:rFonts w:hint="eastAsia" w:ascii="微软雅黑" w:eastAsia="微软雅黑"/>
          <w:sz w:val="44"/>
          <w:szCs w:val="44"/>
          <w:lang w:val="en-US" w:eastAsia="zh-CN"/>
        </w:rPr>
        <w:t>5</w:t>
      </w:r>
      <w:r>
        <w:rPr>
          <w:rFonts w:hint="eastAsia" w:ascii="微软雅黑" w:hAnsi="宋体" w:eastAsia="微软雅黑" w:cs="宋体"/>
          <w:sz w:val="44"/>
          <w:szCs w:val="44"/>
          <w:lang w:eastAsia="zh-CN"/>
        </w:rPr>
        <w:t>年度</w:t>
      </w:r>
      <w:r>
        <w:rPr>
          <w:rFonts w:hint="eastAsia" w:ascii="微软雅黑" w:eastAsia="微软雅黑"/>
          <w:sz w:val="44"/>
          <w:szCs w:val="44"/>
          <w:lang w:eastAsia="zh-CN"/>
        </w:rPr>
        <w:t>岳阳县旅游开发中心</w:t>
      </w:r>
      <w:r>
        <w:rPr>
          <w:rFonts w:hint="eastAsia" w:ascii="微软雅黑" w:hAnsi="宋体" w:eastAsia="微软雅黑" w:cs="宋体"/>
          <w:sz w:val="44"/>
          <w:szCs w:val="44"/>
          <w:lang w:eastAsia="zh-CN"/>
        </w:rPr>
        <w:t>整体支出</w:t>
      </w:r>
    </w:p>
    <w:p w14:paraId="14544FFA">
      <w:pPr>
        <w:jc w:val="center"/>
        <w:rPr>
          <w:rFonts w:ascii="微软雅黑" w:eastAsia="微软雅黑"/>
          <w:sz w:val="44"/>
          <w:szCs w:val="44"/>
          <w:lang w:eastAsia="zh-CN"/>
        </w:rPr>
      </w:pPr>
      <w:r>
        <w:rPr>
          <w:rFonts w:hint="eastAsia" w:ascii="微软雅黑" w:hAnsi="宋体" w:eastAsia="微软雅黑" w:cs="宋体"/>
          <w:sz w:val="44"/>
          <w:szCs w:val="44"/>
          <w:lang w:eastAsia="zh-CN"/>
        </w:rPr>
        <w:t>绩效自评报告</w:t>
      </w:r>
    </w:p>
    <w:p w14:paraId="1E254499">
      <w:pPr>
        <w:pStyle w:val="4"/>
        <w:spacing w:before="78" w:line="221" w:lineRule="auto"/>
        <w:ind w:firstLine="587"/>
        <w:jc w:val="center"/>
        <w:rPr>
          <w:rFonts w:ascii="楷体_GB2312" w:eastAsia="楷体_GB2312"/>
          <w:b/>
          <w:bCs/>
          <w:spacing w:val="-28"/>
          <w:sz w:val="32"/>
          <w:szCs w:val="32"/>
          <w:lang w:eastAsia="zh-CN"/>
        </w:rPr>
      </w:pPr>
    </w:p>
    <w:p w14:paraId="08F37656">
      <w:pPr>
        <w:pStyle w:val="4"/>
        <w:spacing w:before="78" w:line="221" w:lineRule="auto"/>
        <w:ind w:firstLine="587"/>
        <w:jc w:val="center"/>
        <w:rPr>
          <w:rFonts w:ascii="楷体_GB2312" w:eastAsia="楷体_GB2312"/>
          <w:b/>
          <w:bCs/>
          <w:spacing w:val="-28"/>
          <w:sz w:val="32"/>
          <w:szCs w:val="32"/>
          <w:lang w:eastAsia="zh-CN"/>
        </w:rPr>
      </w:pPr>
    </w:p>
    <w:p w14:paraId="3E3AF96A">
      <w:pPr>
        <w:pStyle w:val="4"/>
        <w:spacing w:before="78" w:line="221" w:lineRule="auto"/>
        <w:ind w:firstLine="587"/>
        <w:jc w:val="center"/>
        <w:rPr>
          <w:rFonts w:ascii="楷体_GB2312" w:eastAsia="楷体_GB2312"/>
          <w:b/>
          <w:bCs/>
          <w:spacing w:val="-28"/>
          <w:sz w:val="32"/>
          <w:szCs w:val="32"/>
          <w:lang w:eastAsia="zh-CN"/>
        </w:rPr>
      </w:pPr>
    </w:p>
    <w:p w14:paraId="014BFE0F">
      <w:pPr>
        <w:pStyle w:val="4"/>
        <w:spacing w:before="78" w:line="221" w:lineRule="auto"/>
        <w:ind w:firstLine="587"/>
        <w:jc w:val="center"/>
        <w:rPr>
          <w:rFonts w:ascii="楷体_GB2312" w:eastAsia="楷体_GB2312"/>
          <w:b/>
          <w:bCs/>
          <w:spacing w:val="-28"/>
          <w:sz w:val="32"/>
          <w:szCs w:val="32"/>
          <w:lang w:eastAsia="zh-CN"/>
        </w:rPr>
      </w:pPr>
    </w:p>
    <w:p w14:paraId="594A95A0">
      <w:pPr>
        <w:pStyle w:val="4"/>
        <w:spacing w:before="78" w:line="221" w:lineRule="auto"/>
        <w:ind w:firstLine="587"/>
        <w:jc w:val="center"/>
        <w:rPr>
          <w:rFonts w:ascii="楷体_GB2312" w:eastAsia="楷体_GB2312"/>
          <w:b/>
          <w:bCs/>
          <w:spacing w:val="-28"/>
          <w:sz w:val="32"/>
          <w:szCs w:val="32"/>
          <w:lang w:eastAsia="zh-CN"/>
        </w:rPr>
      </w:pPr>
    </w:p>
    <w:p w14:paraId="29F304A5">
      <w:pPr>
        <w:pStyle w:val="4"/>
        <w:spacing w:before="78" w:line="221" w:lineRule="auto"/>
        <w:ind w:firstLine="587"/>
        <w:jc w:val="center"/>
        <w:rPr>
          <w:rFonts w:ascii="楷体_GB2312" w:eastAsia="楷体_GB2312"/>
          <w:b/>
          <w:bCs/>
          <w:spacing w:val="-28"/>
          <w:sz w:val="32"/>
          <w:szCs w:val="32"/>
          <w:lang w:eastAsia="zh-CN"/>
        </w:rPr>
      </w:pPr>
    </w:p>
    <w:p w14:paraId="45952337">
      <w:pPr>
        <w:pStyle w:val="4"/>
        <w:spacing w:before="78" w:line="221" w:lineRule="auto"/>
        <w:ind w:firstLine="587"/>
        <w:jc w:val="center"/>
        <w:rPr>
          <w:rFonts w:ascii="楷体_GB2312" w:eastAsia="楷体_GB2312"/>
          <w:b/>
          <w:bCs/>
          <w:spacing w:val="-28"/>
          <w:sz w:val="32"/>
          <w:szCs w:val="32"/>
          <w:lang w:eastAsia="zh-CN"/>
        </w:rPr>
      </w:pPr>
    </w:p>
    <w:p w14:paraId="480158BC">
      <w:pPr>
        <w:pStyle w:val="4"/>
        <w:spacing w:before="78" w:line="221" w:lineRule="auto"/>
        <w:ind w:firstLine="587"/>
        <w:jc w:val="center"/>
        <w:rPr>
          <w:rFonts w:ascii="楷体_GB2312" w:eastAsia="楷体_GB2312"/>
          <w:b/>
          <w:bCs/>
          <w:spacing w:val="-28"/>
          <w:sz w:val="32"/>
          <w:szCs w:val="32"/>
          <w:lang w:eastAsia="zh-CN"/>
        </w:rPr>
      </w:pPr>
    </w:p>
    <w:p w14:paraId="1973C063">
      <w:pPr>
        <w:pStyle w:val="4"/>
        <w:spacing w:before="78" w:line="221" w:lineRule="auto"/>
        <w:ind w:firstLine="587"/>
        <w:jc w:val="center"/>
        <w:rPr>
          <w:rFonts w:ascii="楷体_GB2312" w:eastAsia="楷体_GB2312"/>
          <w:b/>
          <w:bCs/>
          <w:spacing w:val="-28"/>
          <w:sz w:val="32"/>
          <w:szCs w:val="32"/>
          <w:lang w:eastAsia="zh-CN"/>
        </w:rPr>
      </w:pPr>
    </w:p>
    <w:p w14:paraId="31243FFA">
      <w:pPr>
        <w:pStyle w:val="4"/>
        <w:spacing w:before="78" w:line="221" w:lineRule="auto"/>
        <w:ind w:firstLine="587"/>
        <w:jc w:val="center"/>
        <w:rPr>
          <w:rFonts w:ascii="楷体_GB2312" w:eastAsia="楷体_GB2312"/>
          <w:b/>
          <w:bCs/>
          <w:spacing w:val="-28"/>
          <w:sz w:val="32"/>
          <w:szCs w:val="32"/>
          <w:lang w:eastAsia="zh-CN"/>
        </w:rPr>
      </w:pPr>
    </w:p>
    <w:p w14:paraId="4D00D393">
      <w:pPr>
        <w:pStyle w:val="4"/>
        <w:spacing w:before="78" w:line="221" w:lineRule="auto"/>
        <w:ind w:firstLine="587"/>
        <w:jc w:val="center"/>
        <w:rPr>
          <w:rFonts w:ascii="楷体_GB2312" w:eastAsia="楷体_GB2312"/>
          <w:b/>
          <w:bCs/>
          <w:spacing w:val="-28"/>
          <w:sz w:val="32"/>
          <w:szCs w:val="32"/>
          <w:lang w:eastAsia="zh-CN"/>
        </w:rPr>
      </w:pPr>
    </w:p>
    <w:p w14:paraId="41415460">
      <w:pPr>
        <w:pStyle w:val="4"/>
        <w:spacing w:before="78" w:line="221" w:lineRule="auto"/>
        <w:ind w:firstLine="587"/>
        <w:jc w:val="center"/>
        <w:rPr>
          <w:rFonts w:ascii="楷体_GB2312" w:eastAsia="楷体_GB2312"/>
          <w:b/>
          <w:bCs/>
          <w:spacing w:val="-28"/>
          <w:sz w:val="32"/>
          <w:szCs w:val="32"/>
          <w:lang w:eastAsia="zh-CN"/>
        </w:rPr>
      </w:pPr>
    </w:p>
    <w:p w14:paraId="135476C7">
      <w:pPr>
        <w:pStyle w:val="4"/>
        <w:spacing w:before="78" w:line="221" w:lineRule="auto"/>
        <w:ind w:firstLine="587"/>
        <w:jc w:val="center"/>
        <w:rPr>
          <w:rFonts w:ascii="楷体_GB2312" w:eastAsia="楷体_GB2312"/>
          <w:b/>
          <w:bCs/>
          <w:spacing w:val="-28"/>
          <w:sz w:val="32"/>
          <w:szCs w:val="32"/>
          <w:lang w:eastAsia="zh-CN"/>
        </w:rPr>
      </w:pPr>
    </w:p>
    <w:p w14:paraId="0B6BDC14">
      <w:pPr>
        <w:pStyle w:val="4"/>
        <w:spacing w:before="78" w:line="221" w:lineRule="auto"/>
        <w:ind w:firstLine="587"/>
        <w:jc w:val="center"/>
        <w:rPr>
          <w:rFonts w:ascii="楷体_GB2312" w:eastAsia="楷体_GB2312"/>
          <w:b/>
          <w:bCs/>
          <w:spacing w:val="-28"/>
          <w:sz w:val="32"/>
          <w:szCs w:val="32"/>
          <w:lang w:eastAsia="zh-CN"/>
        </w:rPr>
      </w:pPr>
    </w:p>
    <w:p w14:paraId="5CEC8DDD">
      <w:pPr>
        <w:pStyle w:val="4"/>
        <w:spacing w:before="78" w:line="221" w:lineRule="auto"/>
        <w:ind w:firstLine="587"/>
        <w:jc w:val="center"/>
        <w:rPr>
          <w:rFonts w:ascii="楷体_GB2312" w:eastAsia="楷体_GB2312"/>
          <w:b/>
          <w:bCs/>
          <w:spacing w:val="-28"/>
          <w:sz w:val="32"/>
          <w:szCs w:val="32"/>
          <w:lang w:eastAsia="zh-CN"/>
        </w:rPr>
      </w:pPr>
    </w:p>
    <w:p w14:paraId="42EFE8B0">
      <w:pPr>
        <w:pStyle w:val="4"/>
        <w:spacing w:before="78" w:line="221" w:lineRule="auto"/>
        <w:ind w:firstLine="587"/>
        <w:jc w:val="center"/>
        <w:rPr>
          <w:rFonts w:ascii="楷体_GB2312" w:eastAsia="楷体_GB2312"/>
          <w:b/>
          <w:bCs/>
          <w:spacing w:val="-28"/>
          <w:sz w:val="32"/>
          <w:szCs w:val="32"/>
          <w:lang w:eastAsia="zh-CN"/>
        </w:rPr>
      </w:pPr>
    </w:p>
    <w:p w14:paraId="18DC83C4">
      <w:pPr>
        <w:pStyle w:val="4"/>
        <w:spacing w:before="78" w:line="221" w:lineRule="auto"/>
        <w:ind w:firstLine="587"/>
        <w:jc w:val="center"/>
        <w:rPr>
          <w:rFonts w:ascii="楷体_GB2312" w:eastAsia="楷体_GB2312"/>
          <w:b/>
          <w:bCs/>
          <w:spacing w:val="-28"/>
          <w:sz w:val="32"/>
          <w:szCs w:val="32"/>
          <w:lang w:eastAsia="zh-CN"/>
        </w:rPr>
      </w:pPr>
    </w:p>
    <w:p w14:paraId="0AA8C022">
      <w:pPr>
        <w:pStyle w:val="4"/>
        <w:spacing w:before="78" w:line="221" w:lineRule="auto"/>
        <w:ind w:firstLine="587"/>
        <w:jc w:val="center"/>
        <w:rPr>
          <w:rFonts w:ascii="楷体_GB2312" w:eastAsia="楷体_GB2312"/>
          <w:b/>
          <w:bCs/>
          <w:spacing w:val="-28"/>
          <w:sz w:val="32"/>
          <w:szCs w:val="32"/>
          <w:lang w:eastAsia="zh-CN"/>
        </w:rPr>
      </w:pPr>
    </w:p>
    <w:p w14:paraId="54E84106">
      <w:pPr>
        <w:pStyle w:val="4"/>
        <w:spacing w:before="78" w:line="221" w:lineRule="auto"/>
        <w:ind w:firstLine="587"/>
        <w:jc w:val="center"/>
        <w:rPr>
          <w:rFonts w:ascii="楷体_GB2312" w:eastAsia="楷体_GB2312"/>
          <w:sz w:val="32"/>
          <w:szCs w:val="32"/>
          <w:lang w:eastAsia="zh-CN"/>
        </w:rPr>
      </w:pPr>
      <w:r>
        <w:rPr>
          <w:rFonts w:hint="eastAsia" w:ascii="楷体_GB2312" w:eastAsia="楷体_GB2312"/>
          <w:b/>
          <w:bCs/>
          <w:spacing w:val="-28"/>
          <w:sz w:val="32"/>
          <w:szCs w:val="32"/>
          <w:lang w:eastAsia="zh-CN"/>
        </w:rPr>
        <w:t>部门(单位)名称：</w:t>
      </w:r>
      <w:r>
        <w:rPr>
          <w:rFonts w:hint="eastAsia" w:ascii="楷体_GB2312" w:eastAsia="楷体_GB2312"/>
          <w:b/>
          <w:bCs/>
          <w:spacing w:val="-28"/>
          <w:sz w:val="32"/>
          <w:szCs w:val="32"/>
          <w:u w:val="single"/>
          <w:lang w:eastAsia="zh-CN"/>
        </w:rPr>
        <w:t>(盖章)</w:t>
      </w:r>
    </w:p>
    <w:p w14:paraId="1167AE64">
      <w:pPr>
        <w:spacing w:before="274" w:line="225" w:lineRule="auto"/>
        <w:ind w:firstLine="617"/>
        <w:jc w:val="center"/>
        <w:rPr>
          <w:rFonts w:ascii="楷体_GB2312" w:hAnsi="楷体" w:eastAsia="楷体_GB2312" w:cs="楷体"/>
          <w:sz w:val="32"/>
          <w:szCs w:val="32"/>
          <w:lang w:eastAsia="zh-CN"/>
        </w:rPr>
      </w:pPr>
      <w:r>
        <w:rPr>
          <w:rFonts w:hint="eastAsia" w:ascii="楷体_GB2312" w:hAnsi="楷体" w:eastAsia="楷体_GB2312" w:cs="楷体"/>
          <w:b/>
          <w:bCs/>
          <w:spacing w:val="-13"/>
          <w:sz w:val="32"/>
          <w:szCs w:val="32"/>
          <w:lang w:val="en-US" w:eastAsia="zh-CN"/>
        </w:rPr>
        <w:t xml:space="preserve">2026 </w:t>
      </w:r>
      <w:r>
        <w:rPr>
          <w:rFonts w:hint="eastAsia" w:ascii="楷体_GB2312" w:hAnsi="楷体" w:eastAsia="楷体_GB2312" w:cs="楷体"/>
          <w:b/>
          <w:bCs/>
          <w:spacing w:val="-13"/>
          <w:sz w:val="32"/>
          <w:szCs w:val="32"/>
          <w:lang w:eastAsia="zh-CN"/>
        </w:rPr>
        <w:t xml:space="preserve">年  </w:t>
      </w:r>
      <w:r>
        <w:rPr>
          <w:rFonts w:hint="eastAsia" w:ascii="楷体_GB2312" w:hAnsi="楷体" w:eastAsia="楷体_GB2312" w:cs="楷体"/>
          <w:b/>
          <w:bCs/>
          <w:spacing w:val="-13"/>
          <w:sz w:val="32"/>
          <w:szCs w:val="32"/>
          <w:lang w:val="en-US" w:eastAsia="zh-CN"/>
        </w:rPr>
        <w:t>9</w:t>
      </w:r>
      <w:r>
        <w:rPr>
          <w:rFonts w:hint="eastAsia" w:ascii="楷体_GB2312" w:hAnsi="楷体" w:eastAsia="楷体_GB2312" w:cs="楷体"/>
          <w:spacing w:val="-13"/>
          <w:sz w:val="32"/>
          <w:szCs w:val="32"/>
          <w:lang w:eastAsia="zh-CN"/>
        </w:rPr>
        <w:t xml:space="preserve">月 </w:t>
      </w:r>
      <w:r>
        <w:rPr>
          <w:rFonts w:hint="eastAsia" w:ascii="楷体_GB2312" w:hAnsi="楷体" w:eastAsia="楷体_GB2312" w:cs="楷体"/>
          <w:spacing w:val="-13"/>
          <w:sz w:val="32"/>
          <w:szCs w:val="32"/>
          <w:lang w:val="en-US" w:eastAsia="zh-CN"/>
        </w:rPr>
        <w:t>17</w:t>
      </w:r>
      <w:r>
        <w:rPr>
          <w:rFonts w:hint="eastAsia" w:ascii="楷体_GB2312" w:hAnsi="楷体" w:eastAsia="楷体_GB2312" w:cs="楷体"/>
          <w:b/>
          <w:bCs/>
          <w:spacing w:val="-13"/>
          <w:sz w:val="32"/>
          <w:szCs w:val="32"/>
          <w:lang w:eastAsia="zh-CN"/>
        </w:rPr>
        <w:t>日</w:t>
      </w:r>
    </w:p>
    <w:p w14:paraId="25365BDB">
      <w:pPr>
        <w:pStyle w:val="4"/>
        <w:spacing w:before="211" w:line="224" w:lineRule="auto"/>
        <w:ind w:firstLine="638"/>
        <w:jc w:val="both"/>
        <w:rPr>
          <w:b/>
          <w:bCs/>
          <w:spacing w:val="18"/>
          <w:sz w:val="30"/>
          <w:szCs w:val="30"/>
          <w:lang w:eastAsia="zh-CN"/>
        </w:rPr>
      </w:pPr>
    </w:p>
    <w:p w14:paraId="0232F654">
      <w:pPr>
        <w:pStyle w:val="4"/>
        <w:spacing w:before="211" w:line="224" w:lineRule="auto"/>
        <w:ind w:firstLine="638"/>
        <w:jc w:val="both"/>
        <w:rPr>
          <w:b/>
          <w:bCs/>
          <w:spacing w:val="18"/>
          <w:sz w:val="30"/>
          <w:szCs w:val="30"/>
          <w:lang w:eastAsia="zh-CN"/>
        </w:rPr>
      </w:pPr>
    </w:p>
    <w:p w14:paraId="7702E209">
      <w:pPr>
        <w:pStyle w:val="4"/>
        <w:spacing w:before="211" w:line="224" w:lineRule="auto"/>
        <w:ind w:firstLine="638"/>
        <w:jc w:val="both"/>
        <w:rPr>
          <w:b/>
          <w:bCs/>
          <w:spacing w:val="18"/>
          <w:sz w:val="30"/>
          <w:szCs w:val="30"/>
          <w:lang w:eastAsia="zh-CN"/>
        </w:rPr>
      </w:pPr>
    </w:p>
    <w:p w14:paraId="6BAFE625">
      <w:pPr>
        <w:pStyle w:val="4"/>
        <w:keepNext w:val="0"/>
        <w:keepLines w:val="0"/>
        <w:pageBreakBefore w:val="0"/>
        <w:numPr>
          <w:ilvl w:val="0"/>
          <w:numId w:val="1"/>
        </w:numPr>
        <w:wordWrap/>
        <w:overflowPunct/>
        <w:topLinePunct w:val="0"/>
        <w:bidi w:val="0"/>
        <w:spacing w:before="0" w:line="620" w:lineRule="exact"/>
        <w:ind w:firstLine="640" w:firstLineChars="200"/>
        <w:jc w:val="both"/>
        <w:rPr>
          <w:rFonts w:hint="eastAsia" w:ascii="方正黑体_GBK" w:eastAsia="方正黑体_GBK"/>
          <w:sz w:val="32"/>
          <w:szCs w:val="32"/>
          <w:lang w:eastAsia="zh-CN"/>
        </w:rPr>
      </w:pPr>
      <w:r>
        <w:rPr>
          <w:rFonts w:hint="eastAsia" w:ascii="方正黑体_GBK" w:eastAsia="方正黑体_GBK"/>
          <w:sz w:val="32"/>
          <w:szCs w:val="32"/>
          <w:lang w:eastAsia="zh-CN"/>
        </w:rPr>
        <w:t>部门</w:t>
      </w:r>
      <w:r>
        <w:rPr>
          <w:rFonts w:ascii="方正黑体_GBK" w:eastAsia="方正黑体_GBK"/>
          <w:sz w:val="32"/>
          <w:szCs w:val="32"/>
          <w:lang w:eastAsia="zh-CN"/>
        </w:rPr>
        <w:t>(</w:t>
      </w:r>
      <w:r>
        <w:rPr>
          <w:rFonts w:hint="eastAsia" w:ascii="方正黑体_GBK" w:eastAsia="方正黑体_GBK"/>
          <w:sz w:val="32"/>
          <w:szCs w:val="32"/>
          <w:lang w:eastAsia="zh-CN"/>
        </w:rPr>
        <w:t>单位</w:t>
      </w:r>
      <w:r>
        <w:rPr>
          <w:rFonts w:ascii="方正黑体_GBK" w:eastAsia="方正黑体_GBK"/>
          <w:sz w:val="32"/>
          <w:szCs w:val="32"/>
          <w:lang w:eastAsia="zh-CN"/>
        </w:rPr>
        <w:t>)</w:t>
      </w:r>
      <w:r>
        <w:rPr>
          <w:rFonts w:hint="eastAsia" w:ascii="方正黑体_GBK" w:eastAsia="方正黑体_GBK"/>
          <w:sz w:val="32"/>
          <w:szCs w:val="32"/>
          <w:lang w:eastAsia="zh-CN"/>
        </w:rPr>
        <w:t>基本情况</w:t>
      </w:r>
    </w:p>
    <w:p w14:paraId="2615721B">
      <w:pPr>
        <w:keepNext w:val="0"/>
        <w:keepLines w:val="0"/>
        <w:pageBreakBefore w:val="0"/>
        <w:widowControl/>
        <w:kinsoku/>
        <w:wordWrap/>
        <w:overflowPunct/>
        <w:topLinePunct w:val="0"/>
        <w:bidi w:val="0"/>
        <w:adjustRightInd/>
        <w:snapToGrid/>
        <w:spacing w:line="620" w:lineRule="exact"/>
        <w:ind w:firstLine="640" w:firstLineChars="200"/>
        <w:jc w:val="both"/>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岳阳县旅游开发中心属副科级公益一类事业单位，在职在编人数</w:t>
      </w:r>
      <w:r>
        <w:rPr>
          <w:rFonts w:hint="eastAsia" w:ascii="仿宋" w:hAnsi="仿宋" w:eastAsia="仿宋" w:cs="仿宋"/>
          <w:color w:val="000000"/>
          <w:kern w:val="0"/>
          <w:sz w:val="32"/>
          <w:szCs w:val="32"/>
          <w:lang w:val="en-US" w:eastAsia="zh-CN"/>
        </w:rPr>
        <w:t>7</w:t>
      </w:r>
      <w:r>
        <w:rPr>
          <w:rFonts w:hint="eastAsia" w:ascii="仿宋" w:hAnsi="仿宋" w:eastAsia="仿宋" w:cs="仿宋"/>
          <w:color w:val="000000"/>
          <w:kern w:val="0"/>
          <w:sz w:val="32"/>
          <w:szCs w:val="32"/>
        </w:rPr>
        <w:t>人，无退休人员</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负责指导全县旅游资源合理开发与利用；指导全县旅游产品开发；负责培训和完善旅游市场，开拓国际国内市场；负责指导旅游教育、培训；负责全县旅游统计和行业信息发布等。</w:t>
      </w:r>
    </w:p>
    <w:p w14:paraId="54AB5373">
      <w:pPr>
        <w:keepNext w:val="0"/>
        <w:keepLines w:val="0"/>
        <w:pageBreakBefore w:val="0"/>
        <w:wordWrap/>
        <w:overflowPunct/>
        <w:topLinePunct w:val="0"/>
        <w:bidi w:val="0"/>
        <w:spacing w:line="620" w:lineRule="exact"/>
        <w:ind w:firstLine="640" w:firstLineChars="200"/>
        <w:jc w:val="both"/>
        <w:rPr>
          <w:rFonts w:ascii="方正黑体_GBK" w:eastAsia="方正黑体_GBK"/>
          <w:sz w:val="32"/>
          <w:szCs w:val="32"/>
          <w:lang w:eastAsia="zh-CN"/>
        </w:rPr>
      </w:pPr>
      <w:r>
        <w:rPr>
          <w:rFonts w:hint="eastAsia" w:ascii="方正黑体_GBK" w:eastAsia="方正黑体_GBK"/>
          <w:sz w:val="32"/>
          <w:szCs w:val="32"/>
          <w:lang w:eastAsia="zh-CN"/>
        </w:rPr>
        <w:t>二、一般公共预算支出情况</w:t>
      </w:r>
    </w:p>
    <w:p w14:paraId="130FC43D">
      <w:pPr>
        <w:pStyle w:val="10"/>
        <w:keepNext w:val="0"/>
        <w:keepLines w:val="0"/>
        <w:pageBreakBefore w:val="0"/>
        <w:widowControl/>
        <w:kinsoku w:val="0"/>
        <w:wordWrap/>
        <w:overflowPunct/>
        <w:topLinePunct w:val="0"/>
        <w:autoSpaceDE w:val="0"/>
        <w:autoSpaceDN w:val="0"/>
        <w:bidi w:val="0"/>
        <w:adjustRightInd w:val="0"/>
        <w:snapToGrid w:val="0"/>
        <w:spacing w:line="620" w:lineRule="exact"/>
        <w:ind w:firstLine="643" w:firstLineChars="200"/>
        <w:jc w:val="both"/>
        <w:textAlignment w:val="baseline"/>
        <w:rPr>
          <w:rFonts w:hint="default" w:ascii="仿宋" w:hAnsi="仿宋" w:eastAsia="仿宋" w:cs="仿宋"/>
          <w:sz w:val="32"/>
          <w:szCs w:val="32"/>
          <w:lang w:val="en-US" w:eastAsia="zh-CN"/>
        </w:rPr>
      </w:pPr>
      <w:r>
        <w:rPr>
          <w:rFonts w:hint="eastAsia" w:ascii="仿宋" w:hAnsi="仿宋" w:eastAsia="仿宋" w:cs="仿宋"/>
          <w:b/>
          <w:sz w:val="32"/>
          <w:szCs w:val="32"/>
          <w:lang w:eastAsia="zh-CN"/>
        </w:rPr>
        <w:t>（一）</w:t>
      </w:r>
      <w:r>
        <w:rPr>
          <w:rFonts w:hint="eastAsia" w:ascii="仿宋" w:hAnsi="仿宋" w:eastAsia="仿宋" w:cs="仿宋"/>
          <w:sz w:val="32"/>
          <w:szCs w:val="32"/>
          <w:lang w:eastAsia="zh-CN"/>
        </w:rPr>
        <w:t>基本支出情况：</w:t>
      </w:r>
      <w:r>
        <w:rPr>
          <w:rFonts w:hint="eastAsia" w:ascii="仿宋" w:hAnsi="仿宋" w:eastAsia="仿宋" w:cs="仿宋"/>
          <w:kern w:val="0"/>
          <w:sz w:val="32"/>
          <w:szCs w:val="32"/>
          <w:lang w:eastAsia="zh-CN"/>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lang w:eastAsia="zh-CN"/>
        </w:rPr>
        <w:t>年我单位基本支出年初预算数为</w:t>
      </w:r>
      <w:r>
        <w:rPr>
          <w:rFonts w:hint="eastAsia" w:ascii="仿宋" w:hAnsi="仿宋" w:eastAsia="仿宋" w:cs="仿宋"/>
          <w:kern w:val="0"/>
          <w:sz w:val="32"/>
          <w:szCs w:val="32"/>
          <w:lang w:val="en-US" w:eastAsia="zh-CN"/>
        </w:rPr>
        <w:t>82.42</w:t>
      </w:r>
      <w:r>
        <w:rPr>
          <w:rFonts w:hint="eastAsia" w:ascii="仿宋" w:hAnsi="仿宋" w:eastAsia="仿宋" w:cs="仿宋"/>
          <w:kern w:val="0"/>
          <w:sz w:val="32"/>
          <w:szCs w:val="32"/>
          <w:lang w:eastAsia="zh-CN"/>
        </w:rPr>
        <w:t>万元，</w:t>
      </w:r>
      <w:r>
        <w:rPr>
          <w:rFonts w:hint="eastAsia" w:ascii="仿宋" w:hAnsi="仿宋" w:eastAsia="仿宋" w:cs="仿宋"/>
          <w:sz w:val="32"/>
          <w:szCs w:val="32"/>
          <w:lang w:eastAsia="zh-CN"/>
        </w:rPr>
        <w:t>年度执行数</w:t>
      </w:r>
      <w:r>
        <w:rPr>
          <w:rFonts w:hint="eastAsia" w:ascii="仿宋" w:hAnsi="仿宋" w:eastAsia="仿宋" w:cs="仿宋"/>
          <w:sz w:val="32"/>
          <w:szCs w:val="32"/>
          <w:lang w:val="en-US" w:eastAsia="zh-CN"/>
        </w:rPr>
        <w:t>82.42</w:t>
      </w:r>
      <w:r>
        <w:rPr>
          <w:rFonts w:hint="eastAsia" w:ascii="仿宋" w:hAnsi="仿宋" w:eastAsia="仿宋" w:cs="仿宋"/>
          <w:sz w:val="32"/>
          <w:szCs w:val="32"/>
          <w:lang w:eastAsia="zh-CN"/>
        </w:rPr>
        <w:t>万元，</w:t>
      </w:r>
      <w:r>
        <w:rPr>
          <w:rFonts w:hint="eastAsia" w:ascii="仿宋" w:hAnsi="仿宋" w:eastAsia="仿宋" w:cs="仿宋"/>
          <w:kern w:val="0"/>
          <w:sz w:val="32"/>
          <w:szCs w:val="32"/>
          <w:lang w:eastAsia="zh-CN"/>
        </w:rPr>
        <w:t>主要包括基本工资、津贴补贴等人员经费以及办公费、印刷费、水电费、差旅费等日常公用经费。其中人员经费</w:t>
      </w:r>
      <w:r>
        <w:rPr>
          <w:rFonts w:hint="eastAsia" w:ascii="仿宋" w:hAnsi="仿宋" w:eastAsia="仿宋" w:cs="仿宋"/>
          <w:kern w:val="0"/>
          <w:sz w:val="32"/>
          <w:szCs w:val="32"/>
          <w:lang w:val="en-US" w:eastAsia="zh-CN"/>
        </w:rPr>
        <w:t>71.43万元，占基本支出的86.67%；公用经费10.99万元，占基本支出的13.33%。</w:t>
      </w:r>
    </w:p>
    <w:p w14:paraId="23F73B48">
      <w:pPr>
        <w:keepNext w:val="0"/>
        <w:keepLines w:val="0"/>
        <w:pageBreakBefore w:val="0"/>
        <w:widowControl/>
        <w:kinsoku w:val="0"/>
        <w:wordWrap/>
        <w:overflowPunct/>
        <w:topLinePunct w:val="0"/>
        <w:autoSpaceDE w:val="0"/>
        <w:autoSpaceDN w:val="0"/>
        <w:bidi w:val="0"/>
        <w:adjustRightInd w:val="0"/>
        <w:snapToGrid w:val="0"/>
        <w:spacing w:line="620" w:lineRule="exact"/>
        <w:ind w:firstLine="643" w:firstLineChars="200"/>
        <w:jc w:val="both"/>
        <w:textAlignment w:val="baseline"/>
        <w:rPr>
          <w:rFonts w:hint="eastAsia" w:ascii="仿宋" w:hAnsi="仿宋" w:eastAsia="仿宋" w:cs="仿宋"/>
          <w:sz w:val="32"/>
          <w:szCs w:val="32"/>
          <w:lang w:eastAsia="zh-CN"/>
        </w:rPr>
      </w:pPr>
      <w:r>
        <w:rPr>
          <w:rFonts w:hint="eastAsia" w:ascii="仿宋" w:hAnsi="仿宋" w:eastAsia="仿宋" w:cs="仿宋"/>
          <w:b/>
          <w:sz w:val="32"/>
          <w:szCs w:val="32"/>
          <w:lang w:eastAsia="zh-CN"/>
        </w:rPr>
        <w:t>（二）</w:t>
      </w:r>
      <w:r>
        <w:rPr>
          <w:rFonts w:hint="eastAsia" w:ascii="仿宋" w:hAnsi="仿宋" w:eastAsia="仿宋" w:cs="仿宋"/>
          <w:sz w:val="32"/>
          <w:szCs w:val="32"/>
          <w:lang w:eastAsia="zh-CN"/>
        </w:rPr>
        <w:t>项目支出情况：202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年我单位项目支出年初预算数</w:t>
      </w:r>
      <w:r>
        <w:rPr>
          <w:rFonts w:hint="eastAsia" w:ascii="仿宋" w:hAnsi="仿宋" w:eastAsia="仿宋" w:cs="仿宋"/>
          <w:sz w:val="32"/>
          <w:szCs w:val="32"/>
          <w:lang w:val="en-US" w:eastAsia="zh-CN"/>
        </w:rPr>
        <w:t>12</w:t>
      </w:r>
      <w:r>
        <w:rPr>
          <w:rFonts w:hint="eastAsia" w:ascii="仿宋" w:hAnsi="仿宋" w:eastAsia="仿宋" w:cs="仿宋"/>
          <w:sz w:val="32"/>
          <w:szCs w:val="32"/>
          <w:lang w:eastAsia="zh-CN"/>
        </w:rPr>
        <w:t>万元，年度执行数</w:t>
      </w:r>
      <w:r>
        <w:rPr>
          <w:rFonts w:hint="eastAsia" w:ascii="仿宋" w:hAnsi="仿宋" w:eastAsia="仿宋" w:cs="仿宋"/>
          <w:sz w:val="32"/>
          <w:szCs w:val="32"/>
          <w:lang w:val="en-US" w:eastAsia="zh-CN"/>
        </w:rPr>
        <w:t>11.90</w:t>
      </w:r>
      <w:r>
        <w:rPr>
          <w:rFonts w:hint="eastAsia" w:ascii="仿宋" w:hAnsi="仿宋" w:eastAsia="仿宋" w:cs="仿宋"/>
          <w:sz w:val="32"/>
          <w:szCs w:val="32"/>
          <w:lang w:eastAsia="zh-CN"/>
        </w:rPr>
        <w:t>万元，主要用于全县旅游宣传、旅游项目、旅游统计等方面。202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年共</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项项目支出，为旅游宣传，经费</w:t>
      </w:r>
      <w:r>
        <w:rPr>
          <w:rFonts w:hint="eastAsia" w:ascii="仿宋" w:hAnsi="仿宋" w:eastAsia="仿宋" w:cs="仿宋"/>
          <w:sz w:val="32"/>
          <w:szCs w:val="32"/>
          <w:lang w:val="en-US" w:eastAsia="zh-CN"/>
        </w:rPr>
        <w:t>11.90万元</w:t>
      </w:r>
      <w:r>
        <w:rPr>
          <w:rFonts w:hint="eastAsia" w:ascii="仿宋" w:hAnsi="仿宋" w:eastAsia="仿宋" w:cs="仿宋"/>
          <w:sz w:val="32"/>
          <w:szCs w:val="32"/>
          <w:lang w:eastAsia="zh-CN"/>
        </w:rPr>
        <w:t>，占项目总支出的</w:t>
      </w:r>
      <w:r>
        <w:rPr>
          <w:rFonts w:hint="eastAsia" w:ascii="仿宋" w:hAnsi="仿宋" w:eastAsia="仿宋" w:cs="仿宋"/>
          <w:sz w:val="32"/>
          <w:szCs w:val="32"/>
          <w:lang w:val="en-US" w:eastAsia="zh-CN"/>
        </w:rPr>
        <w:t>99.17</w:t>
      </w:r>
      <w:r>
        <w:rPr>
          <w:rFonts w:hint="eastAsia" w:ascii="仿宋" w:hAnsi="仿宋" w:eastAsia="仿宋" w:cs="仿宋"/>
          <w:sz w:val="32"/>
          <w:szCs w:val="32"/>
          <w:lang w:eastAsia="zh-CN"/>
        </w:rPr>
        <w:t>%。</w:t>
      </w:r>
    </w:p>
    <w:p w14:paraId="42ADB9DE">
      <w:pPr>
        <w:keepNext w:val="0"/>
        <w:keepLines w:val="0"/>
        <w:pageBreakBefore w:val="0"/>
        <w:wordWrap/>
        <w:overflowPunct/>
        <w:topLinePunct w:val="0"/>
        <w:bidi w:val="0"/>
        <w:spacing w:line="620" w:lineRule="exact"/>
        <w:ind w:firstLine="640" w:firstLineChars="200"/>
        <w:jc w:val="both"/>
        <w:rPr>
          <w:rFonts w:hint="eastAsia" w:ascii="方正黑体_GBK" w:eastAsia="方正黑体_GBK"/>
          <w:sz w:val="32"/>
          <w:szCs w:val="32"/>
          <w:lang w:eastAsia="zh-CN"/>
        </w:rPr>
      </w:pPr>
      <w:r>
        <w:rPr>
          <w:rFonts w:hint="eastAsia" w:ascii="方正黑体_GBK" w:eastAsia="方正黑体_GBK"/>
          <w:sz w:val="32"/>
          <w:szCs w:val="32"/>
          <w:lang w:eastAsia="zh-CN"/>
        </w:rPr>
        <w:t>三、政府性基金预算支出情况</w:t>
      </w:r>
    </w:p>
    <w:p w14:paraId="5BAD1979">
      <w:pPr>
        <w:keepNext w:val="0"/>
        <w:keepLines w:val="0"/>
        <w:pageBreakBefore w:val="0"/>
        <w:wordWrap/>
        <w:overflowPunct/>
        <w:topLinePunct w:val="0"/>
        <w:bidi w:val="0"/>
        <w:spacing w:line="620" w:lineRule="exact"/>
        <w:ind w:firstLine="640" w:firstLineChars="200"/>
        <w:jc w:val="both"/>
        <w:rPr>
          <w:rFonts w:hint="eastAsia" w:ascii="仿宋" w:hAnsi="仿宋" w:eastAsia="仿宋" w:cs="仿宋"/>
          <w:sz w:val="32"/>
          <w:szCs w:val="32"/>
          <w:lang w:eastAsia="zh-CN"/>
        </w:rPr>
      </w:pPr>
      <w:r>
        <w:rPr>
          <w:rFonts w:hint="eastAsia" w:ascii="仿宋" w:hAnsi="仿宋" w:eastAsia="仿宋" w:cs="仿宋"/>
          <w:color w:val="auto"/>
          <w:kern w:val="0"/>
          <w:sz w:val="32"/>
          <w:szCs w:val="32"/>
          <w:lang w:eastAsia="zh-CN"/>
        </w:rPr>
        <w:t>我单位无政府性基金预算。</w:t>
      </w:r>
    </w:p>
    <w:p w14:paraId="1E492AEA">
      <w:pPr>
        <w:keepNext w:val="0"/>
        <w:keepLines w:val="0"/>
        <w:pageBreakBefore w:val="0"/>
        <w:numPr>
          <w:ilvl w:val="0"/>
          <w:numId w:val="2"/>
        </w:numPr>
        <w:wordWrap/>
        <w:overflowPunct/>
        <w:topLinePunct w:val="0"/>
        <w:bidi w:val="0"/>
        <w:spacing w:line="620" w:lineRule="exact"/>
        <w:ind w:firstLine="640" w:firstLineChars="200"/>
        <w:jc w:val="both"/>
        <w:rPr>
          <w:rFonts w:hint="eastAsia" w:ascii="方正黑体_GBK" w:eastAsia="方正黑体_GBK"/>
          <w:sz w:val="32"/>
          <w:szCs w:val="32"/>
          <w:lang w:eastAsia="zh-CN"/>
        </w:rPr>
      </w:pPr>
      <w:r>
        <w:rPr>
          <w:rFonts w:hint="eastAsia" w:ascii="方正黑体_GBK" w:eastAsia="方正黑体_GBK"/>
          <w:sz w:val="32"/>
          <w:szCs w:val="32"/>
          <w:lang w:eastAsia="zh-CN"/>
        </w:rPr>
        <w:t>国有资本经营预算支出情况</w:t>
      </w:r>
    </w:p>
    <w:p w14:paraId="29FFFA52">
      <w:pPr>
        <w:keepNext w:val="0"/>
        <w:keepLines w:val="0"/>
        <w:pageBreakBefore w:val="0"/>
        <w:wordWrap/>
        <w:overflowPunct/>
        <w:topLinePunct w:val="0"/>
        <w:bidi w:val="0"/>
        <w:spacing w:line="620" w:lineRule="exact"/>
        <w:ind w:firstLine="640" w:firstLineChars="200"/>
        <w:jc w:val="both"/>
        <w:rPr>
          <w:rFonts w:hint="eastAsia" w:ascii="仿宋" w:hAnsi="仿宋" w:eastAsia="仿宋" w:cs="仿宋"/>
          <w:sz w:val="32"/>
          <w:szCs w:val="32"/>
          <w:lang w:eastAsia="zh-CN"/>
        </w:rPr>
      </w:pPr>
      <w:r>
        <w:rPr>
          <w:rFonts w:hint="eastAsia" w:ascii="仿宋" w:hAnsi="仿宋" w:eastAsia="仿宋" w:cs="仿宋"/>
          <w:color w:val="auto"/>
          <w:kern w:val="0"/>
          <w:sz w:val="32"/>
          <w:szCs w:val="32"/>
          <w:lang w:eastAsia="zh-CN"/>
        </w:rPr>
        <w:t>我单位无国有资本经营预算。</w:t>
      </w:r>
    </w:p>
    <w:p w14:paraId="0EBAD77E">
      <w:pPr>
        <w:keepNext w:val="0"/>
        <w:keepLines w:val="0"/>
        <w:pageBreakBefore w:val="0"/>
        <w:numPr>
          <w:ilvl w:val="0"/>
          <w:numId w:val="2"/>
        </w:numPr>
        <w:wordWrap/>
        <w:overflowPunct/>
        <w:topLinePunct w:val="0"/>
        <w:bidi w:val="0"/>
        <w:spacing w:line="620" w:lineRule="exact"/>
        <w:ind w:left="0" w:leftChars="0" w:firstLine="640" w:firstLineChars="200"/>
        <w:jc w:val="both"/>
        <w:rPr>
          <w:rFonts w:hint="eastAsia" w:ascii="方正黑体_GBK" w:eastAsia="方正黑体_GBK"/>
          <w:sz w:val="32"/>
          <w:szCs w:val="32"/>
          <w:lang w:eastAsia="zh-CN"/>
        </w:rPr>
      </w:pPr>
      <w:r>
        <w:rPr>
          <w:rFonts w:hint="eastAsia" w:ascii="方正黑体_GBK" w:eastAsia="方正黑体_GBK"/>
          <w:sz w:val="32"/>
          <w:szCs w:val="32"/>
          <w:lang w:eastAsia="zh-CN"/>
        </w:rPr>
        <w:t>社会保险基金预算支出情况</w:t>
      </w:r>
    </w:p>
    <w:p w14:paraId="1583EE14">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620" w:lineRule="exact"/>
        <w:ind w:firstLine="640" w:firstLineChars="200"/>
        <w:jc w:val="both"/>
        <w:textAlignment w:val="baseline"/>
        <w:rPr>
          <w:rFonts w:hint="eastAsia" w:ascii="仿宋" w:hAnsi="仿宋" w:eastAsia="仿宋" w:cs="仿宋"/>
          <w:snapToGrid w:val="0"/>
          <w:color w:val="auto"/>
          <w:kern w:val="0"/>
          <w:sz w:val="32"/>
          <w:szCs w:val="32"/>
          <w:lang w:val="en-US" w:eastAsia="zh-CN" w:bidi="ar-SA"/>
        </w:rPr>
      </w:pPr>
      <w:r>
        <w:rPr>
          <w:rFonts w:hint="eastAsia" w:ascii="仿宋" w:hAnsi="仿宋" w:eastAsia="仿宋" w:cs="仿宋"/>
          <w:snapToGrid w:val="0"/>
          <w:color w:val="auto"/>
          <w:kern w:val="0"/>
          <w:sz w:val="32"/>
          <w:szCs w:val="32"/>
          <w:lang w:val="en-US" w:eastAsia="zh-CN" w:bidi="ar-SA"/>
        </w:rPr>
        <w:t>2024年度，我单位社会保障和就业支出4.51万元，卫生健康支出2.68万元，其他社会保障和就业支出0.28万元，住房保障支出3.38万元。</w:t>
      </w:r>
    </w:p>
    <w:p w14:paraId="5D323454">
      <w:pPr>
        <w:keepNext w:val="0"/>
        <w:keepLines w:val="0"/>
        <w:pageBreakBefore w:val="0"/>
        <w:wordWrap/>
        <w:overflowPunct/>
        <w:topLinePunct w:val="0"/>
        <w:bidi w:val="0"/>
        <w:spacing w:line="620" w:lineRule="exact"/>
        <w:ind w:firstLine="640" w:firstLineChars="200"/>
        <w:jc w:val="both"/>
        <w:rPr>
          <w:rFonts w:ascii="方正黑体_GBK" w:eastAsia="方正黑体_GBK"/>
          <w:sz w:val="32"/>
          <w:szCs w:val="32"/>
          <w:lang w:eastAsia="zh-CN"/>
        </w:rPr>
      </w:pPr>
      <w:r>
        <w:rPr>
          <w:rFonts w:hint="eastAsia" w:ascii="方正黑体_GBK" w:eastAsia="方正黑体_GBK"/>
          <w:sz w:val="32"/>
          <w:szCs w:val="32"/>
          <w:lang w:eastAsia="zh-CN"/>
        </w:rPr>
        <w:t>六、部门整体支出绩效情况</w:t>
      </w:r>
    </w:p>
    <w:p w14:paraId="393D8F4F">
      <w:pPr>
        <w:keepNext w:val="0"/>
        <w:keepLines w:val="0"/>
        <w:pageBreakBefore w:val="0"/>
        <w:wordWrap/>
        <w:overflowPunct/>
        <w:topLinePunct w:val="0"/>
        <w:bidi w:val="0"/>
        <w:spacing w:line="620" w:lineRule="exact"/>
        <w:ind w:firstLine="640" w:firstLineChars="200"/>
        <w:jc w:val="both"/>
        <w:rPr>
          <w:rFonts w:hint="eastAsia" w:ascii="仿宋" w:hAnsi="仿宋" w:eastAsia="仿宋" w:cs="仿宋"/>
          <w:kern w:val="0"/>
          <w:sz w:val="32"/>
          <w:szCs w:val="32"/>
          <w:lang w:bidi="ar-SA"/>
        </w:rPr>
      </w:pPr>
      <w:r>
        <w:rPr>
          <w:rFonts w:hint="eastAsia" w:ascii="仿宋" w:hAnsi="仿宋" w:eastAsia="仿宋" w:cs="仿宋"/>
          <w:snapToGrid w:val="0"/>
          <w:color w:val="auto"/>
          <w:kern w:val="0"/>
          <w:sz w:val="32"/>
          <w:szCs w:val="32"/>
          <w:lang w:val="en-US" w:eastAsia="zh-CN" w:bidi="ar-SA"/>
        </w:rPr>
        <w:t>2025年，我们紧紧围绕全域旅游示范区建设工作部署，推进旅游重点项目建设，开拓旅游市场，旅游工作取得一定成效。</w:t>
      </w:r>
      <w:r>
        <w:rPr>
          <w:rFonts w:hint="eastAsia" w:ascii="仿宋" w:hAnsi="仿宋" w:eastAsia="仿宋" w:cs="仿宋"/>
          <w:kern w:val="0"/>
          <w:sz w:val="32"/>
          <w:szCs w:val="32"/>
          <w:lang w:bidi="ar-SA"/>
        </w:rPr>
        <w:t>2025年</w:t>
      </w:r>
      <w:r>
        <w:rPr>
          <w:rFonts w:hint="eastAsia" w:ascii="仿宋" w:hAnsi="仿宋" w:eastAsia="仿宋" w:cs="仿宋"/>
          <w:kern w:val="0"/>
          <w:sz w:val="32"/>
          <w:szCs w:val="32"/>
          <w:lang w:val="en-US" w:eastAsia="zh-CN" w:bidi="ar-SA"/>
        </w:rPr>
        <w:t>全县</w:t>
      </w:r>
      <w:r>
        <w:rPr>
          <w:rFonts w:hint="eastAsia" w:ascii="仿宋" w:hAnsi="仿宋" w:eastAsia="仿宋" w:cs="仿宋"/>
          <w:kern w:val="0"/>
          <w:sz w:val="32"/>
          <w:szCs w:val="32"/>
          <w:lang w:bidi="ar-SA"/>
        </w:rPr>
        <w:t>接待国内游客人数为893.59万人次，同比增长13.18%；接待国内游客总花费为98</w:t>
      </w:r>
      <w:r>
        <w:rPr>
          <w:rFonts w:hint="eastAsia" w:ascii="仿宋" w:hAnsi="仿宋" w:eastAsia="仿宋" w:cs="仿宋"/>
          <w:kern w:val="0"/>
          <w:sz w:val="32"/>
          <w:szCs w:val="32"/>
          <w:lang w:val="en-US" w:eastAsia="zh-CN" w:bidi="ar-SA"/>
        </w:rPr>
        <w:t>.</w:t>
      </w:r>
      <w:r>
        <w:rPr>
          <w:rFonts w:hint="eastAsia" w:ascii="仿宋" w:hAnsi="仿宋" w:eastAsia="仿宋" w:cs="仿宋"/>
          <w:kern w:val="0"/>
          <w:sz w:val="32"/>
          <w:szCs w:val="32"/>
          <w:lang w:bidi="ar-SA"/>
        </w:rPr>
        <w:t>151亿元，同比增长11.99%。</w:t>
      </w:r>
    </w:p>
    <w:p w14:paraId="5C36CD2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b/>
          <w:bCs/>
          <w:snapToGrid w:val="0"/>
          <w:color w:val="auto"/>
          <w:kern w:val="0"/>
          <w:sz w:val="32"/>
          <w:szCs w:val="32"/>
          <w:lang w:val="en-US" w:eastAsia="zh-CN" w:bidi="ar-SA"/>
        </w:rPr>
      </w:pPr>
      <w:r>
        <w:rPr>
          <w:rFonts w:hint="eastAsia" w:ascii="仿宋" w:hAnsi="仿宋" w:eastAsia="仿宋" w:cs="仿宋"/>
          <w:b/>
          <w:bCs/>
          <w:snapToGrid w:val="0"/>
          <w:color w:val="auto"/>
          <w:kern w:val="0"/>
          <w:sz w:val="32"/>
          <w:szCs w:val="32"/>
          <w:lang w:val="en-US" w:eastAsia="zh-CN" w:bidi="ar-SA"/>
        </w:rPr>
        <w:t>1、全力服务旅发大会，展现“岳阳担当”</w:t>
      </w:r>
    </w:p>
    <w:p w14:paraId="69C2F25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 w:hAnsi="仿宋" w:eastAsia="仿宋" w:cs="仿宋"/>
          <w:snapToGrid w:val="0"/>
          <w:color w:val="auto"/>
          <w:kern w:val="0"/>
          <w:sz w:val="32"/>
          <w:szCs w:val="32"/>
          <w:lang w:val="en-US" w:eastAsia="zh-CN" w:bidi="ar-SA"/>
        </w:rPr>
      </w:pPr>
      <w:r>
        <w:rPr>
          <w:rFonts w:hint="eastAsia" w:ascii="仿宋" w:hAnsi="仿宋" w:eastAsia="仿宋" w:cs="仿宋"/>
          <w:snapToGrid w:val="0"/>
          <w:color w:val="auto"/>
          <w:kern w:val="0"/>
          <w:sz w:val="32"/>
          <w:szCs w:val="32"/>
          <w:lang w:val="en-US" w:eastAsia="zh-CN" w:bidi="ar-SA"/>
        </w:rPr>
        <w:t>一是服务好项目建设。第四届湖南旅游发展大会已于2025年5月在岳阳圆满落幕，我县成功承办了省旅发大会的观摩项目1个（张谷英景区综合开发项目）及办会兴城项目3个（岳阳县大云山生态旅游开发项目、胜天湖温汤康养项目、灵雾山森林康养项目）。同时，积极协助各项目单位报送项目建设内容、问题清单、任务清单以及项目施工图，并按时按质完成相关工作任务，确保各项材料及时汇总报送至市旅发大会组委会。二是协助完成旅发大会岳阳县观摩项目的接待工作。系统梳理项目内容、观摩路线、接待服务及氛围营造等各项工作，高标准做好G线观摩线路以及洞庭湖对话嘉宾观摩线路的嘉宾接待工作。三是强化旅发大会宣传推广工作。协同宣传部开展旅发大会线上宣传活动，通过多平台协同发力，创新实施“文旅+”组合策略，累计发布旅发宣传内容近1600条，创下总流量近10亿的传播佳绩，既为旅游品牌推广注入强劲动力，更以融合传播新范式全面激活文旅产业发展新活力。联动县城投完成全县主要旅游交通道路沿线标识系统新增与更新，营造良好宣传氛围。</w:t>
      </w:r>
    </w:p>
    <w:p w14:paraId="11897E5D">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 w:hAnsi="仿宋" w:eastAsia="仿宋" w:cs="仿宋"/>
          <w:b/>
          <w:bCs/>
          <w:snapToGrid w:val="0"/>
          <w:color w:val="auto"/>
          <w:kern w:val="0"/>
          <w:sz w:val="32"/>
          <w:szCs w:val="32"/>
          <w:lang w:val="en-US" w:eastAsia="zh-CN" w:bidi="ar-SA"/>
        </w:rPr>
      </w:pPr>
      <w:r>
        <w:rPr>
          <w:rFonts w:hint="eastAsia" w:ascii="仿宋" w:hAnsi="仿宋" w:eastAsia="仿宋" w:cs="仿宋"/>
          <w:b/>
          <w:bCs/>
          <w:snapToGrid w:val="0"/>
          <w:color w:val="auto"/>
          <w:kern w:val="0"/>
          <w:sz w:val="32"/>
          <w:szCs w:val="32"/>
          <w:lang w:val="en-US" w:eastAsia="zh-CN" w:bidi="ar-SA"/>
        </w:rPr>
        <w:t>2、全力开展项目招商，激活“发展动能”</w:t>
      </w:r>
    </w:p>
    <w:p w14:paraId="021EB62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default" w:ascii="仿宋" w:hAnsi="仿宋" w:eastAsia="仿宋" w:cs="仿宋"/>
          <w:snapToGrid w:val="0"/>
          <w:color w:val="auto"/>
          <w:kern w:val="0"/>
          <w:sz w:val="32"/>
          <w:szCs w:val="32"/>
          <w:lang w:val="en-US" w:eastAsia="zh-CN" w:bidi="ar-SA"/>
        </w:rPr>
      </w:pPr>
      <w:r>
        <w:rPr>
          <w:rFonts w:hint="eastAsia" w:ascii="仿宋" w:hAnsi="仿宋" w:eastAsia="仿宋" w:cs="仿宋"/>
          <w:snapToGrid w:val="0"/>
          <w:color w:val="auto"/>
          <w:kern w:val="0"/>
          <w:sz w:val="32"/>
          <w:szCs w:val="32"/>
          <w:lang w:val="en-US" w:eastAsia="zh-CN" w:bidi="ar-SA"/>
        </w:rPr>
        <w:t>先后与湖南旅游集团总部对接洽谈张谷英景区开发合作事宜8次。与上海建为签约张谷英数字VR项目。先后与湖南荧光对接洽谈新境界马术项目4次。先后多次接待伟光汇通、中兴基金、湖南文旅集团、新境界马业等客商考察相思山、公田温泉、麻塘康养等项目。原分管副县长续广宁带队赴深圳、湘潭开展项目招商活动。原县委常委、宣传部长张哲君带队赴贵州台江开展村BA文旅项目招商考察。分管副县长张文毅带队赴深圳考察新境界马术项目。目前，公田温泉已完成物探和钻探招投标工作，将加快推进钻井施工作业，同时加大招商引资力度。</w:t>
      </w:r>
    </w:p>
    <w:p w14:paraId="0C05C635">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left"/>
        <w:textAlignment w:val="auto"/>
        <w:rPr>
          <w:rFonts w:hint="eastAsia" w:ascii="仿宋" w:hAnsi="仿宋" w:eastAsia="仿宋" w:cs="仿宋"/>
          <w:b/>
          <w:bCs/>
          <w:snapToGrid w:val="0"/>
          <w:color w:val="auto"/>
          <w:kern w:val="0"/>
          <w:sz w:val="32"/>
          <w:szCs w:val="32"/>
          <w:lang w:val="en-US" w:eastAsia="zh-CN" w:bidi="ar-SA"/>
        </w:rPr>
      </w:pPr>
      <w:r>
        <w:rPr>
          <w:rFonts w:hint="eastAsia" w:ascii="仿宋" w:hAnsi="仿宋" w:eastAsia="仿宋" w:cs="仿宋"/>
          <w:b/>
          <w:bCs/>
          <w:snapToGrid w:val="0"/>
          <w:color w:val="auto"/>
          <w:kern w:val="0"/>
          <w:sz w:val="32"/>
          <w:szCs w:val="32"/>
          <w:lang w:val="en-US" w:eastAsia="zh-CN" w:bidi="ar-SA"/>
        </w:rPr>
        <w:t>3、全力创新宣传营销，拓展“品牌影响”</w:t>
      </w:r>
    </w:p>
    <w:p w14:paraId="7E89761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仿宋" w:hAnsi="仿宋" w:eastAsia="仿宋" w:cs="仿宋"/>
          <w:snapToGrid w:val="0"/>
          <w:color w:val="auto"/>
          <w:kern w:val="0"/>
          <w:sz w:val="32"/>
          <w:szCs w:val="32"/>
          <w:lang w:val="en-US" w:eastAsia="zh-CN" w:bidi="ar-SA"/>
        </w:rPr>
      </w:pPr>
      <w:r>
        <w:rPr>
          <w:rFonts w:hint="eastAsia" w:ascii="仿宋" w:hAnsi="仿宋" w:eastAsia="仿宋" w:cs="仿宋"/>
          <w:snapToGrid w:val="0"/>
          <w:color w:val="auto"/>
          <w:kern w:val="0"/>
          <w:sz w:val="32"/>
          <w:szCs w:val="32"/>
          <w:lang w:val="en-US" w:eastAsia="zh-CN" w:bidi="ar-SA"/>
        </w:rPr>
        <w:t>一是举办特色文旅活动，积极做好2025年全国春节“村晚”主场活动宣传工作，组织策划了张谷英“草根”村晚活动。先后举办或配合举办了元旦春节文旅宣传推广活动</w:t>
      </w:r>
      <w:r>
        <w:rPr>
          <w:rFonts w:hint="eastAsia" w:ascii="仿宋" w:hAnsi="仿宋" w:eastAsia="仿宋" w:cs="仿宋"/>
          <w:b w:val="0"/>
          <w:bCs w:val="0"/>
          <w:color w:val="auto"/>
          <w:sz w:val="32"/>
          <w:szCs w:val="32"/>
          <w:highlight w:val="none"/>
          <w:lang w:val="en-US" w:eastAsia="zh-CN"/>
        </w:rPr>
        <w:t>、</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茶</w:t>
      </w:r>
      <w:r>
        <w:rPr>
          <w:rFonts w:hint="eastAsia" w:ascii="仿宋" w:hAnsi="仿宋" w:eastAsia="仿宋" w:cs="仿宋"/>
          <w:snapToGrid w:val="0"/>
          <w:color w:val="auto"/>
          <w:kern w:val="0"/>
          <w:sz w:val="32"/>
          <w:szCs w:val="32"/>
          <w:lang w:val="en-US" w:eastAsia="zh-CN" w:bidi="ar-SA"/>
        </w:rPr>
        <w:t>绿樱花红·洞庭春”第二届茶文化活动、“2024年5·19中国旅游日岳阳县宣传活动暨黄精文化节推广活动”、公田养生稻丰收节等活动。二是优化自媒体运营，全年共计编排发布“巴陵文旅”公众号推文70余篇，策划拍摄剪辑发布短视频300多条。策划拍摄“藏族姑娘巴陵漫游记”专题宣传视频，共制作19期。搭建巴陵文旅直播间，搭建巴陵文旅直播间，开展文旅活动直播4场，举办2期文旅自媒体公益培训班。市级及以上媒体上稿310条，其中“湘当有味看村晚，千年古村过小年”2025年全国春节“村晚”主场活动相关咨询共上CCTV共计5次，巴陵文旅抖音号“村晚”系列原创作品四条超过2W浏览量。通过主流媒体围绕大云山、张谷英村、刘备洞、黄秀农耕文化园、寿星园、麻糖草莓园、 岳阳县鹿角水寨、岳阳县樱花园推出系列报道40篇，阅读量累计超400万。三是积极开展旅游推介活动，赴北京开展“湘当有味看村晚，千年古村过小年”2025年全国春节“村晚”主场活动的新闻发布推介会；组织参加“大美江湖 天下岳阳”2025 岳阳文旅（大湾区）推介会，在黄花机场开展了为期一周的“湖湘风情周周看”文旅推广活动，组织参加2025年湖南红色文化旅游节、2025年东盟文旅产业博览中国文化产业博览会、湖南文化旅游产业博览会暨首届“12.12”文旅消费购物节、中国国际旅游交易会等活动，开展文旅宣传推介活动。四是打造精品旅游线路，岳阳樱花园上榜2025年全国春季乡村旅游线路。设计发布5条研学旅行精品线路。我们原创设计的“耕读传家 孝友同行”研学课程和“</w:t>
      </w:r>
      <w:r>
        <w:rPr>
          <w:rFonts w:hint="default" w:ascii="仿宋" w:hAnsi="仿宋" w:eastAsia="仿宋" w:cs="仿宋"/>
          <w:snapToGrid w:val="0"/>
          <w:color w:val="auto"/>
          <w:kern w:val="0"/>
          <w:sz w:val="32"/>
          <w:szCs w:val="32"/>
          <w:lang w:val="en-US" w:eastAsia="zh-CN" w:bidi="ar-SA"/>
        </w:rPr>
        <w:t>耕读传家·古村寻脉</w:t>
      </w:r>
      <w:r>
        <w:rPr>
          <w:rFonts w:hint="eastAsia" w:ascii="仿宋" w:hAnsi="仿宋" w:eastAsia="仿宋" w:cs="仿宋"/>
          <w:snapToGrid w:val="0"/>
          <w:color w:val="auto"/>
          <w:kern w:val="0"/>
          <w:sz w:val="32"/>
          <w:szCs w:val="32"/>
          <w:lang w:val="en-US" w:eastAsia="zh-CN" w:bidi="ar-SA"/>
        </w:rPr>
        <w:t>——</w:t>
      </w:r>
      <w:r>
        <w:rPr>
          <w:rFonts w:hint="default" w:ascii="仿宋" w:hAnsi="仿宋" w:eastAsia="仿宋" w:cs="仿宋"/>
          <w:snapToGrid w:val="0"/>
          <w:color w:val="auto"/>
          <w:kern w:val="0"/>
          <w:sz w:val="32"/>
          <w:szCs w:val="32"/>
          <w:lang w:val="en-US" w:eastAsia="zh-CN" w:bidi="ar-SA"/>
        </w:rPr>
        <w:t>探秘张谷英村</w:t>
      </w:r>
      <w:r>
        <w:rPr>
          <w:rFonts w:hint="eastAsia" w:ascii="仿宋" w:hAnsi="仿宋" w:eastAsia="仿宋" w:cs="仿宋"/>
          <w:snapToGrid w:val="0"/>
          <w:color w:val="auto"/>
          <w:kern w:val="0"/>
          <w:sz w:val="32"/>
          <w:szCs w:val="32"/>
          <w:lang w:val="en-US" w:eastAsia="zh-CN" w:bidi="ar-SA"/>
        </w:rPr>
        <w:t>”</w:t>
      </w:r>
      <w:r>
        <w:rPr>
          <w:rFonts w:hint="default" w:ascii="仿宋" w:hAnsi="仿宋" w:eastAsia="仿宋" w:cs="仿宋"/>
          <w:snapToGrid w:val="0"/>
          <w:color w:val="auto"/>
          <w:kern w:val="0"/>
          <w:sz w:val="32"/>
          <w:szCs w:val="32"/>
          <w:lang w:val="en-US" w:eastAsia="zh-CN" w:bidi="ar-SA"/>
        </w:rPr>
        <w:t>主题研学线路荣获湖南省第二届研学旅游行业技能大赛银奖。</w:t>
      </w:r>
    </w:p>
    <w:p w14:paraId="628485CF">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left="0" w:leftChars="0" w:right="0" w:rightChars="0" w:firstLine="643" w:firstLineChars="0"/>
        <w:jc w:val="both"/>
        <w:textAlignment w:val="auto"/>
        <w:rPr>
          <w:rFonts w:hint="default" w:ascii="仿宋" w:hAnsi="仿宋" w:eastAsia="仿宋" w:cs="仿宋"/>
          <w:snapToGrid w:val="0"/>
          <w:color w:val="auto"/>
          <w:kern w:val="0"/>
          <w:sz w:val="32"/>
          <w:szCs w:val="32"/>
          <w:lang w:val="en-US" w:eastAsia="zh-CN" w:bidi="ar-SA"/>
        </w:rPr>
      </w:pPr>
      <w:r>
        <w:rPr>
          <w:rFonts w:hint="eastAsia" w:ascii="仿宋" w:hAnsi="仿宋" w:eastAsia="仿宋" w:cs="仿宋"/>
          <w:b/>
          <w:bCs/>
          <w:snapToGrid w:val="0"/>
          <w:color w:val="auto"/>
          <w:kern w:val="0"/>
          <w:sz w:val="32"/>
          <w:szCs w:val="32"/>
          <w:lang w:val="en-US" w:eastAsia="zh-CN" w:bidi="ar-SA"/>
        </w:rPr>
        <w:t> 4、全力加强品牌创建，打造“特色名片”</w:t>
      </w:r>
    </w:p>
    <w:p w14:paraId="3142860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firstLine="643"/>
        <w:jc w:val="both"/>
        <w:textAlignment w:val="auto"/>
        <w:rPr>
          <w:rFonts w:hint="default" w:ascii="仿宋" w:hAnsi="仿宋" w:eastAsia="仿宋" w:cs="仿宋"/>
          <w:snapToGrid w:val="0"/>
          <w:color w:val="auto"/>
          <w:kern w:val="0"/>
          <w:sz w:val="32"/>
          <w:szCs w:val="32"/>
          <w:lang w:val="en-US" w:eastAsia="zh-CN" w:bidi="ar-SA"/>
        </w:rPr>
      </w:pPr>
      <w:r>
        <w:rPr>
          <w:rFonts w:hint="default" w:ascii="仿宋" w:hAnsi="仿宋" w:eastAsia="仿宋" w:cs="仿宋"/>
          <w:snapToGrid w:val="0"/>
          <w:color w:val="auto"/>
          <w:kern w:val="0"/>
          <w:sz w:val="32"/>
          <w:szCs w:val="32"/>
          <w:lang w:val="en-US" w:eastAsia="zh-CN" w:bidi="ar-SA"/>
        </w:rPr>
        <w:t>寿星园、鹿角水寨获评第三批湖南省文旅消费</w:t>
      </w:r>
      <w:r>
        <w:rPr>
          <w:rFonts w:hint="eastAsia" w:ascii="仿宋" w:hAnsi="仿宋" w:eastAsia="仿宋" w:cs="仿宋"/>
          <w:snapToGrid w:val="0"/>
          <w:color w:val="auto"/>
          <w:kern w:val="0"/>
          <w:sz w:val="32"/>
          <w:szCs w:val="32"/>
          <w:lang w:val="en-US" w:eastAsia="zh-CN" w:bidi="ar-SA"/>
        </w:rPr>
        <w:t>“</w:t>
      </w:r>
      <w:r>
        <w:rPr>
          <w:rFonts w:hint="default" w:ascii="仿宋" w:hAnsi="仿宋" w:eastAsia="仿宋" w:cs="仿宋"/>
          <w:snapToGrid w:val="0"/>
          <w:color w:val="auto"/>
          <w:kern w:val="0"/>
          <w:sz w:val="32"/>
          <w:szCs w:val="32"/>
          <w:lang w:val="en-US" w:eastAsia="zh-CN" w:bidi="ar-SA"/>
        </w:rPr>
        <w:t>新生代·新场景</w:t>
      </w:r>
      <w:r>
        <w:rPr>
          <w:rFonts w:hint="eastAsia" w:ascii="仿宋" w:hAnsi="仿宋" w:eastAsia="仿宋" w:cs="仿宋"/>
          <w:snapToGrid w:val="0"/>
          <w:color w:val="auto"/>
          <w:kern w:val="0"/>
          <w:sz w:val="32"/>
          <w:szCs w:val="32"/>
          <w:lang w:val="en-US" w:eastAsia="zh-CN" w:bidi="ar-SA"/>
        </w:rPr>
        <w:t>”</w:t>
      </w:r>
      <w:r>
        <w:rPr>
          <w:rFonts w:hint="default" w:ascii="仿宋" w:hAnsi="仿宋" w:eastAsia="仿宋" w:cs="仿宋"/>
          <w:snapToGrid w:val="0"/>
          <w:color w:val="auto"/>
          <w:kern w:val="0"/>
          <w:sz w:val="32"/>
          <w:szCs w:val="32"/>
          <w:lang w:val="en-US" w:eastAsia="zh-CN" w:bidi="ar-SA"/>
        </w:rPr>
        <w:t>，</w:t>
      </w:r>
      <w:r>
        <w:rPr>
          <w:rFonts w:hint="eastAsia" w:ascii="仿宋" w:hAnsi="仿宋" w:eastAsia="仿宋" w:cs="仿宋"/>
          <w:snapToGrid w:val="0"/>
          <w:color w:val="auto"/>
          <w:kern w:val="0"/>
          <w:sz w:val="32"/>
          <w:szCs w:val="32"/>
          <w:lang w:val="en-US" w:eastAsia="zh-CN" w:bidi="ar-SA"/>
        </w:rPr>
        <w:t>积极组织张谷英景区、融湾新天地商业中心申报第三批省级夜间文化和旅游消费集聚区遴选，融湾新天地商业中心有望入选。开展</w:t>
      </w:r>
      <w:r>
        <w:rPr>
          <w:rFonts w:hint="default" w:ascii="仿宋" w:hAnsi="仿宋" w:eastAsia="仿宋" w:cs="仿宋"/>
          <w:snapToGrid w:val="0"/>
          <w:color w:val="auto"/>
          <w:kern w:val="0"/>
          <w:sz w:val="32"/>
          <w:szCs w:val="32"/>
          <w:lang w:val="en-US" w:eastAsia="zh-CN" w:bidi="ar-SA"/>
        </w:rPr>
        <w:t>岳阳特色伴手礼</w:t>
      </w:r>
      <w:r>
        <w:rPr>
          <w:rFonts w:hint="eastAsia" w:ascii="仿宋" w:hAnsi="仿宋" w:eastAsia="仿宋" w:cs="仿宋"/>
          <w:snapToGrid w:val="0"/>
          <w:color w:val="auto"/>
          <w:kern w:val="0"/>
          <w:sz w:val="32"/>
          <w:szCs w:val="32"/>
          <w:lang w:val="en-US" w:eastAsia="zh-CN" w:bidi="ar-SA"/>
        </w:rPr>
        <w:t>评选，</w:t>
      </w:r>
      <w:r>
        <w:rPr>
          <w:rFonts w:hint="default" w:ascii="仿宋" w:hAnsi="仿宋" w:eastAsia="仿宋" w:cs="仿宋"/>
          <w:snapToGrid w:val="0"/>
          <w:color w:val="auto"/>
          <w:kern w:val="0"/>
          <w:sz w:val="32"/>
          <w:szCs w:val="32"/>
          <w:lang w:val="en-US" w:eastAsia="zh-CN" w:bidi="ar-SA"/>
        </w:rPr>
        <w:t xml:space="preserve"> 13款</w:t>
      </w:r>
      <w:r>
        <w:rPr>
          <w:rFonts w:hint="eastAsia" w:ascii="仿宋" w:hAnsi="仿宋" w:eastAsia="仿宋" w:cs="仿宋"/>
          <w:snapToGrid w:val="0"/>
          <w:color w:val="auto"/>
          <w:kern w:val="0"/>
          <w:sz w:val="32"/>
          <w:szCs w:val="32"/>
          <w:lang w:val="en-US" w:eastAsia="zh-CN" w:bidi="ar-SA"/>
        </w:rPr>
        <w:t>特色产品获得推荐</w:t>
      </w:r>
      <w:r>
        <w:rPr>
          <w:rFonts w:hint="default" w:ascii="仿宋" w:hAnsi="仿宋" w:eastAsia="仿宋" w:cs="仿宋"/>
          <w:snapToGrid w:val="0"/>
          <w:color w:val="auto"/>
          <w:kern w:val="0"/>
          <w:sz w:val="32"/>
          <w:szCs w:val="32"/>
          <w:lang w:val="en-US" w:eastAsia="zh-CN" w:bidi="ar-SA"/>
        </w:rPr>
        <w:t>。</w:t>
      </w:r>
    </w:p>
    <w:p w14:paraId="222AF22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仿宋" w:hAnsi="仿宋" w:eastAsia="仿宋" w:cs="仿宋"/>
          <w:snapToGrid w:val="0"/>
          <w:color w:val="auto"/>
          <w:kern w:val="0"/>
          <w:sz w:val="32"/>
          <w:szCs w:val="32"/>
          <w:lang w:val="en-US" w:eastAsia="zh-CN" w:bidi="ar-SA"/>
        </w:rPr>
      </w:pPr>
      <w:r>
        <w:rPr>
          <w:rFonts w:hint="eastAsia" w:ascii="仿宋" w:hAnsi="仿宋" w:eastAsia="仿宋" w:cs="仿宋"/>
          <w:b/>
          <w:bCs/>
          <w:snapToGrid w:val="0"/>
          <w:color w:val="auto"/>
          <w:kern w:val="0"/>
          <w:sz w:val="32"/>
          <w:szCs w:val="32"/>
          <w:lang w:val="en-US" w:eastAsia="zh-CN" w:bidi="ar-SA"/>
        </w:rPr>
        <w:t>5、全力夯实基础工作，确保“有序运转”</w:t>
      </w:r>
    </w:p>
    <w:p w14:paraId="24D8A78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napToGrid w:val="0"/>
          <w:color w:val="auto"/>
          <w:kern w:val="0"/>
          <w:sz w:val="32"/>
          <w:szCs w:val="32"/>
          <w:lang w:val="en-US" w:eastAsia="zh-CN" w:bidi="ar-SA"/>
        </w:rPr>
      </w:pPr>
      <w:r>
        <w:rPr>
          <w:rFonts w:hint="eastAsia" w:ascii="仿宋" w:hAnsi="仿宋" w:eastAsia="仿宋" w:cs="仿宋"/>
          <w:snapToGrid w:val="0"/>
          <w:color w:val="auto"/>
          <w:kern w:val="0"/>
          <w:sz w:val="32"/>
          <w:szCs w:val="32"/>
          <w:lang w:val="en-US" w:eastAsia="zh-CN" w:bidi="ar-SA"/>
        </w:rPr>
        <w:t>一是做好日常旅游统计，按时保质做好文旅市场和酒店月报、季报，资产月报，假日旅游统计，假日市场情况综述上报，入境旅游抽样调查等工作。二是组织配合做好全市资普工作，全县旅游资源普查收集工作已完成1000余条，收集2025年重点项目近20个，并督促各旅游企业完成</w:t>
      </w:r>
      <w:r>
        <w:rPr>
          <w:rFonts w:hint="default" w:ascii="仿宋" w:hAnsi="仿宋" w:eastAsia="仿宋" w:cs="仿宋"/>
          <w:snapToGrid w:val="0"/>
          <w:color w:val="auto"/>
          <w:kern w:val="0"/>
          <w:sz w:val="32"/>
          <w:szCs w:val="32"/>
          <w:lang w:val="en-US" w:eastAsia="zh-CN" w:bidi="ar-SA"/>
        </w:rPr>
        <w:t>项目库系统填报</w:t>
      </w:r>
      <w:r>
        <w:rPr>
          <w:rFonts w:hint="eastAsia" w:ascii="仿宋" w:hAnsi="仿宋" w:eastAsia="仿宋" w:cs="仿宋"/>
          <w:snapToGrid w:val="0"/>
          <w:color w:val="auto"/>
          <w:kern w:val="0"/>
          <w:sz w:val="32"/>
          <w:szCs w:val="32"/>
          <w:lang w:val="en-US" w:eastAsia="zh-CN" w:bidi="ar-SA"/>
        </w:rPr>
        <w:t>工作。</w:t>
      </w:r>
      <w:bookmarkStart w:id="0" w:name="_GoBack"/>
      <w:bookmarkEnd w:id="0"/>
    </w:p>
    <w:p w14:paraId="2A918E87">
      <w:pPr>
        <w:keepNext w:val="0"/>
        <w:keepLines w:val="0"/>
        <w:pageBreakBefore w:val="0"/>
        <w:wordWrap/>
        <w:overflowPunct/>
        <w:topLinePunct w:val="0"/>
        <w:bidi w:val="0"/>
        <w:spacing w:line="620" w:lineRule="exact"/>
        <w:ind w:firstLine="640" w:firstLineChars="200"/>
        <w:jc w:val="both"/>
        <w:rPr>
          <w:rFonts w:ascii="方正黑体_GBK" w:eastAsia="方正黑体_GBK"/>
          <w:sz w:val="32"/>
          <w:szCs w:val="32"/>
          <w:lang w:eastAsia="zh-CN"/>
        </w:rPr>
      </w:pPr>
      <w:r>
        <w:rPr>
          <w:rFonts w:hint="eastAsia" w:ascii="方正黑体_GBK" w:eastAsia="方正黑体_GBK"/>
          <w:sz w:val="32"/>
          <w:szCs w:val="32"/>
          <w:lang w:eastAsia="zh-CN"/>
        </w:rPr>
        <w:t>七、存在的问题及原因分析</w:t>
      </w:r>
    </w:p>
    <w:p w14:paraId="253AA99F">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年度我中心财政预算收支总体执行平稳，年初预算数与年度实际执行数偏差较小，预算执行规范化、精细化水平稳步提升。但结合年度旅游工作开展实际，仍存在部分短板与不足，具体问题及原因：主要是旅游行业本身市场不确定性较强，业态创新力度不足，宣传运营思路不够开阔，内部预算精细化管理意识还需加强。下一步将补齐短板，强化统筹谋划，提升文旅工作及资金使用效益。</w:t>
      </w:r>
    </w:p>
    <w:p w14:paraId="10FB2B16">
      <w:pPr>
        <w:keepNext w:val="0"/>
        <w:keepLines w:val="0"/>
        <w:pageBreakBefore w:val="0"/>
        <w:numPr>
          <w:ilvl w:val="0"/>
          <w:numId w:val="3"/>
        </w:numPr>
        <w:wordWrap/>
        <w:overflowPunct/>
        <w:topLinePunct w:val="0"/>
        <w:bidi w:val="0"/>
        <w:spacing w:line="620" w:lineRule="exact"/>
        <w:ind w:firstLine="640" w:firstLineChars="200"/>
        <w:jc w:val="both"/>
        <w:rPr>
          <w:rFonts w:hint="eastAsia" w:ascii="方正黑体_GBK" w:eastAsia="方正黑体_GBK"/>
          <w:sz w:val="32"/>
          <w:szCs w:val="32"/>
          <w:lang w:eastAsia="zh-CN"/>
        </w:rPr>
      </w:pPr>
      <w:r>
        <w:rPr>
          <w:rFonts w:hint="eastAsia" w:ascii="方正黑体_GBK" w:eastAsia="方正黑体_GBK"/>
          <w:sz w:val="32"/>
          <w:szCs w:val="32"/>
          <w:lang w:eastAsia="zh-CN"/>
        </w:rPr>
        <w:t>下一步改进措施</w:t>
      </w:r>
    </w:p>
    <w:p w14:paraId="5BDD55E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wordWrap/>
        <w:overflowPunct/>
        <w:topLinePunct w:val="0"/>
        <w:bidi w:val="0"/>
        <w:spacing w:before="0" w:beforeAutospacing="0" w:after="0" w:afterAutospacing="0" w:line="620" w:lineRule="exact"/>
        <w:ind w:left="0" w:right="0" w:firstLine="640" w:firstLineChars="200"/>
        <w:jc w:val="both"/>
        <w:textAlignment w:val="center"/>
        <w:rPr>
          <w:rFonts w:hint="eastAsia" w:ascii="仿宋" w:hAnsi="仿宋" w:eastAsia="仿宋" w:cs="仿宋"/>
          <w:snapToGrid w:val="0"/>
          <w:color w:val="000000"/>
          <w:kern w:val="0"/>
          <w:sz w:val="32"/>
          <w:szCs w:val="32"/>
          <w:lang w:val="en-US" w:eastAsia="zh-CN" w:bidi="ar-SA"/>
        </w:rPr>
      </w:pPr>
      <w:r>
        <w:rPr>
          <w:rFonts w:hint="eastAsia" w:ascii="仿宋" w:hAnsi="仿宋" w:eastAsia="仿宋" w:cs="仿宋"/>
          <w:snapToGrid w:val="0"/>
          <w:color w:val="000000"/>
          <w:kern w:val="0"/>
          <w:sz w:val="32"/>
          <w:szCs w:val="32"/>
          <w:lang w:val="en-US" w:eastAsia="zh-CN" w:bidi="ar-SA"/>
        </w:rPr>
        <w:t>建立健全绩效评价指标体系，加强工作人员的业务培训，加大绩效评价结果的运用。</w:t>
      </w:r>
    </w:p>
    <w:p w14:paraId="00983DE7">
      <w:pPr>
        <w:keepNext w:val="0"/>
        <w:keepLines w:val="0"/>
        <w:pageBreakBefore w:val="0"/>
        <w:numPr>
          <w:ilvl w:val="0"/>
          <w:numId w:val="3"/>
        </w:numPr>
        <w:wordWrap/>
        <w:overflowPunct/>
        <w:topLinePunct w:val="0"/>
        <w:bidi w:val="0"/>
        <w:spacing w:line="620" w:lineRule="exact"/>
        <w:ind w:left="0" w:leftChars="0" w:firstLine="640" w:firstLineChars="200"/>
        <w:jc w:val="both"/>
        <w:rPr>
          <w:rFonts w:hint="eastAsia" w:ascii="方正黑体_GBK" w:eastAsia="方正黑体_GBK"/>
          <w:sz w:val="32"/>
          <w:szCs w:val="32"/>
          <w:lang w:eastAsia="zh-CN"/>
        </w:rPr>
      </w:pPr>
      <w:r>
        <w:rPr>
          <w:rFonts w:hint="eastAsia" w:ascii="方正黑体_GBK" w:eastAsia="方正黑体_GBK"/>
          <w:sz w:val="32"/>
          <w:szCs w:val="32"/>
          <w:lang w:eastAsia="zh-CN"/>
        </w:rPr>
        <w:t>部门整体支出绩效自评结果拟应用和公开情况</w:t>
      </w:r>
    </w:p>
    <w:p w14:paraId="1661BD66">
      <w:pPr>
        <w:keepNext w:val="0"/>
        <w:keepLines w:val="0"/>
        <w:pageBreakBefore w:val="0"/>
        <w:numPr>
          <w:ilvl w:val="0"/>
          <w:numId w:val="0"/>
        </w:numPr>
        <w:wordWrap/>
        <w:overflowPunct/>
        <w:topLinePunct w:val="0"/>
        <w:bidi w:val="0"/>
        <w:spacing w:line="620" w:lineRule="exact"/>
        <w:ind w:firstLine="640" w:firstLineChars="200"/>
        <w:jc w:val="both"/>
        <w:rPr>
          <w:rFonts w:hint="eastAsia" w:ascii="方正黑体_GBK" w:eastAsia="方正黑体_GBK"/>
          <w:sz w:val="32"/>
          <w:szCs w:val="32"/>
          <w:lang w:eastAsia="zh-CN"/>
        </w:rPr>
      </w:pPr>
      <w:r>
        <w:rPr>
          <w:rFonts w:hint="eastAsia" w:ascii="仿宋" w:hAnsi="仿宋" w:eastAsia="仿宋" w:cs="仿宋"/>
          <w:sz w:val="32"/>
          <w:szCs w:val="32"/>
          <w:lang w:val="en-US" w:eastAsia="zh-CN"/>
        </w:rPr>
        <w:t>绩效自评结果已在各项工作中运用且在政府门户网站公示。</w:t>
      </w:r>
    </w:p>
    <w:p w14:paraId="5AE35BAD">
      <w:pPr>
        <w:keepNext w:val="0"/>
        <w:keepLines w:val="0"/>
        <w:pageBreakBefore w:val="0"/>
        <w:wordWrap/>
        <w:overflowPunct/>
        <w:topLinePunct w:val="0"/>
        <w:bidi w:val="0"/>
        <w:spacing w:line="620" w:lineRule="exact"/>
        <w:ind w:firstLine="640" w:firstLineChars="200"/>
        <w:jc w:val="both"/>
        <w:rPr>
          <w:rFonts w:hint="eastAsia" w:eastAsia="黑体"/>
          <w:sz w:val="32"/>
          <w:szCs w:val="32"/>
          <w:lang w:eastAsia="zh-CN"/>
        </w:rPr>
      </w:pPr>
      <w:r>
        <w:rPr>
          <w:rFonts w:hint="eastAsia" w:eastAsia="黑体"/>
          <w:sz w:val="32"/>
          <w:szCs w:val="32"/>
          <w:lang w:eastAsia="zh-CN"/>
        </w:rPr>
        <w:t>十、其他需要说明的情况</w:t>
      </w:r>
    </w:p>
    <w:p w14:paraId="618DB184">
      <w:pPr>
        <w:pStyle w:val="3"/>
        <w:keepNext w:val="0"/>
        <w:keepLines w:val="0"/>
        <w:pageBreakBefore w:val="0"/>
        <w:widowControl/>
        <w:kinsoku w:val="0"/>
        <w:wordWrap/>
        <w:overflowPunct/>
        <w:topLinePunct w:val="0"/>
        <w:autoSpaceDE w:val="0"/>
        <w:autoSpaceDN w:val="0"/>
        <w:bidi w:val="0"/>
        <w:adjustRightInd w:val="0"/>
        <w:snapToGrid w:val="0"/>
        <w:spacing w:before="0" w:after="0" w:line="620" w:lineRule="exact"/>
        <w:ind w:firstLine="640" w:firstLineChars="200"/>
        <w:jc w:val="both"/>
        <w:textAlignment w:val="baseline"/>
        <w:rPr>
          <w:rFonts w:hint="eastAsia" w:ascii="Arial" w:hAnsi="Arial" w:eastAsia="仿宋_GB2312" w:cs="Arial"/>
          <w:snapToGrid w:val="0"/>
          <w:color w:val="000000"/>
          <w:sz w:val="32"/>
          <w:szCs w:val="32"/>
          <w:lang w:val="en-US" w:eastAsia="zh-CN" w:bidi="ar-SA"/>
        </w:rPr>
      </w:pPr>
      <w:r>
        <w:rPr>
          <w:rFonts w:hint="eastAsia" w:ascii="Arial" w:hAnsi="Arial" w:eastAsia="仿宋_GB2312" w:cs="Arial"/>
          <w:snapToGrid w:val="0"/>
          <w:color w:val="000000"/>
          <w:sz w:val="32"/>
          <w:szCs w:val="32"/>
          <w:lang w:val="en-US" w:eastAsia="zh-CN" w:bidi="ar-SA"/>
        </w:rPr>
        <w:t>无</w:t>
      </w:r>
    </w:p>
    <w:p w14:paraId="60382016">
      <w:pPr>
        <w:spacing w:line="600" w:lineRule="exact"/>
        <w:ind w:firstLine="640" w:firstLineChars="200"/>
        <w:jc w:val="both"/>
        <w:rPr>
          <w:rFonts w:hint="default" w:eastAsia="仿宋_GB2312"/>
          <w:sz w:val="32"/>
          <w:szCs w:val="32"/>
          <w:lang w:val="en-US" w:eastAsia="zh-CN"/>
        </w:rPr>
      </w:pPr>
    </w:p>
    <w:p w14:paraId="74138EC5">
      <w:pPr>
        <w:spacing w:line="600" w:lineRule="exact"/>
        <w:jc w:val="both"/>
        <w:rPr>
          <w:rFonts w:eastAsia="仿宋_GB2312"/>
          <w:sz w:val="32"/>
          <w:szCs w:val="32"/>
          <w:lang w:eastAsia="zh-CN"/>
        </w:rPr>
      </w:pPr>
    </w:p>
    <w:p w14:paraId="25609538">
      <w:pPr>
        <w:kinsoku/>
        <w:autoSpaceDE/>
        <w:autoSpaceDN/>
        <w:adjustRightInd/>
        <w:snapToGrid/>
        <w:ind w:firstLine="560"/>
        <w:jc w:val="both"/>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8BA161B-3562-4843-9249-012D78FB17D1}"/>
  </w:font>
  <w:font w:name="黑体">
    <w:panose1 w:val="02010609060101010101"/>
    <w:charset w:val="86"/>
    <w:family w:val="auto"/>
    <w:pitch w:val="default"/>
    <w:sig w:usb0="800002BF" w:usb1="38CF7CFA" w:usb2="00000016" w:usb3="00000000" w:csb0="00040001" w:csb1="00000000"/>
    <w:embedRegular r:id="rId2" w:fontKey="{D64B39DB-924C-4E4A-82F8-546DB224858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3" w:fontKey="{CC87967A-2FD7-4EB7-A0B1-51C98B5B2540}"/>
  </w:font>
  <w:font w:name="仿宋_GB2312">
    <w:panose1 w:val="02010609030101010101"/>
    <w:charset w:val="86"/>
    <w:family w:val="modern"/>
    <w:pitch w:val="default"/>
    <w:sig w:usb0="00000001" w:usb1="080E0000" w:usb2="00000000" w:usb3="00000000" w:csb0="00040000" w:csb1="00000000"/>
    <w:embedRegular r:id="rId4" w:fontKey="{89DAD78A-451C-4814-8DA3-10417AE46740}"/>
  </w:font>
  <w:font w:name="仿宋">
    <w:panose1 w:val="02010609060101010101"/>
    <w:charset w:val="86"/>
    <w:family w:val="modern"/>
    <w:pitch w:val="default"/>
    <w:sig w:usb0="800002BF" w:usb1="38CF7CFA" w:usb2="00000016" w:usb3="00000000" w:csb0="00040001" w:csb1="00000000"/>
    <w:embedRegular r:id="rId5" w:fontKey="{59AE8DB9-305A-4177-9B40-4EE2DD9C02C8}"/>
  </w:font>
  <w:font w:name="微软雅黑">
    <w:panose1 w:val="020B0503020204020204"/>
    <w:charset w:val="86"/>
    <w:family w:val="auto"/>
    <w:pitch w:val="default"/>
    <w:sig w:usb0="80000287" w:usb1="2ACF3C50" w:usb2="00000016" w:usb3="00000000" w:csb0="0004001F" w:csb1="00000000"/>
    <w:embedRegular r:id="rId6" w:fontKey="{EFEAB9DB-1FC2-4B36-82FD-67192C884A6B}"/>
  </w:font>
  <w:font w:name="楷体_GB2312">
    <w:panose1 w:val="02010609030101010101"/>
    <w:charset w:val="86"/>
    <w:family w:val="modern"/>
    <w:pitch w:val="default"/>
    <w:sig w:usb0="00000001" w:usb1="080E0000" w:usb2="00000000" w:usb3="00000000" w:csb0="00040000" w:csb1="00000000"/>
    <w:embedRegular r:id="rId7" w:fontKey="{64FA4C04-1334-4A23-B18F-06BEA04288D7}"/>
  </w:font>
  <w:font w:name="楷体">
    <w:panose1 w:val="02010609060101010101"/>
    <w:charset w:val="86"/>
    <w:family w:val="modern"/>
    <w:pitch w:val="default"/>
    <w:sig w:usb0="800002BF" w:usb1="38CF7CFA" w:usb2="00000016" w:usb3="00000000" w:csb0="00040001" w:csb1="00000000"/>
    <w:embedRegular r:id="rId8" w:fontKey="{E26ADC67-5E97-4D71-8552-7133689EA9EA}"/>
  </w:font>
  <w:font w:name="方正黑体_GBK">
    <w:altName w:val="微软雅黑"/>
    <w:panose1 w:val="03000509000000000000"/>
    <w:charset w:val="86"/>
    <w:family w:val="script"/>
    <w:pitch w:val="default"/>
    <w:sig w:usb0="00000000" w:usb1="00000000" w:usb2="00000000" w:usb3="00000000" w:csb0="00040000" w:csb1="00000000"/>
    <w:embedRegular r:id="rId9" w:fontKey="{0699EDC3-B7F9-4CEE-825B-605D2312261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DAAFC5"/>
    <w:multiLevelType w:val="singleLevel"/>
    <w:tmpl w:val="9EDAAFC5"/>
    <w:lvl w:ilvl="0" w:tentative="0">
      <w:start w:val="1"/>
      <w:numFmt w:val="chineseCounting"/>
      <w:suff w:val="nothing"/>
      <w:lvlText w:val="%1、"/>
      <w:lvlJc w:val="left"/>
      <w:rPr>
        <w:rFonts w:hint="eastAsia"/>
      </w:rPr>
    </w:lvl>
  </w:abstractNum>
  <w:abstractNum w:abstractNumId="1">
    <w:nsid w:val="A96E535D"/>
    <w:multiLevelType w:val="singleLevel"/>
    <w:tmpl w:val="A96E535D"/>
    <w:lvl w:ilvl="0" w:tentative="0">
      <w:start w:val="8"/>
      <w:numFmt w:val="chineseCounting"/>
      <w:suff w:val="nothing"/>
      <w:lvlText w:val="%1、"/>
      <w:lvlJc w:val="left"/>
      <w:rPr>
        <w:rFonts w:hint="eastAsia"/>
      </w:rPr>
    </w:lvl>
  </w:abstractNum>
  <w:abstractNum w:abstractNumId="2">
    <w:nsid w:val="7A531998"/>
    <w:multiLevelType w:val="singleLevel"/>
    <w:tmpl w:val="7A531998"/>
    <w:lvl w:ilvl="0" w:tentative="0">
      <w:start w:val="4"/>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zNzhjNDA1M2Q0YzRjYzQ2OWIwZmU2NTIyOGEwYTQifQ=="/>
  </w:docVars>
  <w:rsids>
    <w:rsidRoot w:val="24DC0E9C"/>
    <w:rsid w:val="01CF4654"/>
    <w:rsid w:val="02F96864"/>
    <w:rsid w:val="04D51926"/>
    <w:rsid w:val="07835C4E"/>
    <w:rsid w:val="079A613C"/>
    <w:rsid w:val="0AAC0660"/>
    <w:rsid w:val="0B464611"/>
    <w:rsid w:val="0C7D22B4"/>
    <w:rsid w:val="0D957AD2"/>
    <w:rsid w:val="110D797F"/>
    <w:rsid w:val="12837EF9"/>
    <w:rsid w:val="13F015BE"/>
    <w:rsid w:val="14643D5A"/>
    <w:rsid w:val="19834C82"/>
    <w:rsid w:val="1A473F02"/>
    <w:rsid w:val="1D9B7BE0"/>
    <w:rsid w:val="21DA565B"/>
    <w:rsid w:val="23767606"/>
    <w:rsid w:val="24DC0E9C"/>
    <w:rsid w:val="26024709"/>
    <w:rsid w:val="27C71713"/>
    <w:rsid w:val="2C4E1120"/>
    <w:rsid w:val="2D660066"/>
    <w:rsid w:val="2D8A42E4"/>
    <w:rsid w:val="30000983"/>
    <w:rsid w:val="33633703"/>
    <w:rsid w:val="33E12879"/>
    <w:rsid w:val="351647A5"/>
    <w:rsid w:val="35776D52"/>
    <w:rsid w:val="35F5085E"/>
    <w:rsid w:val="3A4A1178"/>
    <w:rsid w:val="3CCB770C"/>
    <w:rsid w:val="3D362C5E"/>
    <w:rsid w:val="3E6326B4"/>
    <w:rsid w:val="3EF618CF"/>
    <w:rsid w:val="45E561F9"/>
    <w:rsid w:val="4A7933B4"/>
    <w:rsid w:val="4F457D08"/>
    <w:rsid w:val="57346AC9"/>
    <w:rsid w:val="57601B83"/>
    <w:rsid w:val="5B865931"/>
    <w:rsid w:val="5BAF4E87"/>
    <w:rsid w:val="5D156F6C"/>
    <w:rsid w:val="61DC274E"/>
    <w:rsid w:val="639C2195"/>
    <w:rsid w:val="63D25BB7"/>
    <w:rsid w:val="64134F68"/>
    <w:rsid w:val="641E0DFC"/>
    <w:rsid w:val="65670581"/>
    <w:rsid w:val="666B5E4F"/>
    <w:rsid w:val="6A611A43"/>
    <w:rsid w:val="6A7539A0"/>
    <w:rsid w:val="6DC77328"/>
    <w:rsid w:val="6DD95D94"/>
    <w:rsid w:val="6E3A4A84"/>
    <w:rsid w:val="707D6EAA"/>
    <w:rsid w:val="715C2F64"/>
    <w:rsid w:val="71E05943"/>
    <w:rsid w:val="72B84BC2"/>
    <w:rsid w:val="74212243"/>
    <w:rsid w:val="7496678D"/>
    <w:rsid w:val="74EC45FF"/>
    <w:rsid w:val="76480D1F"/>
    <w:rsid w:val="78BE62B2"/>
    <w:rsid w:val="7AEC7106"/>
    <w:rsid w:val="7BD302C6"/>
    <w:rsid w:val="7CC145C3"/>
    <w:rsid w:val="7F6A2C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图表目录1"/>
    <w:basedOn w:val="1"/>
    <w:next w:val="1"/>
    <w:qFormat/>
    <w:uiPriority w:val="0"/>
    <w:pPr>
      <w:spacing w:line="580" w:lineRule="exact"/>
      <w:ind w:left="200" w:leftChars="200" w:hanging="200" w:hangingChars="200"/>
    </w:pPr>
    <w:rPr>
      <w:rFonts w:eastAsia="仿宋_GB2312"/>
      <w:sz w:val="32"/>
    </w:rPr>
  </w:style>
  <w:style w:type="paragraph" w:styleId="3">
    <w:name w:val="toa heading"/>
    <w:basedOn w:val="1"/>
    <w:next w:val="1"/>
    <w:qFormat/>
    <w:uiPriority w:val="99"/>
    <w:pPr>
      <w:spacing w:before="120" w:after="200" w:line="276" w:lineRule="auto"/>
    </w:pPr>
    <w:rPr>
      <w:rFonts w:ascii="Arial" w:hAnsi="Arial"/>
      <w:sz w:val="24"/>
    </w:rPr>
  </w:style>
  <w:style w:type="paragraph" w:styleId="4">
    <w:name w:val="Body Text"/>
    <w:basedOn w:val="1"/>
    <w:semiHidden/>
    <w:qFormat/>
    <w:uiPriority w:val="0"/>
    <w:pPr>
      <w:spacing w:before="20" w:line="222" w:lineRule="auto"/>
    </w:pPr>
    <w:rPr>
      <w:rFonts w:ascii="仿宋" w:hAnsi="仿宋" w:eastAsia="仿宋" w:cs="仿宋"/>
      <w:sz w:val="35"/>
      <w:szCs w:val="35"/>
    </w:rPr>
  </w:style>
  <w:style w:type="paragraph" w:styleId="5">
    <w:name w:val="footer"/>
    <w:basedOn w:val="1"/>
    <w:qFormat/>
    <w:uiPriority w:val="99"/>
    <w:pPr>
      <w:tabs>
        <w:tab w:val="center" w:pos="4153"/>
        <w:tab w:val="right" w:pos="8306"/>
      </w:tabs>
      <w:spacing w:line="560" w:lineRule="exac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2631</Words>
  <Characters>2787</Characters>
  <Lines>0</Lines>
  <Paragraphs>0</Paragraphs>
  <TotalTime>16</TotalTime>
  <ScaleCrop>false</ScaleCrop>
  <LinksUpToDate>false</LinksUpToDate>
  <CharactersWithSpaces>2797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2024-05-07T08:33:00Z</dcterms:created>
  <dc:creator>杨云</dc:creator>
  <cp:lastModifiedBy>良田1413353188</cp:lastModifiedBy>
  <dcterms:modified xsi:type="dcterms:W3CDTF">2026-09-17T05:56:07Z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37FD733C30A04152B2DCF57DAC3EE45B_13</vt:lpwstr>
  </property>
  <property fmtid="{D5CDD505-2E9C-101B-9397-08002B2CF9AE}" pid="4" name="KSOTemplateDocerSaveRecord">
    <vt:lpwstr>eyJoZGlkIjoiMDYxNGE4MzJlNjMzYjM4ZGEwYzIxM2QyZTI3NGU2ZjMiLCJ1c2VySWQiOiIyMzEwNjI2NSJ9</vt:lpwstr>
  </property>
</Properties>
</file>