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E8B64">
      <w:pPr>
        <w:spacing w:line="348" w:lineRule="auto"/>
        <w:jc w:val="center"/>
        <w:rPr>
          <w:rFonts w:hint="eastAsia" w:eastAsia="方正小标宋简体"/>
          <w:bCs/>
          <w:sz w:val="42"/>
          <w:szCs w:val="42"/>
        </w:rPr>
      </w:pPr>
    </w:p>
    <w:p w14:paraId="0378CCC9">
      <w:pPr>
        <w:spacing w:line="800" w:lineRule="exact"/>
        <w:jc w:val="center"/>
        <w:rPr>
          <w:rFonts w:hint="eastAsia" w:eastAsia="方正小标宋简体"/>
          <w:bCs/>
          <w:sz w:val="46"/>
          <w:szCs w:val="46"/>
        </w:rPr>
      </w:pPr>
      <w:r>
        <w:rPr>
          <w:rFonts w:hint="eastAsia" w:eastAsia="方正小标宋简体"/>
          <w:bCs/>
          <w:sz w:val="46"/>
          <w:szCs w:val="46"/>
          <w:lang w:eastAsia="zh-CN"/>
        </w:rPr>
        <w:t>中共岳阳县委办公室</w:t>
      </w:r>
      <w:r>
        <w:rPr>
          <w:rFonts w:hint="eastAsia" w:eastAsia="方正小标宋简体"/>
          <w:bCs/>
          <w:sz w:val="46"/>
          <w:szCs w:val="46"/>
        </w:rPr>
        <w:t>202</w:t>
      </w:r>
      <w:r>
        <w:rPr>
          <w:rFonts w:hint="eastAsia" w:eastAsia="方正小标宋简体"/>
          <w:bCs/>
          <w:sz w:val="46"/>
          <w:szCs w:val="46"/>
          <w:lang w:val="en-US" w:eastAsia="zh-CN"/>
        </w:rPr>
        <w:t>5</w:t>
      </w:r>
      <w:r>
        <w:rPr>
          <w:rFonts w:hint="eastAsia" w:eastAsia="方正小标宋简体"/>
          <w:bCs/>
          <w:sz w:val="46"/>
          <w:szCs w:val="46"/>
        </w:rPr>
        <w:t>年度整体支出绩效自评报告</w:t>
      </w:r>
    </w:p>
    <w:p w14:paraId="56DFBC73">
      <w:pPr>
        <w:rPr>
          <w:rFonts w:hint="eastAsia" w:eastAsia="仿宋_GB2312"/>
          <w:b/>
          <w:sz w:val="32"/>
        </w:rPr>
      </w:pPr>
    </w:p>
    <w:p w14:paraId="1BD1F5CC">
      <w:pPr>
        <w:numPr>
          <w:ilvl w:val="0"/>
          <w:numId w:val="1"/>
        </w:numPr>
        <w:spacing w:line="560" w:lineRule="exact"/>
        <w:ind w:firstLine="560" w:firstLineChars="200"/>
        <w:rPr>
          <w:rFonts w:hint="eastAsia" w:ascii="黑体" w:eastAsia="黑体" w:cs="黑体"/>
          <w:bCs/>
          <w:sz w:val="28"/>
          <w:szCs w:val="28"/>
          <w:lang w:eastAsia="zh-CN"/>
        </w:rPr>
      </w:pPr>
      <w:r>
        <w:rPr>
          <w:rFonts w:hint="eastAsia" w:ascii="黑体" w:eastAsia="黑体" w:cs="黑体"/>
          <w:bCs/>
          <w:sz w:val="28"/>
          <w:szCs w:val="28"/>
        </w:rPr>
        <w:t>部门（单位）</w:t>
      </w:r>
      <w:r>
        <w:rPr>
          <w:rFonts w:hint="eastAsia" w:ascii="黑体" w:eastAsia="黑体" w:cs="黑体"/>
          <w:bCs/>
          <w:sz w:val="28"/>
          <w:szCs w:val="28"/>
          <w:lang w:eastAsia="zh-CN"/>
        </w:rPr>
        <w:t>基本情况</w:t>
      </w:r>
    </w:p>
    <w:p w14:paraId="152FC2FB">
      <w:pPr>
        <w:spacing w:line="560" w:lineRule="exact"/>
        <w:ind w:firstLine="560" w:firstLineChars="200"/>
        <w:rPr>
          <w:rFonts w:ascii="仿宋" w:hAnsi="仿宋" w:eastAsia="仿宋" w:cs="宋体"/>
          <w:color w:val="000000"/>
          <w:kern w:val="0"/>
          <w:sz w:val="28"/>
          <w:szCs w:val="28"/>
        </w:rPr>
      </w:pPr>
      <w:r>
        <w:rPr>
          <w:rFonts w:hint="eastAsia" w:ascii="仿宋" w:hAnsi="仿宋" w:eastAsia="仿宋" w:cs="宋体"/>
          <w:color w:val="000000"/>
          <w:kern w:val="0"/>
          <w:sz w:val="28"/>
          <w:szCs w:val="28"/>
        </w:rPr>
        <w:t>1、机构设置</w:t>
      </w:r>
    </w:p>
    <w:p w14:paraId="3E574AE7">
      <w:pPr>
        <w:pStyle w:val="6"/>
        <w:ind w:firstLine="560" w:firstLineChars="200"/>
        <w:rPr>
          <w:rFonts w:hint="eastAsia" w:ascii="仿宋" w:hAnsi="仿宋" w:eastAsia="仿宋" w:cs="Times New Roman"/>
          <w:color w:val="auto"/>
          <w:kern w:val="2"/>
          <w:sz w:val="28"/>
          <w:szCs w:val="28"/>
          <w:lang w:eastAsia="zh-CN"/>
        </w:rPr>
      </w:pPr>
      <w:r>
        <w:rPr>
          <w:rFonts w:hint="eastAsia" w:ascii="仿宋" w:hAnsi="仿宋" w:eastAsia="仿宋" w:cs="Times New Roman"/>
          <w:color w:val="auto"/>
          <w:kern w:val="2"/>
          <w:sz w:val="28"/>
          <w:szCs w:val="28"/>
          <w:lang w:eastAsia="zh-CN"/>
        </w:rPr>
        <w:t>中共岳阳县委办公室设下列内设机构:秘书组、行政组、政工组、绩效考评办、督查室、法规组、工会、县绩效办、县委县政府接待办、县档案馆、县史志办、县委机要局、县政策研究中心、县委改革办。</w:t>
      </w:r>
    </w:p>
    <w:p w14:paraId="018D31D8">
      <w:pPr>
        <w:pStyle w:val="6"/>
        <w:ind w:firstLine="560" w:firstLineChars="200"/>
        <w:rPr>
          <w:rFonts w:ascii="仿宋" w:hAnsi="仿宋" w:eastAsia="仿宋" w:cs="宋体"/>
          <w:sz w:val="28"/>
          <w:szCs w:val="28"/>
        </w:rPr>
      </w:pPr>
      <w:r>
        <w:rPr>
          <w:rFonts w:hint="eastAsia" w:ascii="仿宋" w:hAnsi="仿宋" w:eastAsia="仿宋" w:cs="宋体"/>
          <w:sz w:val="28"/>
          <w:szCs w:val="28"/>
        </w:rPr>
        <w:t>2、主要职责</w:t>
      </w:r>
    </w:p>
    <w:p w14:paraId="7A3586B7">
      <w:pPr>
        <w:spacing w:line="560" w:lineRule="exact"/>
        <w:ind w:firstLine="560" w:firstLineChars="200"/>
        <w:rPr>
          <w:rFonts w:hint="eastAsia" w:ascii="仿宋" w:hAnsi="仿宋" w:eastAsia="仿宋" w:cs="Times New Roman"/>
          <w:color w:val="auto"/>
          <w:kern w:val="2"/>
          <w:sz w:val="28"/>
          <w:szCs w:val="28"/>
        </w:rPr>
      </w:pPr>
      <w:r>
        <w:rPr>
          <w:rFonts w:hint="eastAsia" w:ascii="仿宋" w:hAnsi="仿宋" w:eastAsia="仿宋" w:cs="Times New Roman"/>
          <w:color w:val="auto"/>
          <w:kern w:val="2"/>
          <w:sz w:val="28"/>
          <w:szCs w:val="28"/>
        </w:rPr>
        <w:t>负责县委日常文书处理，围绕中央、省、市、县委总体工作部署收集信息、反映动态、综合调研；参与起草县委领导同志工作报告、讲话文稿；负责县委文件的起草、校核、把关；负责中央、省、市、县委重大方针政策和重要工作部署的贯彻落实和督促检查；负责中央、省、市、县委及其领导同志重要批示的传达、催办、落实；协调有关部门的工作关系；负责县委重要会议的事务工作和县委领导同志参加重大活动的组织安排；协助县委全面深化改革领导小组处理全面深化改革日常工作；负责全县党委办公室系统的业务建设和办公自动化、信息化的规划指导；负责全县党政系统密码通讯和密码管理；负责中央文件和党、政、军领导机关机要文件的传递工作；负责县委机关院内安全保卫与事务管理工作及其县委交办的其他工作任务。</w:t>
      </w:r>
    </w:p>
    <w:p w14:paraId="3F5A132F">
      <w:pPr>
        <w:spacing w:line="560" w:lineRule="exact"/>
        <w:ind w:firstLine="560" w:firstLineChars="200"/>
        <w:rPr>
          <w:rFonts w:hint="eastAsia" w:ascii="黑体" w:eastAsia="黑体" w:cs="黑体"/>
          <w:bCs/>
          <w:sz w:val="28"/>
          <w:szCs w:val="28"/>
          <w:lang w:eastAsia="zh-CN"/>
        </w:rPr>
      </w:pPr>
      <w:r>
        <w:rPr>
          <w:rFonts w:hint="eastAsia" w:ascii="黑体" w:eastAsia="黑体" w:cs="黑体"/>
          <w:bCs/>
          <w:sz w:val="28"/>
          <w:szCs w:val="28"/>
        </w:rPr>
        <w:t>二、</w:t>
      </w:r>
      <w:r>
        <w:rPr>
          <w:rFonts w:hint="eastAsia" w:ascii="黑体" w:eastAsia="黑体" w:cs="黑体"/>
          <w:bCs/>
          <w:sz w:val="28"/>
          <w:szCs w:val="28"/>
          <w:lang w:eastAsia="zh-CN"/>
        </w:rPr>
        <w:t>一般公共预算支出情况</w:t>
      </w:r>
    </w:p>
    <w:p w14:paraId="3F8CB470">
      <w:pPr>
        <w:spacing w:line="560" w:lineRule="exact"/>
        <w:ind w:firstLine="560" w:firstLineChars="200"/>
        <w:rPr>
          <w:rFonts w:hint="eastAsia" w:ascii="仿宋_GB2312" w:eastAsia="仿宋_GB2312" w:cs="仿宋_GB2312"/>
          <w:bCs/>
          <w:sz w:val="28"/>
          <w:szCs w:val="28"/>
          <w:lang w:eastAsia="zh-CN"/>
        </w:rPr>
      </w:pPr>
      <w:r>
        <w:rPr>
          <w:rFonts w:hint="eastAsia" w:ascii="仿宋_GB2312" w:eastAsia="仿宋_GB2312" w:cs="仿宋_GB2312"/>
          <w:bCs/>
          <w:sz w:val="28"/>
          <w:szCs w:val="28"/>
        </w:rPr>
        <w:t>（一）基本支出</w:t>
      </w:r>
      <w:r>
        <w:rPr>
          <w:rFonts w:hint="eastAsia" w:ascii="仿宋_GB2312" w:eastAsia="仿宋_GB2312" w:cs="仿宋_GB2312"/>
          <w:bCs/>
          <w:sz w:val="28"/>
          <w:szCs w:val="28"/>
          <w:lang w:eastAsia="zh-CN"/>
        </w:rPr>
        <w:t>情况</w:t>
      </w:r>
    </w:p>
    <w:p w14:paraId="03D32ED5">
      <w:pPr>
        <w:pStyle w:val="6"/>
        <w:ind w:firstLine="560" w:firstLineChars="200"/>
        <w:rPr>
          <w:rFonts w:ascii="仿宋_GB2312" w:hAnsi="仿宋_GB2312" w:eastAsia="仿宋_GB2312" w:cs="仿宋_GB2312"/>
          <w:bCs/>
          <w:sz w:val="28"/>
          <w:szCs w:val="28"/>
        </w:rPr>
      </w:pPr>
      <w:r>
        <w:rPr>
          <w:rFonts w:hint="eastAsia" w:ascii="仿宋" w:hAnsi="仿宋" w:eastAsia="仿宋" w:cs="Times New Roman"/>
          <w:color w:val="auto"/>
          <w:kern w:val="2"/>
          <w:sz w:val="28"/>
          <w:szCs w:val="28"/>
          <w:lang w:eastAsia="zh-CN"/>
        </w:rPr>
        <w:t>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lang w:eastAsia="zh-CN"/>
        </w:rPr>
        <w:t>年</w:t>
      </w:r>
      <w:r>
        <w:rPr>
          <w:rFonts w:hint="eastAsia" w:ascii="仿宋" w:hAnsi="仿宋" w:eastAsia="仿宋" w:cs="Times New Roman"/>
          <w:color w:val="auto"/>
          <w:kern w:val="2"/>
          <w:sz w:val="28"/>
          <w:szCs w:val="28"/>
        </w:rPr>
        <w:t>度基本支出</w:t>
      </w:r>
      <w:r>
        <w:rPr>
          <w:rFonts w:hint="eastAsia" w:ascii="仿宋" w:hAnsi="仿宋" w:eastAsia="仿宋" w:cs="Times New Roman"/>
          <w:color w:val="auto"/>
          <w:kern w:val="2"/>
          <w:sz w:val="28"/>
          <w:szCs w:val="28"/>
          <w:lang w:val="en-US" w:eastAsia="zh-CN"/>
        </w:rPr>
        <w:t>1003.99</w:t>
      </w:r>
      <w:r>
        <w:rPr>
          <w:rFonts w:hint="eastAsia" w:ascii="仿宋" w:hAnsi="仿宋" w:eastAsia="仿宋" w:cs="Times New Roman"/>
          <w:color w:val="auto"/>
          <w:kern w:val="2"/>
          <w:sz w:val="28"/>
          <w:szCs w:val="28"/>
        </w:rPr>
        <w:t>万元，其中：人员经费</w:t>
      </w:r>
      <w:r>
        <w:rPr>
          <w:rFonts w:hint="eastAsia" w:ascii="仿宋" w:hAnsi="仿宋" w:eastAsia="仿宋" w:cs="Times New Roman"/>
          <w:color w:val="auto"/>
          <w:kern w:val="2"/>
          <w:sz w:val="28"/>
          <w:szCs w:val="28"/>
          <w:lang w:val="en-US" w:eastAsia="zh-CN"/>
        </w:rPr>
        <w:t>825.74</w:t>
      </w:r>
      <w:r>
        <w:rPr>
          <w:rFonts w:hint="eastAsia" w:ascii="仿宋" w:hAnsi="仿宋" w:eastAsia="仿宋" w:cs="Times New Roman"/>
          <w:color w:val="auto"/>
          <w:kern w:val="2"/>
          <w:sz w:val="28"/>
          <w:szCs w:val="28"/>
        </w:rPr>
        <w:t>万元，主要包括基本工资、津贴补贴、奖金、伙食补助费、职业年金缴费、职工基本医疗保险缴费、公务员医疗补助缴费、其他社会保障缴费、住房公积金；公用经费</w:t>
      </w:r>
      <w:r>
        <w:rPr>
          <w:rFonts w:hint="eastAsia" w:ascii="仿宋" w:hAnsi="仿宋" w:eastAsia="仿宋" w:cs="Times New Roman"/>
          <w:color w:val="auto"/>
          <w:kern w:val="2"/>
          <w:sz w:val="28"/>
          <w:szCs w:val="28"/>
          <w:lang w:val="en-US" w:eastAsia="zh-CN"/>
        </w:rPr>
        <w:t>178.25</w:t>
      </w:r>
      <w:r>
        <w:rPr>
          <w:rFonts w:hint="eastAsia" w:ascii="仿宋" w:hAnsi="仿宋" w:eastAsia="仿宋" w:cs="Times New Roman"/>
          <w:color w:val="auto"/>
          <w:kern w:val="2"/>
          <w:sz w:val="28"/>
          <w:szCs w:val="28"/>
        </w:rPr>
        <w:t>万元，主要包括手续费、电费、邮电费、差旅费、维修费、会议费、培训费、公务接待费、工会经费、其他交通费用、其他商品和服务支出。</w:t>
      </w:r>
    </w:p>
    <w:p w14:paraId="3D04D9FF">
      <w:pPr>
        <w:numPr>
          <w:ilvl w:val="0"/>
          <w:numId w:val="2"/>
        </w:numPr>
        <w:spacing w:line="560" w:lineRule="exact"/>
        <w:ind w:firstLine="560" w:firstLineChars="200"/>
        <w:rPr>
          <w:rFonts w:hint="eastAsia" w:ascii="仿宋_GB2312" w:eastAsia="仿宋_GB2312" w:cs="仿宋_GB2312"/>
          <w:bCs/>
          <w:sz w:val="28"/>
          <w:szCs w:val="28"/>
          <w:lang w:eastAsia="zh-CN"/>
        </w:rPr>
      </w:pPr>
      <w:r>
        <w:rPr>
          <w:rFonts w:hint="eastAsia" w:ascii="仿宋_GB2312" w:eastAsia="仿宋_GB2312" w:cs="仿宋_GB2312"/>
          <w:bCs/>
          <w:sz w:val="28"/>
          <w:szCs w:val="28"/>
          <w:lang w:eastAsia="zh-CN"/>
        </w:rPr>
        <w:t>项目支出情况</w:t>
      </w:r>
    </w:p>
    <w:p w14:paraId="33DF07B2">
      <w:pPr>
        <w:spacing w:line="560" w:lineRule="exact"/>
        <w:ind w:firstLine="560" w:firstLineChars="200"/>
        <w:rPr>
          <w:rFonts w:hint="eastAsia" w:ascii="仿宋" w:hAnsi="仿宋" w:eastAsia="仿宋" w:cs="Times New Roman"/>
          <w:color w:val="auto"/>
          <w:kern w:val="2"/>
          <w:sz w:val="28"/>
          <w:szCs w:val="28"/>
        </w:rPr>
      </w:pPr>
      <w:r>
        <w:rPr>
          <w:rFonts w:hint="eastAsia" w:ascii="仿宋" w:hAnsi="仿宋" w:eastAsia="仿宋" w:cs="Times New Roman"/>
          <w:color w:val="auto"/>
          <w:kern w:val="2"/>
          <w:sz w:val="28"/>
          <w:szCs w:val="28"/>
          <w:lang w:val="en-US" w:eastAsia="zh-CN"/>
        </w:rPr>
        <w:t>1、</w:t>
      </w:r>
      <w:r>
        <w:rPr>
          <w:rFonts w:hint="eastAsia" w:ascii="仿宋" w:hAnsi="仿宋" w:eastAsia="仿宋" w:cs="Times New Roman"/>
          <w:color w:val="auto"/>
          <w:kern w:val="2"/>
          <w:sz w:val="28"/>
          <w:szCs w:val="28"/>
          <w:lang w:eastAsia="zh-CN"/>
        </w:rPr>
        <w:t>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lang w:eastAsia="zh-CN"/>
        </w:rPr>
        <w:t>年财政安排</w:t>
      </w:r>
      <w:r>
        <w:rPr>
          <w:rFonts w:hint="eastAsia" w:ascii="仿宋" w:hAnsi="仿宋" w:eastAsia="仿宋" w:cs="Times New Roman"/>
          <w:color w:val="auto"/>
          <w:kern w:val="2"/>
          <w:sz w:val="28"/>
          <w:szCs w:val="28"/>
        </w:rPr>
        <w:t>我单位</w:t>
      </w:r>
      <w:r>
        <w:rPr>
          <w:rFonts w:hint="eastAsia" w:ascii="仿宋" w:hAnsi="仿宋" w:eastAsia="仿宋" w:cs="Times New Roman"/>
          <w:color w:val="auto"/>
          <w:kern w:val="2"/>
          <w:sz w:val="28"/>
          <w:szCs w:val="28"/>
          <w:lang w:eastAsia="zh-CN"/>
        </w:rPr>
        <w:t>县委专项业务</w:t>
      </w:r>
      <w:r>
        <w:rPr>
          <w:rFonts w:hint="eastAsia" w:ascii="仿宋" w:hAnsi="仿宋" w:eastAsia="仿宋" w:cs="Times New Roman"/>
          <w:color w:val="auto"/>
          <w:kern w:val="2"/>
          <w:sz w:val="28"/>
          <w:szCs w:val="28"/>
        </w:rPr>
        <w:t>项目</w:t>
      </w:r>
      <w:r>
        <w:rPr>
          <w:rFonts w:hint="eastAsia" w:ascii="仿宋" w:hAnsi="仿宋" w:eastAsia="仿宋" w:cs="Times New Roman"/>
          <w:color w:val="auto"/>
          <w:kern w:val="2"/>
          <w:sz w:val="28"/>
          <w:szCs w:val="28"/>
          <w:lang w:eastAsia="zh-CN"/>
        </w:rPr>
        <w:t>资金</w:t>
      </w:r>
      <w:r>
        <w:rPr>
          <w:rFonts w:hint="eastAsia" w:ascii="仿宋" w:hAnsi="仿宋" w:eastAsia="仿宋" w:cs="Times New Roman"/>
          <w:color w:val="auto"/>
          <w:kern w:val="2"/>
          <w:sz w:val="28"/>
          <w:szCs w:val="28"/>
          <w:lang w:val="en-US" w:eastAsia="zh-CN"/>
        </w:rPr>
        <w:t>958.14万元</w:t>
      </w:r>
      <w:r>
        <w:rPr>
          <w:rFonts w:hint="eastAsia" w:ascii="仿宋" w:hAnsi="仿宋" w:eastAsia="仿宋" w:cs="Times New Roman"/>
          <w:color w:val="auto"/>
          <w:kern w:val="2"/>
          <w:sz w:val="28"/>
          <w:szCs w:val="28"/>
        </w:rPr>
        <w:t>，我单位实际发生项目支出</w:t>
      </w:r>
      <w:r>
        <w:rPr>
          <w:rFonts w:hint="eastAsia" w:ascii="仿宋" w:hAnsi="仿宋" w:eastAsia="仿宋" w:cs="Times New Roman"/>
          <w:color w:val="auto"/>
          <w:kern w:val="2"/>
          <w:sz w:val="28"/>
          <w:szCs w:val="28"/>
          <w:lang w:val="en-US" w:eastAsia="zh-CN"/>
        </w:rPr>
        <w:t>958.14</w:t>
      </w:r>
      <w:r>
        <w:rPr>
          <w:rFonts w:hint="eastAsia" w:ascii="仿宋" w:hAnsi="仿宋" w:eastAsia="仿宋" w:cs="Times New Roman"/>
          <w:color w:val="auto"/>
          <w:kern w:val="2"/>
          <w:sz w:val="28"/>
          <w:szCs w:val="28"/>
        </w:rPr>
        <w:t>万元。</w:t>
      </w:r>
    </w:p>
    <w:p w14:paraId="5EEB5023">
      <w:pPr>
        <w:spacing w:line="560" w:lineRule="exact"/>
        <w:ind w:firstLine="560" w:firstLineChars="200"/>
        <w:rPr>
          <w:rFonts w:hint="eastAsia" w:ascii="仿宋" w:hAnsi="仿宋" w:eastAsia="仿宋" w:cs="Times New Roman"/>
          <w:color w:val="auto"/>
          <w:kern w:val="2"/>
          <w:sz w:val="28"/>
          <w:szCs w:val="28"/>
        </w:rPr>
      </w:pPr>
      <w:r>
        <w:rPr>
          <w:rFonts w:hint="eastAsia" w:ascii="仿宋" w:hAnsi="仿宋" w:eastAsia="仿宋" w:cs="Times New Roman"/>
          <w:color w:val="auto"/>
          <w:kern w:val="2"/>
          <w:sz w:val="28"/>
          <w:szCs w:val="28"/>
          <w:lang w:eastAsia="zh-CN"/>
        </w:rPr>
        <w:t>项目</w:t>
      </w:r>
      <w:r>
        <w:rPr>
          <w:rFonts w:hint="eastAsia" w:ascii="仿宋" w:hAnsi="仿宋" w:eastAsia="仿宋" w:cs="Times New Roman"/>
          <w:color w:val="auto"/>
          <w:kern w:val="2"/>
          <w:sz w:val="28"/>
          <w:szCs w:val="28"/>
        </w:rPr>
        <w:t>资金实际使用情况分析</w:t>
      </w:r>
    </w:p>
    <w:p w14:paraId="2E310894">
      <w:pPr>
        <w:spacing w:line="560" w:lineRule="exact"/>
        <w:ind w:firstLine="560" w:firstLineChars="200"/>
        <w:rPr>
          <w:rFonts w:hint="eastAsia" w:ascii="仿宋" w:hAnsi="仿宋" w:eastAsia="仿宋" w:cs="Times New Roman"/>
          <w:color w:val="auto"/>
          <w:kern w:val="2"/>
          <w:sz w:val="28"/>
          <w:szCs w:val="28"/>
          <w:lang w:eastAsia="zh-CN"/>
        </w:rPr>
      </w:pPr>
      <w:r>
        <w:rPr>
          <w:rFonts w:hint="eastAsia" w:ascii="仿宋" w:hAnsi="仿宋" w:eastAsia="仿宋" w:cs="Times New Roman"/>
          <w:color w:val="auto"/>
          <w:kern w:val="2"/>
          <w:sz w:val="28"/>
          <w:szCs w:val="28"/>
          <w:lang w:eastAsia="zh-CN"/>
        </w:rPr>
        <w:t>牵头推进深化改革工作，顺利完成县委招待所改革，9大类、89小项的改革事项全面落实到位。严格落实长江流域“十年禁渔”要求，扎实开展禁捕退捕专项督查，协调处理信访纠纷120余起；全年共办理市委、县委主要领导批示件11起、市委督查室批转信访件2起、县委常委会交办事项233个。累计编印《岳阳县工作》12期，撰写各类文稿超过300余篇，在市级以上刊物发表文章15篇。规范办文办会。坚决反对形式主义、官僚主义，让基层谋大事、谋实事。今年，县委召开的会议较去年减少16.7%，县委下发的文件较去年减少23.7%。信息报送重精度。累计报送各类信息604条次，其中，20条次信息被市委办《每周汇报》采用。“零失误”做好接待工作，累计接待上级领导、客商、媒体等270批次，副部以上领导36人，接待人数为历年最多。着力做好外事工作，成功举办岳台青年融合发展论坛。</w:t>
      </w:r>
    </w:p>
    <w:p w14:paraId="771498B2">
      <w:pPr>
        <w:spacing w:line="560" w:lineRule="exact"/>
        <w:ind w:firstLine="560" w:firstLineChars="200"/>
        <w:rPr>
          <w:rFonts w:hint="eastAsia" w:ascii="仿宋" w:hAnsi="仿宋" w:eastAsia="仿宋" w:cs="Times New Roman"/>
          <w:color w:val="auto"/>
          <w:kern w:val="2"/>
          <w:sz w:val="28"/>
          <w:szCs w:val="28"/>
        </w:rPr>
      </w:pPr>
      <w:r>
        <w:rPr>
          <w:rFonts w:hint="eastAsia" w:ascii="仿宋" w:hAnsi="仿宋" w:eastAsia="仿宋" w:cs="Times New Roman"/>
          <w:color w:val="auto"/>
          <w:kern w:val="2"/>
          <w:sz w:val="28"/>
          <w:szCs w:val="28"/>
          <w:lang w:val="en-US" w:eastAsia="zh-CN"/>
        </w:rPr>
        <w:t>3、</w:t>
      </w:r>
      <w:r>
        <w:rPr>
          <w:rFonts w:hint="eastAsia" w:ascii="仿宋" w:hAnsi="仿宋" w:eastAsia="仿宋" w:cs="Times New Roman"/>
          <w:color w:val="auto"/>
          <w:kern w:val="2"/>
          <w:sz w:val="28"/>
          <w:szCs w:val="28"/>
          <w:lang w:eastAsia="zh-CN"/>
        </w:rPr>
        <w:t>项目</w:t>
      </w:r>
      <w:r>
        <w:rPr>
          <w:rFonts w:hint="eastAsia" w:ascii="仿宋" w:hAnsi="仿宋" w:eastAsia="仿宋" w:cs="Times New Roman"/>
          <w:color w:val="auto"/>
          <w:kern w:val="2"/>
          <w:sz w:val="28"/>
          <w:szCs w:val="28"/>
        </w:rPr>
        <w:t>资金管理情况分析</w:t>
      </w:r>
    </w:p>
    <w:p w14:paraId="4A780E5E">
      <w:pPr>
        <w:spacing w:line="560" w:lineRule="exact"/>
        <w:ind w:firstLine="560" w:firstLineChars="200"/>
        <w:rPr>
          <w:rFonts w:hint="eastAsia" w:ascii="仿宋" w:hAnsi="仿宋" w:eastAsia="仿宋" w:cs="Times New Roman"/>
          <w:color w:val="auto"/>
          <w:kern w:val="2"/>
          <w:sz w:val="28"/>
          <w:szCs w:val="28"/>
        </w:rPr>
      </w:pPr>
      <w:r>
        <w:rPr>
          <w:rFonts w:hint="eastAsia" w:ascii="仿宋" w:hAnsi="仿宋" w:eastAsia="仿宋" w:cs="Times New Roman"/>
          <w:color w:val="auto"/>
          <w:kern w:val="2"/>
          <w:sz w:val="28"/>
          <w:szCs w:val="28"/>
        </w:rPr>
        <w:t>本单位项目资金严格按照资金用途开支，</w:t>
      </w:r>
      <w:r>
        <w:rPr>
          <w:rFonts w:hint="eastAsia" w:ascii="仿宋" w:hAnsi="仿宋" w:eastAsia="仿宋" w:cs="Times New Roman"/>
          <w:color w:val="auto"/>
          <w:kern w:val="2"/>
          <w:sz w:val="28"/>
          <w:szCs w:val="28"/>
          <w:lang w:eastAsia="zh-CN"/>
        </w:rPr>
        <w:t>项目单独核算</w:t>
      </w:r>
      <w:r>
        <w:rPr>
          <w:rFonts w:hint="eastAsia" w:ascii="仿宋" w:hAnsi="仿宋" w:eastAsia="仿宋" w:cs="Times New Roman"/>
          <w:color w:val="auto"/>
          <w:kern w:val="2"/>
          <w:sz w:val="28"/>
          <w:szCs w:val="28"/>
        </w:rPr>
        <w:t>管理，项目实施资金</w:t>
      </w:r>
      <w:r>
        <w:rPr>
          <w:rFonts w:hint="eastAsia" w:ascii="仿宋" w:hAnsi="仿宋" w:eastAsia="仿宋" w:cs="Times New Roman"/>
          <w:color w:val="auto"/>
          <w:kern w:val="2"/>
          <w:sz w:val="28"/>
          <w:szCs w:val="28"/>
          <w:lang w:eastAsia="zh-CN"/>
        </w:rPr>
        <w:t>支出</w:t>
      </w:r>
      <w:r>
        <w:rPr>
          <w:rFonts w:hint="eastAsia" w:ascii="仿宋" w:hAnsi="仿宋" w:eastAsia="仿宋" w:cs="Times New Roman"/>
          <w:color w:val="auto"/>
          <w:kern w:val="2"/>
          <w:sz w:val="28"/>
          <w:szCs w:val="28"/>
        </w:rPr>
        <w:t>进行公开公示，确保资金充分发挥效益。</w:t>
      </w:r>
    </w:p>
    <w:p w14:paraId="670574CD">
      <w:pPr>
        <w:numPr>
          <w:ilvl w:val="0"/>
          <w:numId w:val="0"/>
        </w:numPr>
        <w:spacing w:line="560" w:lineRule="exact"/>
        <w:ind w:firstLine="280" w:firstLineChars="100"/>
        <w:rPr>
          <w:rFonts w:hint="eastAsia" w:ascii="黑体" w:eastAsia="黑体" w:cs="黑体"/>
          <w:bCs/>
          <w:sz w:val="28"/>
          <w:szCs w:val="28"/>
          <w:lang w:eastAsia="zh-CN"/>
        </w:rPr>
      </w:pPr>
      <w:r>
        <w:rPr>
          <w:rFonts w:hint="eastAsia" w:ascii="黑体" w:eastAsia="黑体" w:cs="黑体"/>
          <w:bCs/>
          <w:sz w:val="28"/>
          <w:szCs w:val="28"/>
          <w:lang w:eastAsia="zh-CN"/>
        </w:rPr>
        <w:t>三、政府性基金预算支出情况</w:t>
      </w:r>
    </w:p>
    <w:p w14:paraId="3D8B218A">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2025年财政安排我单位政府性基金预算资金20万元，我单位实际发生支出20万元，全部用于县委专项业务项目开支。</w:t>
      </w:r>
    </w:p>
    <w:p w14:paraId="5F4EA950">
      <w:pPr>
        <w:numPr>
          <w:ilvl w:val="0"/>
          <w:numId w:val="0"/>
        </w:numPr>
        <w:spacing w:line="560" w:lineRule="exact"/>
        <w:ind w:firstLine="280" w:firstLineChars="100"/>
        <w:rPr>
          <w:rFonts w:hint="eastAsia" w:ascii="黑体" w:eastAsia="黑体" w:cs="黑体"/>
          <w:bCs/>
          <w:sz w:val="28"/>
          <w:szCs w:val="28"/>
          <w:lang w:eastAsia="zh-CN"/>
        </w:rPr>
      </w:pPr>
      <w:r>
        <w:rPr>
          <w:rFonts w:hint="eastAsia" w:ascii="黑体" w:eastAsia="黑体" w:cs="黑体"/>
          <w:bCs/>
          <w:sz w:val="28"/>
          <w:szCs w:val="28"/>
          <w:lang w:eastAsia="zh-CN"/>
        </w:rPr>
        <w:t>四、国有资本经营预算支出情况</w:t>
      </w:r>
    </w:p>
    <w:p w14:paraId="17E0C2D2">
      <w:pPr>
        <w:numPr>
          <w:ilvl w:val="0"/>
          <w:numId w:val="0"/>
        </w:numPr>
        <w:spacing w:line="560" w:lineRule="exact"/>
        <w:ind w:leftChars="200"/>
        <w:rPr>
          <w:rFonts w:hint="default" w:ascii="仿宋_GB2312" w:eastAsia="仿宋_GB2312" w:cs="仿宋_GB2312"/>
          <w:bCs/>
          <w:sz w:val="28"/>
          <w:szCs w:val="28"/>
          <w:lang w:val="en-US" w:eastAsia="zh-CN"/>
        </w:rPr>
      </w:pPr>
      <w:r>
        <w:rPr>
          <w:rFonts w:hint="eastAsia" w:ascii="仿宋_GB2312" w:eastAsia="仿宋_GB2312" w:cs="仿宋_GB2312"/>
          <w:bCs/>
          <w:sz w:val="28"/>
          <w:szCs w:val="28"/>
          <w:lang w:val="en-US" w:eastAsia="zh-CN"/>
        </w:rPr>
        <w:t xml:space="preserve">    无。</w:t>
      </w:r>
    </w:p>
    <w:p w14:paraId="22328425">
      <w:pPr>
        <w:numPr>
          <w:ilvl w:val="0"/>
          <w:numId w:val="0"/>
        </w:numPr>
        <w:spacing w:line="560" w:lineRule="exact"/>
        <w:ind w:firstLine="280" w:firstLineChars="100"/>
        <w:rPr>
          <w:rFonts w:hint="eastAsia" w:ascii="黑体" w:eastAsia="黑体" w:cs="黑体"/>
          <w:bCs/>
          <w:sz w:val="28"/>
          <w:szCs w:val="28"/>
          <w:lang w:val="en-US" w:eastAsia="zh-CN"/>
        </w:rPr>
      </w:pPr>
      <w:r>
        <w:rPr>
          <w:rFonts w:hint="eastAsia" w:ascii="黑体" w:eastAsia="黑体" w:cs="黑体"/>
          <w:bCs/>
          <w:sz w:val="28"/>
          <w:szCs w:val="28"/>
          <w:lang w:eastAsia="zh-CN"/>
        </w:rPr>
        <w:t>五、社会保险基金预算支出情况</w:t>
      </w:r>
      <w:r>
        <w:rPr>
          <w:rFonts w:hint="eastAsia" w:ascii="黑体" w:eastAsia="黑体" w:cs="黑体"/>
          <w:bCs/>
          <w:sz w:val="28"/>
          <w:szCs w:val="28"/>
          <w:lang w:val="en-US" w:eastAsia="zh-CN"/>
        </w:rPr>
        <w:t xml:space="preserve"> </w:t>
      </w:r>
    </w:p>
    <w:p w14:paraId="0B17E860">
      <w:pPr>
        <w:numPr>
          <w:ilvl w:val="0"/>
          <w:numId w:val="0"/>
        </w:numPr>
        <w:spacing w:line="560" w:lineRule="exact"/>
        <w:ind w:leftChars="200"/>
        <w:rPr>
          <w:rFonts w:hint="default" w:ascii="仿宋_GB2312" w:eastAsia="仿宋_GB2312" w:cs="仿宋_GB2312"/>
          <w:bCs/>
          <w:sz w:val="28"/>
          <w:szCs w:val="28"/>
          <w:lang w:val="en-US" w:eastAsia="zh-CN"/>
        </w:rPr>
      </w:pPr>
      <w:r>
        <w:rPr>
          <w:rFonts w:hint="eastAsia" w:ascii="仿宋_GB2312" w:eastAsia="仿宋_GB2312" w:cs="仿宋_GB2312"/>
          <w:bCs/>
          <w:sz w:val="28"/>
          <w:szCs w:val="28"/>
          <w:lang w:val="en-US" w:eastAsia="zh-CN"/>
        </w:rPr>
        <w:t xml:space="preserve">    无。</w:t>
      </w:r>
    </w:p>
    <w:p w14:paraId="4D50B974">
      <w:pPr>
        <w:numPr>
          <w:ilvl w:val="0"/>
          <w:numId w:val="0"/>
        </w:numPr>
        <w:spacing w:line="560" w:lineRule="exact"/>
        <w:ind w:firstLine="280" w:firstLineChars="100"/>
        <w:rPr>
          <w:rFonts w:hint="eastAsia" w:ascii="黑体" w:eastAsia="黑体" w:cs="黑体"/>
          <w:bCs/>
          <w:sz w:val="28"/>
          <w:szCs w:val="28"/>
          <w:lang w:eastAsia="zh-CN"/>
        </w:rPr>
      </w:pPr>
      <w:r>
        <w:rPr>
          <w:rFonts w:hint="eastAsia" w:ascii="黑体" w:eastAsia="黑体" w:cs="黑体"/>
          <w:bCs/>
          <w:sz w:val="28"/>
          <w:szCs w:val="28"/>
          <w:lang w:eastAsia="zh-CN"/>
        </w:rPr>
        <w:t>六、部门（单位）整体支出绩效情况</w:t>
      </w:r>
    </w:p>
    <w:p w14:paraId="599808EC">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2025年度支出总计1962.13万元，其中基本支出1003.99万元，主要用于人员工资、福利、社会保障缴费及办公室公用支出等，项目支出958.14万元，主要为2025年县委专项业务项目开支，包括党内法规工作经费、 县委机关物业管理费项目、县委值班电话费项目、《古今巴陵》编印工作经费、《县委工作大事记》编印工作经费、《岳阳县工作》编印工作经费、 春节期间慰问一线干部职工工作经费、党史研究室工作经费、 档案馆工作经费、调研执法工作经费、机要保密专项工作经费、深化改革工作经费、台办工作经费、通信技术工作经费、县委督查室专项经费、   县委政策研究中心工作经费。我们对整个资金支出情况和工作成果进行了认真分析，部门整体支出达到了预期工作成果，实现了预期工作目标，通过部门整体评价，特别是专项项目的实施，县委机关大院各项工作有序，机要保障效率进一步提高，政令畅通，党的凝聚力和影响力不断扩大，改革任务不断推进，取得实效，全县经济社会发展大局稳定，人民群众的获得感和幸福感、满意度不断提高。</w:t>
      </w:r>
    </w:p>
    <w:p w14:paraId="02A73DC7">
      <w:pPr>
        <w:numPr>
          <w:ilvl w:val="0"/>
          <w:numId w:val="0"/>
        </w:numPr>
        <w:spacing w:line="560" w:lineRule="exact"/>
        <w:ind w:firstLine="280" w:firstLineChars="100"/>
        <w:rPr>
          <w:rFonts w:hint="eastAsia" w:ascii="黑体" w:eastAsia="黑体" w:cs="黑体"/>
          <w:bCs/>
          <w:sz w:val="28"/>
          <w:szCs w:val="28"/>
        </w:rPr>
      </w:pPr>
      <w:r>
        <w:rPr>
          <w:rFonts w:hint="eastAsia" w:ascii="黑体" w:eastAsia="黑体" w:cs="黑体"/>
          <w:bCs/>
          <w:sz w:val="28"/>
          <w:szCs w:val="28"/>
          <w:lang w:eastAsia="zh-CN"/>
        </w:rPr>
        <w:t>七、</w:t>
      </w:r>
      <w:r>
        <w:rPr>
          <w:rFonts w:hint="eastAsia" w:ascii="黑体" w:eastAsia="黑体" w:cs="黑体"/>
          <w:bCs/>
          <w:sz w:val="28"/>
          <w:szCs w:val="28"/>
        </w:rPr>
        <w:t>存在的主要问题</w:t>
      </w:r>
      <w:r>
        <w:rPr>
          <w:rFonts w:hint="eastAsia" w:ascii="黑体" w:eastAsia="黑体" w:cs="黑体"/>
          <w:bCs/>
          <w:sz w:val="28"/>
          <w:szCs w:val="28"/>
          <w:lang w:eastAsia="zh-CN"/>
        </w:rPr>
        <w:t>及原因分析</w:t>
      </w:r>
    </w:p>
    <w:p w14:paraId="3D74622F">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1、财务工作是一个单位的命脉，财务精细化管理要求越来越高，对我单位财务人员工作水平也提出了新的挑战。</w:t>
      </w:r>
    </w:p>
    <w:p w14:paraId="29260F0D">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2会计基础工作还需要不断完善，决算报表数据与单位实际情况存在小误差。</w:t>
      </w:r>
    </w:p>
    <w:p w14:paraId="556844F5">
      <w:pPr>
        <w:numPr>
          <w:ilvl w:val="0"/>
          <w:numId w:val="0"/>
        </w:numPr>
        <w:spacing w:line="560" w:lineRule="exact"/>
        <w:ind w:firstLine="560" w:firstLineChars="200"/>
        <w:rPr>
          <w:rFonts w:hint="eastAsia" w:ascii="黑体" w:eastAsia="黑体" w:cs="黑体"/>
          <w:bCs/>
          <w:sz w:val="28"/>
          <w:szCs w:val="28"/>
        </w:rPr>
      </w:pPr>
      <w:r>
        <w:rPr>
          <w:rFonts w:hint="eastAsia" w:ascii="黑体" w:eastAsia="黑体" w:cs="黑体"/>
          <w:bCs/>
          <w:sz w:val="28"/>
          <w:szCs w:val="28"/>
          <w:lang w:eastAsia="zh-CN"/>
        </w:rPr>
        <w:t>八、下一步</w:t>
      </w:r>
      <w:r>
        <w:rPr>
          <w:rFonts w:hint="eastAsia" w:ascii="黑体" w:eastAsia="黑体" w:cs="黑体"/>
          <w:bCs/>
          <w:sz w:val="28"/>
          <w:szCs w:val="28"/>
        </w:rPr>
        <w:t>改进措施</w:t>
      </w:r>
    </w:p>
    <w:p w14:paraId="68F1F224">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1、进一步完善财务制度，规范财经纪律。</w:t>
      </w:r>
    </w:p>
    <w:p w14:paraId="1B4ED587">
      <w:pPr>
        <w:spacing w:line="560" w:lineRule="exact"/>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2、财务工作人员的业务能力要与时俱进，不断加强学习。</w:t>
      </w:r>
    </w:p>
    <w:p w14:paraId="3C26C3B2">
      <w:pPr>
        <w:numPr>
          <w:ilvl w:val="0"/>
          <w:numId w:val="0"/>
        </w:numPr>
        <w:spacing w:line="560" w:lineRule="exact"/>
        <w:ind w:firstLine="280" w:firstLineChars="100"/>
        <w:rPr>
          <w:rFonts w:hint="eastAsia" w:ascii="黑体" w:eastAsia="黑体" w:cs="黑体"/>
          <w:bCs/>
          <w:sz w:val="28"/>
          <w:szCs w:val="28"/>
          <w:lang w:eastAsia="zh-CN"/>
        </w:rPr>
      </w:pPr>
      <w:r>
        <w:rPr>
          <w:rFonts w:hint="eastAsia" w:ascii="黑体" w:eastAsia="黑体" w:cs="黑体"/>
          <w:bCs/>
          <w:sz w:val="28"/>
          <w:szCs w:val="28"/>
          <w:lang w:eastAsia="zh-CN"/>
        </w:rPr>
        <w:t>九、部门整体支出绩效自评结果拟应用和公开情况</w:t>
      </w:r>
    </w:p>
    <w:p w14:paraId="00A00405">
      <w:pPr>
        <w:spacing w:line="560" w:lineRule="exact"/>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 xml:space="preserve">   </w:t>
      </w:r>
      <w:r>
        <w:rPr>
          <w:rFonts w:hint="eastAsia" w:ascii="仿宋" w:hAnsi="仿宋" w:eastAsia="仿宋" w:cs="Times New Roman"/>
          <w:color w:val="auto"/>
          <w:kern w:val="2"/>
          <w:sz w:val="28"/>
          <w:szCs w:val="28"/>
          <w:lang w:val="en-US" w:eastAsia="zh-CN"/>
        </w:rPr>
        <w:t xml:space="preserve"> 我单位部分整体支出绩效自评报告已在政府门户网站公开。</w:t>
      </w:r>
    </w:p>
    <w:p w14:paraId="5EB68B1E">
      <w:pPr>
        <w:numPr>
          <w:ilvl w:val="0"/>
          <w:numId w:val="0"/>
        </w:numPr>
        <w:spacing w:line="560" w:lineRule="exact"/>
        <w:ind w:firstLine="280" w:firstLineChars="100"/>
        <w:rPr>
          <w:rFonts w:hint="eastAsia" w:ascii="黑体" w:eastAsia="黑体" w:cs="黑体"/>
          <w:bCs/>
          <w:sz w:val="28"/>
          <w:szCs w:val="28"/>
          <w:lang w:eastAsia="zh-CN"/>
        </w:rPr>
      </w:pPr>
      <w:r>
        <w:rPr>
          <w:rFonts w:hint="eastAsia" w:ascii="黑体" w:eastAsia="黑体" w:cs="黑体"/>
          <w:bCs/>
          <w:sz w:val="28"/>
          <w:szCs w:val="28"/>
          <w:lang w:eastAsia="zh-CN"/>
        </w:rPr>
        <w:t>十、其他需要说明的情况</w:t>
      </w:r>
    </w:p>
    <w:p w14:paraId="3A2E9F3D">
      <w:pPr>
        <w:spacing w:line="560" w:lineRule="exact"/>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 xml:space="preserve">    无</w:t>
      </w:r>
    </w:p>
    <w:p w14:paraId="07611DDA">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1AF7B2CF">
      <w:pPr>
        <w:adjustRightInd w:val="0"/>
        <w:snapToGrid w:val="0"/>
        <w:spacing w:line="200" w:lineRule="exact"/>
        <w:contextualSpacing/>
        <w:rPr>
          <w:rFonts w:hint="eastAsia" w:eastAsia="仿宋_GB2312"/>
          <w:sz w:val="32"/>
        </w:rPr>
      </w:pPr>
    </w:p>
    <w:p w14:paraId="2F0B0FC2">
      <w:bookmarkStart w:id="0" w:name="_GoBack"/>
      <w:bookmarkEnd w:id="0"/>
    </w:p>
    <w:sectPr>
      <w:footerReference r:id="rId3" w:type="default"/>
      <w:footerReference r:id="rId4" w:type="even"/>
      <w:pgSz w:w="11906" w:h="16838"/>
      <w:pgMar w:top="1588" w:right="1588"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roma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529B8">
    <w:pPr>
      <w:pStyle w:val="2"/>
      <w:framePr w:wrap="around" w:vAnchor="text" w:hAnchor="margin" w:xAlign="outside" w:y="1"/>
      <w:rPr>
        <w:rStyle w:val="5"/>
        <w:sz w:val="24"/>
        <w:szCs w:val="24"/>
      </w:rPr>
    </w:pPr>
    <w:r>
      <w:rPr>
        <w:rStyle w:val="5"/>
        <w:rFonts w:hint="eastAsia"/>
        <w:kern w:val="2"/>
        <w:sz w:val="24"/>
        <w:szCs w:val="24"/>
      </w:rPr>
      <w:t xml:space="preserve">— </w:t>
    </w:r>
    <w:r>
      <w:rPr>
        <w:sz w:val="24"/>
        <w:szCs w:val="24"/>
      </w:rPr>
      <w:fldChar w:fldCharType="begin"/>
    </w:r>
    <w:r>
      <w:rPr>
        <w:rStyle w:val="5"/>
        <w:kern w:val="2"/>
        <w:sz w:val="24"/>
        <w:szCs w:val="24"/>
      </w:rPr>
      <w:instrText xml:space="preserve">PAGE  </w:instrText>
    </w:r>
    <w:r>
      <w:rPr>
        <w:sz w:val="24"/>
        <w:szCs w:val="24"/>
      </w:rPr>
      <w:fldChar w:fldCharType="separate"/>
    </w:r>
    <w:r>
      <w:rPr>
        <w:rStyle w:val="5"/>
        <w:kern w:val="2"/>
        <w:sz w:val="24"/>
        <w:szCs w:val="24"/>
      </w:rPr>
      <w:t>10</w:t>
    </w:r>
    <w:r>
      <w:rPr>
        <w:sz w:val="24"/>
        <w:szCs w:val="24"/>
      </w:rPr>
      <w:fldChar w:fldCharType="end"/>
    </w:r>
    <w:r>
      <w:rPr>
        <w:rStyle w:val="5"/>
        <w:rFonts w:hint="eastAsia"/>
        <w:kern w:val="2"/>
        <w:sz w:val="24"/>
        <w:szCs w:val="24"/>
      </w:rPr>
      <w:t xml:space="preserve"> —</w:t>
    </w:r>
  </w:p>
  <w:p w14:paraId="3CD65933">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DCBDA">
    <w:pPr>
      <w:pStyle w:val="2"/>
      <w:framePr w:wrap="around" w:vAnchor="text" w:hAnchor="margin" w:xAlign="outside" w:y="1"/>
      <w:rPr>
        <w:rStyle w:val="5"/>
      </w:rPr>
    </w:pPr>
    <w:r>
      <w:fldChar w:fldCharType="begin"/>
    </w:r>
    <w:r>
      <w:rPr>
        <w:rStyle w:val="5"/>
        <w:kern w:val="2"/>
        <w:sz w:val="21"/>
        <w:szCs w:val="24"/>
      </w:rPr>
      <w:instrText xml:space="preserve">PAGE  </w:instrText>
    </w:r>
    <w:r>
      <w:fldChar w:fldCharType="separate"/>
    </w:r>
    <w:r>
      <w:rPr>
        <w:vanish/>
      </w:rPr>
      <w:t xml:space="preserve"> </w:t>
    </w:r>
    <w:r>
      <w:fldChar w:fldCharType="end"/>
    </w:r>
  </w:p>
  <w:p w14:paraId="2B3EEF64">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58E5B"/>
    <w:multiLevelType w:val="singleLevel"/>
    <w:tmpl w:val="A8758E5B"/>
    <w:lvl w:ilvl="0" w:tentative="0">
      <w:start w:val="1"/>
      <w:numFmt w:val="chineseCounting"/>
      <w:suff w:val="nothing"/>
      <w:lvlText w:val="%1、"/>
      <w:lvlJc w:val="left"/>
      <w:rPr>
        <w:rFonts w:hint="eastAsia"/>
      </w:rPr>
    </w:lvl>
  </w:abstractNum>
  <w:abstractNum w:abstractNumId="1">
    <w:nsid w:val="7204E8C8"/>
    <w:multiLevelType w:val="singleLevel"/>
    <w:tmpl w:val="7204E8C8"/>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745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uiPriority w:val="0"/>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character" w:styleId="5">
    <w:name w:val="page number"/>
    <w:qFormat/>
    <w:uiPriority w:val="0"/>
  </w:style>
  <w:style w:type="paragraph" w:customStyle="1" w:styleId="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2026-09-21T02:18:50Z</dcterms:created>
  <dc:creator>Administrator</dc:creator>
  <cp:lastModifiedBy>WPS_1662622831</cp:lastModifiedBy>
  <dcterms:modified xsi:type="dcterms:W3CDTF">2026-09-21T02:19:28Z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eyJoZGlkIjoiZjUxYmVlNjM4YzVjYzZkNmYzNmQzMjA2MTdjYmEwMjMiLCJ1c2VySWQiOiIxNDA0ODU1ODcwIn0=</vt:lpwstr>
  </property>
  <property fmtid="{D5CDD505-2E9C-101B-9397-08002B2CF9AE}" pid="4" name="ICV">
    <vt:lpwstr>22F4137BB29F46B48BEFEF4BC071CDA5_12</vt:lpwstr>
  </property>
</Properties>
</file>