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1942E">
      <w:pPr>
        <w:spacing w:line="267" w:lineRule="auto"/>
        <w:jc w:val="both"/>
        <w:rPr>
          <w:rFonts w:ascii="宋体" w:hAnsi="宋体" w:eastAsia="宋体" w:cs="宋体"/>
          <w:bCs/>
          <w:spacing w:val="-4"/>
          <w:sz w:val="28"/>
          <w:szCs w:val="28"/>
          <w:lang w:eastAsia="zh-CN"/>
        </w:rPr>
      </w:pPr>
      <w:r>
        <w:rPr>
          <w:rFonts w:hint="eastAsia" w:ascii="宋体" w:hAnsi="宋体" w:eastAsia="宋体" w:cs="宋体"/>
          <w:bCs/>
          <w:spacing w:val="-4"/>
          <w:sz w:val="28"/>
          <w:szCs w:val="28"/>
          <w:lang w:eastAsia="zh-CN"/>
        </w:rPr>
        <w:t>附件4</w:t>
      </w:r>
    </w:p>
    <w:p w14:paraId="5DCEB930">
      <w:pPr>
        <w:ind w:firstLine="880"/>
        <w:jc w:val="center"/>
        <w:rPr>
          <w:rFonts w:ascii="方正小标宋简体" w:eastAsia="方正小标宋简体"/>
          <w:sz w:val="44"/>
          <w:szCs w:val="44"/>
          <w:lang w:eastAsia="zh-CN"/>
        </w:rPr>
      </w:pPr>
    </w:p>
    <w:p w14:paraId="662F1B89">
      <w:pPr>
        <w:jc w:val="center"/>
        <w:rPr>
          <w:rFonts w:ascii="方正小标宋简体" w:eastAsia="方正小标宋简体"/>
          <w:sz w:val="44"/>
          <w:szCs w:val="44"/>
          <w:lang w:eastAsia="zh-CN"/>
        </w:rPr>
      </w:pPr>
      <w:r>
        <w:rPr>
          <w:rFonts w:hint="eastAsia" w:ascii="方正小标宋简体" w:eastAsia="方正小标宋简体"/>
          <w:sz w:val="44"/>
          <w:szCs w:val="44"/>
          <w:lang w:eastAsia="zh-CN"/>
        </w:rPr>
        <w:t>2025</w:t>
      </w:r>
      <w:r>
        <w:rPr>
          <w:rFonts w:hint="eastAsia" w:ascii="方正小标宋简体" w:hAnsi="宋体" w:eastAsia="方正小标宋简体" w:cs="宋体"/>
          <w:sz w:val="44"/>
          <w:szCs w:val="44"/>
          <w:lang w:eastAsia="zh-CN"/>
        </w:rPr>
        <w:t>年度</w:t>
      </w:r>
      <w:r>
        <w:rPr>
          <w:rFonts w:hint="eastAsia" w:ascii="方正小标宋简体" w:eastAsia="方正小标宋简体"/>
          <w:sz w:val="44"/>
          <w:szCs w:val="44"/>
          <w:lang w:eastAsia="zh-CN"/>
        </w:rPr>
        <w:t>岳阳台湾农民创业园事务中心</w:t>
      </w:r>
    </w:p>
    <w:p w14:paraId="54E277B7">
      <w:pPr>
        <w:jc w:val="center"/>
        <w:rPr>
          <w:rFonts w:ascii="方正小标宋简体" w:eastAsia="方正小标宋简体"/>
          <w:sz w:val="44"/>
          <w:szCs w:val="44"/>
          <w:lang w:eastAsia="zh-CN"/>
        </w:rPr>
      </w:pPr>
      <w:r>
        <w:rPr>
          <w:rFonts w:hint="eastAsia" w:ascii="方正小标宋简体" w:hAnsi="宋体" w:eastAsia="方正小标宋简体" w:cs="宋体"/>
          <w:sz w:val="44"/>
          <w:szCs w:val="44"/>
          <w:lang w:eastAsia="zh-CN"/>
        </w:rPr>
        <w:t>整体支出绩效自评报告</w:t>
      </w:r>
    </w:p>
    <w:p w14:paraId="008DD5DC">
      <w:pPr>
        <w:pStyle w:val="2"/>
        <w:spacing w:before="78" w:line="221" w:lineRule="auto"/>
        <w:ind w:firstLine="587"/>
        <w:jc w:val="center"/>
        <w:rPr>
          <w:rFonts w:ascii="楷体_GB2312" w:eastAsia="楷体_GB2312"/>
          <w:b/>
          <w:bCs/>
          <w:spacing w:val="-28"/>
          <w:sz w:val="32"/>
          <w:szCs w:val="32"/>
          <w:lang w:eastAsia="zh-CN"/>
        </w:rPr>
      </w:pPr>
    </w:p>
    <w:p w14:paraId="71DF8EA3">
      <w:pPr>
        <w:pStyle w:val="2"/>
        <w:spacing w:before="78" w:line="221" w:lineRule="auto"/>
        <w:ind w:firstLine="587"/>
        <w:jc w:val="center"/>
        <w:rPr>
          <w:rFonts w:ascii="楷体_GB2312" w:eastAsia="楷体_GB2312"/>
          <w:b/>
          <w:bCs/>
          <w:spacing w:val="-28"/>
          <w:sz w:val="32"/>
          <w:szCs w:val="32"/>
          <w:lang w:eastAsia="zh-CN"/>
        </w:rPr>
      </w:pPr>
    </w:p>
    <w:p w14:paraId="62D2A486">
      <w:pPr>
        <w:pStyle w:val="2"/>
        <w:spacing w:before="78" w:line="221" w:lineRule="auto"/>
        <w:ind w:firstLine="587"/>
        <w:jc w:val="center"/>
        <w:rPr>
          <w:rFonts w:ascii="楷体_GB2312" w:eastAsia="楷体_GB2312"/>
          <w:b/>
          <w:bCs/>
          <w:spacing w:val="-28"/>
          <w:sz w:val="32"/>
          <w:szCs w:val="32"/>
          <w:lang w:eastAsia="zh-CN"/>
        </w:rPr>
      </w:pPr>
    </w:p>
    <w:p w14:paraId="0A9A3DB8">
      <w:pPr>
        <w:pStyle w:val="2"/>
        <w:spacing w:before="78" w:line="221" w:lineRule="auto"/>
        <w:ind w:firstLine="587"/>
        <w:jc w:val="center"/>
        <w:rPr>
          <w:rFonts w:ascii="楷体_GB2312" w:eastAsia="楷体_GB2312"/>
          <w:b/>
          <w:bCs/>
          <w:spacing w:val="-28"/>
          <w:sz w:val="32"/>
          <w:szCs w:val="32"/>
          <w:lang w:eastAsia="zh-CN"/>
        </w:rPr>
      </w:pPr>
    </w:p>
    <w:p w14:paraId="43614425">
      <w:pPr>
        <w:pStyle w:val="2"/>
        <w:spacing w:before="78" w:line="221" w:lineRule="auto"/>
        <w:ind w:firstLine="587"/>
        <w:jc w:val="center"/>
        <w:rPr>
          <w:rFonts w:ascii="楷体_GB2312" w:eastAsia="楷体_GB2312"/>
          <w:b/>
          <w:bCs/>
          <w:spacing w:val="-28"/>
          <w:sz w:val="32"/>
          <w:szCs w:val="32"/>
          <w:lang w:eastAsia="zh-CN"/>
        </w:rPr>
      </w:pPr>
    </w:p>
    <w:p w14:paraId="3EE0C2F7">
      <w:pPr>
        <w:pStyle w:val="2"/>
        <w:spacing w:before="78" w:line="221" w:lineRule="auto"/>
        <w:ind w:firstLine="587"/>
        <w:jc w:val="center"/>
        <w:rPr>
          <w:rFonts w:ascii="楷体_GB2312" w:eastAsia="楷体_GB2312"/>
          <w:b/>
          <w:bCs/>
          <w:spacing w:val="-28"/>
          <w:sz w:val="32"/>
          <w:szCs w:val="32"/>
          <w:lang w:eastAsia="zh-CN"/>
        </w:rPr>
      </w:pPr>
    </w:p>
    <w:p w14:paraId="79DD81BC">
      <w:pPr>
        <w:pStyle w:val="2"/>
        <w:spacing w:before="78" w:line="221" w:lineRule="auto"/>
        <w:ind w:firstLine="587"/>
        <w:jc w:val="center"/>
        <w:rPr>
          <w:rFonts w:ascii="楷体_GB2312" w:eastAsia="楷体_GB2312"/>
          <w:b/>
          <w:bCs/>
          <w:spacing w:val="-28"/>
          <w:sz w:val="32"/>
          <w:szCs w:val="32"/>
          <w:lang w:eastAsia="zh-CN"/>
        </w:rPr>
      </w:pPr>
    </w:p>
    <w:p w14:paraId="38A640BF">
      <w:pPr>
        <w:pStyle w:val="2"/>
        <w:spacing w:before="78" w:line="221" w:lineRule="auto"/>
        <w:ind w:firstLine="587"/>
        <w:jc w:val="center"/>
        <w:rPr>
          <w:rFonts w:ascii="楷体_GB2312" w:eastAsia="楷体_GB2312"/>
          <w:b/>
          <w:bCs/>
          <w:spacing w:val="-28"/>
          <w:sz w:val="32"/>
          <w:szCs w:val="32"/>
          <w:lang w:eastAsia="zh-CN"/>
        </w:rPr>
      </w:pPr>
    </w:p>
    <w:p w14:paraId="426791B4">
      <w:pPr>
        <w:pStyle w:val="2"/>
        <w:spacing w:before="78" w:line="221" w:lineRule="auto"/>
        <w:ind w:firstLine="587"/>
        <w:jc w:val="center"/>
        <w:rPr>
          <w:rFonts w:ascii="楷体_GB2312" w:eastAsia="楷体_GB2312"/>
          <w:b/>
          <w:bCs/>
          <w:spacing w:val="-28"/>
          <w:sz w:val="32"/>
          <w:szCs w:val="32"/>
          <w:lang w:eastAsia="zh-CN"/>
        </w:rPr>
      </w:pPr>
    </w:p>
    <w:p w14:paraId="127825C4">
      <w:pPr>
        <w:pStyle w:val="2"/>
        <w:spacing w:before="78" w:line="221" w:lineRule="auto"/>
        <w:ind w:firstLine="587"/>
        <w:jc w:val="center"/>
        <w:rPr>
          <w:rFonts w:ascii="楷体_GB2312" w:eastAsia="楷体_GB2312"/>
          <w:b/>
          <w:bCs/>
          <w:spacing w:val="-28"/>
          <w:sz w:val="32"/>
          <w:szCs w:val="32"/>
          <w:lang w:eastAsia="zh-CN"/>
        </w:rPr>
      </w:pPr>
    </w:p>
    <w:p w14:paraId="19952022">
      <w:pPr>
        <w:pStyle w:val="2"/>
        <w:spacing w:before="78" w:line="221" w:lineRule="auto"/>
        <w:ind w:firstLine="587"/>
        <w:jc w:val="center"/>
        <w:rPr>
          <w:rFonts w:ascii="楷体_GB2312" w:eastAsia="楷体_GB2312"/>
          <w:b/>
          <w:bCs/>
          <w:spacing w:val="-28"/>
          <w:sz w:val="32"/>
          <w:szCs w:val="32"/>
          <w:lang w:eastAsia="zh-CN"/>
        </w:rPr>
      </w:pPr>
    </w:p>
    <w:p w14:paraId="0704601A">
      <w:pPr>
        <w:pStyle w:val="2"/>
        <w:spacing w:before="78" w:line="221" w:lineRule="auto"/>
        <w:ind w:firstLine="587"/>
        <w:jc w:val="center"/>
        <w:rPr>
          <w:rFonts w:ascii="楷体_GB2312" w:eastAsia="楷体_GB2312"/>
          <w:b/>
          <w:bCs/>
          <w:spacing w:val="-28"/>
          <w:sz w:val="32"/>
          <w:szCs w:val="32"/>
          <w:lang w:eastAsia="zh-CN"/>
        </w:rPr>
      </w:pPr>
    </w:p>
    <w:p w14:paraId="65A784F1">
      <w:pPr>
        <w:pStyle w:val="2"/>
        <w:spacing w:before="78" w:line="221" w:lineRule="auto"/>
        <w:ind w:firstLine="587"/>
        <w:jc w:val="center"/>
        <w:rPr>
          <w:rFonts w:ascii="楷体_GB2312" w:eastAsia="楷体_GB2312"/>
          <w:b/>
          <w:bCs/>
          <w:spacing w:val="-28"/>
          <w:sz w:val="32"/>
          <w:szCs w:val="32"/>
          <w:lang w:eastAsia="zh-CN"/>
        </w:rPr>
      </w:pPr>
    </w:p>
    <w:p w14:paraId="5A9F469F">
      <w:pPr>
        <w:pStyle w:val="2"/>
        <w:spacing w:before="78" w:line="221" w:lineRule="auto"/>
        <w:rPr>
          <w:rFonts w:ascii="楷体_GB2312" w:eastAsia="楷体_GB2312"/>
          <w:b/>
          <w:bCs/>
          <w:spacing w:val="-28"/>
          <w:sz w:val="32"/>
          <w:szCs w:val="32"/>
          <w:lang w:eastAsia="zh-CN"/>
        </w:rPr>
      </w:pPr>
    </w:p>
    <w:p w14:paraId="0B756D56">
      <w:pPr>
        <w:pStyle w:val="2"/>
        <w:spacing w:before="78" w:line="221" w:lineRule="auto"/>
        <w:ind w:firstLine="587"/>
        <w:jc w:val="center"/>
        <w:rPr>
          <w:rFonts w:ascii="楷体_GB2312" w:eastAsia="楷体_GB2312"/>
          <w:b/>
          <w:bCs/>
          <w:spacing w:val="-28"/>
          <w:sz w:val="32"/>
          <w:szCs w:val="32"/>
          <w:lang w:eastAsia="zh-CN"/>
        </w:rPr>
      </w:pPr>
    </w:p>
    <w:p w14:paraId="42A8870F">
      <w:pPr>
        <w:pStyle w:val="2"/>
        <w:spacing w:before="78" w:line="221" w:lineRule="auto"/>
        <w:ind w:firstLine="587"/>
        <w:jc w:val="center"/>
        <w:rPr>
          <w:rFonts w:ascii="楷体_GB2312" w:eastAsia="楷体_GB2312"/>
          <w:b/>
          <w:bCs/>
          <w:spacing w:val="-28"/>
          <w:sz w:val="32"/>
          <w:szCs w:val="32"/>
          <w:lang w:eastAsia="zh-CN"/>
        </w:rPr>
      </w:pPr>
    </w:p>
    <w:p w14:paraId="5DFFC0DE">
      <w:pPr>
        <w:pStyle w:val="2"/>
        <w:spacing w:before="78" w:line="221" w:lineRule="auto"/>
        <w:ind w:firstLine="587"/>
        <w:jc w:val="center"/>
        <w:rPr>
          <w:rFonts w:ascii="楷体_GB2312" w:eastAsia="楷体_GB2312"/>
          <w:sz w:val="32"/>
          <w:szCs w:val="32"/>
          <w:lang w:eastAsia="zh-CN"/>
        </w:rPr>
      </w:pPr>
      <w:r>
        <w:rPr>
          <w:rFonts w:hint="eastAsia" w:ascii="楷体_GB2312" w:eastAsia="楷体_GB2312"/>
          <w:b/>
          <w:bCs/>
          <w:spacing w:val="-28"/>
          <w:sz w:val="32"/>
          <w:szCs w:val="32"/>
          <w:lang w:eastAsia="zh-CN"/>
        </w:rPr>
        <w:t>部门(单位)名称：</w:t>
      </w:r>
      <w:r>
        <w:rPr>
          <w:rFonts w:hint="eastAsia" w:ascii="楷体_GB2312" w:eastAsia="楷体_GB2312"/>
          <w:b/>
          <w:bCs/>
          <w:spacing w:val="-28"/>
          <w:sz w:val="32"/>
          <w:szCs w:val="32"/>
          <w:u w:val="single"/>
          <w:lang w:eastAsia="zh-CN"/>
        </w:rPr>
        <w:t xml:space="preserve">岳阳台湾农民创业园事务中心 </w:t>
      </w:r>
    </w:p>
    <w:p w14:paraId="3DA181A4">
      <w:pPr>
        <w:spacing w:before="274" w:line="225" w:lineRule="auto"/>
        <w:ind w:firstLine="617"/>
        <w:jc w:val="center"/>
        <w:rPr>
          <w:rFonts w:ascii="楷体_GB2312" w:hAnsi="楷体" w:eastAsia="楷体_GB2312" w:cs="楷体"/>
          <w:b/>
          <w:bCs/>
          <w:spacing w:val="-13"/>
          <w:sz w:val="32"/>
          <w:szCs w:val="32"/>
          <w:lang w:eastAsia="zh-CN"/>
        </w:rPr>
        <w:sectPr>
          <w:pgSz w:w="11906" w:h="16838"/>
          <w:pgMar w:top="1440" w:right="1800" w:bottom="1440" w:left="1800" w:header="851" w:footer="992" w:gutter="0"/>
          <w:cols w:space="425" w:num="1"/>
          <w:docGrid w:type="lines" w:linePitch="312" w:charSpace="0"/>
        </w:sectPr>
      </w:pPr>
      <w:r>
        <w:rPr>
          <w:rFonts w:hint="eastAsia" w:ascii="楷体_GB2312" w:hAnsi="楷体" w:eastAsia="楷体_GB2312" w:cs="楷体"/>
          <w:b/>
          <w:bCs/>
          <w:spacing w:val="-13"/>
          <w:sz w:val="32"/>
          <w:szCs w:val="32"/>
          <w:lang w:eastAsia="zh-CN"/>
        </w:rPr>
        <w:t>2026年5月</w:t>
      </w:r>
      <w:r>
        <w:rPr>
          <w:rFonts w:hint="eastAsia" w:ascii="楷体_GB2312" w:hAnsi="楷体" w:eastAsia="楷体_GB2312" w:cs="楷体"/>
          <w:b/>
          <w:bCs/>
          <w:spacing w:val="-13"/>
          <w:sz w:val="32"/>
          <w:szCs w:val="32"/>
          <w:lang w:val="en-US" w:eastAsia="zh-CN"/>
        </w:rPr>
        <w:t>15</w:t>
      </w:r>
      <w:r>
        <w:rPr>
          <w:rFonts w:hint="eastAsia" w:ascii="楷体_GB2312" w:hAnsi="楷体" w:eastAsia="楷体_GB2312" w:cs="楷体"/>
          <w:b/>
          <w:bCs/>
          <w:spacing w:val="-13"/>
          <w:sz w:val="32"/>
          <w:szCs w:val="32"/>
          <w:lang w:eastAsia="zh-CN"/>
        </w:rPr>
        <w:t>日</w:t>
      </w:r>
    </w:p>
    <w:p w14:paraId="0FFE3250">
      <w:pPr>
        <w:pStyle w:val="2"/>
        <w:spacing w:before="211" w:line="540" w:lineRule="exact"/>
        <w:ind w:firstLine="640" w:firstLineChars="200"/>
        <w:jc w:val="both"/>
        <w:rPr>
          <w:rFonts w:ascii="方正黑体_GBK" w:eastAsia="方正黑体_GBK"/>
          <w:sz w:val="32"/>
          <w:szCs w:val="32"/>
          <w:lang w:eastAsia="zh-CN"/>
        </w:rPr>
      </w:pPr>
      <w:r>
        <w:rPr>
          <w:rFonts w:hint="eastAsia" w:ascii="方正黑体_GBK" w:eastAsia="方正黑体_GBK"/>
          <w:sz w:val="32"/>
          <w:szCs w:val="32"/>
          <w:lang w:eastAsia="zh-CN"/>
        </w:rPr>
        <w:t>一、单位基本情况</w:t>
      </w:r>
    </w:p>
    <w:p w14:paraId="32A0105E">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岳阳台湾农民创业园事务中心为岳阳县人民政府直属正科级公益一类事业单位，无二级机构，财务独立核算。内设综合管理部、财务计划部、招商信息部3个股室，2025年底台创园在职人员9人，其中在编在岗8人，劳务派遣1人。</w:t>
      </w:r>
    </w:p>
    <w:p w14:paraId="1F34C130">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职能职责：</w:t>
      </w:r>
    </w:p>
    <w:p w14:paraId="2416FC22">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1、负责引进先进农业技术、管理经验、资金、项目和人才，重点发展特色水果、有机蔬菜、园林花卉、畜禽水产、农产品加工和仓储物流、休闲观光等主导产业。</w:t>
      </w:r>
    </w:p>
    <w:p w14:paraId="6D6D73E2">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2、负责落实有关政策，积极搭建中外、大陆地区之间、大陆和港澳台之间的交流、现代农业、科技服务、农产品展销等平台，做好平台相关建设，为园区和企业发展提供更多的信息渠道。</w:t>
      </w:r>
    </w:p>
    <w:p w14:paraId="0295D7DE">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3、负责推进社会资本参与农业产业发展、创业园区示范区招商引进，重点项目的洽谈与对外宣传等相关事务性工作。</w:t>
      </w:r>
    </w:p>
    <w:p w14:paraId="7962672C">
      <w:pPr>
        <w:spacing w:line="54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4、负责对外、大陆地区之间、大陆和港澳台之间交流活动的事务性工作，负责县域内农业企业参加国际农产品展销会、农业合作发展论坛等事务性工作。</w:t>
      </w:r>
    </w:p>
    <w:p w14:paraId="5252DF3E">
      <w:pPr>
        <w:spacing w:line="540" w:lineRule="exact"/>
        <w:ind w:firstLine="640" w:firstLineChars="200"/>
        <w:rPr>
          <w:rFonts w:ascii="方正黑体_GBK" w:eastAsia="仿宋_GB2312"/>
          <w:sz w:val="32"/>
          <w:szCs w:val="32"/>
          <w:lang w:eastAsia="zh-CN"/>
        </w:rPr>
      </w:pPr>
      <w:r>
        <w:rPr>
          <w:rFonts w:hint="eastAsia" w:ascii="仿宋_GB2312" w:hAnsi="仿宋_GB2312" w:eastAsia="仿宋_GB2312" w:cs="仿宋_GB2312"/>
          <w:sz w:val="32"/>
          <w:szCs w:val="32"/>
          <w:lang w:eastAsia="zh-CN"/>
        </w:rPr>
        <w:t>5、承办县委、县人民政府交办的其他事项。</w:t>
      </w:r>
    </w:p>
    <w:p w14:paraId="569CA3D7">
      <w:pPr>
        <w:spacing w:line="540" w:lineRule="exact"/>
        <w:ind w:firstLine="640" w:firstLineChars="200"/>
        <w:jc w:val="both"/>
        <w:rPr>
          <w:rFonts w:ascii="方正黑体_GBK" w:eastAsia="方正黑体_GBK"/>
          <w:sz w:val="32"/>
          <w:szCs w:val="32"/>
          <w:lang w:eastAsia="zh-CN"/>
        </w:rPr>
      </w:pPr>
      <w:r>
        <w:rPr>
          <w:rFonts w:hint="eastAsia" w:ascii="方正黑体_GBK" w:eastAsia="方正黑体_GBK"/>
          <w:sz w:val="32"/>
          <w:szCs w:val="32"/>
          <w:lang w:eastAsia="zh-CN"/>
        </w:rPr>
        <w:t>二、一般公共预算支出情况</w:t>
      </w:r>
    </w:p>
    <w:p w14:paraId="7392C7FC">
      <w:pPr>
        <w:spacing w:line="540" w:lineRule="exact"/>
        <w:ind w:firstLine="643" w:firstLineChars="200"/>
        <w:jc w:val="both"/>
        <w:rPr>
          <w:rFonts w:ascii="楷体_GB2312" w:hAnsi="楷体_GB2312" w:eastAsia="楷体_GB2312" w:cs="楷体_GB2312"/>
          <w:b/>
          <w:sz w:val="32"/>
          <w:szCs w:val="32"/>
          <w:lang w:eastAsia="zh-CN"/>
        </w:rPr>
      </w:pPr>
      <w:r>
        <w:rPr>
          <w:rFonts w:hint="eastAsia" w:ascii="楷体_GB2312" w:hAnsi="楷体_GB2312" w:eastAsia="楷体_GB2312" w:cs="楷体_GB2312"/>
          <w:b/>
          <w:sz w:val="32"/>
          <w:szCs w:val="32"/>
          <w:lang w:eastAsia="zh-CN"/>
        </w:rPr>
        <w:t>（一）基本支出情况</w:t>
      </w:r>
    </w:p>
    <w:p w14:paraId="7E3B010C">
      <w:pPr>
        <w:spacing w:line="540" w:lineRule="exact"/>
        <w:ind w:firstLine="640" w:firstLineChars="200"/>
        <w:jc w:val="both"/>
        <w:rPr>
          <w:rFonts w:ascii="Times New Roman" w:hAnsi="Times New Roman" w:eastAsia="楷体_GB2312"/>
          <w:b/>
          <w:sz w:val="32"/>
          <w:szCs w:val="32"/>
          <w:lang w:eastAsia="zh-CN"/>
        </w:rPr>
      </w:pPr>
      <w:r>
        <w:rPr>
          <w:rFonts w:hint="eastAsia" w:ascii="仿宋_GB2312" w:hAnsi="仿宋_GB2312" w:eastAsia="仿宋_GB2312" w:cs="仿宋_GB2312"/>
          <w:sz w:val="32"/>
          <w:szCs w:val="32"/>
          <w:lang w:eastAsia="zh-CN"/>
        </w:rPr>
        <w:t>2025年基本支出共258.33万元，主要用于人员经费支出117.12万元，公用经费支出141.21万元，严格控制“三公经费”管理，2025年“三公”经费合计</w:t>
      </w:r>
      <w:r>
        <w:rPr>
          <w:rFonts w:hint="eastAsia" w:ascii="仿宋_GB2312" w:hAnsi="仿宋_GB2312" w:eastAsia="仿宋_GB2312" w:cs="仿宋_GB2312"/>
          <w:sz w:val="32"/>
          <w:szCs w:val="32"/>
          <w:lang w:val="en-US" w:eastAsia="zh-CN"/>
        </w:rPr>
        <w:t>1.01</w:t>
      </w:r>
      <w:r>
        <w:rPr>
          <w:rFonts w:hint="eastAsia" w:ascii="仿宋_GB2312" w:hAnsi="仿宋_GB2312" w:eastAsia="仿宋_GB2312" w:cs="仿宋_GB2312"/>
          <w:sz w:val="32"/>
          <w:szCs w:val="32"/>
          <w:lang w:eastAsia="zh-CN"/>
        </w:rPr>
        <w:t>万元，即公务接待费</w:t>
      </w:r>
      <w:r>
        <w:rPr>
          <w:rFonts w:hint="eastAsia" w:ascii="仿宋_GB2312" w:hAnsi="仿宋_GB2312" w:eastAsia="仿宋_GB2312" w:cs="仿宋_GB2312"/>
          <w:sz w:val="32"/>
          <w:szCs w:val="32"/>
          <w:lang w:val="en-US" w:eastAsia="zh-CN"/>
        </w:rPr>
        <w:t>1.01</w:t>
      </w:r>
      <w:r>
        <w:rPr>
          <w:rFonts w:hint="eastAsia" w:ascii="仿宋_GB2312" w:hAnsi="仿宋_GB2312" w:eastAsia="仿宋_GB2312" w:cs="仿宋_GB2312"/>
          <w:sz w:val="32"/>
          <w:szCs w:val="32"/>
          <w:lang w:eastAsia="zh-CN"/>
        </w:rPr>
        <w:t>万元，无因公出国，实行公车改革后，本单位没有公务车，无公务车运行维护费。</w:t>
      </w:r>
    </w:p>
    <w:p w14:paraId="307221C7">
      <w:pPr>
        <w:spacing w:line="540" w:lineRule="exact"/>
        <w:ind w:firstLine="643" w:firstLineChars="200"/>
        <w:jc w:val="both"/>
        <w:rPr>
          <w:rFonts w:ascii="楷体_GB2312" w:hAnsi="楷体_GB2312" w:eastAsia="楷体_GB2312" w:cs="楷体_GB2312"/>
          <w:b/>
          <w:sz w:val="32"/>
          <w:szCs w:val="32"/>
          <w:lang w:eastAsia="zh-CN"/>
        </w:rPr>
      </w:pPr>
      <w:r>
        <w:rPr>
          <w:rFonts w:hint="eastAsia" w:ascii="楷体_GB2312" w:hAnsi="楷体_GB2312" w:eastAsia="楷体_GB2312" w:cs="楷体_GB2312"/>
          <w:b/>
          <w:sz w:val="32"/>
          <w:szCs w:val="32"/>
          <w:lang w:eastAsia="zh-CN"/>
        </w:rPr>
        <w:t>（二）项目支出情况</w:t>
      </w:r>
    </w:p>
    <w:p w14:paraId="3A7333F2">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无</w:t>
      </w:r>
      <w:bookmarkStart w:id="0" w:name="_GoBack"/>
      <w:bookmarkEnd w:id="0"/>
    </w:p>
    <w:p w14:paraId="54D56A15">
      <w:pPr>
        <w:spacing w:line="540" w:lineRule="exact"/>
        <w:ind w:left="640"/>
        <w:jc w:val="both"/>
        <w:rPr>
          <w:rFonts w:ascii="方正黑体_GBK" w:eastAsia="方正黑体_GBK"/>
          <w:sz w:val="32"/>
          <w:szCs w:val="32"/>
          <w:lang w:eastAsia="zh-CN"/>
        </w:rPr>
      </w:pPr>
      <w:r>
        <w:rPr>
          <w:rFonts w:hint="eastAsia" w:ascii="方正黑体_GBK" w:eastAsia="方正黑体_GBK"/>
          <w:sz w:val="32"/>
          <w:szCs w:val="32"/>
          <w:lang w:eastAsia="zh-CN"/>
        </w:rPr>
        <w:t>三、政府性基金预算支出情况</w:t>
      </w:r>
    </w:p>
    <w:p w14:paraId="7D561E74">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无</w:t>
      </w:r>
    </w:p>
    <w:p w14:paraId="62136692">
      <w:pPr>
        <w:spacing w:line="540" w:lineRule="exact"/>
        <w:ind w:left="640"/>
        <w:jc w:val="both"/>
        <w:rPr>
          <w:rFonts w:ascii="方正黑体_GBK" w:eastAsia="方正黑体_GBK"/>
          <w:sz w:val="32"/>
          <w:szCs w:val="32"/>
          <w:lang w:eastAsia="zh-CN"/>
        </w:rPr>
      </w:pPr>
      <w:r>
        <w:rPr>
          <w:rFonts w:hint="eastAsia" w:ascii="方正黑体_GBK" w:eastAsia="方正黑体_GBK"/>
          <w:sz w:val="32"/>
          <w:szCs w:val="32"/>
          <w:lang w:eastAsia="zh-CN"/>
        </w:rPr>
        <w:t>四、国有资本经营预算支出情况</w:t>
      </w:r>
    </w:p>
    <w:p w14:paraId="0363CC0F">
      <w:pPr>
        <w:spacing w:line="540" w:lineRule="exact"/>
        <w:ind w:left="640"/>
        <w:rPr>
          <w:szCs w:val="24"/>
          <w:lang w:eastAsia="zh-CN"/>
        </w:rPr>
      </w:pPr>
      <w:r>
        <w:rPr>
          <w:rFonts w:hint="eastAsia" w:ascii="仿宋_GB2312" w:hAnsi="仿宋_GB2312" w:eastAsia="仿宋_GB2312" w:cs="仿宋_GB2312"/>
          <w:sz w:val="32"/>
          <w:szCs w:val="32"/>
          <w:lang w:eastAsia="zh-CN"/>
        </w:rPr>
        <w:t>无</w:t>
      </w:r>
    </w:p>
    <w:p w14:paraId="7449D1C9">
      <w:pPr>
        <w:spacing w:line="540" w:lineRule="exact"/>
        <w:ind w:left="640"/>
        <w:jc w:val="both"/>
        <w:rPr>
          <w:rFonts w:ascii="方正黑体_GBK" w:eastAsia="方正黑体_GBK"/>
          <w:sz w:val="32"/>
          <w:szCs w:val="32"/>
          <w:lang w:eastAsia="zh-CN"/>
        </w:rPr>
      </w:pPr>
      <w:r>
        <w:rPr>
          <w:rFonts w:hint="eastAsia" w:ascii="方正黑体_GBK" w:eastAsia="方正黑体_GBK"/>
          <w:sz w:val="32"/>
          <w:szCs w:val="32"/>
          <w:lang w:eastAsia="zh-CN"/>
        </w:rPr>
        <w:t>五、社会保险基金预算支出情况</w:t>
      </w:r>
    </w:p>
    <w:p w14:paraId="1CF46839">
      <w:pPr>
        <w:spacing w:line="540" w:lineRule="exact"/>
        <w:ind w:left="64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无</w:t>
      </w:r>
    </w:p>
    <w:p w14:paraId="1482DE3B">
      <w:pPr>
        <w:spacing w:line="540" w:lineRule="exact"/>
        <w:ind w:firstLine="640" w:firstLineChars="200"/>
        <w:jc w:val="both"/>
        <w:rPr>
          <w:lang w:eastAsia="zh-CN"/>
        </w:rPr>
      </w:pPr>
      <w:r>
        <w:rPr>
          <w:rFonts w:hint="eastAsia" w:ascii="方正黑体_GBK" w:eastAsia="方正黑体_GBK"/>
          <w:sz w:val="32"/>
          <w:szCs w:val="32"/>
          <w:lang w:eastAsia="zh-CN"/>
        </w:rPr>
        <w:t>六、部门整体支出绩效情况</w:t>
      </w:r>
    </w:p>
    <w:p w14:paraId="4D682524">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1.运行成本：我单位从办公费、印刷费、差旅费等各方面入手，压减非必要支出，在开支上实行严格的审批制度，切实控制各项开支，确保经费用在刀刃上，有效控制了机关的运行成本。</w:t>
      </w:r>
    </w:p>
    <w:p w14:paraId="09E3C211">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2.管理效率：一是预算执行率。全年预算数269.81万元，支出数258.33万元，完成全年预算的95.75 % ，体现资金使用的合规性与计划性。二是资金使用合规性。建立健全了机关内部控制管理制度和机关财务制度，加强内部管理，严格按照预算批复用途、财务制度支出，提高了预算资金的使用效率和透明度，降低了内部管理成本。</w:t>
      </w:r>
    </w:p>
    <w:p w14:paraId="0B3B5BED">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3.履职效能：我单位在对台交流、招商引资等方面都取得了显著成效，履职效能得到了提升。一是开展特色交流活动。承办了第四届海峡两岸农业文化交流会，活动以“科技赋能农文旅 两岸智汇启新篇”为主题，邀请两岸农业、文化、旅游领域专家及青年代表参与，深化两岸在农文旅融合领域的合作。二是组织特色农产品参展。认真组织企业赴广东东莞参加第十六届东莞台湾名品博览会，认真组织台资企业参加海南琼台经贸交流会活动，重点展销山茶油、茶麸精油、山茶籽洗衣液、薯脯、薯粉丝、金盆柚等系列产品，充分展示了我县特色优质农产品。三是加强业务交流学习。赴厦门开展招商引资活动，精准对接优质企业资源；前往福州福清台湾农民创业园考察，深度学习园区在产业规划、运营管理、政策创新等方面的先进经验，为岳阳台创园优化发展路径提供新思路。同时台创园出席全省、全市对台经济工作会议，并作为招商引资典型代表做交流发言，分享招商心得。四是加大宣传推介。中央电视台在台创园拍摄的《乡村振兴路“三农”新天地》纪录片于央视4套中文国际频道成功播出。此次纪录片的播出，为台创园搭建起面向全球的宣传展示平台，借助央视强大的传播力与影响力，将我县特色农业产业发展成果、两岸农业合作新模式、乡村振兴实践成果生动展现给广大观众。</w:t>
      </w:r>
    </w:p>
    <w:p w14:paraId="0247AB83">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4.社会效应：在促进两岸农业交流合作、推动地方经济发展、提升农业技术水平、增加就业与农民增收、促进乡村振兴等方面具有显著的社会效应。</w:t>
      </w:r>
    </w:p>
    <w:p w14:paraId="08F0BEC4">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5.可持续发展能力：通过引进台湾先进的农业种植、养殖技术和管理经验，示范推广先进农业产业模式，提高了本地农业的科技含量和生产效率，促进了传统农业向现代农业的转型升级，农业持续向绿色发展。</w:t>
      </w:r>
    </w:p>
    <w:p w14:paraId="249EAFB3">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6.服务对象满意度：通过提供优质的政策咨询、企业开户、项目落地等服务，提高了企业对本单位的满意度。</w:t>
      </w:r>
    </w:p>
    <w:p w14:paraId="7F6CA7F1">
      <w:pPr>
        <w:spacing w:line="540" w:lineRule="exact"/>
        <w:ind w:firstLine="640" w:firstLineChars="200"/>
        <w:jc w:val="both"/>
        <w:rPr>
          <w:rFonts w:ascii="仿宋_GB2312" w:hAnsi="仿宋_GB2312" w:eastAsia="仿宋_GB2312" w:cs="仿宋_GB2312"/>
          <w:sz w:val="32"/>
          <w:szCs w:val="32"/>
          <w:lang w:eastAsia="zh-CN"/>
        </w:rPr>
      </w:pPr>
      <w:r>
        <w:rPr>
          <w:rFonts w:hint="eastAsia" w:ascii="方正黑体_GBK" w:eastAsia="方正黑体_GBK"/>
          <w:sz w:val="32"/>
          <w:szCs w:val="32"/>
          <w:lang w:eastAsia="zh-CN"/>
        </w:rPr>
        <w:t>七、存在的问题及原因分析</w:t>
      </w:r>
    </w:p>
    <w:p w14:paraId="3AF4EF02">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1.部分</w:t>
      </w:r>
      <w:r>
        <w:rPr>
          <w:rFonts w:hint="eastAsia" w:eastAsia="仿宋_GB2312"/>
          <w:sz w:val="32"/>
          <w:szCs w:val="32"/>
          <w:lang w:eastAsia="zh-CN"/>
        </w:rPr>
        <w:t>资金拨付进度缓慢、资金使用效率低，</w:t>
      </w:r>
      <w:r>
        <w:rPr>
          <w:rFonts w:hint="eastAsia" w:ascii="仿宋_GB2312" w:hAnsi="仿宋_GB2312" w:eastAsia="仿宋_GB2312" w:cs="仿宋_GB2312"/>
          <w:sz w:val="32"/>
          <w:szCs w:val="32"/>
          <w:lang w:eastAsia="zh-CN"/>
        </w:rPr>
        <w:t>财务监督管理机制还有待加强。</w:t>
      </w:r>
    </w:p>
    <w:p w14:paraId="276D69FF">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2.财务工作者的业务能力有待进一步加强，对于绩效评价的认识不够深入。</w:t>
      </w:r>
    </w:p>
    <w:p w14:paraId="2F05ACED">
      <w:pPr>
        <w:spacing w:line="540" w:lineRule="exact"/>
        <w:ind w:firstLine="640" w:firstLineChars="200"/>
        <w:jc w:val="both"/>
        <w:rPr>
          <w:rFonts w:ascii="方正黑体_GBK" w:eastAsia="方正黑体_GBK"/>
          <w:sz w:val="32"/>
          <w:szCs w:val="32"/>
          <w:lang w:eastAsia="zh-CN"/>
        </w:rPr>
      </w:pPr>
      <w:r>
        <w:rPr>
          <w:rFonts w:hint="eastAsia" w:ascii="方正黑体_GBK" w:eastAsia="方正黑体_GBK"/>
          <w:sz w:val="32"/>
          <w:szCs w:val="32"/>
          <w:lang w:eastAsia="zh-CN"/>
        </w:rPr>
        <w:t>八、下一步改进措施</w:t>
      </w:r>
    </w:p>
    <w:p w14:paraId="5FF97693">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1.加强对资金支出方面的管理，进一步完善资金管理制度，加强财务监督，严格监管资金的使用，分清业务的不同性质，结合单位的资金能力，按轻重缓急统筹安排资金，保证资金使用的高效率。</w:t>
      </w:r>
    </w:p>
    <w:p w14:paraId="23EAA352">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2.加强财务工作人员的业务能力培训，规范账务处理，提高实际工作能力。</w:t>
      </w:r>
    </w:p>
    <w:p w14:paraId="1155E31A">
      <w:pPr>
        <w:spacing w:line="540" w:lineRule="exact"/>
        <w:ind w:firstLine="640" w:firstLineChars="200"/>
        <w:jc w:val="both"/>
        <w:rPr>
          <w:rFonts w:ascii="方正黑体_GBK" w:eastAsia="方正黑体_GBK"/>
          <w:sz w:val="32"/>
          <w:szCs w:val="32"/>
          <w:lang w:eastAsia="zh-CN"/>
        </w:rPr>
      </w:pPr>
      <w:r>
        <w:rPr>
          <w:rFonts w:hint="eastAsia" w:ascii="方正黑体_GBK" w:eastAsia="方正黑体_GBK"/>
          <w:sz w:val="32"/>
          <w:szCs w:val="32"/>
          <w:lang w:eastAsia="zh-CN"/>
        </w:rPr>
        <w:t>九、部门整体支出绩效自评结果拟应用和公开情况</w:t>
      </w:r>
    </w:p>
    <w:p w14:paraId="4E7478F0">
      <w:pPr>
        <w:spacing w:line="540" w:lineRule="exact"/>
        <w:ind w:firstLine="640" w:firstLineChars="200"/>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综合以上各项指标，财务管理较健全规范，没有发生违法违规现象，台创园2025年度部门整体支出绩效自评99.58分，自评结果：优秀。</w:t>
      </w:r>
      <w:r>
        <w:rPr>
          <w:rFonts w:hint="eastAsia" w:eastAsia="仿宋_GB2312"/>
          <w:sz w:val="32"/>
          <w:szCs w:val="32"/>
          <w:lang w:eastAsia="zh-CN"/>
        </w:rPr>
        <w:t>我们将在以后的工作中加强预算管理，严格控制各项经费的开支，提高经费的使用效率。本整体支出绩效自评报告</w:t>
      </w:r>
      <w:r>
        <w:rPr>
          <w:rFonts w:hint="eastAsia" w:ascii="仿宋_GB2312" w:hAnsi="仿宋_GB2312" w:eastAsia="仿宋_GB2312" w:cs="仿宋_GB2312"/>
          <w:sz w:val="32"/>
          <w:szCs w:val="32"/>
          <w:lang w:eastAsia="zh-CN"/>
        </w:rPr>
        <w:t>拟与2025年度部门决算同步公开。</w:t>
      </w:r>
    </w:p>
    <w:p w14:paraId="419645B2">
      <w:pPr>
        <w:spacing w:line="540" w:lineRule="exact"/>
        <w:ind w:firstLine="640" w:firstLineChars="200"/>
        <w:jc w:val="both"/>
        <w:rPr>
          <w:rFonts w:eastAsia="黑体"/>
          <w:sz w:val="32"/>
          <w:szCs w:val="32"/>
          <w:lang w:eastAsia="zh-CN"/>
        </w:rPr>
      </w:pPr>
      <w:r>
        <w:rPr>
          <w:rFonts w:hint="eastAsia" w:eastAsia="黑体"/>
          <w:sz w:val="32"/>
          <w:szCs w:val="32"/>
          <w:lang w:eastAsia="zh-CN"/>
        </w:rPr>
        <w:t>十、其他需要说明的情况</w:t>
      </w:r>
    </w:p>
    <w:p w14:paraId="08773653">
      <w:pPr>
        <w:spacing w:line="540" w:lineRule="exact"/>
        <w:ind w:firstLine="640" w:firstLineChars="200"/>
        <w:jc w:val="both"/>
        <w:rPr>
          <w:rFonts w:eastAsia="仿宋_GB2312"/>
          <w:sz w:val="32"/>
          <w:szCs w:val="32"/>
          <w:lang w:eastAsia="zh-CN"/>
        </w:rPr>
      </w:pPr>
      <w:r>
        <w:rPr>
          <w:rFonts w:hint="eastAsia" w:eastAsia="仿宋_GB2312"/>
          <w:sz w:val="32"/>
          <w:szCs w:val="32"/>
          <w:lang w:eastAsia="zh-CN"/>
        </w:rPr>
        <w:t>无</w:t>
      </w:r>
    </w:p>
    <w:p w14:paraId="69360ADE">
      <w:pPr>
        <w:pStyle w:val="3"/>
        <w:spacing w:line="540" w:lineRule="exact"/>
        <w:rPr>
          <w:b/>
          <w:bCs/>
          <w:spacing w:val="18"/>
          <w:sz w:val="30"/>
          <w:szCs w:val="30"/>
          <w:lang w:eastAsia="zh-CN"/>
        </w:rPr>
      </w:pPr>
    </w:p>
    <w:p w14:paraId="34FB4B53">
      <w:pPr>
        <w:spacing w:line="540" w:lineRule="exact"/>
        <w:ind w:firstLine="640" w:firstLineChars="200"/>
        <w:jc w:val="both"/>
        <w:rPr>
          <w:rFonts w:eastAsia="仿宋_GB2312"/>
          <w:sz w:val="32"/>
          <w:szCs w:val="32"/>
          <w:lang w:eastAsia="zh-CN"/>
        </w:rPr>
      </w:pPr>
    </w:p>
    <w:p w14:paraId="6203D369">
      <w:pPr>
        <w:spacing w:line="54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87C2E"/>
    <w:rsid w:val="00287C2E"/>
    <w:rsid w:val="002D20D5"/>
    <w:rsid w:val="00395B1C"/>
    <w:rsid w:val="004C6AA1"/>
    <w:rsid w:val="0068506A"/>
    <w:rsid w:val="006F58C5"/>
    <w:rsid w:val="00844423"/>
    <w:rsid w:val="00A94673"/>
    <w:rsid w:val="00BA34F0"/>
    <w:rsid w:val="00BB1481"/>
    <w:rsid w:val="00D97CCE"/>
    <w:rsid w:val="00ED048E"/>
    <w:rsid w:val="00F63A44"/>
    <w:rsid w:val="00F67556"/>
    <w:rsid w:val="00FC7AC9"/>
    <w:rsid w:val="03F67248"/>
    <w:rsid w:val="04F17DE4"/>
    <w:rsid w:val="0D0E5602"/>
    <w:rsid w:val="11186A50"/>
    <w:rsid w:val="11E94396"/>
    <w:rsid w:val="17FB6783"/>
    <w:rsid w:val="18ED6A14"/>
    <w:rsid w:val="1CD468AB"/>
    <w:rsid w:val="1DBA49EB"/>
    <w:rsid w:val="1DC27A30"/>
    <w:rsid w:val="1FCB1E28"/>
    <w:rsid w:val="222D60D3"/>
    <w:rsid w:val="25034EC9"/>
    <w:rsid w:val="2691272D"/>
    <w:rsid w:val="26ED7BDF"/>
    <w:rsid w:val="27846795"/>
    <w:rsid w:val="29C125C6"/>
    <w:rsid w:val="2A742AF1"/>
    <w:rsid w:val="2BE67189"/>
    <w:rsid w:val="2CEF2903"/>
    <w:rsid w:val="30004E27"/>
    <w:rsid w:val="310C23F7"/>
    <w:rsid w:val="313034EA"/>
    <w:rsid w:val="316118F5"/>
    <w:rsid w:val="32CF7EE6"/>
    <w:rsid w:val="35504103"/>
    <w:rsid w:val="376C4B50"/>
    <w:rsid w:val="3AD66EB0"/>
    <w:rsid w:val="3B287BE0"/>
    <w:rsid w:val="3E681A67"/>
    <w:rsid w:val="40D96AA5"/>
    <w:rsid w:val="48483234"/>
    <w:rsid w:val="4AFC26D1"/>
    <w:rsid w:val="4C2A13EE"/>
    <w:rsid w:val="50834F8C"/>
    <w:rsid w:val="53363C64"/>
    <w:rsid w:val="53E977FC"/>
    <w:rsid w:val="562B5C2F"/>
    <w:rsid w:val="5C594DF3"/>
    <w:rsid w:val="5D30024A"/>
    <w:rsid w:val="5E36363E"/>
    <w:rsid w:val="609749F5"/>
    <w:rsid w:val="622540F5"/>
    <w:rsid w:val="628C7CD0"/>
    <w:rsid w:val="628E1C9B"/>
    <w:rsid w:val="62BE3C02"/>
    <w:rsid w:val="665779AE"/>
    <w:rsid w:val="67DB7004"/>
    <w:rsid w:val="71012063"/>
    <w:rsid w:val="71213CDA"/>
    <w:rsid w:val="753C7334"/>
    <w:rsid w:val="776C1A27"/>
    <w:rsid w:val="77BC475C"/>
    <w:rsid w:val="77C43611"/>
    <w:rsid w:val="791F31F5"/>
    <w:rsid w:val="7A5073DE"/>
    <w:rsid w:val="7B8715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
    <w:autoRedefine/>
    <w:semiHidden/>
    <w:qFormat/>
    <w:uiPriority w:val="0"/>
    <w:pPr>
      <w:spacing w:before="20" w:line="222" w:lineRule="auto"/>
    </w:pPr>
    <w:rPr>
      <w:rFonts w:ascii="仿宋" w:hAnsi="仿宋" w:eastAsia="仿宋" w:cs="仿宋"/>
      <w:sz w:val="35"/>
      <w:szCs w:val="35"/>
    </w:rPr>
  </w:style>
  <w:style w:type="paragraph" w:styleId="3">
    <w:name w:val="footer"/>
    <w:basedOn w:val="1"/>
    <w:link w:val="8"/>
    <w:unhideWhenUsed/>
    <w:qFormat/>
    <w:uiPriority w:val="99"/>
    <w:pPr>
      <w:tabs>
        <w:tab w:val="center" w:pos="4153"/>
        <w:tab w:val="right" w:pos="8306"/>
      </w:tabs>
    </w:pPr>
    <w:rPr>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正文文本 Char"/>
    <w:basedOn w:val="6"/>
    <w:link w:val="2"/>
    <w:semiHidden/>
    <w:qFormat/>
    <w:uiPriority w:val="0"/>
    <w:rPr>
      <w:rFonts w:ascii="仿宋" w:hAnsi="仿宋" w:eastAsia="仿宋" w:cs="仿宋"/>
      <w:snapToGrid w:val="0"/>
      <w:color w:val="000000"/>
      <w:kern w:val="0"/>
      <w:sz w:val="35"/>
      <w:szCs w:val="35"/>
      <w:lang w:eastAsia="en-US"/>
    </w:rPr>
  </w:style>
  <w:style w:type="paragraph" w:styleId="10">
    <w:name w:val="List Paragraph"/>
    <w:basedOn w:val="1"/>
    <w:autoRedefine/>
    <w:unhideWhenUsed/>
    <w:qFormat/>
    <w:uiPriority w:val="99"/>
    <w:pPr>
      <w:ind w:firstLine="420" w:firstLineChars="200"/>
    </w:pPr>
  </w:style>
  <w:style w:type="paragraph" w:customStyle="1" w:styleId="11">
    <w:name w:val="正文文本1"/>
    <w:basedOn w:val="1"/>
    <w:unhideWhenUsed/>
    <w:qFormat/>
    <w:uiPriority w:val="0"/>
    <w:pPr>
      <w:spacing w:line="560" w:lineRule="exact"/>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1974</Words>
  <Characters>2045</Characters>
  <Lines>14</Lines>
  <Paragraphs>4</Paragraphs>
  <TotalTime>2</TotalTime>
  <ScaleCrop>false</ScaleCrop>
  <LinksUpToDate>false</LinksUpToDate>
  <CharactersWithSpaces>2049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2025-05-14T03:33:00Z</dcterms:created>
  <dc:creator>PC</dc:creator>
  <cp:lastModifiedBy>荣晔婷</cp:lastModifiedBy>
  <dcterms:modified xsi:type="dcterms:W3CDTF">2026-09-23T00:31:52Z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eyJoZGlkIjoiMmU1OWEwOWYyOWMyZGQ4NDQ2NTlkNjFhZmVkM2I4ZTciLCJ1c2VySWQiOiIxNTc5NzM4NTMwIn0=</vt:lpwstr>
  </property>
  <property fmtid="{D5CDD505-2E9C-101B-9397-08002B2CF9AE}" pid="3" name="KSOProductBuildVer">
    <vt:lpwstr>2052-12.1.0.28043</vt:lpwstr>
  </property>
  <property fmtid="{D5CDD505-2E9C-101B-9397-08002B2CF9AE}" pid="4" name="ICV">
    <vt:lpwstr>EBC71BDF16524A3EAE91E8B98381A6B3_12</vt:lpwstr>
  </property>
</Properties>
</file>