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7F030">
      <w:pPr>
        <w:ind w:firstLine="720"/>
        <w:jc w:val="center"/>
        <w:rPr>
          <w:rFonts w:hint="eastAsia" w:ascii="标准粗黑" w:hAnsi="标准粗黑" w:eastAsia="标准粗黑" w:cs="标准粗黑"/>
          <w:sz w:val="44"/>
          <w:szCs w:val="44"/>
        </w:rPr>
      </w:pPr>
    </w:p>
    <w:p w14:paraId="17E0542D">
      <w:pPr>
        <w:ind w:firstLine="720"/>
        <w:jc w:val="center"/>
        <w:rPr>
          <w:rFonts w:hint="eastAsia" w:ascii="标准粗黑" w:hAnsi="标准粗黑" w:eastAsia="标准粗黑" w:cs="标准粗黑"/>
          <w:sz w:val="44"/>
          <w:szCs w:val="44"/>
        </w:rPr>
      </w:pPr>
    </w:p>
    <w:p w14:paraId="6EB0023C">
      <w:pPr>
        <w:ind w:firstLine="720"/>
        <w:jc w:val="center"/>
        <w:rPr>
          <w:rFonts w:hint="eastAsia" w:ascii="Arial Unicode MS" w:hAnsi="Arial Unicode MS" w:eastAsia="Arial Unicode MS" w:cs="Arial Unicode MS"/>
          <w:sz w:val="44"/>
          <w:szCs w:val="44"/>
        </w:rPr>
      </w:pPr>
    </w:p>
    <w:p w14:paraId="1F1A121A">
      <w:pPr>
        <w:ind w:firstLine="720"/>
        <w:jc w:val="center"/>
        <w:rPr>
          <w:rFonts w:hint="eastAsia" w:ascii="Arial Unicode MS" w:hAnsi="Arial Unicode MS" w:eastAsia="Arial Unicode MS" w:cs="Arial Unicode MS"/>
          <w:sz w:val="44"/>
          <w:szCs w:val="44"/>
        </w:rPr>
      </w:pPr>
      <w:r>
        <w:rPr>
          <w:rFonts w:hint="eastAsia" w:ascii="Arial Unicode MS" w:hAnsi="Arial Unicode MS" w:eastAsia="Arial Unicode MS" w:cs="Arial Unicode MS"/>
          <w:sz w:val="44"/>
          <w:szCs w:val="44"/>
        </w:rPr>
        <w:t>202</w:t>
      </w:r>
      <w:r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  <w:t>5</w:t>
      </w:r>
      <w:r>
        <w:rPr>
          <w:rFonts w:hint="eastAsia" w:ascii="Arial Unicode MS" w:hAnsi="Arial Unicode MS" w:eastAsia="Arial Unicode MS" w:cs="Arial Unicode MS"/>
          <w:sz w:val="44"/>
          <w:szCs w:val="44"/>
        </w:rPr>
        <w:t>年度岳阳县委政法委整体支出</w:t>
      </w:r>
    </w:p>
    <w:p w14:paraId="50C747E4">
      <w:pPr>
        <w:pStyle w:val="15"/>
        <w:ind w:firstLine="720"/>
        <w:jc w:val="center"/>
        <w:rPr>
          <w:rFonts w:hint="eastAsia" w:ascii="Arial Unicode MS" w:hAnsi="Arial Unicode MS" w:eastAsia="Arial Unicode MS" w:cs="Arial Unicode MS"/>
          <w:sz w:val="44"/>
          <w:szCs w:val="44"/>
        </w:rPr>
      </w:pPr>
    </w:p>
    <w:p w14:paraId="733B3FDF">
      <w:pPr>
        <w:ind w:firstLine="720"/>
        <w:jc w:val="center"/>
        <w:rPr>
          <w:rFonts w:hint="eastAsia" w:ascii="Arial Unicode MS" w:hAnsi="Arial Unicode MS" w:eastAsia="Arial Unicode MS" w:cs="Arial Unicode MS"/>
          <w:sz w:val="44"/>
          <w:szCs w:val="44"/>
        </w:rPr>
      </w:pPr>
      <w:r>
        <w:rPr>
          <w:rFonts w:hint="eastAsia" w:ascii="Arial Unicode MS" w:hAnsi="Arial Unicode MS" w:eastAsia="Arial Unicode MS" w:cs="Arial Unicode MS"/>
          <w:sz w:val="44"/>
          <w:szCs w:val="44"/>
        </w:rPr>
        <w:t>绩效自评报告</w:t>
      </w:r>
    </w:p>
    <w:p w14:paraId="19B923F4">
      <w:pPr>
        <w:pStyle w:val="3"/>
        <w:ind w:firstLine="720"/>
        <w:jc w:val="center"/>
        <w:rPr>
          <w:rFonts w:hint="eastAsia" w:ascii="Arial Unicode MS" w:hAnsi="Arial Unicode MS" w:eastAsia="Arial Unicode MS" w:cs="Arial Unicode MS"/>
          <w:sz w:val="44"/>
          <w:szCs w:val="44"/>
        </w:rPr>
      </w:pPr>
    </w:p>
    <w:p w14:paraId="35AC95D5">
      <w:pPr>
        <w:pStyle w:val="3"/>
        <w:ind w:firstLine="700"/>
        <w:jc w:val="center"/>
      </w:pPr>
    </w:p>
    <w:p w14:paraId="552C6802">
      <w:pPr>
        <w:pStyle w:val="3"/>
        <w:ind w:firstLine="700"/>
      </w:pPr>
    </w:p>
    <w:p w14:paraId="40E0B757">
      <w:pPr>
        <w:pStyle w:val="3"/>
        <w:ind w:left="0" w:leftChars="0" w:firstLine="0" w:firstLineChars="0"/>
      </w:pPr>
    </w:p>
    <w:p w14:paraId="6D3FFE08">
      <w:pPr>
        <w:pStyle w:val="3"/>
        <w:ind w:firstLine="700"/>
      </w:pPr>
    </w:p>
    <w:p w14:paraId="167E92A8">
      <w:pPr>
        <w:pStyle w:val="3"/>
        <w:ind w:firstLine="700"/>
      </w:pPr>
    </w:p>
    <w:p w14:paraId="1C75E36D">
      <w:pPr>
        <w:pStyle w:val="3"/>
        <w:ind w:firstLine="700"/>
      </w:pPr>
    </w:p>
    <w:p w14:paraId="1110854D">
      <w:pPr>
        <w:pStyle w:val="3"/>
        <w:ind w:firstLine="700"/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部门(单位)名称：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>(盖章)</w:t>
      </w:r>
    </w:p>
    <w:p w14:paraId="4F5F9380">
      <w:pPr>
        <w:pStyle w:val="15"/>
        <w:ind w:firstLine="600"/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月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22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>日</w:t>
      </w:r>
    </w:p>
    <w:p w14:paraId="663FE85F">
      <w:pPr>
        <w:pStyle w:val="3"/>
        <w:ind w:firstLine="700"/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（此页为封面)</w:t>
      </w:r>
    </w:p>
    <w:p w14:paraId="2AEB4D32">
      <w:pPr>
        <w:pStyle w:val="3"/>
        <w:ind w:firstLine="700"/>
        <w:jc w:val="right"/>
      </w:pPr>
    </w:p>
    <w:p w14:paraId="1BAB5BC0">
      <w:pPr>
        <w:pStyle w:val="3"/>
        <w:ind w:firstLine="700"/>
        <w:jc w:val="right"/>
      </w:pPr>
    </w:p>
    <w:p w14:paraId="14B91BF2">
      <w:pPr>
        <w:pStyle w:val="3"/>
        <w:ind w:firstLine="700"/>
      </w:pPr>
    </w:p>
    <w:p w14:paraId="6EDEDB26">
      <w:pPr>
        <w:pStyle w:val="3"/>
        <w:ind w:left="0" w:leftChars="0" w:firstLine="0" w:firstLineChars="0"/>
        <w:rPr>
          <w:b/>
          <w:bCs w:val="0"/>
        </w:rPr>
      </w:pPr>
      <w:r>
        <w:rPr>
          <w:rFonts w:hint="eastAsia"/>
          <w:b/>
          <w:bCs w:val="0"/>
        </w:rPr>
        <w:t>一、部门</w:t>
      </w:r>
      <w:r>
        <w:rPr>
          <w:b/>
          <w:bCs w:val="0"/>
        </w:rPr>
        <w:t>(</w:t>
      </w:r>
      <w:r>
        <w:rPr>
          <w:rFonts w:hint="eastAsia"/>
          <w:b/>
          <w:bCs w:val="0"/>
        </w:rPr>
        <w:t>单位</w:t>
      </w:r>
      <w:r>
        <w:rPr>
          <w:b/>
          <w:bCs w:val="0"/>
        </w:rPr>
        <w:t>)</w:t>
      </w:r>
      <w:r>
        <w:rPr>
          <w:rFonts w:hint="eastAsia"/>
          <w:b/>
          <w:bCs w:val="0"/>
        </w:rPr>
        <w:t>基本情况</w:t>
      </w:r>
    </w:p>
    <w:p w14:paraId="1387C05D">
      <w:pPr>
        <w:pageBreakBefore w:val="0"/>
        <w:wordWrap/>
        <w:overflowPunct/>
        <w:topLinePunct w:val="0"/>
        <w:bidi w:val="0"/>
        <w:spacing w:line="5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</w:rPr>
        <w:t>（一）基本情况</w:t>
      </w:r>
    </w:p>
    <w:p w14:paraId="3A3EB941">
      <w:pPr>
        <w:pageBreakBefore w:val="0"/>
        <w:wordWrap/>
        <w:overflowPunct/>
        <w:topLinePunct w:val="0"/>
        <w:bidi w:val="0"/>
        <w:spacing w:line="5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政法委的职责职能是深入贯彻习近平新时代中国特色社会主义思想，深入贯彻党的路线方针政策和决策部署，统一政法各部门思想和行动，坚持党对政法工作的绝对领导，坚决维护党中央权威和集中统一领导。深入贯彻党中央决定和省委、市委、县委决策，对全县政法工作研究提出全局性部署，推进平安岳阳县、法治岳阳县建设，加强过硬队伍建设，深化智能化建设，坚决维护国家政治安全、确保社会大局稳定、促进社会公平正义、保障人民安居乐业。了解掌握和分析研判政法工作情况动态，分析社会稳定形势，创新完善多部门参与的综治维稳工作机制，协调推动预防、化解影响稳定的社会矛盾和风险，协调应对和处置重大突发事件。加强对政法工作的督查，统筹协调社会治安综合治理、维护社会稳定、反邪教有关法律法规政策的实施工作。组织开展政法领域的调查研究，研究拟订政法工作的重要措施，及时向县委提出建议。掌握分析政法舆情动态，指导协调政法部门媒体网络宣传工作，指导政法部门做好涉及政法工作的重大宣传工作。监督和支持政法各部门依法行使职权，指导和协调政法各部门密切配合，研究和协调重大、疑难案件，推进严格执法、公正司法。组织研究政法改革中带有方向性、倾向性和普遍性的重大问题，深化政法改革。指导推动政法系统党的建设和政法队伍建设。完成县委交办的其他任务。</w:t>
      </w:r>
    </w:p>
    <w:p w14:paraId="32EFC6C5">
      <w:pPr>
        <w:pStyle w:val="7"/>
        <w:pageBreakBefore w:val="0"/>
        <w:shd w:val="clear" w:color="auto" w:fill="FFFFFF"/>
        <w:wordWrap/>
        <w:overflowPunct/>
        <w:topLinePunct w:val="0"/>
        <w:bidi w:val="0"/>
        <w:spacing w:before="0" w:beforeAutospacing="0" w:after="0" w:afterAutospacing="0" w:line="560" w:lineRule="exact"/>
        <w:ind w:firstLine="480"/>
        <w:jc w:val="both"/>
        <w:rPr>
          <w:rFonts w:ascii="仿宋" w:hAnsi="仿宋" w:eastAsia="仿宋" w:cs="仿宋_GB2312"/>
          <w:b/>
          <w:color w:val="555555"/>
          <w:sz w:val="36"/>
          <w:szCs w:val="36"/>
        </w:rPr>
      </w:pPr>
      <w:r>
        <w:rPr>
          <w:rFonts w:hint="eastAsia" w:ascii="仿宋" w:hAnsi="仿宋" w:eastAsia="仿宋" w:cs="仿宋_GB2312"/>
          <w:b/>
          <w:color w:val="555555"/>
          <w:sz w:val="36"/>
          <w:szCs w:val="36"/>
        </w:rPr>
        <w:t>（二）机构设置</w:t>
      </w:r>
    </w:p>
    <w:p w14:paraId="4099880D">
      <w:pPr>
        <w:pageBreakBefore w:val="0"/>
        <w:widowControl/>
        <w:shd w:val="clear" w:color="auto" w:fill="FFFFFF"/>
        <w:wordWrap/>
        <w:overflowPunct/>
        <w:topLinePunct w:val="0"/>
        <w:bidi w:val="0"/>
        <w:spacing w:line="560" w:lineRule="exact"/>
        <w:ind w:left="0" w:leftChars="0" w:firstLine="640" w:firstLineChars="200"/>
        <w:jc w:val="left"/>
        <w:textAlignment w:val="center"/>
        <w:rPr>
          <w:rFonts w:hint="eastAsia" w:ascii="方正仿宋_GB2312" w:hAnsi="方正仿宋_GB2312" w:eastAsia="方正仿宋_GB2312" w:cs="方正仿宋_GB2312"/>
          <w:b w:val="0"/>
          <w:bCs w:val="0"/>
          <w:color w:val="333333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555555"/>
          <w:kern w:val="0"/>
          <w:sz w:val="32"/>
          <w:szCs w:val="32"/>
          <w:shd w:val="clear" w:color="auto" w:fill="FFFFFF"/>
          <w:lang w:eastAsia="zh-CN" w:bidi="ar"/>
        </w:rPr>
        <w:t>中共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555555"/>
          <w:kern w:val="0"/>
          <w:sz w:val="32"/>
          <w:szCs w:val="32"/>
          <w:shd w:val="clear" w:color="auto" w:fill="FFFFFF"/>
          <w:lang w:bidi="ar"/>
        </w:rPr>
        <w:t>岳阳县委政法委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555555"/>
          <w:kern w:val="0"/>
          <w:sz w:val="32"/>
          <w:szCs w:val="32"/>
          <w:shd w:val="clear" w:color="auto" w:fill="FFFFFF"/>
          <w:lang w:eastAsia="zh-CN" w:bidi="ar"/>
        </w:rPr>
        <w:t>员会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555555"/>
          <w:kern w:val="0"/>
          <w:sz w:val="32"/>
          <w:szCs w:val="32"/>
          <w:shd w:val="clear" w:color="auto" w:fill="FFFFFF"/>
          <w:lang w:bidi="ar"/>
        </w:rPr>
        <w:t>内设机构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555555"/>
          <w:kern w:val="0"/>
          <w:sz w:val="32"/>
          <w:szCs w:val="32"/>
          <w:shd w:val="clear" w:color="auto" w:fill="FFFFFF"/>
          <w:lang w:val="en-US" w:eastAsia="zh-CN" w:bidi="ar"/>
        </w:rPr>
        <w:t>5个：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555555"/>
          <w:kern w:val="0"/>
          <w:sz w:val="32"/>
          <w:szCs w:val="32"/>
          <w:shd w:val="clear" w:color="auto" w:fill="FFFFFF"/>
          <w:lang w:bidi="ar"/>
        </w:rPr>
        <w:t>办公室（宣传教育室）、维稳指导室（政治安全室）、政工室、综治督导室（基层社会治理室）、执法监督室（扫黑除恶指导室）。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555555"/>
          <w:kern w:val="0"/>
          <w:sz w:val="32"/>
          <w:szCs w:val="32"/>
          <w:shd w:val="clear" w:color="auto" w:fill="FFFFFF"/>
          <w:lang w:eastAsia="zh-CN" w:bidi="ar"/>
        </w:rPr>
        <w:t>下属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555555"/>
          <w:kern w:val="0"/>
          <w:sz w:val="32"/>
          <w:szCs w:val="32"/>
          <w:shd w:val="clear" w:color="auto" w:fill="FFFFFF"/>
          <w:lang w:bidi="ar"/>
        </w:rPr>
        <w:t>二级机构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555555"/>
          <w:kern w:val="0"/>
          <w:sz w:val="32"/>
          <w:szCs w:val="32"/>
          <w:shd w:val="clear" w:color="auto" w:fill="FFFFFF"/>
          <w:lang w:val="en-US" w:eastAsia="zh-CN" w:bidi="ar"/>
        </w:rPr>
        <w:t>1个：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555555"/>
          <w:kern w:val="0"/>
          <w:sz w:val="32"/>
          <w:szCs w:val="32"/>
          <w:shd w:val="clear" w:color="auto" w:fill="FFFFFF"/>
          <w:lang w:bidi="ar"/>
        </w:rPr>
        <w:t>综治中心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555555"/>
          <w:kern w:val="0"/>
          <w:sz w:val="32"/>
          <w:szCs w:val="32"/>
          <w:shd w:val="clear" w:color="auto" w:fill="FFFFFF"/>
          <w:lang w:eastAsia="zh-CN" w:bidi="ar"/>
        </w:rPr>
        <w:t>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555555"/>
          <w:kern w:val="0"/>
          <w:sz w:val="32"/>
          <w:szCs w:val="32"/>
          <w:shd w:val="clear" w:color="auto" w:fill="FFFFFF"/>
          <w:lang w:val="en-US" w:eastAsia="zh-CN" w:bidi="ar"/>
        </w:rPr>
        <w:t>2025年末总人数30人，其中，在职人员20人，退休人员10人。</w:t>
      </w:r>
    </w:p>
    <w:p w14:paraId="2BDAF08A">
      <w:pPr>
        <w:pageBreakBefore w:val="0"/>
        <w:wordWrap/>
        <w:overflowPunct/>
        <w:topLinePunct w:val="0"/>
        <w:bidi w:val="0"/>
        <w:spacing w:line="560" w:lineRule="exact"/>
        <w:ind w:left="0" w:leftChars="0" w:firstLine="0" w:firstLineChars="0"/>
        <w:rPr>
          <w:b/>
          <w:bCs w:val="0"/>
        </w:rPr>
      </w:pPr>
      <w:r>
        <w:rPr>
          <w:rFonts w:hint="eastAsia"/>
          <w:b/>
          <w:bCs w:val="0"/>
        </w:rPr>
        <w:t>二、一般公共预算支出情况</w:t>
      </w:r>
    </w:p>
    <w:p w14:paraId="20C5EAD1">
      <w:pPr>
        <w:pageBreakBefore w:val="0"/>
        <w:wordWrap/>
        <w:overflowPunct/>
        <w:topLinePunct w:val="0"/>
        <w:bidi w:val="0"/>
        <w:spacing w:line="560" w:lineRule="exact"/>
        <w:ind w:firstLine="602"/>
        <w:rPr>
          <w:rFonts w:hint="eastAsia" w:ascii="方正仿宋_GB2312" w:hAnsi="方正仿宋_GB2312" w:eastAsia="方正仿宋_GB2312" w:cs="方正仿宋_GB2312"/>
          <w:kern w:val="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>（一）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基本支出情况</w:t>
      </w:r>
    </w:p>
    <w:p w14:paraId="2D7A983A">
      <w:pPr>
        <w:pageBreakBefore w:val="0"/>
        <w:wordWrap/>
        <w:overflowPunct/>
        <w:topLinePunct w:val="0"/>
        <w:bidi w:val="0"/>
        <w:spacing w:line="5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年政法委基本支出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291.31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万元，主要用于人员经费支出和日常公用经费支出； 包括人员支出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245.53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万元，公用支出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45.78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万元。其中“三公”经费合计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万元，包括公务接待费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万元。</w:t>
      </w:r>
    </w:p>
    <w:p w14:paraId="2D3C8848">
      <w:pPr>
        <w:pageBreakBefore w:val="0"/>
        <w:wordWrap/>
        <w:overflowPunct/>
        <w:topLinePunct w:val="0"/>
        <w:bidi w:val="0"/>
        <w:spacing w:line="560" w:lineRule="exact"/>
        <w:ind w:firstLine="60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>（二）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项目支出情况</w:t>
      </w:r>
    </w:p>
    <w:p w14:paraId="34A616D4">
      <w:pPr>
        <w:pageBreakBefore w:val="0"/>
        <w:wordWrap/>
        <w:overflowPunct/>
        <w:topLinePunct w:val="0"/>
        <w:bidi w:val="0"/>
        <w:spacing w:line="5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年项目支出保平安经费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809.28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万元，主要用于平安建设、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综治中心、维护稳定、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扫黑除恶、网格化建设、综治民调、肇事肇祸精神病患者管控、涉法涉诉信访积案化解、重症艾滋病收治等。</w:t>
      </w:r>
    </w:p>
    <w:p w14:paraId="077F76B6">
      <w:pPr>
        <w:pageBreakBefore w:val="0"/>
        <w:numPr>
          <w:ilvl w:val="0"/>
          <w:numId w:val="1"/>
        </w:numPr>
        <w:wordWrap/>
        <w:overflowPunct/>
        <w:topLinePunct w:val="0"/>
        <w:bidi w:val="0"/>
        <w:spacing w:line="560" w:lineRule="exact"/>
        <w:ind w:left="0" w:leftChars="0" w:firstLine="0" w:firstLineChars="0"/>
        <w:rPr>
          <w:rFonts w:hint="eastAsia"/>
          <w:b/>
        </w:rPr>
      </w:pPr>
      <w:r>
        <w:rPr>
          <w:rFonts w:hint="eastAsia"/>
          <w:b/>
        </w:rPr>
        <w:t>政府性基金预算支出情况</w:t>
      </w:r>
    </w:p>
    <w:p w14:paraId="5EF34988">
      <w:pPr>
        <w:pageBreakBefore w:val="0"/>
        <w:numPr>
          <w:numId w:val="0"/>
        </w:numPr>
        <w:wordWrap/>
        <w:overflowPunct/>
        <w:topLinePunct w:val="0"/>
        <w:bidi w:val="0"/>
        <w:spacing w:line="560" w:lineRule="exact"/>
        <w:ind w:leftChars="0" w:firstLine="640" w:firstLineChars="200"/>
        <w:rPr>
          <w:rFonts w:hint="eastAsia" w:ascii="方正仿宋_GB2312" w:hAnsi="方正仿宋_GB2312" w:eastAsia="方正仿宋_GB2312" w:cs="方正仿宋_GB2312"/>
          <w:b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2025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年无政府性基金预算。</w:t>
      </w:r>
    </w:p>
    <w:p w14:paraId="52FB6432">
      <w:pPr>
        <w:pageBreakBefore w:val="0"/>
        <w:wordWrap/>
        <w:overflowPunct/>
        <w:topLinePunct w:val="0"/>
        <w:bidi w:val="0"/>
        <w:spacing w:line="560" w:lineRule="exact"/>
        <w:ind w:left="0" w:leftChars="0" w:firstLine="0" w:firstLineChars="0"/>
        <w:rPr>
          <w:b/>
          <w:bCs w:val="0"/>
        </w:rPr>
      </w:pPr>
      <w:r>
        <w:rPr>
          <w:rFonts w:hint="eastAsia"/>
          <w:b/>
          <w:bCs w:val="0"/>
        </w:rPr>
        <w:t>四、国有资本经营预算支出情况</w:t>
      </w:r>
    </w:p>
    <w:p w14:paraId="20D37006">
      <w:pPr>
        <w:pageBreakBefore w:val="0"/>
        <w:wordWrap/>
        <w:overflowPunct/>
        <w:topLinePunct w:val="0"/>
        <w:bidi w:val="0"/>
        <w:spacing w:line="560" w:lineRule="exact"/>
        <w:rPr>
          <w:rFonts w:hint="eastAsia" w:ascii="方正仿宋_GB2312" w:hAnsi="方正仿宋_GB2312" w:eastAsia="方正仿宋_GB2312" w:cs="方正仿宋_GB2312"/>
          <w:b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2025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无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国有资本经营预算支出。</w:t>
      </w:r>
    </w:p>
    <w:p w14:paraId="1119155B">
      <w:pPr>
        <w:pageBreakBefore w:val="0"/>
        <w:wordWrap/>
        <w:overflowPunct/>
        <w:topLinePunct w:val="0"/>
        <w:bidi w:val="0"/>
        <w:spacing w:line="560" w:lineRule="exact"/>
        <w:ind w:left="0" w:leftChars="0" w:firstLine="0" w:firstLineChars="0"/>
        <w:rPr>
          <w:b/>
          <w:bCs w:val="0"/>
        </w:rPr>
      </w:pPr>
      <w:r>
        <w:rPr>
          <w:rFonts w:hint="eastAsia"/>
          <w:b/>
          <w:bCs w:val="0"/>
        </w:rPr>
        <w:t>五、社会保险基金预算支出情况</w:t>
      </w:r>
    </w:p>
    <w:p w14:paraId="09853D10">
      <w:pPr>
        <w:pStyle w:val="2"/>
        <w:pageBreakBefore w:val="0"/>
        <w:wordWrap/>
        <w:overflowPunct/>
        <w:topLinePunct w:val="0"/>
        <w:bidi w:val="0"/>
        <w:spacing w:line="560" w:lineRule="exact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2025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年无社会保险基金预算。</w:t>
      </w:r>
    </w:p>
    <w:p w14:paraId="317EBAE8">
      <w:pPr>
        <w:pageBreakBefore w:val="0"/>
        <w:wordWrap/>
        <w:overflowPunct/>
        <w:topLinePunct w:val="0"/>
        <w:bidi w:val="0"/>
        <w:spacing w:line="560" w:lineRule="exact"/>
        <w:ind w:left="0" w:leftChars="0" w:firstLine="0" w:firstLineChars="0"/>
        <w:rPr>
          <w:b/>
          <w:bCs w:val="0"/>
        </w:rPr>
      </w:pPr>
      <w:r>
        <w:rPr>
          <w:rFonts w:hint="eastAsia"/>
          <w:b/>
          <w:bCs w:val="0"/>
        </w:rPr>
        <w:t>六、部门整体支出绩效情况</w:t>
      </w:r>
    </w:p>
    <w:p w14:paraId="3BB3847B">
      <w:pPr>
        <w:pageBreakBefore w:val="0"/>
        <w:wordWrap/>
        <w:overflowPunct/>
        <w:topLinePunct w:val="0"/>
        <w:bidi w:val="0"/>
        <w:spacing w:line="560" w:lineRule="exact"/>
        <w:rPr>
          <w:rFonts w:hint="eastAsia" w:ascii="方正仿宋_GB2312" w:hAnsi="方正仿宋_GB2312" w:eastAsia="方正仿宋_GB2312" w:cs="方正仿宋_GB2312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 w:val="0"/>
          <w:sz w:val="32"/>
          <w:szCs w:val="32"/>
        </w:rPr>
        <w:t>我委严格按照有关财政资金管理要求，严格执行会计制度和财务制度，依法依规管理财政资金，结合我委的工作实际，对项目开支进行规范化、工作制度化，对经费使用范围的各类支出，按照经费使用审批的程序办理，财务人员做到依法理财，保障账目真实、完整、规范，项目总体执行情况较好，预期的绩效目标基本实现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2025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我县</w:t>
      </w:r>
      <w:r>
        <w:rPr>
          <w:rFonts w:hint="eastAsia" w:ascii="方正仿宋_GB2312" w:hAnsi="方正仿宋_GB2312" w:eastAsia="方正仿宋_GB2312" w:cs="方正仿宋_GB2312"/>
          <w:bCs w:val="0"/>
          <w:sz w:val="32"/>
          <w:szCs w:val="32"/>
        </w:rPr>
        <w:t>获</w:t>
      </w:r>
      <w:r>
        <w:rPr>
          <w:rFonts w:hint="eastAsia" w:ascii="方正仿宋_GB2312" w:hAnsi="方正仿宋_GB2312" w:eastAsia="方正仿宋_GB2312" w:cs="方正仿宋_GB2312"/>
          <w:bCs w:val="0"/>
          <w:sz w:val="32"/>
          <w:szCs w:val="32"/>
          <w:lang w:eastAsia="zh-CN"/>
        </w:rPr>
        <w:t>得</w:t>
      </w:r>
      <w:r>
        <w:rPr>
          <w:rFonts w:hint="eastAsia" w:ascii="方正仿宋_GB2312" w:hAnsi="方正仿宋_GB2312" w:eastAsia="方正仿宋_GB2312" w:cs="方正仿宋_GB2312"/>
          <w:bCs w:val="0"/>
          <w:sz w:val="32"/>
          <w:szCs w:val="32"/>
        </w:rPr>
        <w:t>全省平安建设先进县</w:t>
      </w:r>
      <w:r>
        <w:rPr>
          <w:rFonts w:hint="eastAsia" w:ascii="方正仿宋_GB2312" w:hAnsi="方正仿宋_GB2312" w:eastAsia="方正仿宋_GB2312" w:cs="方正仿宋_GB2312"/>
          <w:bCs w:val="0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政法机关认真履行四大职责任务，切实维护社会安全稳定，纵深推进扫黑除恶斗争，着力提升基层社会治理水平，人民群众获得感、幸福感、安全感得到进一步提升。</w:t>
      </w:r>
    </w:p>
    <w:p w14:paraId="32C83F5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_GB2312" w:hAnsi="Arial Unicode MS" w:eastAsia="仿宋_GB2312" w:cs="Arial Unicode MS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强化责任担当，</w:t>
      </w: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val="en-US" w:eastAsia="zh-CN" w:bidi="ar"/>
        </w:rPr>
        <w:t>守护社会和谐稳定大局。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县委常委会专题学习市委政法委员会4次全会和政法重点工作调度会精神、研究维稳工作3次，县委书记、县长、县委政法委书记7次一线调度重大涉稳事件。今年发生亡人交通事故36人，全年未发生重大交通事故。“两会”特护期实现“零进京、零滋事”。全年没有发生重大涉稳舆情。</w:t>
      </w:r>
    </w:p>
    <w:p w14:paraId="709EA5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44"/>
          <w:sz w:val="32"/>
          <w:szCs w:val="32"/>
          <w:highlight w:val="none"/>
          <w:shd w:val="clear" w:color="auto" w:fill="auto"/>
          <w:lang w:val="en-US" w:eastAsia="zh-CN" w:bidi="ar"/>
        </w:rPr>
        <w:t>2.深化平安建设，社会平安根基不断夯实。</w:t>
      </w:r>
      <w:r>
        <w:rPr>
          <w:rFonts w:hint="eastAsia" w:ascii="楷体_GB2312" w:hAnsi="楷体_GB2312" w:eastAsia="楷体_GB2312" w:cs="楷体_GB2312"/>
          <w:b w:val="0"/>
          <w:bCs w:val="0"/>
          <w:kern w:val="44"/>
          <w:sz w:val="32"/>
          <w:szCs w:val="32"/>
          <w:lang w:val="en-US" w:eastAsia="zh-CN" w:bidi="ar"/>
        </w:rPr>
        <w:t>一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是强化重点人群管控。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44"/>
          <w:sz w:val="32"/>
          <w:szCs w:val="32"/>
          <w:highlight w:val="none"/>
          <w:shd w:val="clear" w:color="auto" w:fill="auto"/>
          <w:lang w:val="en-US" w:eastAsia="zh-CN" w:bidi="ar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常态化开展扫黑除恶斗争。三是持续开展“利剑护蕾”专项行动。四是严抓严打电信诈骗。五是推进综治中心规范化建设。</w:t>
      </w:r>
    </w:p>
    <w:p w14:paraId="0F1CC5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44"/>
          <w:sz w:val="32"/>
          <w:szCs w:val="32"/>
          <w:lang w:val="en-US" w:eastAsia="zh-CN" w:bidi="ar"/>
        </w:rPr>
        <w:t>3.推进法治建设，提升执法司法公信力。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一是深化执法司法提质增效。二是开展涉企执法服务专项整治。三是优化法治化营商环境。四是优化组织管理体系。</w:t>
      </w:r>
    </w:p>
    <w:p w14:paraId="2F8C1D3B">
      <w:pPr>
        <w:pageBreakBefore w:val="0"/>
        <w:wordWrap/>
        <w:overflowPunct/>
        <w:topLinePunct w:val="0"/>
        <w:bidi w:val="0"/>
        <w:spacing w:line="560" w:lineRule="exact"/>
        <w:ind w:left="0" w:leftChars="0" w:firstLine="0" w:firstLineChars="0"/>
        <w:rPr>
          <w:b/>
          <w:bCs/>
        </w:rPr>
      </w:pPr>
      <w:r>
        <w:rPr>
          <w:rFonts w:hint="eastAsia"/>
          <w:b/>
          <w:bCs/>
        </w:rPr>
        <w:t>七、存在的问题及原因分析</w:t>
      </w:r>
    </w:p>
    <w:p w14:paraId="3268DC07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1" w:leftChars="7" w:right="11" w:firstLine="664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en-US"/>
        </w:rPr>
      </w:pPr>
      <w:r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en-US"/>
        </w:rPr>
        <w:t>年初预算编制范围不全面，行政经费有限导致部分业务难以有效开展，预算编制有待更完整、科学；支出预算与实际支出项目有的存在差异，因财政指标下达时间的差异，部分预算经费存在预算执行差异。</w:t>
      </w:r>
    </w:p>
    <w:p w14:paraId="5170864D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Arial" w:hAnsi="Arial" w:eastAsia="黑体" w:cs="Arial"/>
          <w:bCs w:val="0"/>
          <w:snapToGrid w:val="0"/>
          <w:kern w:val="0"/>
          <w:sz w:val="32"/>
          <w:szCs w:val="32"/>
          <w:lang w:eastAsia="zh-CN"/>
        </w:rPr>
      </w:pPr>
      <w:r>
        <w:rPr>
          <w:rFonts w:hint="eastAsia" w:ascii="Arial" w:hAnsi="Arial" w:eastAsia="黑体" w:cs="Arial"/>
          <w:bCs w:val="0"/>
          <w:snapToGrid w:val="0"/>
          <w:kern w:val="0"/>
          <w:sz w:val="32"/>
          <w:szCs w:val="32"/>
          <w:lang w:eastAsia="zh-CN"/>
        </w:rPr>
        <w:t>八、下一步改进措施</w:t>
      </w:r>
    </w:p>
    <w:p w14:paraId="5E8B8FA9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11" w:firstLine="664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en-US"/>
        </w:rPr>
      </w:pPr>
      <w:r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en-US"/>
        </w:rPr>
        <w:t>(一)加强监管，落实预算执行分析，及时了解预算执行差异，合理调整、纠正预算执行偏差，切实提高部门预算收支管理水平。</w:t>
      </w:r>
    </w:p>
    <w:p w14:paraId="4E82B1A6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11" w:firstLine="664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en-US"/>
        </w:rPr>
      </w:pPr>
      <w:r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en-US"/>
        </w:rPr>
        <w:t>（二）进一步完善财务制度，规范财经纪律，严格控制“三公”经费开支。</w:t>
      </w:r>
    </w:p>
    <w:p w14:paraId="2B9602B1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1" w:leftChars="7" w:right="11" w:firstLine="664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en-US"/>
        </w:rPr>
      </w:pPr>
      <w:r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en-US"/>
        </w:rPr>
        <w:t>（三）不断加强财务人员的业务学习，提高业务能力，参加业务培训学习。</w:t>
      </w:r>
    </w:p>
    <w:p w14:paraId="3F0CAB11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1" w:leftChars="7" w:right="11" w:firstLine="664" w:firstLineChars="200"/>
        <w:jc w:val="left"/>
        <w:textAlignment w:val="baseline"/>
        <w:rPr>
          <w:rFonts w:ascii="方正黑体_GBK" w:hAnsi="Arial" w:eastAsia="方正黑体_GBK" w:cs="Arial"/>
          <w:bCs w:val="0"/>
          <w:snapToGrid w:val="0"/>
          <w:kern w:val="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en-US"/>
        </w:rPr>
        <w:t>（四）健全和完善激励与约束机制,实行项目申报制，严格按预算执行。</w:t>
      </w:r>
    </w:p>
    <w:p w14:paraId="4586CA79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Arial" w:hAnsi="Arial" w:eastAsia="黑体" w:cs="Arial"/>
          <w:bCs w:val="0"/>
          <w:snapToGrid w:val="0"/>
          <w:kern w:val="0"/>
          <w:sz w:val="32"/>
          <w:szCs w:val="32"/>
          <w:lang w:eastAsia="zh-CN"/>
        </w:rPr>
      </w:pPr>
      <w:r>
        <w:rPr>
          <w:rFonts w:hint="eastAsia" w:ascii="Arial" w:hAnsi="Arial" w:eastAsia="黑体" w:cs="Arial"/>
          <w:bCs w:val="0"/>
          <w:snapToGrid w:val="0"/>
          <w:kern w:val="0"/>
          <w:sz w:val="32"/>
          <w:szCs w:val="32"/>
          <w:lang w:eastAsia="zh-CN"/>
        </w:rPr>
        <w:t>九、部门整体支出绩效自评结果拟应用和公开情况</w:t>
      </w:r>
    </w:p>
    <w:p w14:paraId="0EEE97A0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1" w:leftChars="7" w:right="11" w:firstLine="664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Cs w:val="0"/>
          <w:snapToGrid w:val="0"/>
          <w:kern w:val="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en-US"/>
        </w:rPr>
        <w:t>本单位按要求对</w:t>
      </w:r>
      <w:r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zh-CN"/>
        </w:rPr>
        <w:t>2025</w:t>
      </w:r>
      <w:r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en-US"/>
        </w:rPr>
        <w:t>年部门整体支出开展绩效自评，从评价情况来看，全年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en-US"/>
        </w:rPr>
        <w:t>基本支出保证了部门的正常运行和日常工作的正常开展，绩效目标得到较好实现，绩效管理水平不断提高，绩效指标体系逐渐丰富和完善。</w:t>
      </w:r>
      <w:r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zh-CN"/>
        </w:rPr>
        <w:t>2025</w:t>
      </w:r>
      <w:r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en-US"/>
        </w:rPr>
        <w:t>年我单位整体支出绩效评价自查自评结果</w:t>
      </w:r>
      <w:r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zh-CN"/>
        </w:rPr>
        <w:t>优秀</w:t>
      </w:r>
      <w:r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eastAsia="en-US"/>
        </w:rPr>
        <w:t>，按规定公开。</w:t>
      </w:r>
    </w:p>
    <w:p w14:paraId="161F9D7D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ascii="Arial" w:hAnsi="Arial" w:eastAsia="黑体" w:cs="Arial"/>
          <w:bCs w:val="0"/>
          <w:snapToGrid w:val="0"/>
          <w:kern w:val="0"/>
          <w:sz w:val="32"/>
          <w:szCs w:val="32"/>
          <w:lang w:eastAsia="zh-CN"/>
        </w:rPr>
      </w:pPr>
      <w:r>
        <w:rPr>
          <w:rFonts w:hint="eastAsia" w:ascii="Arial" w:hAnsi="Arial" w:eastAsia="黑体" w:cs="Arial"/>
          <w:bCs w:val="0"/>
          <w:snapToGrid w:val="0"/>
          <w:kern w:val="0"/>
          <w:sz w:val="32"/>
          <w:szCs w:val="32"/>
          <w:lang w:eastAsia="zh-CN"/>
        </w:rPr>
        <w:t>十、其他需要说明的情况</w:t>
      </w:r>
    </w:p>
    <w:p w14:paraId="61065549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1" w:leftChars="7" w:right="11" w:firstLine="664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 w:val="0"/>
          <w:snapToGrid w:val="0"/>
          <w:spacing w:val="6"/>
          <w:kern w:val="0"/>
          <w:sz w:val="32"/>
          <w:szCs w:val="32"/>
          <w:lang w:val="en-US" w:eastAsia="zh-CN"/>
        </w:rPr>
        <w:t>本单位无其他需要说明的情况。</w:t>
      </w:r>
    </w:p>
    <w:p w14:paraId="37E218AF"/>
    <w:p w14:paraId="6C8516EE"/>
    <w:p w14:paraId="48A7B8B3">
      <w:r>
        <w:br w:type="page"/>
      </w:r>
    </w:p>
    <w:p w14:paraId="24768033">
      <w:r>
        <w:rPr>
          <w:rFonts w:hint="eastAsia"/>
        </w:rPr>
        <w:t>附件5</w:t>
      </w:r>
    </w:p>
    <w:p w14:paraId="151DEEA2">
      <w:pPr>
        <w:ind w:firstLine="602"/>
        <w:jc w:val="center"/>
        <w:rPr>
          <w:b/>
        </w:rPr>
      </w:pPr>
      <w:r>
        <w:rPr>
          <w:b/>
        </w:rPr>
        <w:t>部门整体支出绩效自评工作考核评分表</w:t>
      </w:r>
    </w:p>
    <w:tbl>
      <w:tblPr>
        <w:tblStyle w:val="14"/>
        <w:tblW w:w="9842" w:type="dxa"/>
        <w:tblInd w:w="-5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6"/>
        <w:gridCol w:w="1157"/>
        <w:gridCol w:w="4957"/>
        <w:gridCol w:w="2982"/>
      </w:tblGrid>
      <w:tr w14:paraId="050B6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" w:hRule="atLeast"/>
        </w:trPr>
        <w:tc>
          <w:tcPr>
            <w:tcW w:w="746" w:type="dxa"/>
            <w:vAlign w:val="center"/>
          </w:tcPr>
          <w:p w14:paraId="50E06411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一级</w:t>
            </w:r>
          </w:p>
          <w:p w14:paraId="3DC146E1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指标</w:t>
            </w:r>
          </w:p>
        </w:tc>
        <w:tc>
          <w:tcPr>
            <w:tcW w:w="1157" w:type="dxa"/>
            <w:vAlign w:val="center"/>
          </w:tcPr>
          <w:p w14:paraId="5DA95FD2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二级指标</w:t>
            </w:r>
          </w:p>
        </w:tc>
        <w:tc>
          <w:tcPr>
            <w:tcW w:w="4957" w:type="dxa"/>
            <w:vAlign w:val="center"/>
          </w:tcPr>
          <w:p w14:paraId="27859299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评分标准</w:t>
            </w:r>
          </w:p>
        </w:tc>
        <w:tc>
          <w:tcPr>
            <w:tcW w:w="2982" w:type="dxa"/>
            <w:vAlign w:val="center"/>
          </w:tcPr>
          <w:p w14:paraId="67F7EED4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所需佐证材料</w:t>
            </w:r>
          </w:p>
        </w:tc>
      </w:tr>
      <w:tr w14:paraId="4071A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746" w:type="dxa"/>
            <w:vMerge w:val="restart"/>
            <w:tcBorders>
              <w:bottom w:val="nil"/>
            </w:tcBorders>
            <w:vAlign w:val="center"/>
          </w:tcPr>
          <w:p w14:paraId="2C58BF73">
            <w:pPr>
              <w:ind w:firstLine="360"/>
              <w:rPr>
                <w:sz w:val="18"/>
                <w:szCs w:val="18"/>
              </w:rPr>
            </w:pPr>
          </w:p>
          <w:p w14:paraId="7DAA5B0B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布置</w:t>
            </w:r>
          </w:p>
          <w:p w14:paraId="4B19DB8D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</w:t>
            </w:r>
          </w:p>
          <w:p w14:paraId="6144638A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  <w:r>
              <w:rPr>
                <w:rFonts w:hint="eastAsia" w:cs="宋体"/>
                <w:sz w:val="18"/>
                <w:szCs w:val="18"/>
              </w:rPr>
              <w:t>分</w:t>
            </w:r>
          </w:p>
        </w:tc>
        <w:tc>
          <w:tcPr>
            <w:tcW w:w="1157" w:type="dxa"/>
            <w:vAlign w:val="center"/>
          </w:tcPr>
          <w:p w14:paraId="314DA2BE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自评通知(8分)</w:t>
            </w:r>
          </w:p>
        </w:tc>
        <w:tc>
          <w:tcPr>
            <w:tcW w:w="4957" w:type="dxa"/>
            <w:vAlign w:val="center"/>
          </w:tcPr>
          <w:p w14:paraId="1E1B4808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1.印发绩效自评通知的得2分，否则不得分</w:t>
            </w:r>
          </w:p>
          <w:p w14:paraId="6DDCE52A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2.按照本规程规定，绩效自评通知包括自评范围、自评主要依据、自评主要内容、自评程序和步骤、有关要求等内容，并附有本通知要求的附件的，得6分；否则缺1项扣1分，最多扣6分。</w:t>
            </w:r>
          </w:p>
        </w:tc>
        <w:tc>
          <w:tcPr>
            <w:tcW w:w="2982" w:type="dxa"/>
            <w:vAlign w:val="center"/>
          </w:tcPr>
          <w:p w14:paraId="4B6E0524">
            <w:pPr>
              <w:ind w:firstLine="360"/>
              <w:rPr>
                <w:sz w:val="18"/>
                <w:szCs w:val="18"/>
              </w:rPr>
            </w:pPr>
          </w:p>
          <w:p w14:paraId="41821E23">
            <w:pPr>
              <w:ind w:firstLine="360"/>
              <w:rPr>
                <w:sz w:val="18"/>
                <w:szCs w:val="18"/>
              </w:rPr>
            </w:pPr>
          </w:p>
          <w:p w14:paraId="31A8EC19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绩效自评通知盖章的电子版</w:t>
            </w:r>
          </w:p>
        </w:tc>
      </w:tr>
      <w:tr w14:paraId="60736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746" w:type="dxa"/>
            <w:vMerge w:val="continue"/>
            <w:tcBorders>
              <w:top w:val="nil"/>
            </w:tcBorders>
            <w:vAlign w:val="center"/>
          </w:tcPr>
          <w:p w14:paraId="5F35F367">
            <w:pPr>
              <w:ind w:firstLine="360"/>
              <w:rPr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0815C99B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工作小组(2分)</w:t>
            </w:r>
          </w:p>
        </w:tc>
        <w:tc>
          <w:tcPr>
            <w:tcW w:w="4957" w:type="dxa"/>
            <w:vAlign w:val="center"/>
          </w:tcPr>
          <w:p w14:paraId="25E29C58">
            <w:pPr>
              <w:ind w:firstLine="360"/>
              <w:rPr>
                <w:sz w:val="18"/>
                <w:szCs w:val="18"/>
              </w:rPr>
            </w:pPr>
          </w:p>
          <w:p w14:paraId="74533A56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成立绩效自评工作小组的得2分，否则不得分</w:t>
            </w:r>
          </w:p>
        </w:tc>
        <w:tc>
          <w:tcPr>
            <w:tcW w:w="2982" w:type="dxa"/>
            <w:vAlign w:val="center"/>
          </w:tcPr>
          <w:p w14:paraId="436951A5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本部门、本单位预算绩效管理领导小组/绩效评价工作小组有关文件盖章的电子版</w:t>
            </w:r>
          </w:p>
        </w:tc>
      </w:tr>
      <w:tr w14:paraId="3D1B07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746" w:type="dxa"/>
            <w:vMerge w:val="restart"/>
            <w:tcBorders>
              <w:bottom w:val="nil"/>
            </w:tcBorders>
            <w:vAlign w:val="center"/>
          </w:tcPr>
          <w:p w14:paraId="3EEAB890">
            <w:pPr>
              <w:ind w:firstLine="360"/>
              <w:rPr>
                <w:sz w:val="18"/>
                <w:szCs w:val="18"/>
              </w:rPr>
            </w:pPr>
          </w:p>
          <w:p w14:paraId="45D4BB9E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实施</w:t>
            </w:r>
          </w:p>
          <w:p w14:paraId="64185CF3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评价</w:t>
            </w:r>
          </w:p>
          <w:p w14:paraId="626432EC">
            <w:pPr>
              <w:ind w:firstLine="360"/>
              <w:rPr>
                <w:sz w:val="18"/>
                <w:szCs w:val="18"/>
              </w:rPr>
            </w:pPr>
          </w:p>
          <w:p w14:paraId="440EA342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  <w:r>
              <w:rPr>
                <w:rFonts w:hint="eastAsia" w:cs="宋体"/>
                <w:sz w:val="18"/>
                <w:szCs w:val="18"/>
              </w:rPr>
              <w:t>分</w:t>
            </w:r>
          </w:p>
        </w:tc>
        <w:tc>
          <w:tcPr>
            <w:tcW w:w="1157" w:type="dxa"/>
            <w:vAlign w:val="center"/>
          </w:tcPr>
          <w:p w14:paraId="45F2148C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单位自查</w:t>
            </w:r>
          </w:p>
          <w:p w14:paraId="258B143F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(10</w:t>
            </w:r>
            <w:r>
              <w:rPr>
                <w:rFonts w:hint="eastAsia" w:cs="宋体"/>
                <w:sz w:val="18"/>
                <w:szCs w:val="18"/>
              </w:rPr>
              <w:t>分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4957" w:type="dxa"/>
            <w:vAlign w:val="center"/>
          </w:tcPr>
          <w:p w14:paraId="1D5737A8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县级预算部门本级和所属单位都要开展绩效自查，转移支付项目单位都要开展绩效自查，各乡镇及办事处都要汇总本区域转移支付情况；以上各项每发现一个单位没有做相应工作的，扣1分，最多扣10分。</w:t>
            </w:r>
          </w:p>
        </w:tc>
        <w:tc>
          <w:tcPr>
            <w:tcW w:w="2982" w:type="dxa"/>
            <w:vAlign w:val="center"/>
          </w:tcPr>
          <w:p w14:paraId="3DB4C492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1、转移支付项目单位名称和资金情况清单</w:t>
            </w:r>
          </w:p>
          <w:p w14:paraId="7C3F3A4D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2、有转移支付资金的部门汇总情况的盖章PDF版</w:t>
            </w:r>
          </w:p>
        </w:tc>
      </w:tr>
      <w:tr w14:paraId="033386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46" w:type="dxa"/>
            <w:vMerge w:val="continue"/>
            <w:tcBorders>
              <w:top w:val="nil"/>
            </w:tcBorders>
            <w:vAlign w:val="center"/>
          </w:tcPr>
          <w:p w14:paraId="1CE62F2E">
            <w:pPr>
              <w:ind w:firstLine="360"/>
              <w:rPr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2B84A746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提交报告</w:t>
            </w:r>
          </w:p>
          <w:p w14:paraId="372F2EA6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(10</w:t>
            </w:r>
            <w:r>
              <w:rPr>
                <w:rFonts w:hint="eastAsia" w:cs="宋体"/>
                <w:sz w:val="18"/>
                <w:szCs w:val="18"/>
              </w:rPr>
              <w:t>分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7939" w:type="dxa"/>
            <w:gridSpan w:val="2"/>
            <w:vAlign w:val="center"/>
          </w:tcPr>
          <w:p w14:paraId="102B1B95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按时向县财政局报送报告的得10分；每推迟一个工作日报送报告的扣1分，最多扣10分。</w:t>
            </w:r>
          </w:p>
        </w:tc>
      </w:tr>
      <w:tr w14:paraId="120DF0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" w:hRule="atLeast"/>
        </w:trPr>
        <w:tc>
          <w:tcPr>
            <w:tcW w:w="746" w:type="dxa"/>
            <w:vMerge w:val="restart"/>
            <w:tcBorders>
              <w:bottom w:val="nil"/>
            </w:tcBorders>
            <w:vAlign w:val="center"/>
          </w:tcPr>
          <w:p w14:paraId="22BC5B99">
            <w:pPr>
              <w:ind w:firstLine="360"/>
              <w:rPr>
                <w:sz w:val="18"/>
                <w:szCs w:val="18"/>
              </w:rPr>
            </w:pPr>
          </w:p>
          <w:p w14:paraId="6145937D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自评</w:t>
            </w:r>
          </w:p>
          <w:p w14:paraId="66AF198A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报告</w:t>
            </w:r>
          </w:p>
          <w:p w14:paraId="1251D988">
            <w:pPr>
              <w:ind w:firstLine="360"/>
              <w:rPr>
                <w:sz w:val="18"/>
                <w:szCs w:val="18"/>
              </w:rPr>
            </w:pPr>
          </w:p>
          <w:p w14:paraId="3C7CF024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70</w:t>
            </w:r>
            <w:r>
              <w:rPr>
                <w:rFonts w:hint="eastAsia" w:cs="宋体"/>
                <w:sz w:val="18"/>
                <w:szCs w:val="18"/>
              </w:rPr>
              <w:t>分</w:t>
            </w:r>
          </w:p>
        </w:tc>
        <w:tc>
          <w:tcPr>
            <w:tcW w:w="1157" w:type="dxa"/>
            <w:vAlign w:val="center"/>
          </w:tcPr>
          <w:p w14:paraId="1663B898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完整性</w:t>
            </w:r>
          </w:p>
          <w:p w14:paraId="3DB24369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(15</w:t>
            </w:r>
            <w:r>
              <w:rPr>
                <w:rFonts w:hint="eastAsia" w:cs="宋体"/>
                <w:sz w:val="18"/>
                <w:szCs w:val="18"/>
              </w:rPr>
              <w:t>分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7939" w:type="dxa"/>
            <w:gridSpan w:val="2"/>
            <w:vAlign w:val="center"/>
          </w:tcPr>
          <w:p w14:paraId="5EA96ABF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1.绩效自评报告正文部分内容齐全的，得8分；否则每少一个部分扣2分，最多扣8分 2.绩效自评报告附件部分内容齐全的，得7分；否则每少一个部分扣2分，最多扣7分</w:t>
            </w:r>
          </w:p>
        </w:tc>
      </w:tr>
      <w:tr w14:paraId="599B66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746" w:type="dxa"/>
            <w:vMerge w:val="continue"/>
            <w:tcBorders>
              <w:top w:val="nil"/>
              <w:bottom w:val="nil"/>
            </w:tcBorders>
            <w:vAlign w:val="center"/>
          </w:tcPr>
          <w:p w14:paraId="0EC13496">
            <w:pPr>
              <w:ind w:firstLine="360"/>
              <w:rPr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7A0BCAD9">
            <w:pPr>
              <w:ind w:firstLine="360"/>
              <w:rPr>
                <w:sz w:val="18"/>
                <w:szCs w:val="18"/>
              </w:rPr>
            </w:pPr>
          </w:p>
          <w:p w14:paraId="6B1B02D1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绩效自评表(20分)</w:t>
            </w:r>
          </w:p>
        </w:tc>
        <w:tc>
          <w:tcPr>
            <w:tcW w:w="7939" w:type="dxa"/>
            <w:gridSpan w:val="2"/>
            <w:vAlign w:val="center"/>
          </w:tcPr>
          <w:p w14:paraId="39B89AB7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1、部门整体支出和项目支出绩效指标反映产出、效益、服务对象满意度方面的指标和预算执行率的权重符合《岳阳县县级预算部门绩效自评操作规程》要求的，得5分，否则按比例扣除相应的分数。</w:t>
            </w:r>
          </w:p>
          <w:p w14:paraId="61E6C7A6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2.部门整体支出和项目支出绩效指标全部细化到三级指标的，得5分；部分细化的，酌情扣分；没有细化的，不得分。</w:t>
            </w:r>
          </w:p>
          <w:p w14:paraId="1C452427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.部门整体支出和项目支出三级绩效指标内涵明确、具体、可衡量的得5分；突出核心指标，精简实用的得3分；指标与部门整体支出和项目支出密切相关，全面反映产出和效益的得2分；否则，每项酌情扣分，最多扣10分。</w:t>
            </w:r>
          </w:p>
        </w:tc>
      </w:tr>
      <w:tr w14:paraId="2398F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746" w:type="dxa"/>
            <w:vMerge w:val="continue"/>
            <w:tcBorders>
              <w:top w:val="nil"/>
              <w:bottom w:val="nil"/>
            </w:tcBorders>
            <w:vAlign w:val="center"/>
          </w:tcPr>
          <w:p w14:paraId="50EF0A76">
            <w:pPr>
              <w:ind w:firstLine="360"/>
              <w:rPr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0181B43E">
            <w:pPr>
              <w:ind w:firstLine="360"/>
              <w:rPr>
                <w:sz w:val="18"/>
                <w:szCs w:val="18"/>
              </w:rPr>
            </w:pPr>
          </w:p>
          <w:p w14:paraId="72D1CB5A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反映问题情况(20分)</w:t>
            </w:r>
          </w:p>
        </w:tc>
        <w:tc>
          <w:tcPr>
            <w:tcW w:w="7939" w:type="dxa"/>
            <w:gridSpan w:val="2"/>
            <w:vAlign w:val="center"/>
          </w:tcPr>
          <w:p w14:paraId="5C28607A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从预算和预算绩效管理，部门履职效能，资金分配、使用和管理，资产和财务管理，政府采购等方面归纳问题、分析原因全面的，得20分；反映问题、分析原因较全面的，得16—18 分；反映问题、分析原因不全面的，得13—15分；问题未归纳且过于简单的，得10-12分；只提出资金不足问题的不得分；其他情况酌情扣分。</w:t>
            </w:r>
          </w:p>
        </w:tc>
      </w:tr>
      <w:tr w14:paraId="487258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746" w:type="dxa"/>
            <w:vMerge w:val="continue"/>
            <w:tcBorders>
              <w:top w:val="nil"/>
            </w:tcBorders>
            <w:vAlign w:val="center"/>
          </w:tcPr>
          <w:p w14:paraId="65E206BF">
            <w:pPr>
              <w:ind w:firstLine="360"/>
              <w:rPr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16F1AB67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建议情况</w:t>
            </w:r>
          </w:p>
          <w:p w14:paraId="22009EB7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(15</w:t>
            </w:r>
            <w:r>
              <w:rPr>
                <w:rFonts w:hint="eastAsia" w:cs="宋体"/>
                <w:sz w:val="18"/>
                <w:szCs w:val="18"/>
              </w:rPr>
              <w:t>分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7939" w:type="dxa"/>
            <w:gridSpan w:val="2"/>
            <w:vAlign w:val="center"/>
          </w:tcPr>
          <w:p w14:paraId="23547E25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建议与问题对应且全面的得15分，建议比较全面的得12—14分，建议不全面的得9—11  分，建议过于简单的得6—8分，只提出加大资金投入建议的不得分；其他情况酌情扣分。</w:t>
            </w:r>
          </w:p>
        </w:tc>
      </w:tr>
      <w:tr w14:paraId="0D394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746" w:type="dxa"/>
            <w:vAlign w:val="center"/>
          </w:tcPr>
          <w:p w14:paraId="25411EA6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合计</w:t>
            </w:r>
          </w:p>
        </w:tc>
        <w:tc>
          <w:tcPr>
            <w:tcW w:w="1157" w:type="dxa"/>
            <w:vAlign w:val="center"/>
          </w:tcPr>
          <w:p w14:paraId="2ED5ADA4">
            <w:pPr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</w:t>
            </w:r>
            <w:r>
              <w:rPr>
                <w:rFonts w:hint="eastAsia" w:cs="宋体"/>
                <w:sz w:val="18"/>
                <w:szCs w:val="18"/>
              </w:rPr>
              <w:t>分</w:t>
            </w:r>
          </w:p>
        </w:tc>
        <w:tc>
          <w:tcPr>
            <w:tcW w:w="7939" w:type="dxa"/>
            <w:gridSpan w:val="2"/>
            <w:vAlign w:val="center"/>
          </w:tcPr>
          <w:p w14:paraId="401A1B7D">
            <w:pPr>
              <w:ind w:firstLine="360"/>
              <w:rPr>
                <w:rFonts w:hint="default" w:eastAsia="仿宋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100</w:t>
            </w:r>
          </w:p>
        </w:tc>
      </w:tr>
    </w:tbl>
    <w:p w14:paraId="3CFBA01F">
      <w:pPr>
        <w:ind w:firstLine="0" w:firstLineChars="0"/>
      </w:pPr>
    </w:p>
    <w:p w14:paraId="2E5033B7"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00"/>
      </w:pPr>
      <w:r>
        <w:separator/>
      </w:r>
    </w:p>
  </w:endnote>
  <w:endnote w:type="continuationSeparator" w:id="1">
    <w:p>
      <w:pPr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3B2042EC-6536-453E-8689-08F705B0207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52438F7-F27F-4F5D-AFB7-A0F5ADA181D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  <w:embedRegular r:id="rId3" w:fontKey="{110B4C65-2917-41E5-A813-80F57CA6447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7860DFE-3C86-4105-8E36-C6456729E5F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5C1E9CF1-6925-4BDD-BD3B-A9CB03ABBC0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DCB27740-8268-4067-B799-407E3849205E}"/>
  </w:font>
  <w:font w:name="标准粗黑">
    <w:panose1 w:val="02000503000000000000"/>
    <w:charset w:val="86"/>
    <w:family w:val="auto"/>
    <w:pitch w:val="default"/>
    <w:sig w:usb0="8000002F" w:usb1="084164FA" w:usb2="00000012" w:usb3="00000000" w:csb0="00040001" w:csb1="00000000"/>
    <w:embedRegular r:id="rId7" w:fontKey="{2E2C00CB-AD5E-4CE6-9C46-7ADBECE82A36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97DD802E-E893-4FBB-88DF-C308539FE80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9" w:fontKey="{D72F66E3-693B-48F3-B2D6-4BD35FD6DC4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10" w:fontKey="{DAEF3F4F-C51E-49F0-B19D-D153C7A979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85DE3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90E4C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A3BDC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00"/>
      </w:pPr>
      <w:r>
        <w:separator/>
      </w:r>
    </w:p>
  </w:footnote>
  <w:footnote w:type="continuationSeparator" w:id="1">
    <w:p>
      <w:pPr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266CD"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C4DF6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CC874">
    <w:pPr>
      <w:pStyle w:val="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FDCA42"/>
    <w:multiLevelType w:val="singleLevel"/>
    <w:tmpl w:val="3FFDCA4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5Mjg3ZDFjOTE1OGNmNGQ5ZDk4YzFhMWFhOWQ3MTEifQ=="/>
  </w:docVars>
  <w:rsids>
    <w:rsidRoot w:val="00414758"/>
    <w:rsid w:val="0014418A"/>
    <w:rsid w:val="00160FF3"/>
    <w:rsid w:val="00351F62"/>
    <w:rsid w:val="003B3085"/>
    <w:rsid w:val="003E3A22"/>
    <w:rsid w:val="00414758"/>
    <w:rsid w:val="004B146B"/>
    <w:rsid w:val="00657C84"/>
    <w:rsid w:val="00697376"/>
    <w:rsid w:val="007869A8"/>
    <w:rsid w:val="007E48F3"/>
    <w:rsid w:val="00872BD5"/>
    <w:rsid w:val="008B061E"/>
    <w:rsid w:val="00924C54"/>
    <w:rsid w:val="00A85EA8"/>
    <w:rsid w:val="00B24903"/>
    <w:rsid w:val="00C100E2"/>
    <w:rsid w:val="00C1457E"/>
    <w:rsid w:val="00C4223B"/>
    <w:rsid w:val="00C42971"/>
    <w:rsid w:val="00CF2B50"/>
    <w:rsid w:val="00E12EC7"/>
    <w:rsid w:val="00E71124"/>
    <w:rsid w:val="00E74E94"/>
    <w:rsid w:val="00E97DAF"/>
    <w:rsid w:val="00F33D46"/>
    <w:rsid w:val="04455AD9"/>
    <w:rsid w:val="062404B3"/>
    <w:rsid w:val="1C4E6B42"/>
    <w:rsid w:val="22974472"/>
    <w:rsid w:val="2B3776AD"/>
    <w:rsid w:val="4C92564D"/>
    <w:rsid w:val="5E057332"/>
    <w:rsid w:val="6EFC18C0"/>
    <w:rsid w:val="7422337D"/>
    <w:rsid w:val="7DA4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ind w:firstLine="600" w:firstLineChars="200"/>
      <w:jc w:val="both"/>
    </w:pPr>
    <w:rPr>
      <w:rFonts w:ascii="仿宋" w:hAnsi="仿宋" w:eastAsia="仿宋" w:cs="仿宋_GB2312"/>
      <w:bCs/>
      <w:color w:val="000000"/>
      <w:kern w:val="0"/>
      <w:sz w:val="30"/>
      <w:szCs w:val="30"/>
      <w:lang w:val="en-US" w:eastAsia="zh-CN" w:bidi="ar-SA"/>
    </w:rPr>
  </w:style>
  <w:style w:type="paragraph" w:styleId="2">
    <w:name w:val="heading 3"/>
    <w:next w:val="1"/>
    <w:link w:val="12"/>
    <w:qFormat/>
    <w:uiPriority w:val="0"/>
    <w:pPr>
      <w:keepNext/>
      <w:keepLines/>
      <w:widowControl w:val="0"/>
      <w:spacing w:line="360" w:lineRule="auto"/>
      <w:jc w:val="both"/>
      <w:outlineLvl w:val="2"/>
    </w:pPr>
    <w:rPr>
      <w:rFonts w:ascii="Times New Roman" w:hAnsi="Times New Roman" w:eastAsia="楷体_GB2312" w:cs="Times New Roman"/>
      <w:b/>
      <w:kern w:val="0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3"/>
    <w:autoRedefine/>
    <w:semiHidden/>
    <w:qFormat/>
    <w:uiPriority w:val="0"/>
    <w:pPr>
      <w:spacing w:before="20" w:line="222" w:lineRule="auto"/>
    </w:pPr>
    <w:rPr>
      <w:rFonts w:cs="仿宋"/>
      <w:sz w:val="35"/>
      <w:szCs w:val="35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unhideWhenUsed/>
    <w:qFormat/>
    <w:uiPriority w:val="0"/>
    <w:pPr>
      <w:spacing w:before="100" w:beforeAutospacing="1" w:after="100" w:afterAutospacing="1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customStyle="1" w:styleId="10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标题 3 Char"/>
    <w:basedOn w:val="9"/>
    <w:link w:val="2"/>
    <w:qFormat/>
    <w:uiPriority w:val="0"/>
    <w:rPr>
      <w:rFonts w:ascii="Times New Roman" w:hAnsi="Times New Roman" w:eastAsia="楷体_GB2312" w:cs="Times New Roman"/>
      <w:b/>
      <w:kern w:val="0"/>
      <w:sz w:val="32"/>
      <w:szCs w:val="24"/>
    </w:rPr>
  </w:style>
  <w:style w:type="character" w:customStyle="1" w:styleId="13">
    <w:name w:val="正文文本 Char"/>
    <w:basedOn w:val="9"/>
    <w:link w:val="3"/>
    <w:semiHidden/>
    <w:qFormat/>
    <w:uiPriority w:val="0"/>
    <w:rPr>
      <w:rFonts w:ascii="仿宋" w:hAnsi="仿宋" w:eastAsia="仿宋" w:cs="仿宋"/>
      <w:snapToGrid w:val="0"/>
      <w:color w:val="000000"/>
      <w:kern w:val="0"/>
      <w:sz w:val="35"/>
      <w:szCs w:val="35"/>
      <w:lang w:eastAsia="en-US"/>
    </w:rPr>
  </w:style>
  <w:style w:type="table" w:customStyle="1" w:styleId="14">
    <w:name w:val="Table Normal"/>
    <w:autoRedefine/>
    <w:semiHidden/>
    <w:unhideWhenUsed/>
    <w:qFormat/>
    <w:uiPriority w:val="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unhideWhenUsed/>
    <w:qFormat/>
    <w:uiPriority w:val="99"/>
    <w:pPr>
      <w:ind w:firstLine="420"/>
    </w:pPr>
  </w:style>
  <w:style w:type="character" w:customStyle="1" w:styleId="16">
    <w:name w:val="批注框文本 Char"/>
    <w:basedOn w:val="9"/>
    <w:link w:val="4"/>
    <w:semiHidden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</w:rPr>
  </w:style>
  <w:style w:type="character" w:customStyle="1" w:styleId="17">
    <w:name w:val="NormalCharacter"/>
    <w:link w:val="18"/>
    <w:qFormat/>
    <w:locked/>
    <w:uiPriority w:val="0"/>
    <w:rPr>
      <w:rFonts w:ascii="宋体" w:hAnsi="宋体"/>
      <w:szCs w:val="20"/>
    </w:rPr>
  </w:style>
  <w:style w:type="paragraph" w:customStyle="1" w:styleId="18">
    <w:name w:val="UserStyle_2"/>
    <w:basedOn w:val="1"/>
    <w:link w:val="17"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宋体" w:hAnsi="宋体" w:eastAsiaTheme="minorEastAsia" w:cstheme="minorBidi"/>
      <w:bCs w:val="0"/>
      <w:color w:val="auto"/>
      <w:kern w:val="2"/>
      <w:sz w:val="21"/>
      <w:szCs w:val="20"/>
    </w:rPr>
  </w:style>
  <w:style w:type="paragraph" w:customStyle="1" w:styleId="19">
    <w:name w:val="普通(网站)1"/>
    <w:basedOn w:val="1"/>
    <w:qFormat/>
    <w:uiPriority w:val="0"/>
    <w:pPr>
      <w:spacing w:before="100" w:beforeAutospacing="1" w:after="100" w:afterAutospacing="1"/>
      <w:ind w:firstLine="0" w:firstLineChars="0"/>
      <w:jc w:val="left"/>
    </w:pPr>
    <w:rPr>
      <w:rFonts w:ascii="Calibri" w:hAnsi="Calibri" w:eastAsia="宋体" w:cs="Times New Roman"/>
      <w:bCs w:val="0"/>
      <w:color w:val="auto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3679</Words>
  <Characters>3828</Characters>
  <Lines>38</Lines>
  <Paragraphs>10</Paragraphs>
  <TotalTime>8</TotalTime>
  <ScaleCrop>false</ScaleCrop>
  <LinksUpToDate>false</LinksUpToDate>
  <CharactersWithSpaces>3840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2024-09-27T01:26:00Z</dcterms:created>
  <dc:creator>微软用户</dc:creator>
  <cp:lastModifiedBy>胡青</cp:lastModifiedBy>
  <dcterms:modified xsi:type="dcterms:W3CDTF">2026-09-24T01:45:08Z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05DC26261C464DB18FCBC88CA9BE7950_13</vt:lpwstr>
  </property>
</Properties>
</file>