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67" w:lineRule="auto"/>
        <w:ind w:firstLine="552"/>
        <w:jc w:val="both"/>
        <w:rPr>
          <w:rFonts w:ascii="宋体" w:hAnsi="宋体" w:eastAsia="宋体" w:cs="宋体"/>
          <w:bCs/>
          <w:spacing w:val="-4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bCs/>
          <w:spacing w:val="-4"/>
          <w:sz w:val="28"/>
          <w:szCs w:val="28"/>
          <w:lang w:eastAsia="zh-CN"/>
        </w:rPr>
        <w:t>附件4</w:t>
      </w:r>
    </w:p>
    <w:p>
      <w:pPr>
        <w:ind w:firstLine="880"/>
        <w:jc w:val="center"/>
        <w:rPr>
          <w:rFonts w:hint="eastAsia" w:ascii="方正小标宋简体" w:eastAsia="方正小标宋简体"/>
          <w:sz w:val="44"/>
          <w:szCs w:val="44"/>
          <w:lang w:eastAsia="zh-CN"/>
        </w:rPr>
      </w:pPr>
      <w:r>
        <w:rPr>
          <w:rFonts w:hint="eastAsia" w:ascii="方正小标宋简体" w:eastAsia="方正小标宋简体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年度</w:t>
      </w:r>
      <w:r>
        <w:rPr>
          <w:rFonts w:hint="eastAsia" w:ascii="方正小标宋简体" w:eastAsia="方正小标宋简体"/>
          <w:sz w:val="44"/>
          <w:szCs w:val="44"/>
          <w:lang w:eastAsia="zh-CN"/>
        </w:rPr>
        <w:t>岳阳县住房和城乡建设局</w:t>
      </w:r>
    </w:p>
    <w:p>
      <w:pPr>
        <w:ind w:firstLine="880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eastAsia="zh-CN"/>
        </w:rPr>
        <w:t>整体支出绩效自评报告</w:t>
      </w:r>
    </w:p>
    <w:p>
      <w:pPr>
        <w:pStyle w:val="3"/>
        <w:spacing w:before="78" w:line="221" w:lineRule="auto"/>
        <w:jc w:val="both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b/>
          <w:bCs/>
          <w:spacing w:val="-28"/>
          <w:sz w:val="32"/>
          <w:szCs w:val="32"/>
          <w:lang w:eastAsia="zh-CN"/>
        </w:rPr>
      </w:pPr>
    </w:p>
    <w:p>
      <w:pPr>
        <w:pStyle w:val="3"/>
        <w:spacing w:before="78" w:line="221" w:lineRule="auto"/>
        <w:ind w:firstLine="587"/>
        <w:jc w:val="center"/>
        <w:rPr>
          <w:rFonts w:ascii="楷体_GB2312" w:eastAsia="楷体_GB2312"/>
          <w:sz w:val="32"/>
          <w:szCs w:val="32"/>
          <w:lang w:eastAsia="zh-CN"/>
        </w:rPr>
      </w:pPr>
      <w:r>
        <w:rPr>
          <w:rFonts w:hint="eastAsia" w:ascii="楷体_GB2312" w:eastAsia="楷体_GB2312"/>
          <w:b/>
          <w:bCs/>
          <w:spacing w:val="-28"/>
          <w:sz w:val="32"/>
          <w:szCs w:val="32"/>
          <w:lang w:eastAsia="zh-CN"/>
        </w:rPr>
        <w:t>部门(单位)名称：岳阳县住房和城乡建设局</w:t>
      </w:r>
      <w:r>
        <w:rPr>
          <w:rFonts w:hint="eastAsia" w:ascii="楷体_GB2312" w:eastAsia="楷体_GB2312"/>
          <w:b/>
          <w:bCs/>
          <w:spacing w:val="-28"/>
          <w:sz w:val="32"/>
          <w:szCs w:val="32"/>
          <w:u w:val="single"/>
          <w:lang w:eastAsia="zh-CN"/>
        </w:rPr>
        <w:t>(盖章)</w:t>
      </w:r>
    </w:p>
    <w:p>
      <w:pPr>
        <w:spacing w:before="274" w:line="225" w:lineRule="auto"/>
        <w:ind w:firstLine="617"/>
        <w:jc w:val="center"/>
        <w:rPr>
          <w:rFonts w:ascii="楷体_GB2312" w:hAnsi="楷体" w:eastAsia="楷体_GB2312" w:cs="楷体"/>
          <w:sz w:val="32"/>
          <w:szCs w:val="32"/>
          <w:lang w:eastAsia="zh-CN"/>
        </w:rPr>
      </w:pP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val="en-US" w:eastAsia="zh-CN"/>
        </w:rPr>
        <w:t>2026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 xml:space="preserve">年 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val="en-US" w:eastAsia="zh-CN"/>
        </w:rPr>
        <w:t>5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 xml:space="preserve"> </w:t>
      </w:r>
      <w:r>
        <w:rPr>
          <w:rFonts w:hint="eastAsia" w:ascii="楷体_GB2312" w:hAnsi="楷体" w:eastAsia="楷体_GB2312" w:cs="楷体"/>
          <w:spacing w:val="-13"/>
          <w:sz w:val="32"/>
          <w:szCs w:val="32"/>
          <w:lang w:eastAsia="zh-CN"/>
        </w:rPr>
        <w:t xml:space="preserve">月 </w:t>
      </w:r>
      <w:r>
        <w:rPr>
          <w:rFonts w:hint="eastAsia" w:ascii="楷体_GB2312" w:hAnsi="楷体" w:eastAsia="楷体_GB2312" w:cs="楷体"/>
          <w:spacing w:val="-13"/>
          <w:sz w:val="32"/>
          <w:szCs w:val="32"/>
          <w:lang w:val="en-US" w:eastAsia="zh-CN"/>
        </w:rPr>
        <w:t>28</w:t>
      </w:r>
      <w:r>
        <w:rPr>
          <w:rFonts w:hint="eastAsia" w:ascii="楷体_GB2312" w:hAnsi="楷体" w:eastAsia="楷体_GB2312" w:cs="楷体"/>
          <w:spacing w:val="-13"/>
          <w:sz w:val="32"/>
          <w:szCs w:val="32"/>
          <w:lang w:eastAsia="zh-CN"/>
        </w:rPr>
        <w:t xml:space="preserve"> </w:t>
      </w:r>
      <w:r>
        <w:rPr>
          <w:rFonts w:hint="eastAsia" w:ascii="楷体_GB2312" w:hAnsi="楷体" w:eastAsia="楷体_GB2312" w:cs="楷体"/>
          <w:b/>
          <w:bCs/>
          <w:spacing w:val="-13"/>
          <w:sz w:val="32"/>
          <w:szCs w:val="32"/>
          <w:lang w:eastAsia="zh-CN"/>
        </w:rPr>
        <w:t>日</w:t>
      </w:r>
    </w:p>
    <w:p>
      <w:pPr>
        <w:pStyle w:val="3"/>
        <w:spacing w:before="211" w:line="224" w:lineRule="auto"/>
        <w:ind w:firstLine="638"/>
        <w:jc w:val="center"/>
        <w:rPr>
          <w:rFonts w:hint="eastAsia" w:eastAsia="方正小标宋简体"/>
          <w:bCs/>
          <w:sz w:val="46"/>
          <w:szCs w:val="46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numPr>
          <w:ilvl w:val="0"/>
          <w:numId w:val="1"/>
        </w:numPr>
        <w:spacing w:line="560" w:lineRule="exact"/>
        <w:ind w:firstLine="560" w:firstLineChars="2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部门（单位）基本情况</w:t>
      </w:r>
    </w:p>
    <w:p>
      <w:pPr>
        <w:spacing w:line="560" w:lineRule="exact"/>
        <w:ind w:firstLine="560" w:firstLineChars="200"/>
        <w:rPr>
          <w:rFonts w:ascii="仿宋" w:hAnsi="仿宋" w:eastAsia="仿宋" w:cs="宋体"/>
          <w:color w:val="000000"/>
          <w:kern w:val="0"/>
          <w:sz w:val="28"/>
          <w:szCs w:val="28"/>
        </w:rPr>
      </w:pPr>
      <w:r>
        <w:rPr>
          <w:rFonts w:hint="eastAsia" w:ascii="仿宋" w:hAnsi="仿宋" w:eastAsia="仿宋" w:cs="宋体"/>
          <w:color w:val="000000"/>
          <w:kern w:val="0"/>
          <w:sz w:val="28"/>
          <w:szCs w:val="28"/>
        </w:rPr>
        <w:t>1、机构设置</w:t>
      </w:r>
    </w:p>
    <w:p>
      <w:pPr>
        <w:widowControl/>
        <w:ind w:firstLine="560" w:firstLineChars="200"/>
        <w:textAlignment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岳阳县住房和城乡建设局是县政府工作部门，为正科级。</w:t>
      </w:r>
    </w:p>
    <w:p>
      <w:pPr>
        <w:widowControl/>
        <w:ind w:firstLine="560" w:firstLineChars="200"/>
        <w:textAlignment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本部门现有</w:t>
      </w:r>
      <w:r>
        <w:rPr>
          <w:rFonts w:hint="eastAsia" w:ascii="仿宋" w:hAnsi="仿宋" w:eastAsia="仿宋"/>
          <w:sz w:val="28"/>
          <w:szCs w:val="28"/>
        </w:rPr>
        <w:t>编制内</w:t>
      </w:r>
      <w:r>
        <w:rPr>
          <w:rFonts w:ascii="仿宋" w:hAnsi="仿宋" w:eastAsia="仿宋"/>
          <w:sz w:val="28"/>
          <w:szCs w:val="28"/>
        </w:rPr>
        <w:t>在职人员</w:t>
      </w:r>
      <w:r>
        <w:rPr>
          <w:rFonts w:hint="eastAsia" w:ascii="仿宋" w:hAnsi="仿宋" w:eastAsia="仿宋"/>
          <w:sz w:val="28"/>
          <w:szCs w:val="28"/>
        </w:rPr>
        <w:t>5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7</w:t>
      </w:r>
      <w:r>
        <w:rPr>
          <w:rFonts w:ascii="仿宋" w:hAnsi="仿宋" w:eastAsia="仿宋"/>
          <w:sz w:val="28"/>
          <w:szCs w:val="28"/>
        </w:rPr>
        <w:t>人，内设股室1</w:t>
      </w:r>
      <w:r>
        <w:rPr>
          <w:rFonts w:hint="eastAsia" w:ascii="仿宋" w:hAnsi="仿宋" w:eastAsia="仿宋"/>
          <w:sz w:val="28"/>
          <w:szCs w:val="28"/>
        </w:rPr>
        <w:t>7</w:t>
      </w:r>
      <w:r>
        <w:rPr>
          <w:rFonts w:ascii="仿宋" w:hAnsi="仿宋" w:eastAsia="仿宋"/>
          <w:sz w:val="28"/>
          <w:szCs w:val="28"/>
        </w:rPr>
        <w:t>个：</w:t>
      </w:r>
      <w:r>
        <w:rPr>
          <w:rFonts w:hint="eastAsia" w:ascii="仿宋" w:hAnsi="仿宋" w:eastAsia="仿宋"/>
          <w:sz w:val="28"/>
          <w:szCs w:val="28"/>
        </w:rPr>
        <w:t>办公室、人事股、计划财务股、行政审批股、政策法规股、城市建设管理股、勘察设计管理股、建设工程招标投标管理办公室、建设工程质量安全管理股、建设工程消防监管股、村镇事务中心、房地产市场监管股、房地产市场开发管理股、建筑节能与科技股、物业管理办公室、岳阳县国有土地房屋征收管理办公室（岳阳县房屋安全鉴定办公室）、住房保障股。</w:t>
      </w:r>
    </w:p>
    <w:p>
      <w:pPr>
        <w:widowControl/>
        <w:ind w:firstLine="560" w:firstLineChars="200"/>
        <w:textAlignment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岳阳县住房和城乡建设局下设副科级事业机构5个：县房地产开发服务中心、县住房保障服务中心、县公用工程维护中心、县住房和城乡建设项目服务中心、县建筑市场服务中心。</w:t>
      </w:r>
    </w:p>
    <w:p>
      <w:pPr>
        <w:widowControl/>
        <w:ind w:firstLine="560" w:firstLineChars="200"/>
        <w:textAlignment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岳阳县住房和城乡建设局下设正股级事业机构</w:t>
      </w:r>
      <w:r>
        <w:rPr>
          <w:rFonts w:hint="eastAsia" w:ascii="仿宋" w:hAnsi="仿宋" w:eastAsia="仿宋"/>
          <w:sz w:val="28"/>
          <w:szCs w:val="28"/>
        </w:rPr>
        <w:t>3</w:t>
      </w:r>
      <w:r>
        <w:rPr>
          <w:rFonts w:ascii="仿宋" w:hAnsi="仿宋" w:eastAsia="仿宋"/>
          <w:sz w:val="28"/>
          <w:szCs w:val="28"/>
        </w:rPr>
        <w:t>个：县城建档案馆、县</w:t>
      </w:r>
      <w:r>
        <w:rPr>
          <w:rFonts w:hint="eastAsia" w:ascii="仿宋" w:hAnsi="仿宋" w:eastAsia="仿宋"/>
          <w:sz w:val="28"/>
          <w:szCs w:val="28"/>
        </w:rPr>
        <w:t>居民自建房服务中心</w:t>
      </w:r>
      <w:r>
        <w:rPr>
          <w:rFonts w:ascii="仿宋" w:hAnsi="仿宋" w:eastAsia="仿宋"/>
          <w:sz w:val="28"/>
          <w:szCs w:val="28"/>
        </w:rPr>
        <w:t>、县建设工程质量监督站。</w:t>
      </w:r>
    </w:p>
    <w:p>
      <w:pPr>
        <w:pStyle w:val="12"/>
        <w:ind w:firstLine="560" w:firstLineChars="200"/>
        <w:rPr>
          <w:rFonts w:ascii="仿宋" w:hAnsi="仿宋" w:eastAsia="仿宋" w:cs="宋体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>2、主要职责</w:t>
      </w:r>
    </w:p>
    <w:p>
      <w:pPr>
        <w:widowControl/>
        <w:ind w:firstLine="560" w:firstLineChars="200"/>
        <w:textAlignment w:val="center"/>
        <w:rPr>
          <w:rFonts w:ascii="仿宋" w:hAnsi="仿宋" w:eastAsia="仿宋"/>
          <w:sz w:val="28"/>
          <w:szCs w:val="28"/>
        </w:rPr>
      </w:pPr>
      <w:r>
        <w:rPr>
          <w:rFonts w:ascii="仿宋" w:hAnsi="仿宋" w:eastAsia="仿宋"/>
          <w:sz w:val="28"/>
          <w:szCs w:val="28"/>
        </w:rPr>
        <w:t>负责贯彻落实有关住房和城乡建设的方针、政策、法律、法规、规章、制度；拟订全县住房和城乡建设的发展战略、产业政策、改革方案、中长期规划及年度计划并组织实施，牵头组织行业诚信体系建设；负责房地产市场监督管理；负责住房保障监督管理；负责城建计划编制和监督管理；承担城市设计和建筑设计管理责任；承担城市给排水、污水处理、城市供水的监督管理，承担市政街道、地下通道、桥梁等有关市政公用设施的建设维护责任；承担全县建筑市场的管理责任；承担全县建设工程质量、安全生产的监督管理责任；承担城市科学研究和建设科技应用推广责任；承担全县村镇建设指导管理责任；负责历史文化名城（镇、村）的保护及监督管理；负责制定全县行业人才发展规划，加强人才队伍和人事管理；完成县委和县政府交办的其他任务</w:t>
      </w:r>
      <w:r>
        <w:rPr>
          <w:rFonts w:hint="eastAsia" w:ascii="仿宋" w:hAnsi="仿宋" w:eastAsia="仿宋"/>
          <w:sz w:val="28"/>
          <w:szCs w:val="28"/>
        </w:rPr>
        <w:t>。</w:t>
      </w:r>
    </w:p>
    <w:p>
      <w:pPr>
        <w:pStyle w:val="12"/>
        <w:ind w:firstLine="560" w:firstLineChars="200"/>
        <w:rPr>
          <w:bCs/>
          <w:sz w:val="28"/>
          <w:szCs w:val="28"/>
        </w:rPr>
      </w:pPr>
      <w:r>
        <w:rPr>
          <w:rFonts w:hint="eastAsia"/>
          <w:bCs/>
          <w:sz w:val="28"/>
          <w:szCs w:val="28"/>
        </w:rPr>
        <w:t>二、一般公共预算支出情况</w:t>
      </w:r>
    </w:p>
    <w:p>
      <w:pPr>
        <w:spacing w:line="560" w:lineRule="exact"/>
        <w:ind w:firstLine="560" w:firstLineChars="200"/>
        <w:rPr>
          <w:rFonts w:ascii="仿宋_GB2312" w:eastAsia="仿宋_GB2312" w:cs="仿宋_GB2312"/>
          <w:bCs/>
          <w:sz w:val="28"/>
          <w:szCs w:val="28"/>
        </w:rPr>
      </w:pPr>
      <w:r>
        <w:rPr>
          <w:rFonts w:hint="eastAsia" w:ascii="仿宋_GB2312" w:eastAsia="仿宋_GB2312" w:cs="仿宋_GB2312"/>
          <w:bCs/>
          <w:sz w:val="28"/>
          <w:szCs w:val="28"/>
        </w:rPr>
        <w:t>（一）基本支出情况</w:t>
      </w:r>
    </w:p>
    <w:p>
      <w:pPr>
        <w:pStyle w:val="12"/>
        <w:ind w:firstLine="560" w:firstLineChars="200"/>
        <w:rPr>
          <w:rFonts w:ascii="仿宋" w:hAnsi="仿宋" w:eastAsia="仿宋" w:cs="Times New Roman"/>
          <w:color w:val="auto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202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年度基本支出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1362.61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万元，其中：人员经费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965.81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万元，主要包括基本工资、津贴补贴、奖金、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绩效工资、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机关事业单位基本养老保险缴费、职业年金缴费、职工基本医疗保险缴费、公务员医疗补助缴费、其他社会保障缴费、住房公积金、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医疗费、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其他工资福利支出；公用经费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396.8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万元，主要包括办公费、印刷费、咨询费、水费、电费、邮电费、差旅费、维修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护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费、租赁费、会议费、培训费、公务接待费、专用材料费、劳务费、委托业务费、工会经费、福利费、其他交通费用、其他商品和服务支出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办公设备购置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。</w:t>
      </w:r>
    </w:p>
    <w:p>
      <w:pPr>
        <w:numPr>
          <w:ilvl w:val="0"/>
          <w:numId w:val="2"/>
        </w:numPr>
        <w:spacing w:line="560" w:lineRule="exact"/>
        <w:ind w:firstLine="560" w:firstLineChars="200"/>
        <w:rPr>
          <w:rFonts w:ascii="仿宋_GB2312" w:eastAsia="仿宋_GB2312" w:cs="仿宋_GB2312"/>
          <w:bCs/>
          <w:sz w:val="28"/>
          <w:szCs w:val="28"/>
        </w:rPr>
      </w:pPr>
      <w:r>
        <w:rPr>
          <w:rFonts w:hint="eastAsia" w:ascii="仿宋_GB2312" w:eastAsia="仿宋_GB2312" w:cs="仿宋_GB2312"/>
          <w:bCs/>
          <w:sz w:val="28"/>
          <w:szCs w:val="28"/>
        </w:rPr>
        <w:t>项目支出情况</w:t>
      </w:r>
    </w:p>
    <w:p>
      <w:pPr>
        <w:ind w:firstLine="560" w:firstLineChars="200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202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/>
          <w:sz w:val="28"/>
          <w:szCs w:val="28"/>
        </w:rPr>
        <w:t>年财政安排我单位实施业务工作经费、运行维护经费、专项资金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_GB2312"/>
          <w:bCs/>
          <w:sz w:val="28"/>
          <w:szCs w:val="28"/>
        </w:rPr>
        <w:t>市政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公共</w:t>
      </w:r>
      <w:r>
        <w:rPr>
          <w:rFonts w:hint="eastAsia" w:ascii="仿宋" w:hAnsi="仿宋" w:eastAsia="仿宋" w:cs="仿宋_GB2312"/>
          <w:bCs/>
          <w:sz w:val="28"/>
          <w:szCs w:val="28"/>
        </w:rPr>
        <w:t>基础设施维护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与建设</w:t>
      </w:r>
      <w:r>
        <w:rPr>
          <w:rFonts w:hint="eastAsia" w:ascii="仿宋" w:hAnsi="仿宋" w:eastAsia="仿宋" w:cs="仿宋_GB2312"/>
          <w:bCs/>
          <w:sz w:val="28"/>
          <w:szCs w:val="28"/>
        </w:rPr>
        <w:t>项目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共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38814.86</w:t>
      </w:r>
      <w:r>
        <w:rPr>
          <w:rFonts w:hint="eastAsia" w:ascii="仿宋" w:hAnsi="仿宋" w:eastAsia="仿宋"/>
          <w:sz w:val="28"/>
          <w:szCs w:val="28"/>
        </w:rPr>
        <w:t>万元，我单位实际发生项目支出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34958.17</w:t>
      </w:r>
      <w:r>
        <w:rPr>
          <w:rFonts w:hint="eastAsia" w:ascii="仿宋" w:hAnsi="仿宋" w:eastAsia="仿宋"/>
          <w:sz w:val="28"/>
          <w:szCs w:val="28"/>
        </w:rPr>
        <w:t>万元。</w:t>
      </w:r>
    </w:p>
    <w:p>
      <w:pPr>
        <w:numPr>
          <w:ilvl w:val="0"/>
          <w:numId w:val="3"/>
        </w:numPr>
        <w:spacing w:line="560" w:lineRule="exact"/>
        <w:ind w:firstLine="560" w:firstLineChars="200"/>
        <w:rPr>
          <w:rFonts w:asci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 w:cs="仿宋_GB2312"/>
          <w:bCs/>
          <w:color w:val="auto"/>
          <w:sz w:val="28"/>
          <w:szCs w:val="28"/>
        </w:rPr>
        <w:t>项目资金实际使用情况分析</w:t>
      </w:r>
    </w:p>
    <w:p>
      <w:pPr>
        <w:numPr>
          <w:ilvl w:val="0"/>
          <w:numId w:val="4"/>
        </w:numPr>
        <w:ind w:firstLine="560" w:firstLineChars="200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业务工作经费</w:t>
      </w:r>
    </w:p>
    <w:p>
      <w:pPr>
        <w:ind w:firstLine="560" w:firstLineChars="20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业务工作经费共3089.07万元，其中：</w:t>
      </w:r>
      <w:r>
        <w:rPr>
          <w:rFonts w:hint="eastAsia" w:ascii="仿宋" w:hAnsi="仿宋" w:eastAsia="仿宋"/>
          <w:sz w:val="28"/>
          <w:szCs w:val="28"/>
        </w:rPr>
        <w:t>工程建设项目审批经费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560万元，会议费2.7万元，危房改造工作经费138.27万元，文明创建费32.97万元，建设管理经费580.07万元，建设项目前期工作经费303.68万元，居民住房建设管理工作经费249.3万元，购房补贴工作经费1222.08万元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具体用于以下几个方面：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一是完成10个城市危旧房维修加固项目（227套）和1个城市危旧房改造项目（12套）主体验收。完成农村危房改造58户。推进9个既有物业小区建设13个电动自行车充电停放棚，新建充电端口334个。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二是全年共完成新建商品房销售530套，销售面积共6.2万平方米，销售收入2.56亿元。完成观澜郡保交房任务100套。在全市率先实施租赁性保障房线上分配管理，通过“湘易办”--高效办成一件事，完成153户公租房租赁补贴和实物配租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三是通过工程建设项目审批管理系统立项数125个；受理工程建设项目审批事项数量462件；签订帮代办协议38个，现已办结事项15个；线上受理政府投资项目初步设计审批22个；完成线上项目图纸申报、审查36个，建筑面积37.58万㎡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四是围绕建筑施工安全、消防审验等重点领域，共排查整改重大安全隐患12个。完成建设工程消防验收备案项目51个。</w:t>
      </w:r>
    </w:p>
    <w:p>
      <w:pPr>
        <w:ind w:firstLine="560" w:firstLineChars="200"/>
        <w:rPr>
          <w:rFonts w:hint="eastAsia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五是推进文明创建工作。提高了城市管理水平、提升了市民素质、改善了人居环境。</w:t>
      </w:r>
    </w:p>
    <w:p>
      <w:pPr>
        <w:ind w:firstLine="560" w:firstLineChars="200"/>
        <w:rPr>
          <w:rFonts w:hint="eastAsia" w:ascii="仿宋" w:hAnsi="仿宋" w:eastAsia="仿宋"/>
          <w:b w:val="0"/>
          <w:bCs w:val="0"/>
          <w:sz w:val="28"/>
          <w:szCs w:val="28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2</w:t>
      </w:r>
      <w:r>
        <w:rPr>
          <w:rFonts w:hint="eastAsia" w:ascii="仿宋" w:hAnsi="仿宋" w:eastAsia="仿宋"/>
          <w:b w:val="0"/>
          <w:bCs w:val="0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运行维护</w:t>
      </w:r>
      <w:r>
        <w:rPr>
          <w:rFonts w:hint="eastAsia" w:ascii="仿宋" w:hAnsi="仿宋" w:eastAsia="仿宋"/>
          <w:b w:val="0"/>
          <w:bCs w:val="0"/>
          <w:sz w:val="28"/>
          <w:szCs w:val="28"/>
        </w:rPr>
        <w:t>经费</w:t>
      </w:r>
    </w:p>
    <w:p>
      <w:pPr>
        <w:pStyle w:val="12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主要用于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 w:bidi="ar-SA"/>
        </w:rPr>
        <w:t>老旧小区改造项目，共8599.09万元。开工建设10个老旧小区改造项目，包含小区15个，目前已完成改造项目5个，剩余5个项目在农历年底前可全部完工。完成10个城市危旧房维修加固项目（227套）和1个城市危旧房改造项目（12套）主体验收。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老旧小区改造项目改善了老旧小区的居住环境，提高了居民生活水平。</w:t>
      </w:r>
    </w:p>
    <w:p>
      <w:pPr>
        <w:pStyle w:val="12"/>
        <w:numPr>
          <w:ilvl w:val="0"/>
          <w:numId w:val="5"/>
        </w:numPr>
        <w:ind w:firstLine="560" w:firstLineChars="200"/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b w:val="0"/>
          <w:bCs w:val="0"/>
          <w:sz w:val="28"/>
          <w:szCs w:val="28"/>
          <w:lang w:val="en-US" w:eastAsia="zh-CN"/>
        </w:rPr>
        <w:t>专项资金</w:t>
      </w:r>
    </w:p>
    <w:p>
      <w:pPr>
        <w:pStyle w:val="12"/>
        <w:ind w:firstLine="560" w:firstLineChars="200"/>
        <w:rPr>
          <w:rFonts w:hint="default" w:ascii="仿宋" w:hAnsi="仿宋" w:eastAsia="仿宋" w:cs="仿宋_GB2312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专项资金共23270万元，其中：市政公共基础设施维护与建设项目支出23270万元。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具体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用于：</w:t>
      </w:r>
    </w:p>
    <w:p>
      <w:pPr>
        <w:pStyle w:val="12"/>
        <w:ind w:firstLine="560" w:firstLineChars="200"/>
        <w:rPr>
          <w:rFonts w:hint="default" w:ascii="仿宋" w:hAnsi="仿宋" w:eastAsia="仿宋" w:cs="仿宋_GB2312"/>
          <w:bCs/>
          <w:sz w:val="28"/>
          <w:szCs w:val="28"/>
          <w:lang w:val="en-US" w:eastAsia="zh-CN"/>
        </w:rPr>
      </w:pPr>
      <w:r>
        <w:rPr>
          <w:rFonts w:hint="default" w:ascii="仿宋" w:hAnsi="仿宋" w:eastAsia="仿宋" w:cs="仿宋_GB2312"/>
          <w:bCs/>
          <w:sz w:val="28"/>
          <w:szCs w:val="28"/>
          <w:lang w:val="en-US" w:eastAsia="zh-CN"/>
        </w:rPr>
        <w:t>新建完成奥丰路、G240春风大道洞庭美域段拓改、春麻西路改造及管网建设。推进荣湾湖游步道建设一期二期建设，预计农历年前可完工。建成4个社会停车场，新增停车位283个。新建和改造城乡污水管网9.026公里。</w:t>
      </w:r>
    </w:p>
    <w:p>
      <w:pPr>
        <w:numPr>
          <w:ilvl w:val="0"/>
          <w:numId w:val="3"/>
        </w:numPr>
        <w:spacing w:line="560" w:lineRule="exact"/>
        <w:ind w:firstLine="560" w:firstLineChars="200"/>
        <w:rPr>
          <w:rFonts w:ascii="仿宋_GB2312" w:eastAsia="仿宋_GB2312" w:cs="仿宋_GB2312"/>
          <w:bCs/>
          <w:color w:val="auto"/>
          <w:sz w:val="28"/>
          <w:szCs w:val="28"/>
        </w:rPr>
      </w:pPr>
      <w:r>
        <w:rPr>
          <w:rFonts w:hint="eastAsia" w:ascii="仿宋_GB2312" w:eastAsia="仿宋_GB2312" w:cs="仿宋_GB2312"/>
          <w:bCs/>
          <w:color w:val="auto"/>
          <w:sz w:val="28"/>
          <w:szCs w:val="28"/>
        </w:rPr>
        <w:t>项目资金管理情况分析</w:t>
      </w:r>
    </w:p>
    <w:p>
      <w:pPr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</w:rPr>
        <w:t>本单位项目资金严格按照资金用途开支，实行专账专户管理，项目实施资金发放进行公开公示，项目验收，完工结算等邀请专业部门进行专项审计，开展项目绩效评价，确保资金充分发挥效益。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三、政府性基金预算支出情况</w:t>
      </w:r>
    </w:p>
    <w:p>
      <w:pPr>
        <w:pStyle w:val="12"/>
        <w:ind w:firstLine="560" w:firstLineChars="200"/>
        <w:rPr>
          <w:rFonts w:ascii="仿宋" w:hAnsi="仿宋" w:eastAsia="仿宋" w:cs="Times New Roman"/>
          <w:color w:val="auto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202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年度政府性基金预算支出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15121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万元，其中业务工作经费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5104.36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主要用于岳阳县城北天鹅片区排水防涝建设项目前期工作经费；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运行维护经费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15.81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主要用于县城老旧小区改造；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专项资金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10000.83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主要用乡镇污水处理厂管网使用及运营费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四、国有资本经营预算支出情况</w:t>
      </w:r>
    </w:p>
    <w:p>
      <w:pPr>
        <w:pStyle w:val="12"/>
        <w:ind w:firstLine="560" w:firstLineChars="200"/>
        <w:rPr>
          <w:rFonts w:ascii="仿宋" w:hAnsi="仿宋" w:eastAsia="仿宋" w:cs="Times New Roman"/>
          <w:color w:val="auto"/>
          <w:kern w:val="2"/>
          <w:sz w:val="28"/>
          <w:szCs w:val="28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无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 xml:space="preserve">五、社会保险基金预算支出情况 </w:t>
      </w:r>
    </w:p>
    <w:p>
      <w:pPr>
        <w:pStyle w:val="12"/>
        <w:ind w:firstLine="560" w:firstLineChars="200"/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无。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六、部门（单位）整体支出绩效情况</w:t>
      </w:r>
    </w:p>
    <w:p>
      <w:pPr>
        <w:pStyle w:val="12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202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年度支出总计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34589.49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万元，其中基本支出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1096.43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万元，主要用于人员工资、福利、社会保障缴费及办公室公用支出等，项目支出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33493.06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万元，主要为202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Times New Roman"/>
          <w:color w:val="auto"/>
          <w:kern w:val="2"/>
          <w:sz w:val="28"/>
          <w:szCs w:val="28"/>
        </w:rPr>
        <w:t>年中央财政支持业务工作经费、运行维护经费、专项资金等开支。</w:t>
      </w:r>
      <w:r>
        <w:rPr>
          <w:rFonts w:hint="eastAsia" w:ascii="仿宋" w:hAnsi="仿宋" w:eastAsia="仿宋" w:cs="仿宋_GB2312"/>
          <w:bCs/>
          <w:sz w:val="28"/>
          <w:szCs w:val="28"/>
        </w:rPr>
        <w:t>我们对整个资金支出情况和工作成果进行了认真分析，部门整体支出达到了预期工作成果，实现了预期工作目标，通过部门整体评价，特别是专项项目的实施，完善民生保障体系，加强社会环境治理，加强建筑行业安全生产监管，推进老旧小区改造，全力提升市政基础设施水平，改善了群众居住环境，降低了安全事故风险，为群众提供了安全便利的居住体验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color w:val="auto"/>
          <w:sz w:val="28"/>
          <w:szCs w:val="28"/>
        </w:rPr>
      </w:pPr>
      <w:r>
        <w:rPr>
          <w:rFonts w:hint="eastAsia" w:ascii="黑体" w:eastAsia="黑体" w:cs="黑体"/>
          <w:bCs/>
          <w:color w:val="auto"/>
          <w:sz w:val="28"/>
          <w:szCs w:val="28"/>
        </w:rPr>
        <w:t>七、存在的主要问题及原因分析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ascii="仿宋" w:hAnsi="仿宋" w:eastAsia="仿宋" w:cs="仿宋_GB2312"/>
          <w:bCs/>
          <w:sz w:val="28"/>
          <w:szCs w:val="28"/>
        </w:rPr>
        <w:t>总的来看，我</w:t>
      </w:r>
      <w:r>
        <w:rPr>
          <w:rFonts w:hint="eastAsia" w:ascii="仿宋" w:hAnsi="仿宋" w:eastAsia="仿宋" w:cs="仿宋_GB2312"/>
          <w:bCs/>
          <w:sz w:val="28"/>
          <w:szCs w:val="28"/>
        </w:rPr>
        <w:t>单位</w:t>
      </w:r>
      <w:r>
        <w:rPr>
          <w:rFonts w:ascii="仿宋" w:hAnsi="仿宋" w:eastAsia="仿宋" w:cs="仿宋_GB2312"/>
          <w:bCs/>
          <w:sz w:val="28"/>
          <w:szCs w:val="28"/>
        </w:rPr>
        <w:t>预算绩效管理工作虽然取得了一些成绩，但也存在一些问题需要解决，还有一些不足之处需要完善，其中既有面上普遍存在的，也有实际工作中遇到的个性问题。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_GB2312"/>
          <w:bCs/>
          <w:sz w:val="28"/>
          <w:szCs w:val="28"/>
        </w:rPr>
        <w:t>建设工地较多，导致县域偏远地方未能及时全程监控</w:t>
      </w:r>
      <w:r>
        <w:rPr>
          <w:rFonts w:ascii="仿宋" w:hAnsi="仿宋" w:eastAsia="仿宋" w:cs="仿宋_GB2312"/>
          <w:bCs/>
          <w:sz w:val="28"/>
          <w:szCs w:val="28"/>
        </w:rPr>
        <w:t>。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_GB2312"/>
          <w:bCs/>
          <w:sz w:val="28"/>
          <w:szCs w:val="28"/>
        </w:rPr>
        <w:t>部分老旧小区物业管理松散，未能严格执行环境整治方案</w:t>
      </w:r>
      <w:r>
        <w:rPr>
          <w:rFonts w:hint="eastAsia" w:ascii="仿宋" w:hAnsi="仿宋" w:eastAsia="仿宋" w:cs="仿宋_GB2312"/>
          <w:bCs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环境整治效果不明显。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_GB2312"/>
          <w:bCs/>
          <w:sz w:val="28"/>
          <w:szCs w:val="28"/>
        </w:rPr>
        <w:t>在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推进城乡生态环境治理</w:t>
      </w:r>
      <w:r>
        <w:rPr>
          <w:rFonts w:hint="eastAsia" w:ascii="仿宋" w:hAnsi="仿宋" w:eastAsia="仿宋" w:cs="仿宋_GB2312"/>
          <w:bCs/>
          <w:sz w:val="28"/>
          <w:szCs w:val="28"/>
        </w:rPr>
        <w:t>的过程中，存在部分居民水资源保护意识不够的现象。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4、在推进老旧小区基础设施建设配套项目的过程中，存在工程施工过程中产生扬尘污染现象。</w:t>
      </w:r>
    </w:p>
    <w:p>
      <w:pPr>
        <w:numPr>
          <w:ilvl w:val="0"/>
          <w:numId w:val="6"/>
        </w:numPr>
        <w:spacing w:line="560" w:lineRule="exact"/>
        <w:ind w:firstLine="560" w:firstLineChars="200"/>
        <w:rPr>
          <w:rFonts w:ascii="黑体" w:eastAsia="黑体" w:cs="黑体"/>
          <w:bCs/>
          <w:color w:val="auto"/>
          <w:sz w:val="28"/>
          <w:szCs w:val="28"/>
        </w:rPr>
      </w:pPr>
      <w:r>
        <w:rPr>
          <w:rFonts w:hint="eastAsia" w:ascii="黑体" w:eastAsia="黑体" w:cs="黑体"/>
          <w:bCs/>
          <w:color w:val="auto"/>
          <w:sz w:val="28"/>
          <w:szCs w:val="28"/>
        </w:rPr>
        <w:t>下一步改进措施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_GB2312"/>
          <w:bCs/>
          <w:sz w:val="28"/>
          <w:szCs w:val="28"/>
        </w:rPr>
        <w:t>督促物业加强对老旧小区环境的治理和监督，加强环保宣传，提高居民环保意识。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_GB2312"/>
          <w:bCs/>
          <w:sz w:val="28"/>
          <w:szCs w:val="28"/>
          <w:lang w:eastAsia="zh-CN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_GB2312"/>
          <w:bCs/>
          <w:sz w:val="28"/>
          <w:szCs w:val="28"/>
        </w:rPr>
        <w:t>加强乡镇污水处理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等生态环境治理项目</w:t>
      </w:r>
      <w:r>
        <w:rPr>
          <w:rFonts w:hint="eastAsia" w:ascii="仿宋" w:hAnsi="仿宋" w:eastAsia="仿宋" w:cs="仿宋_GB2312"/>
          <w:bCs/>
          <w:sz w:val="28"/>
          <w:szCs w:val="28"/>
        </w:rPr>
        <w:t>的后续维护工作，加强环保宣传，提高居民环保意识</w:t>
      </w:r>
      <w:r>
        <w:rPr>
          <w:rFonts w:hint="eastAsia" w:ascii="仿宋" w:hAnsi="仿宋" w:eastAsia="仿宋" w:cs="仿宋_GB2312"/>
          <w:bCs/>
          <w:sz w:val="28"/>
          <w:szCs w:val="28"/>
          <w:lang w:eastAsia="zh-CN"/>
        </w:rPr>
        <w:t>。</w:t>
      </w:r>
    </w:p>
    <w:p>
      <w:pPr>
        <w:spacing w:line="560" w:lineRule="exact"/>
        <w:ind w:firstLine="560" w:firstLineChars="200"/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3、持续对扬尘防治进行监管，使所有在建工地施工现场达到“六个100%”要求，改善环境质量。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4</w:t>
      </w:r>
      <w:r>
        <w:rPr>
          <w:rFonts w:ascii="仿宋" w:hAnsi="仿宋" w:eastAsia="仿宋" w:cs="仿宋_GB2312"/>
          <w:bCs/>
          <w:sz w:val="28"/>
          <w:szCs w:val="28"/>
        </w:rPr>
        <w:t>、逐步扩大绩效管理范围</w:t>
      </w:r>
      <w:r>
        <w:rPr>
          <w:rFonts w:hint="eastAsia" w:ascii="仿宋" w:hAnsi="仿宋" w:eastAsia="仿宋" w:cs="仿宋_GB2312"/>
          <w:bCs/>
          <w:sz w:val="28"/>
          <w:szCs w:val="28"/>
          <w:lang w:eastAsia="zh-CN"/>
        </w:rPr>
        <w:t>，</w:t>
      </w:r>
      <w:r>
        <w:rPr>
          <w:rFonts w:ascii="仿宋" w:hAnsi="仿宋" w:eastAsia="仿宋" w:cs="仿宋_GB2312"/>
          <w:bCs/>
          <w:sz w:val="28"/>
          <w:szCs w:val="28"/>
        </w:rPr>
        <w:t>加强评价指标体系建设</w:t>
      </w:r>
      <w:r>
        <w:rPr>
          <w:rFonts w:hint="eastAsia" w:ascii="仿宋" w:hAnsi="仿宋" w:eastAsia="仿宋" w:cs="仿宋_GB2312"/>
          <w:bCs/>
          <w:sz w:val="28"/>
          <w:szCs w:val="28"/>
          <w:lang w:eastAsia="zh-CN"/>
        </w:rPr>
        <w:t>，</w:t>
      </w:r>
      <w:r>
        <w:rPr>
          <w:rFonts w:ascii="仿宋" w:hAnsi="仿宋" w:eastAsia="仿宋" w:cs="仿宋_GB2312"/>
          <w:bCs/>
          <w:sz w:val="28"/>
          <w:szCs w:val="28"/>
        </w:rPr>
        <w:t>积极运用绩效评价结果。</w:t>
      </w:r>
    </w:p>
    <w:p>
      <w:pPr>
        <w:spacing w:line="560" w:lineRule="exact"/>
        <w:ind w:firstLine="560" w:firstLineChars="200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5</w:t>
      </w:r>
      <w:r>
        <w:rPr>
          <w:rFonts w:ascii="仿宋" w:hAnsi="仿宋" w:eastAsia="仿宋" w:cs="仿宋_GB2312"/>
          <w:bCs/>
          <w:sz w:val="28"/>
          <w:szCs w:val="28"/>
        </w:rPr>
        <w:t>、加强培训和指导。采取集中学习、讲座、专题会议等方式，加大对参与绩效评价的人员培训力度，进一步统一认识，充实业务知识。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九、部门整体支出绩效自评结果拟应用和公开情况</w:t>
      </w:r>
    </w:p>
    <w:p>
      <w:pPr>
        <w:spacing w:line="560" w:lineRule="exact"/>
        <w:rPr>
          <w:rFonts w:ascii="仿宋" w:hAnsi="仿宋" w:eastAsia="仿宋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 </w:t>
      </w:r>
      <w:r>
        <w:rPr>
          <w:rFonts w:hint="eastAsia" w:ascii="仿宋" w:hAnsi="仿宋" w:eastAsia="仿宋" w:cs="仿宋_GB2312"/>
          <w:bCs/>
          <w:sz w:val="28"/>
          <w:szCs w:val="28"/>
        </w:rPr>
        <w:t xml:space="preserve">  我单位部</w:t>
      </w:r>
      <w:r>
        <w:rPr>
          <w:rFonts w:hint="eastAsia" w:ascii="仿宋" w:hAnsi="仿宋" w:eastAsia="仿宋" w:cs="仿宋_GB2312"/>
          <w:bCs/>
          <w:sz w:val="28"/>
          <w:szCs w:val="28"/>
          <w:lang w:val="en-US" w:eastAsia="zh-CN"/>
        </w:rPr>
        <w:t>门</w:t>
      </w:r>
      <w:r>
        <w:rPr>
          <w:rFonts w:hint="eastAsia" w:ascii="仿宋" w:hAnsi="仿宋" w:eastAsia="仿宋" w:cs="仿宋_GB2312"/>
          <w:bCs/>
          <w:sz w:val="28"/>
          <w:szCs w:val="28"/>
        </w:rPr>
        <w:t>整体支出绩效自评报告已在政府门户网站公开。</w:t>
      </w:r>
    </w:p>
    <w:p>
      <w:pPr>
        <w:spacing w:line="560" w:lineRule="exact"/>
        <w:ind w:firstLine="280" w:firstLineChars="100"/>
        <w:rPr>
          <w:rFonts w:ascii="黑体" w:eastAsia="黑体" w:cs="黑体"/>
          <w:bCs/>
          <w:sz w:val="28"/>
          <w:szCs w:val="28"/>
        </w:rPr>
      </w:pPr>
      <w:r>
        <w:rPr>
          <w:rFonts w:hint="eastAsia" w:ascii="黑体" w:eastAsia="黑体" w:cs="黑体"/>
          <w:bCs/>
          <w:sz w:val="28"/>
          <w:szCs w:val="28"/>
        </w:rPr>
        <w:t>十、其他需要说明的情况</w:t>
      </w:r>
    </w:p>
    <w:p>
      <w:pPr>
        <w:spacing w:line="560" w:lineRule="exact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无</w:t>
      </w:r>
    </w:p>
    <w:p>
      <w:pPr>
        <w:adjustRightInd w:val="0"/>
        <w:snapToGrid w:val="0"/>
        <w:spacing w:line="200" w:lineRule="exact"/>
        <w:contextualSpacing/>
        <w:rPr>
          <w:rFonts w:eastAsia="仿宋_GB2312"/>
          <w:sz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moder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8758E5B"/>
    <w:multiLevelType w:val="singleLevel"/>
    <w:tmpl w:val="A8758E5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BB7E2CD6"/>
    <w:multiLevelType w:val="singleLevel"/>
    <w:tmpl w:val="BB7E2CD6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DD984C32"/>
    <w:multiLevelType w:val="singleLevel"/>
    <w:tmpl w:val="DD984C32"/>
    <w:lvl w:ilvl="0" w:tentative="0">
      <w:start w:val="2"/>
      <w:numFmt w:val="decimal"/>
      <w:suff w:val="nothing"/>
      <w:lvlText w:val="%1、"/>
      <w:lvlJc w:val="left"/>
    </w:lvl>
  </w:abstractNum>
  <w:abstractNum w:abstractNumId="3">
    <w:nsid w:val="21E2C0BF"/>
    <w:multiLevelType w:val="singleLevel"/>
    <w:tmpl w:val="21E2C0BF"/>
    <w:lvl w:ilvl="0" w:tentative="0">
      <w:start w:val="8"/>
      <w:numFmt w:val="chineseCounting"/>
      <w:suff w:val="nothing"/>
      <w:lvlText w:val="%1、"/>
      <w:lvlJc w:val="left"/>
      <w:rPr>
        <w:rFonts w:hint="eastAsia"/>
      </w:rPr>
    </w:lvl>
  </w:abstractNum>
  <w:abstractNum w:abstractNumId="4">
    <w:nsid w:val="4EDA0229"/>
    <w:multiLevelType w:val="singleLevel"/>
    <w:tmpl w:val="4EDA0229"/>
    <w:lvl w:ilvl="0" w:tentative="0">
      <w:start w:val="3"/>
      <w:numFmt w:val="decimal"/>
      <w:suff w:val="nothing"/>
      <w:lvlText w:val="（%1）"/>
      <w:lvlJc w:val="left"/>
    </w:lvl>
  </w:abstractNum>
  <w:abstractNum w:abstractNumId="5">
    <w:nsid w:val="7204E8C8"/>
    <w:multiLevelType w:val="singleLevel"/>
    <w:tmpl w:val="7204E8C8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250400"/>
    <w:rsid w:val="00010C2C"/>
    <w:rsid w:val="000137F5"/>
    <w:rsid w:val="000841DB"/>
    <w:rsid w:val="000A25BC"/>
    <w:rsid w:val="000C0859"/>
    <w:rsid w:val="0022681A"/>
    <w:rsid w:val="00250400"/>
    <w:rsid w:val="00255879"/>
    <w:rsid w:val="00365BBD"/>
    <w:rsid w:val="003A7C4C"/>
    <w:rsid w:val="003C5204"/>
    <w:rsid w:val="004E33B1"/>
    <w:rsid w:val="00500E4F"/>
    <w:rsid w:val="00530332"/>
    <w:rsid w:val="00605266"/>
    <w:rsid w:val="00633909"/>
    <w:rsid w:val="00662B09"/>
    <w:rsid w:val="00721352"/>
    <w:rsid w:val="007E62AB"/>
    <w:rsid w:val="008024A8"/>
    <w:rsid w:val="008124CD"/>
    <w:rsid w:val="008A52DA"/>
    <w:rsid w:val="008E72DB"/>
    <w:rsid w:val="00B32D09"/>
    <w:rsid w:val="00B53CE2"/>
    <w:rsid w:val="00B61FCF"/>
    <w:rsid w:val="00B67434"/>
    <w:rsid w:val="00BD477D"/>
    <w:rsid w:val="00C634ED"/>
    <w:rsid w:val="00C651A3"/>
    <w:rsid w:val="00EA0255"/>
    <w:rsid w:val="00F1310B"/>
    <w:rsid w:val="00F21CB0"/>
    <w:rsid w:val="00F501A8"/>
    <w:rsid w:val="00F546ED"/>
    <w:rsid w:val="00FE73FC"/>
    <w:rsid w:val="012C34EB"/>
    <w:rsid w:val="013D15AB"/>
    <w:rsid w:val="01984D30"/>
    <w:rsid w:val="01A82028"/>
    <w:rsid w:val="01FE0E76"/>
    <w:rsid w:val="02A5239D"/>
    <w:rsid w:val="02AF173D"/>
    <w:rsid w:val="02EC2B84"/>
    <w:rsid w:val="0420792A"/>
    <w:rsid w:val="047E5EE4"/>
    <w:rsid w:val="06F8296B"/>
    <w:rsid w:val="087E7BF4"/>
    <w:rsid w:val="08A505F8"/>
    <w:rsid w:val="08EF3C7E"/>
    <w:rsid w:val="09610E11"/>
    <w:rsid w:val="0B9D1D2E"/>
    <w:rsid w:val="0C7C4ED7"/>
    <w:rsid w:val="0CFE2616"/>
    <w:rsid w:val="0D384879"/>
    <w:rsid w:val="0DD425EE"/>
    <w:rsid w:val="0E8E56D7"/>
    <w:rsid w:val="0F4F2BBB"/>
    <w:rsid w:val="0F632059"/>
    <w:rsid w:val="10ED2AAF"/>
    <w:rsid w:val="1172744F"/>
    <w:rsid w:val="11D04493"/>
    <w:rsid w:val="13F15EEF"/>
    <w:rsid w:val="142613AA"/>
    <w:rsid w:val="15676381"/>
    <w:rsid w:val="16436524"/>
    <w:rsid w:val="16DD2B14"/>
    <w:rsid w:val="17336D00"/>
    <w:rsid w:val="174B524A"/>
    <w:rsid w:val="17A201B3"/>
    <w:rsid w:val="182F7E9E"/>
    <w:rsid w:val="18325D29"/>
    <w:rsid w:val="192E5FCC"/>
    <w:rsid w:val="197703EB"/>
    <w:rsid w:val="19BF7D41"/>
    <w:rsid w:val="19F52BEF"/>
    <w:rsid w:val="1A474E4C"/>
    <w:rsid w:val="1B7E3C28"/>
    <w:rsid w:val="1BDA545B"/>
    <w:rsid w:val="1D9356C7"/>
    <w:rsid w:val="20C2418E"/>
    <w:rsid w:val="20E8635F"/>
    <w:rsid w:val="21CA4484"/>
    <w:rsid w:val="24CC0342"/>
    <w:rsid w:val="26352D5E"/>
    <w:rsid w:val="275312C7"/>
    <w:rsid w:val="279D0650"/>
    <w:rsid w:val="28C7735A"/>
    <w:rsid w:val="29511D5B"/>
    <w:rsid w:val="29C40007"/>
    <w:rsid w:val="29CD5912"/>
    <w:rsid w:val="2A615B9F"/>
    <w:rsid w:val="2AAA2054"/>
    <w:rsid w:val="2C3F0628"/>
    <w:rsid w:val="2E211906"/>
    <w:rsid w:val="2E302502"/>
    <w:rsid w:val="2E7D4C0C"/>
    <w:rsid w:val="30595D0B"/>
    <w:rsid w:val="30820604"/>
    <w:rsid w:val="31571AB2"/>
    <w:rsid w:val="32BF2470"/>
    <w:rsid w:val="32FD464C"/>
    <w:rsid w:val="339767F2"/>
    <w:rsid w:val="344B34FA"/>
    <w:rsid w:val="34872CB4"/>
    <w:rsid w:val="363C0A25"/>
    <w:rsid w:val="3650435E"/>
    <w:rsid w:val="36C10CEC"/>
    <w:rsid w:val="370F7FB5"/>
    <w:rsid w:val="375202ED"/>
    <w:rsid w:val="378853A6"/>
    <w:rsid w:val="38FE35DD"/>
    <w:rsid w:val="39935186"/>
    <w:rsid w:val="3B6C5DDC"/>
    <w:rsid w:val="3BCF123F"/>
    <w:rsid w:val="3BE07241"/>
    <w:rsid w:val="3C484767"/>
    <w:rsid w:val="3C544530"/>
    <w:rsid w:val="3C9312B9"/>
    <w:rsid w:val="3EDE44CC"/>
    <w:rsid w:val="3FDF34CA"/>
    <w:rsid w:val="41AC4A90"/>
    <w:rsid w:val="41B006F7"/>
    <w:rsid w:val="42182389"/>
    <w:rsid w:val="428E2E0C"/>
    <w:rsid w:val="42A15598"/>
    <w:rsid w:val="43F66A1C"/>
    <w:rsid w:val="44EC75B0"/>
    <w:rsid w:val="49195BBD"/>
    <w:rsid w:val="491A2BE8"/>
    <w:rsid w:val="495D68E0"/>
    <w:rsid w:val="4A9B7F4A"/>
    <w:rsid w:val="4B0636B7"/>
    <w:rsid w:val="4B972673"/>
    <w:rsid w:val="4C46359B"/>
    <w:rsid w:val="4D7474E7"/>
    <w:rsid w:val="4ED52BA4"/>
    <w:rsid w:val="4FF75332"/>
    <w:rsid w:val="4FFF1F20"/>
    <w:rsid w:val="528E6743"/>
    <w:rsid w:val="53726697"/>
    <w:rsid w:val="5489364E"/>
    <w:rsid w:val="55A12DFE"/>
    <w:rsid w:val="560032B2"/>
    <w:rsid w:val="56381D2F"/>
    <w:rsid w:val="57894C22"/>
    <w:rsid w:val="57C83599"/>
    <w:rsid w:val="582C4BEB"/>
    <w:rsid w:val="582D61E7"/>
    <w:rsid w:val="59E06085"/>
    <w:rsid w:val="5AF83F9F"/>
    <w:rsid w:val="5B3452FC"/>
    <w:rsid w:val="5B6C49AD"/>
    <w:rsid w:val="5B726997"/>
    <w:rsid w:val="5C1F1E7D"/>
    <w:rsid w:val="5CAA6BFA"/>
    <w:rsid w:val="5CD5637D"/>
    <w:rsid w:val="5D1872E5"/>
    <w:rsid w:val="5E6E39F3"/>
    <w:rsid w:val="5EBD76D8"/>
    <w:rsid w:val="5F525032"/>
    <w:rsid w:val="61A25B1F"/>
    <w:rsid w:val="61C661A6"/>
    <w:rsid w:val="61D16F05"/>
    <w:rsid w:val="637B5FD0"/>
    <w:rsid w:val="639768C5"/>
    <w:rsid w:val="66617791"/>
    <w:rsid w:val="67463430"/>
    <w:rsid w:val="675F44A2"/>
    <w:rsid w:val="67BD601B"/>
    <w:rsid w:val="69587224"/>
    <w:rsid w:val="69854B46"/>
    <w:rsid w:val="6B862A4A"/>
    <w:rsid w:val="6C037CEE"/>
    <w:rsid w:val="6D501628"/>
    <w:rsid w:val="6E2D245D"/>
    <w:rsid w:val="6F1F0ED7"/>
    <w:rsid w:val="6F4A1AA1"/>
    <w:rsid w:val="70574EC4"/>
    <w:rsid w:val="70C21222"/>
    <w:rsid w:val="718922DD"/>
    <w:rsid w:val="71F90BB7"/>
    <w:rsid w:val="7264533C"/>
    <w:rsid w:val="743C4315"/>
    <w:rsid w:val="74543215"/>
    <w:rsid w:val="757F15DF"/>
    <w:rsid w:val="75AD5EE9"/>
    <w:rsid w:val="792C4A35"/>
    <w:rsid w:val="79A50C9A"/>
    <w:rsid w:val="79B34E72"/>
    <w:rsid w:val="7BE66772"/>
    <w:rsid w:val="7BFC5BB8"/>
    <w:rsid w:val="7C1F69AB"/>
    <w:rsid w:val="7D3F64CA"/>
    <w:rsid w:val="7DD21C01"/>
    <w:rsid w:val="7EC10B83"/>
    <w:rsid w:val="7F0C104F"/>
    <w:rsid w:val="7F6D0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" w:hAnsi="Arial" w:eastAsiaTheme="minorEastAsia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qFormat="1" w:unhideWhenUsed="0" w:uiPriority="99" w:semiHidden="0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a heading"/>
    <w:basedOn w:val="1"/>
    <w:next w:val="1"/>
    <w:qFormat/>
    <w:uiPriority w:val="99"/>
    <w:pPr>
      <w:spacing w:before="120" w:after="200" w:line="276" w:lineRule="auto"/>
    </w:pPr>
    <w:rPr>
      <w:rFonts w:ascii="Arial" w:hAnsi="Arial"/>
      <w:sz w:val="24"/>
    </w:rPr>
  </w:style>
  <w:style w:type="paragraph" w:styleId="3">
    <w:name w:val="Body Text"/>
    <w:basedOn w:val="1"/>
    <w:semiHidden/>
    <w:qFormat/>
    <w:uiPriority w:val="0"/>
    <w:pPr>
      <w:spacing w:before="20" w:line="222" w:lineRule="auto"/>
    </w:pPr>
    <w:rPr>
      <w:rFonts w:ascii="仿宋" w:hAnsi="仿宋" w:eastAsia="仿宋" w:cs="仿宋"/>
      <w:sz w:val="35"/>
      <w:szCs w:val="35"/>
    </w:r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firstLine="560" w:firstLineChars="200"/>
      <w:jc w:val="left"/>
    </w:pPr>
    <w:rPr>
      <w:kern w:val="0"/>
      <w:sz w:val="24"/>
      <w:szCs w:val="21"/>
    </w:rPr>
  </w:style>
  <w:style w:type="character" w:customStyle="1" w:styleId="9">
    <w:name w:val="页眉 Char"/>
    <w:basedOn w:val="8"/>
    <w:link w:val="5"/>
    <w:qFormat/>
    <w:uiPriority w:val="0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paragraph" w:customStyle="1" w:styleId="12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Calibri" w:eastAsia="黑体" w:cs="黑体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6</Pages>
  <Words>489</Words>
  <Characters>2792</Characters>
  <Lines>23</Lines>
  <Paragraphs>6</Paragraphs>
  <TotalTime>6</TotalTime>
  <ScaleCrop>false</ScaleCrop>
  <LinksUpToDate>false</LinksUpToDate>
  <CharactersWithSpaces>3275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2024-06-03T00:30:00Z</dcterms:created>
  <dc:creator>微软用户</dc:creator>
  <cp:lastModifiedBy>Administrator</cp:lastModifiedBy>
  <cp:lastPrinted>2026-05-28T00:31:41Z</cp:lastPrinted>
  <dcterms:modified xsi:type="dcterms:W3CDTF">2026-05-28T00:34:16Z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