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429C7">
      <w:pPr>
        <w:spacing w:line="348" w:lineRule="auto"/>
        <w:jc w:val="center"/>
        <w:rPr>
          <w:rFonts w:hint="eastAsia" w:eastAsia="方正小标宋简体"/>
          <w:bCs/>
          <w:sz w:val="42"/>
          <w:szCs w:val="42"/>
        </w:rPr>
      </w:pPr>
    </w:p>
    <w:p w14:paraId="51C7F52F">
      <w:pPr>
        <w:spacing w:line="800" w:lineRule="exact"/>
        <w:jc w:val="center"/>
        <w:rPr>
          <w:rFonts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2025年度岳阳县建筑市场服务中心</w:t>
      </w:r>
    </w:p>
    <w:p w14:paraId="3B9C257D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整体支出绩效自评报告</w:t>
      </w:r>
    </w:p>
    <w:p w14:paraId="07960EAD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7B0636AB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0734EAD4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0B2C31FF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01CBE306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7EDE0588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36E36781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3EDF8B7F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</w:p>
    <w:p w14:paraId="3CED0F2F">
      <w:pPr>
        <w:pStyle w:val="2"/>
        <w:rPr>
          <w:u w:val="single"/>
        </w:rPr>
      </w:pPr>
      <w:r>
        <w:rPr>
          <w:rFonts w:hint="eastAsia"/>
        </w:rPr>
        <w:tab/>
      </w:r>
      <w:r>
        <w:rPr>
          <w:rFonts w:hint="eastAsia"/>
          <w:b w:val="0"/>
          <w:bCs/>
        </w:rPr>
        <w:t>部门（单位）名称:</w:t>
      </w:r>
      <w:r>
        <w:rPr>
          <w:rFonts w:hint="eastAsia"/>
          <w:b w:val="0"/>
          <w:bCs/>
          <w:u w:val="single"/>
        </w:rPr>
        <w:t>岳阳县建筑市场服务中心(盖章）</w:t>
      </w:r>
    </w:p>
    <w:p w14:paraId="22565E4A">
      <w:pPr>
        <w:tabs>
          <w:tab w:val="left" w:pos="3249"/>
        </w:tabs>
        <w:spacing w:line="800" w:lineRule="exact"/>
        <w:rPr>
          <w:rFonts w:hint="eastAsia" w:ascii="Times New Roman" w:hAnsi="Times New Roman" w:eastAsia="宋体" w:cs="Times New Roman"/>
          <w:bCs/>
          <w:sz w:val="32"/>
        </w:rPr>
      </w:pPr>
      <w:r>
        <w:rPr>
          <w:rFonts w:hint="eastAsia" w:eastAsia="方正小标宋简体"/>
          <w:bCs/>
          <w:sz w:val="46"/>
          <w:szCs w:val="46"/>
        </w:rPr>
        <w:tab/>
      </w:r>
      <w:r>
        <w:rPr>
          <w:rFonts w:hint="eastAsia" w:ascii="Times New Roman" w:hAnsi="Times New Roman" w:eastAsia="宋体" w:cs="Times New Roman"/>
          <w:bCs/>
          <w:sz w:val="32"/>
        </w:rPr>
        <w:t>2026年5月20日</w:t>
      </w:r>
    </w:p>
    <w:p w14:paraId="69286D2B">
      <w:pPr>
        <w:wordWrap w:val="0"/>
        <w:spacing w:before="660" w:after="0" w:line="600" w:lineRule="atLeast"/>
        <w:jc w:val="center"/>
        <w:textAlignment w:val="baseline"/>
        <w:rPr>
          <w:rFonts w:hint="eastAsia"/>
          <w:sz w:val="42"/>
        </w:rPr>
      </w:pPr>
      <w:r>
        <w:rPr>
          <w:rFonts w:ascii="黑体" w:hAnsi="黑体" w:eastAsia="黑体" w:cs="黑体"/>
          <w:color w:val="000000"/>
          <w:sz w:val="42"/>
        </w:rPr>
        <w:t>岳阳县建筑市场服务中心</w:t>
      </w:r>
    </w:p>
    <w:p w14:paraId="6E9BC9DB">
      <w:pPr>
        <w:wordWrap w:val="0"/>
        <w:spacing w:before="200" w:after="0" w:line="580" w:lineRule="atLeast"/>
        <w:jc w:val="center"/>
        <w:textAlignment w:val="baseline"/>
        <w:rPr>
          <w:rFonts w:hint="eastAsia"/>
          <w:sz w:val="43"/>
        </w:rPr>
      </w:pPr>
      <w:r>
        <w:rPr>
          <w:rFonts w:ascii="黑体" w:hAnsi="黑体" w:eastAsia="黑体" w:cs="黑体"/>
          <w:color w:val="000000"/>
          <w:sz w:val="43"/>
        </w:rPr>
        <w:t>2025年度整体支出绩效自评报告</w:t>
      </w:r>
    </w:p>
    <w:p w14:paraId="3321EEFF">
      <w:pPr>
        <w:wordWrap w:val="0"/>
        <w:spacing w:after="0" w:line="580" w:lineRule="exact"/>
        <w:jc w:val="center"/>
        <w:textAlignment w:val="baseline"/>
        <w:rPr>
          <w:rFonts w:hint="eastAsia"/>
          <w:sz w:val="25"/>
        </w:rPr>
      </w:pPr>
    </w:p>
    <w:p w14:paraId="74F63183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黑体" w:hAnsi="黑体" w:eastAsia="黑体" w:cs="黑体"/>
          <w:color w:val="000000"/>
          <w:sz w:val="25"/>
        </w:rPr>
        <w:t>一、部门(单位)基本情况</w:t>
      </w:r>
    </w:p>
    <w:p w14:paraId="0FCAC9AD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1、机构设置</w:t>
      </w:r>
    </w:p>
    <w:p w14:paraId="34BEDFC8">
      <w:pPr>
        <w:wordWrap w:val="0"/>
        <w:spacing w:after="0" w:line="560" w:lineRule="atLeast"/>
        <w:ind w:right="20" w:firstLine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岳阳县建筑市场服务中心为副科级行政支持类事业单位，隶属县住建局二级机构。在编在岗职工31人，退休10人。内设有7个股室：办公室、人事股、财务股、企管股、造价站、安全监督站及建筑市场股。</w:t>
      </w:r>
    </w:p>
    <w:p w14:paraId="4D572433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2、主要职责</w:t>
      </w:r>
    </w:p>
    <w:p w14:paraId="3EB4468B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(1).负责全县建筑市场施工企业管理</w:t>
      </w:r>
    </w:p>
    <w:p w14:paraId="7B370920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(2).建筑工程报建</w:t>
      </w:r>
    </w:p>
    <w:p w14:paraId="34DC0772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(3).建筑施工安全监督</w:t>
      </w:r>
    </w:p>
    <w:p w14:paraId="30891FB8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(4).施工企业劳保基金行业管理</w:t>
      </w:r>
    </w:p>
    <w:p w14:paraId="427E1B7A">
      <w:pPr>
        <w:wordWrap w:val="0"/>
        <w:spacing w:after="0" w:line="560" w:lineRule="atLeast"/>
        <w:ind w:left="540"/>
        <w:jc w:val="both"/>
        <w:textAlignment w:val="baseline"/>
        <w:rPr>
          <w:rFonts w:hint="eastAsia"/>
          <w:sz w:val="25"/>
        </w:rPr>
      </w:pPr>
      <w:r>
        <w:rPr>
          <w:rFonts w:ascii="黑体" w:hAnsi="黑体" w:eastAsia="黑体" w:cs="黑体"/>
          <w:color w:val="000000"/>
          <w:sz w:val="25"/>
        </w:rPr>
        <w:t>二、一般公共预算支出情况</w:t>
      </w:r>
    </w:p>
    <w:p w14:paraId="3BFBBDC6">
      <w:pPr>
        <w:wordWrap w:val="0"/>
        <w:spacing w:before="220" w:after="0" w:line="560" w:lineRule="atLeast"/>
        <w:ind w:left="660"/>
        <w:jc w:val="both"/>
        <w:textAlignment w:val="baseline"/>
        <w:rPr>
          <w:rFonts w:hint="eastAsia"/>
          <w:sz w:val="25"/>
        </w:rPr>
      </w:pPr>
      <w:r>
        <w:rPr>
          <w:rFonts w:ascii="仿宋" w:hAnsi="仿宋" w:eastAsia="仿宋" w:cs="仿宋"/>
          <w:color w:val="000000"/>
          <w:sz w:val="25"/>
        </w:rPr>
        <w:t>(一)基本支出情况</w:t>
      </w:r>
    </w:p>
    <w:p w14:paraId="31E7BF16">
      <w:pPr>
        <w:wordWrap w:val="0"/>
        <w:spacing w:after="0" w:line="560" w:lineRule="atLeast"/>
        <w:ind w:right="40" w:firstLine="54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5"/>
        </w:rPr>
        <w:t>2025年度基本支出361.44万元，其中：人员经费302.29万元，主要包括基本工资、津贴补贴、奖金、绩效工资、机关事业单位基本养老保险缴费、职业年金缴费、职工基本医疗保险缴费、其他社会保障缴费、住房公积金；公用经费59.15万元，主要包括办公费、印刷费、咨询费、手续费、电费、邮电费、差旅费、维修费、租赁费、培训费、公务接待</w:t>
      </w:r>
      <w:r>
        <w:rPr>
          <w:rFonts w:ascii="仿宋" w:hAnsi="仿宋" w:eastAsia="仿宋" w:cs="仿宋"/>
          <w:color w:val="000000"/>
          <w:sz w:val="26"/>
        </w:rPr>
        <w:t>费、委托业务费、劳务费、工会经费、福利费、其他交通费用、其他商品费和服务支出、办公设备购置。</w:t>
      </w:r>
    </w:p>
    <w:p w14:paraId="4A08628C">
      <w:pPr>
        <w:wordWrap w:val="0"/>
        <w:spacing w:after="0" w:line="580" w:lineRule="atLeast"/>
        <w:ind w:left="68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(二)项目支出情况</w:t>
      </w:r>
    </w:p>
    <w:p w14:paraId="464E7B03">
      <w:pPr>
        <w:wordWrap w:val="0"/>
        <w:spacing w:after="0" w:line="520" w:lineRule="atLeast"/>
        <w:ind w:firstLine="440"/>
        <w:jc w:val="both"/>
        <w:textAlignment w:val="baseline"/>
        <w:rPr>
          <w:rFonts w:hint="eastAsia"/>
          <w:sz w:val="29"/>
        </w:rPr>
      </w:pPr>
      <w:r>
        <w:rPr>
          <w:rFonts w:ascii="仿宋" w:hAnsi="仿宋" w:eastAsia="仿宋" w:cs="仿宋"/>
          <w:color w:val="000000"/>
          <w:sz w:val="29"/>
        </w:rPr>
        <w:t>2025年度我单位项目支出127.1</w:t>
      </w:r>
      <w:r>
        <w:rPr>
          <w:rFonts w:hint="eastAsia" w:ascii="仿宋" w:hAnsi="仿宋" w:eastAsia="仿宋" w:cs="仿宋"/>
          <w:color w:val="000000"/>
          <w:sz w:val="29"/>
          <w:lang w:val="en-US" w:eastAsia="zh-CN"/>
        </w:rPr>
        <w:t>4</w:t>
      </w:r>
      <w:r>
        <w:rPr>
          <w:rFonts w:ascii="仿宋" w:hAnsi="仿宋" w:eastAsia="仿宋" w:cs="仿宋"/>
          <w:color w:val="000000"/>
          <w:sz w:val="29"/>
        </w:rPr>
        <w:t>万元。项目资金于年初下达，资金实际到位127.1</w:t>
      </w:r>
      <w:r>
        <w:rPr>
          <w:rFonts w:hint="eastAsia" w:ascii="仿宋" w:hAnsi="仿宋" w:eastAsia="仿宋" w:cs="仿宋"/>
          <w:color w:val="000000"/>
          <w:sz w:val="29"/>
          <w:lang w:val="en-US" w:eastAsia="zh-CN"/>
        </w:rPr>
        <w:t>4</w:t>
      </w:r>
      <w:r>
        <w:rPr>
          <w:rFonts w:ascii="仿宋" w:hAnsi="仿宋" w:eastAsia="仿宋" w:cs="仿宋"/>
          <w:color w:val="000000"/>
          <w:sz w:val="29"/>
        </w:rPr>
        <w:t>万元，到位率为100%，支出率为100%，其中业务工作经费支出为64.29万元，用于建筑市场服务经费。安全监督经费支出10.5万元，用于安全监督经费。业务工作补助经费52.3</w:t>
      </w:r>
      <w:r>
        <w:rPr>
          <w:rFonts w:hint="eastAsia" w:ascii="仿宋" w:hAnsi="仿宋" w:eastAsia="仿宋" w:cs="仿宋"/>
          <w:color w:val="000000"/>
          <w:sz w:val="29"/>
          <w:lang w:val="en-US" w:eastAsia="zh-CN"/>
        </w:rPr>
        <w:t>5</w:t>
      </w:r>
      <w:r>
        <w:rPr>
          <w:rFonts w:ascii="仿宋" w:hAnsi="仿宋" w:eastAsia="仿宋" w:cs="仿宋"/>
          <w:color w:val="000000"/>
          <w:sz w:val="29"/>
        </w:rPr>
        <w:t>万元，用于编外人员工资福利及五金缴纳。</w:t>
      </w:r>
    </w:p>
    <w:p w14:paraId="785D1C9E">
      <w:pPr>
        <w:spacing w:line="560" w:lineRule="exact"/>
        <w:ind w:firstLine="280" w:firstLineChars="100"/>
        <w:rPr>
          <w:rFonts w:hint="eastAsia"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三、政府性基金预算支出情况</w:t>
      </w:r>
    </w:p>
    <w:p w14:paraId="5DC8C478">
      <w:pPr>
        <w:spacing w:line="560" w:lineRule="exact"/>
        <w:ind w:firstLine="1120" w:firstLineChars="400"/>
        <w:rPr>
          <w:rFonts w:hint="eastAsia"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>无。</w:t>
      </w:r>
    </w:p>
    <w:p w14:paraId="6AC03ABB">
      <w:pPr>
        <w:spacing w:line="560" w:lineRule="exact"/>
        <w:ind w:firstLine="280" w:firstLineChars="100"/>
        <w:rPr>
          <w:rFonts w:hint="eastAsia"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四、国有资本经营预算支出情况</w:t>
      </w:r>
    </w:p>
    <w:p w14:paraId="479F0097">
      <w:pPr>
        <w:spacing w:line="560" w:lineRule="exact"/>
        <w:ind w:left="440" w:left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 xml:space="preserve">    无。</w:t>
      </w:r>
    </w:p>
    <w:p w14:paraId="213334DF">
      <w:pPr>
        <w:spacing w:line="560" w:lineRule="exact"/>
        <w:ind w:firstLine="280" w:firstLineChars="100"/>
        <w:rPr>
          <w:rFonts w:hint="eastAsia"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 xml:space="preserve">五、社会保险基金预算支出情况 </w:t>
      </w:r>
    </w:p>
    <w:p w14:paraId="24B9CEC3">
      <w:pPr>
        <w:spacing w:line="560" w:lineRule="exact"/>
        <w:ind w:left="440" w:left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 xml:space="preserve">    无。</w:t>
      </w:r>
    </w:p>
    <w:p w14:paraId="0B9AA628">
      <w:pPr>
        <w:wordWrap w:val="0"/>
        <w:spacing w:after="0" w:line="580" w:lineRule="atLeast"/>
        <w:ind w:left="260"/>
        <w:jc w:val="both"/>
        <w:textAlignment w:val="baseline"/>
        <w:rPr>
          <w:rFonts w:hint="eastAsia"/>
          <w:sz w:val="26"/>
        </w:rPr>
      </w:pPr>
      <w:r>
        <w:rPr>
          <w:rFonts w:hint="eastAsia" w:ascii="黑体" w:hAnsi="黑体" w:eastAsia="黑体" w:cs="黑体"/>
          <w:color w:val="000000"/>
          <w:sz w:val="26"/>
          <w:lang w:eastAsia="zh-CN"/>
        </w:rPr>
        <w:t>六</w:t>
      </w:r>
      <w:r>
        <w:rPr>
          <w:rFonts w:ascii="黑体" w:hAnsi="黑体" w:eastAsia="黑体" w:cs="黑体"/>
          <w:color w:val="000000"/>
          <w:sz w:val="26"/>
        </w:rPr>
        <w:t>、部门(单位)整体支出绩效情况</w:t>
      </w:r>
    </w:p>
    <w:p w14:paraId="6FAA4A50">
      <w:pPr>
        <w:wordWrap w:val="0"/>
        <w:spacing w:after="0" w:line="580" w:lineRule="atLeast"/>
        <w:ind w:firstLine="52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2025年度支出总计488.5</w:t>
      </w:r>
      <w:r>
        <w:rPr>
          <w:rFonts w:hint="eastAsia" w:ascii="仿宋" w:hAnsi="仿宋" w:eastAsia="仿宋" w:cs="仿宋"/>
          <w:color w:val="000000"/>
          <w:sz w:val="26"/>
          <w:lang w:val="en-US" w:eastAsia="zh-CN"/>
        </w:rPr>
        <w:t>8</w:t>
      </w:r>
      <w:r>
        <w:rPr>
          <w:rFonts w:ascii="仿宋" w:hAnsi="仿宋" w:eastAsia="仿宋" w:cs="仿宋"/>
          <w:color w:val="000000"/>
          <w:sz w:val="26"/>
        </w:rPr>
        <w:t>万元，其中基本支出361.44万元，主要用于人员工资、福利、社会保障缴费及办公室公用支出等，项目支出127.1</w:t>
      </w:r>
      <w:r>
        <w:rPr>
          <w:rFonts w:hint="eastAsia" w:ascii="仿宋" w:hAnsi="仿宋" w:eastAsia="仿宋" w:cs="仿宋"/>
          <w:color w:val="000000"/>
          <w:sz w:val="26"/>
          <w:lang w:val="en-US" w:eastAsia="zh-CN"/>
        </w:rPr>
        <w:t>4</w:t>
      </w:r>
      <w:r>
        <w:rPr>
          <w:rFonts w:ascii="仿宋" w:hAnsi="仿宋" w:eastAsia="仿宋" w:cs="仿宋"/>
          <w:color w:val="000000"/>
          <w:sz w:val="26"/>
        </w:rPr>
        <w:t>万元。我们对整个资金支出情况和工作成果进行了认真分析，部门整体支出达到了预期工作成果，实现了预期工作目标，本单位工作经费安排严格按照年初预算来执行，有效防止了超预算；认真学习财经法规，严格执行财经纪律，防止了违法违纪行为的发生。严格按照厉行节约的要求，精打细算，规范机关事务管理工作，提高服务质量，降低运行成本，合理配置，提高保障能力。保障了干部待遇按政策发放落实。不断改进和提升财政内部控制，从注重财政内部资金使用效益的提升，形成规范、高效、透明的资金运用秩序，严格执行预决算公开，主动接受社会监督，进而为整体财政资金的提质增效赋能。</w:t>
      </w:r>
    </w:p>
    <w:p w14:paraId="4B891F40">
      <w:pPr>
        <w:wordWrap w:val="0"/>
        <w:spacing w:before="180" w:after="0" w:line="540" w:lineRule="atLeast"/>
        <w:ind w:left="500"/>
        <w:jc w:val="both"/>
        <w:textAlignment w:val="baseline"/>
        <w:rPr>
          <w:rFonts w:hint="eastAsia"/>
          <w:sz w:val="26"/>
        </w:rPr>
      </w:pPr>
      <w:r>
        <w:rPr>
          <w:rFonts w:ascii="黑体" w:hAnsi="黑体" w:eastAsia="黑体" w:cs="黑体"/>
          <w:color w:val="000000"/>
          <w:sz w:val="26"/>
        </w:rPr>
        <w:t>七、存在的主要问题及原因分析</w:t>
      </w:r>
      <w:bookmarkStart w:id="0" w:name="_GoBack"/>
      <w:bookmarkEnd w:id="0"/>
    </w:p>
    <w:p w14:paraId="1D882C97">
      <w:pPr>
        <w:wordWrap w:val="0"/>
        <w:spacing w:after="0" w:line="540" w:lineRule="atLeast"/>
        <w:ind w:firstLine="50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部分项目资料收集不够完善，归档不够规范；对项目的跟踪服务不够主动；经办人员的业务能力有待提高。</w:t>
      </w:r>
    </w:p>
    <w:p w14:paraId="6ECC6608">
      <w:pPr>
        <w:wordWrap w:val="0"/>
        <w:spacing w:after="0" w:line="540" w:lineRule="atLeast"/>
        <w:ind w:left="500"/>
        <w:jc w:val="both"/>
        <w:textAlignment w:val="baseline"/>
        <w:rPr>
          <w:rFonts w:hint="eastAsia"/>
          <w:sz w:val="26"/>
        </w:rPr>
      </w:pPr>
      <w:r>
        <w:rPr>
          <w:rFonts w:ascii="黑体" w:hAnsi="黑体" w:eastAsia="黑体" w:cs="黑体"/>
          <w:color w:val="000000"/>
          <w:sz w:val="26"/>
        </w:rPr>
        <w:t>八、下一步改进措施</w:t>
      </w:r>
    </w:p>
    <w:p w14:paraId="53F68A38">
      <w:pPr>
        <w:wordWrap w:val="0"/>
        <w:spacing w:after="0" w:line="540" w:lineRule="atLeast"/>
        <w:ind w:firstLine="38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进一步加强与财政、发改等部门的沟通联系。积极参加行业专业知识的培训学习，努力提高业务能力、服务意识和服务水平。</w:t>
      </w:r>
    </w:p>
    <w:p w14:paraId="57C9814D">
      <w:pPr>
        <w:wordWrap w:val="0"/>
        <w:spacing w:after="0" w:line="540" w:lineRule="atLeast"/>
        <w:ind w:left="240"/>
        <w:jc w:val="both"/>
        <w:textAlignment w:val="baseline"/>
        <w:rPr>
          <w:rFonts w:hint="eastAsia"/>
          <w:sz w:val="26"/>
        </w:rPr>
      </w:pPr>
      <w:r>
        <w:rPr>
          <w:rFonts w:ascii="黑体" w:hAnsi="黑体" w:eastAsia="黑体" w:cs="黑体"/>
          <w:color w:val="000000"/>
          <w:sz w:val="26"/>
        </w:rPr>
        <w:t>九、部门整体支出绩效自评结果拟应用和公开情况</w:t>
      </w:r>
    </w:p>
    <w:p w14:paraId="7B99D699">
      <w:pPr>
        <w:wordWrap w:val="0"/>
        <w:spacing w:after="0" w:line="540" w:lineRule="atLeast"/>
        <w:ind w:left="50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我单位部分整体支出绩效自评报告已在政府门户网站公开。</w:t>
      </w:r>
    </w:p>
    <w:p w14:paraId="37361066">
      <w:pPr>
        <w:wordWrap w:val="0"/>
        <w:spacing w:after="0" w:line="540" w:lineRule="atLeast"/>
        <w:ind w:left="240"/>
        <w:jc w:val="both"/>
        <w:textAlignment w:val="baseline"/>
        <w:rPr>
          <w:rFonts w:hint="eastAsia"/>
          <w:sz w:val="26"/>
        </w:rPr>
      </w:pPr>
      <w:r>
        <w:rPr>
          <w:rFonts w:ascii="黑体" w:hAnsi="黑体" w:eastAsia="黑体" w:cs="黑体"/>
          <w:color w:val="000000"/>
          <w:sz w:val="26"/>
        </w:rPr>
        <w:t>十、其他需要说明的情况</w:t>
      </w:r>
    </w:p>
    <w:p w14:paraId="7A905F13">
      <w:pPr>
        <w:wordWrap w:val="0"/>
        <w:spacing w:after="0" w:line="540" w:lineRule="atLeast"/>
        <w:ind w:left="500"/>
        <w:jc w:val="both"/>
        <w:textAlignment w:val="baseline"/>
        <w:rPr>
          <w:rFonts w:hint="eastAsia"/>
          <w:sz w:val="26"/>
        </w:rPr>
      </w:pPr>
      <w:r>
        <w:rPr>
          <w:rFonts w:ascii="仿宋" w:hAnsi="仿宋" w:eastAsia="仿宋" w:cs="仿宋"/>
          <w:color w:val="000000"/>
          <w:sz w:val="26"/>
        </w:rPr>
        <w:t>无</w:t>
      </w:r>
    </w:p>
    <w:p w14:paraId="0384F48A">
      <w:pPr>
        <w:wordWrap w:val="0"/>
        <w:spacing w:after="0" w:line="540" w:lineRule="atLeast"/>
        <w:ind w:right="680"/>
        <w:jc w:val="right"/>
        <w:textAlignment w:val="baseline"/>
        <w:rPr>
          <w:rFonts w:hint="eastAsia"/>
          <w:sz w:val="26"/>
        </w:rPr>
      </w:pPr>
      <w:r>
        <w:rPr>
          <w:rFonts w:ascii="宋体" w:hAnsi="宋体" w:eastAsia="宋体" w:cs="宋体"/>
          <w:color w:val="000000"/>
          <w:sz w:val="26"/>
        </w:rPr>
        <w:t>2026年5月18日</w:t>
      </w:r>
    </w:p>
    <w:p w14:paraId="320402AB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26D5A747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7BEF9325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2432446A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0D8E74EB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4EE36CA1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797737FE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56EA6549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73B7EC6E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5FE6785D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3DCF304F">
      <w:pPr>
        <w:wordWrap w:val="0"/>
        <w:spacing w:after="0" w:line="540" w:lineRule="exact"/>
        <w:jc w:val="right"/>
        <w:textAlignment w:val="baseline"/>
        <w:rPr>
          <w:rFonts w:hint="eastAsia"/>
          <w:sz w:val="26"/>
        </w:rPr>
      </w:pPr>
    </w:p>
    <w:p w14:paraId="2B6FB7C0">
      <w:pPr>
        <w:wordWrap w:val="0"/>
        <w:spacing w:after="0" w:line="540" w:lineRule="atLeast"/>
        <w:ind w:right="20"/>
        <w:jc w:val="right"/>
        <w:textAlignment w:val="baseline"/>
        <w:rPr>
          <w:rFonts w:hint="eastAsia"/>
          <w:sz w:val="26"/>
        </w:rPr>
      </w:pPr>
      <w:r>
        <w:rPr>
          <w:rFonts w:ascii="黑体" w:hAnsi="黑体" w:eastAsia="黑体" w:cs="黑体"/>
          <w:color w:val="000000"/>
          <w:sz w:val="26"/>
        </w:rPr>
        <w:t>-  3  -</w:t>
      </w:r>
    </w:p>
    <w:sectPr>
      <w:headerReference r:id="rId5" w:type="default"/>
      <w:footerReference r:id="rId6" w:type="default"/>
      <w:pgSz w:w="11900" w:h="16820"/>
      <w:pgMar w:top="1420" w:right="1780" w:bottom="1420" w:left="1780" w:header="112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0847D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2AF16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17F"/>
    <w:rsid w:val="003A117F"/>
    <w:rsid w:val="00414D03"/>
    <w:rsid w:val="00784F53"/>
    <w:rsid w:val="007E2C05"/>
    <w:rsid w:val="00E27420"/>
    <w:rsid w:val="00E57DAA"/>
    <w:rsid w:val="00F277FC"/>
    <w:rsid w:val="3EF24EDD"/>
    <w:rsid w:val="50A22253"/>
    <w:rsid w:val="71DE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link w:val="5"/>
    <w:qFormat/>
    <w:uiPriority w:val="0"/>
    <w:pPr>
      <w:keepNext/>
      <w:keepLines/>
      <w:spacing w:before="260" w:after="260" w:line="413" w:lineRule="auto"/>
      <w:jc w:val="both"/>
      <w:outlineLvl w:val="2"/>
    </w:pPr>
    <w:rPr>
      <w:rFonts w:ascii="Times New Roman" w:hAnsi="Times New Roman" w:eastAsia="宋体" w:cs="Times New Roman"/>
      <w:b/>
      <w:sz w:val="32"/>
      <w14:ligatures w14:val="non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字符"/>
    <w:basedOn w:val="4"/>
    <w:link w:val="2"/>
    <w:qFormat/>
    <w:uiPriority w:val="0"/>
    <w:rPr>
      <w:rFonts w:ascii="Times New Roman" w:hAnsi="Times New Roman" w:eastAsia="宋体" w:cs="Times New Roman"/>
      <w:b/>
      <w:sz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1156</Words>
  <Characters>1249</Characters>
  <Lines>9</Lines>
  <Paragraphs>2</Paragraphs>
  <TotalTime>0</TotalTime>
  <ScaleCrop>false</ScaleCrop>
  <LinksUpToDate>false</LinksUpToDate>
  <CharactersWithSpaces>1259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2026-09-23T02:10:00Z</dcterms:created>
  <dc:creator>Apache POI</dc:creator>
  <cp:lastModifiedBy>『leejongsuk』</cp:lastModifiedBy>
  <dcterms:modified xsi:type="dcterms:W3CDTF">2026-09-29T01:56:17Z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eyJoZGlkIjoiNjBjODBjZGY2OTc2NjQ4ZDE5ODU4MmZjMGQwMTk0NzciLCJ1c2VySWQiOiI0MDA0MTM1MzEifQ==</vt:lpwstr>
  </property>
  <property fmtid="{D5CDD505-2E9C-101B-9397-08002B2CF9AE}" pid="4" name="ICV">
    <vt:lpwstr>AC3C7ACBE9A74BF5BC17EC2D3A78FA36_12</vt:lpwstr>
  </property>
</Properties>
</file>