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F35E72">
      <w:pPr>
        <w:spacing w:before="166" w:line="290" w:lineRule="auto"/>
        <w:ind w:right="550"/>
        <w:jc w:val="center"/>
        <w:rPr>
          <w:rFonts w:ascii="宋体" w:hAnsi="宋体" w:eastAsia="宋体" w:cs="宋体"/>
          <w:b/>
          <w:bCs/>
          <w:spacing w:val="1"/>
          <w:sz w:val="42"/>
          <w:szCs w:val="42"/>
        </w:rPr>
      </w:pPr>
    </w:p>
    <w:p w14:paraId="5F2A4B6D">
      <w:pPr>
        <w:spacing w:before="166" w:line="290" w:lineRule="auto"/>
        <w:ind w:right="550"/>
        <w:jc w:val="center"/>
        <w:rPr>
          <w:rFonts w:ascii="宋体" w:hAnsi="宋体" w:eastAsia="宋体" w:cs="宋体"/>
          <w:b/>
          <w:bCs/>
          <w:spacing w:val="1"/>
          <w:sz w:val="42"/>
          <w:szCs w:val="42"/>
        </w:rPr>
      </w:pPr>
    </w:p>
    <w:p w14:paraId="49F9D28B">
      <w:pPr>
        <w:spacing w:before="166" w:line="290" w:lineRule="auto"/>
        <w:ind w:right="550"/>
        <w:jc w:val="center"/>
        <w:rPr>
          <w:rFonts w:hint="eastAsia" w:ascii="宋体" w:hAnsi="宋体" w:eastAsia="宋体" w:cs="宋体"/>
          <w:b/>
          <w:bCs/>
          <w:spacing w:val="1"/>
          <w:sz w:val="42"/>
          <w:szCs w:val="42"/>
          <w:lang w:eastAsia="zh-CN"/>
        </w:rPr>
      </w:pPr>
      <w:r>
        <w:rPr>
          <w:rFonts w:hint="eastAsia" w:ascii="宋体" w:hAnsi="宋体" w:eastAsia="宋体" w:cs="宋体"/>
          <w:b/>
          <w:bCs/>
          <w:spacing w:val="1"/>
          <w:sz w:val="42"/>
          <w:szCs w:val="42"/>
          <w:lang w:val="en-US" w:eastAsia="zh-CN"/>
        </w:rPr>
        <w:t xml:space="preserve">  </w:t>
      </w:r>
      <w:r>
        <w:rPr>
          <w:rFonts w:ascii="宋体" w:hAnsi="宋体" w:eastAsia="宋体" w:cs="宋体"/>
          <w:b/>
          <w:bCs/>
          <w:spacing w:val="1"/>
          <w:sz w:val="42"/>
          <w:szCs w:val="42"/>
        </w:rPr>
        <w:t>202</w:t>
      </w:r>
      <w:r>
        <w:rPr>
          <w:rFonts w:hint="eastAsia" w:ascii="宋体" w:hAnsi="宋体" w:eastAsia="宋体" w:cs="宋体"/>
          <w:b/>
          <w:bCs/>
          <w:spacing w:val="1"/>
          <w:sz w:val="42"/>
          <w:szCs w:val="42"/>
          <w:lang w:val="en-US" w:eastAsia="zh-CN"/>
        </w:rPr>
        <w:t>5</w:t>
      </w:r>
      <w:r>
        <w:rPr>
          <w:rFonts w:ascii="宋体" w:hAnsi="宋体" w:eastAsia="宋体" w:cs="宋体"/>
          <w:b/>
          <w:bCs/>
          <w:spacing w:val="1"/>
          <w:sz w:val="42"/>
          <w:szCs w:val="42"/>
        </w:rPr>
        <w:t>年度</w:t>
      </w:r>
      <w:r>
        <w:rPr>
          <w:rFonts w:hint="eastAsia" w:ascii="宋体" w:hAnsi="宋体" w:eastAsia="宋体" w:cs="宋体"/>
          <w:b/>
          <w:bCs/>
          <w:spacing w:val="1"/>
          <w:sz w:val="42"/>
          <w:szCs w:val="42"/>
          <w:lang w:eastAsia="zh-CN"/>
        </w:rPr>
        <w:t>岳阳县住房保障服务中心</w:t>
      </w:r>
    </w:p>
    <w:p w14:paraId="31BE3E3A">
      <w:pPr>
        <w:spacing w:before="166" w:line="290" w:lineRule="auto"/>
        <w:ind w:right="550"/>
        <w:jc w:val="center"/>
        <w:rPr>
          <w:rFonts w:ascii="宋体" w:hAnsi="宋体" w:eastAsia="宋体" w:cs="宋体"/>
          <w:sz w:val="42"/>
          <w:szCs w:val="42"/>
        </w:rPr>
      </w:pPr>
      <w:r>
        <w:rPr>
          <w:rFonts w:hint="eastAsia" w:ascii="宋体" w:hAnsi="宋体" w:eastAsia="宋体" w:cs="宋体"/>
          <w:b/>
          <w:bCs/>
          <w:spacing w:val="1"/>
          <w:sz w:val="42"/>
          <w:szCs w:val="42"/>
          <w:lang w:val="en-US" w:eastAsia="zh-CN"/>
        </w:rPr>
        <w:t xml:space="preserve">  </w:t>
      </w:r>
      <w:r>
        <w:rPr>
          <w:rFonts w:ascii="宋体" w:hAnsi="宋体" w:eastAsia="宋体" w:cs="宋体"/>
          <w:b/>
          <w:bCs/>
          <w:spacing w:val="1"/>
          <w:sz w:val="42"/>
          <w:szCs w:val="42"/>
        </w:rPr>
        <w:t>整体支出</w:t>
      </w:r>
      <w:r>
        <w:rPr>
          <w:rFonts w:ascii="宋体" w:hAnsi="宋体" w:eastAsia="宋体" w:cs="宋体"/>
          <w:b/>
          <w:bCs/>
          <w:spacing w:val="8"/>
          <w:sz w:val="42"/>
          <w:szCs w:val="42"/>
        </w:rPr>
        <w:t>绩效</w:t>
      </w:r>
      <w:r>
        <w:rPr>
          <w:rFonts w:hint="eastAsia" w:ascii="宋体" w:hAnsi="宋体" w:eastAsia="宋体" w:cs="宋体"/>
          <w:b/>
          <w:bCs/>
          <w:spacing w:val="8"/>
          <w:sz w:val="42"/>
          <w:szCs w:val="42"/>
          <w:lang w:eastAsia="zh-CN"/>
        </w:rPr>
        <w:t>评价</w:t>
      </w:r>
      <w:r>
        <w:rPr>
          <w:rFonts w:ascii="宋体" w:hAnsi="宋体" w:eastAsia="宋体" w:cs="宋体"/>
          <w:b/>
          <w:bCs/>
          <w:spacing w:val="8"/>
          <w:sz w:val="42"/>
          <w:szCs w:val="42"/>
        </w:rPr>
        <w:t>报告</w:t>
      </w:r>
    </w:p>
    <w:p w14:paraId="D79E408D">
      <w:pPr>
        <w:spacing w:line="247" w:lineRule="auto"/>
        <w:jc w:val="center"/>
        <w:rPr>
          <w:rFonts w:ascii="Arial"/>
          <w:sz w:val="21"/>
        </w:rPr>
      </w:pPr>
    </w:p>
    <w:p w14:paraId="21C586FA">
      <w:pPr>
        <w:spacing w:line="247" w:lineRule="auto"/>
        <w:jc w:val="center"/>
        <w:rPr>
          <w:rFonts w:ascii="Arial"/>
          <w:sz w:val="21"/>
        </w:rPr>
      </w:pPr>
    </w:p>
    <w:p w14:paraId="A07271D2">
      <w:pPr>
        <w:spacing w:line="247" w:lineRule="auto"/>
        <w:jc w:val="center"/>
        <w:rPr>
          <w:rFonts w:ascii="Arial"/>
          <w:sz w:val="21"/>
        </w:rPr>
      </w:pPr>
    </w:p>
    <w:p w14:paraId="57CEC4DC">
      <w:pPr>
        <w:spacing w:line="247" w:lineRule="auto"/>
        <w:jc w:val="center"/>
        <w:rPr>
          <w:rFonts w:ascii="Arial"/>
          <w:sz w:val="21"/>
        </w:rPr>
      </w:pPr>
    </w:p>
    <w:p w14:paraId="0DF5B41D">
      <w:pPr>
        <w:spacing w:line="247" w:lineRule="auto"/>
        <w:jc w:val="center"/>
        <w:rPr>
          <w:rFonts w:ascii="Arial"/>
          <w:sz w:val="21"/>
        </w:rPr>
      </w:pPr>
    </w:p>
    <w:p w14:paraId="000B4626">
      <w:pPr>
        <w:spacing w:line="247" w:lineRule="auto"/>
        <w:jc w:val="center"/>
        <w:rPr>
          <w:rFonts w:ascii="Arial"/>
          <w:sz w:val="21"/>
        </w:rPr>
      </w:pPr>
    </w:p>
    <w:p w14:paraId="0B797FED">
      <w:pPr>
        <w:spacing w:line="247" w:lineRule="auto"/>
        <w:jc w:val="center"/>
        <w:rPr>
          <w:rFonts w:ascii="Arial"/>
          <w:sz w:val="21"/>
        </w:rPr>
      </w:pPr>
    </w:p>
    <w:p w14:paraId="130DEABE">
      <w:pPr>
        <w:spacing w:line="247" w:lineRule="auto"/>
        <w:jc w:val="center"/>
        <w:rPr>
          <w:rFonts w:ascii="Arial"/>
          <w:sz w:val="21"/>
        </w:rPr>
      </w:pPr>
    </w:p>
    <w:p w14:paraId="7B869A2F">
      <w:pPr>
        <w:spacing w:line="247" w:lineRule="auto"/>
        <w:jc w:val="center"/>
        <w:rPr>
          <w:rFonts w:ascii="Arial"/>
          <w:sz w:val="21"/>
        </w:rPr>
      </w:pPr>
    </w:p>
    <w:p w14:paraId="78E5852E">
      <w:pPr>
        <w:spacing w:line="247" w:lineRule="auto"/>
        <w:jc w:val="center"/>
        <w:rPr>
          <w:rFonts w:ascii="Arial"/>
          <w:sz w:val="21"/>
        </w:rPr>
      </w:pPr>
    </w:p>
    <w:p w14:paraId="F5A4EDB9">
      <w:pPr>
        <w:spacing w:line="247" w:lineRule="auto"/>
        <w:jc w:val="center"/>
        <w:rPr>
          <w:rFonts w:ascii="Arial"/>
          <w:sz w:val="21"/>
        </w:rPr>
      </w:pPr>
    </w:p>
    <w:p w14:paraId="F61574D7">
      <w:pPr>
        <w:spacing w:line="247" w:lineRule="auto"/>
        <w:jc w:val="center"/>
        <w:rPr>
          <w:rFonts w:ascii="Arial"/>
          <w:sz w:val="21"/>
        </w:rPr>
      </w:pPr>
    </w:p>
    <w:p w14:paraId="3A21DFA9">
      <w:pPr>
        <w:spacing w:line="247" w:lineRule="auto"/>
        <w:jc w:val="center"/>
        <w:rPr>
          <w:rFonts w:ascii="Arial"/>
          <w:sz w:val="21"/>
        </w:rPr>
      </w:pPr>
    </w:p>
    <w:p w14:paraId="B184E1D8">
      <w:pPr>
        <w:spacing w:line="247" w:lineRule="auto"/>
        <w:jc w:val="center"/>
        <w:rPr>
          <w:rFonts w:ascii="Arial"/>
          <w:sz w:val="21"/>
        </w:rPr>
      </w:pPr>
    </w:p>
    <w:p w14:paraId="CA2D6C3D">
      <w:pPr>
        <w:spacing w:line="247" w:lineRule="auto"/>
        <w:jc w:val="center"/>
        <w:rPr>
          <w:rFonts w:ascii="Arial"/>
          <w:sz w:val="21"/>
        </w:rPr>
      </w:pPr>
    </w:p>
    <w:p w14:paraId="BE447159">
      <w:pPr>
        <w:spacing w:line="247" w:lineRule="auto"/>
        <w:jc w:val="center"/>
        <w:rPr>
          <w:rFonts w:ascii="Arial"/>
          <w:sz w:val="21"/>
        </w:rPr>
      </w:pPr>
    </w:p>
    <w:p w14:paraId="5DB6FBE1">
      <w:pPr>
        <w:spacing w:line="247" w:lineRule="auto"/>
        <w:jc w:val="center"/>
        <w:rPr>
          <w:rFonts w:ascii="Arial"/>
          <w:sz w:val="21"/>
        </w:rPr>
      </w:pPr>
    </w:p>
    <w:p w14:paraId="7D3885BB">
      <w:pPr>
        <w:spacing w:line="247" w:lineRule="auto"/>
        <w:jc w:val="center"/>
        <w:rPr>
          <w:rFonts w:ascii="Arial"/>
          <w:sz w:val="21"/>
        </w:rPr>
      </w:pPr>
    </w:p>
    <w:p w14:paraId="020DC37A">
      <w:pPr>
        <w:spacing w:line="248" w:lineRule="auto"/>
        <w:jc w:val="center"/>
        <w:rPr>
          <w:rFonts w:ascii="Arial"/>
          <w:sz w:val="21"/>
        </w:rPr>
      </w:pPr>
    </w:p>
    <w:p w14:paraId="418CA6EF">
      <w:pPr>
        <w:spacing w:line="248" w:lineRule="auto"/>
        <w:jc w:val="center"/>
        <w:rPr>
          <w:rFonts w:ascii="Arial"/>
          <w:sz w:val="21"/>
        </w:rPr>
      </w:pPr>
    </w:p>
    <w:p w14:paraId="30D2A05D">
      <w:pPr>
        <w:spacing w:line="248" w:lineRule="auto"/>
        <w:jc w:val="center"/>
        <w:rPr>
          <w:rFonts w:ascii="Arial"/>
          <w:sz w:val="21"/>
        </w:rPr>
      </w:pPr>
    </w:p>
    <w:p w14:paraId="A68F03DA">
      <w:pPr>
        <w:spacing w:line="248" w:lineRule="auto"/>
        <w:jc w:val="center"/>
        <w:rPr>
          <w:rFonts w:ascii="Arial"/>
          <w:sz w:val="21"/>
        </w:rPr>
      </w:pPr>
    </w:p>
    <w:p w14:paraId="1817413D">
      <w:pPr>
        <w:spacing w:line="248" w:lineRule="auto"/>
        <w:jc w:val="center"/>
        <w:rPr>
          <w:rFonts w:ascii="Arial"/>
          <w:sz w:val="21"/>
        </w:rPr>
      </w:pPr>
    </w:p>
    <w:p w14:paraId="E7735B71">
      <w:pPr>
        <w:spacing w:line="248" w:lineRule="auto"/>
        <w:jc w:val="center"/>
        <w:rPr>
          <w:rFonts w:ascii="Arial"/>
          <w:sz w:val="21"/>
        </w:rPr>
      </w:pPr>
    </w:p>
    <w:p w14:paraId="81940550">
      <w:pPr>
        <w:spacing w:line="248" w:lineRule="auto"/>
        <w:jc w:val="center"/>
        <w:rPr>
          <w:rFonts w:ascii="Arial"/>
          <w:sz w:val="21"/>
        </w:rPr>
      </w:pPr>
    </w:p>
    <w:p w14:paraId="7D24E6A5">
      <w:pPr>
        <w:spacing w:before="91" w:line="224" w:lineRule="auto"/>
        <w:ind w:firstLine="1627" w:firstLineChars="600"/>
        <w:jc w:val="both"/>
        <w:rPr>
          <w:rFonts w:hint="eastAsia" w:ascii="楷体" w:hAnsi="楷体" w:eastAsia="楷体" w:cs="楷体"/>
          <w:sz w:val="28"/>
          <w:szCs w:val="28"/>
          <w:lang w:eastAsia="zh-CN"/>
        </w:rPr>
      </w:pPr>
      <w:r>
        <w:rPr>
          <w:rFonts w:ascii="楷体" w:hAnsi="楷体" w:eastAsia="楷体" w:cs="楷体"/>
          <w:b/>
          <w:bCs/>
          <w:spacing w:val="-5"/>
          <w:sz w:val="28"/>
          <w:szCs w:val="28"/>
        </w:rPr>
        <w:t>部门(单位)名称：</w:t>
      </w:r>
      <w:r>
        <w:rPr>
          <w:rFonts w:ascii="楷体" w:hAnsi="楷体" w:eastAsia="楷体" w:cs="楷体"/>
          <w:spacing w:val="-76"/>
          <w:sz w:val="28"/>
          <w:szCs w:val="28"/>
        </w:rPr>
        <w:t xml:space="preserve"> </w:t>
      </w:r>
      <w:r>
        <w:rPr>
          <w:rFonts w:ascii="楷体" w:hAnsi="楷体" w:eastAsia="楷体" w:cs="楷体"/>
          <w:spacing w:val="-77"/>
          <w:sz w:val="28"/>
          <w:szCs w:val="28"/>
          <w:u w:val="single" w:color="auto"/>
        </w:rPr>
        <w:t xml:space="preserve"> </w:t>
      </w:r>
      <w:r>
        <w:rPr>
          <w:rFonts w:hint="eastAsia" w:ascii="楷体" w:hAnsi="楷体" w:eastAsia="楷体" w:cs="楷体"/>
          <w:b/>
          <w:bCs/>
          <w:spacing w:val="-5"/>
          <w:sz w:val="28"/>
          <w:szCs w:val="28"/>
          <w:u w:val="single" w:color="auto"/>
          <w:lang w:eastAsia="zh-CN"/>
        </w:rPr>
        <w:t>岳阳县住房保障服务中心</w:t>
      </w:r>
    </w:p>
    <w:p w14:paraId="1C72607B">
      <w:pPr>
        <w:spacing w:before="290" w:line="225" w:lineRule="auto"/>
        <w:ind w:firstLine="3264" w:firstLineChars="1300"/>
        <w:jc w:val="both"/>
        <w:rPr>
          <w:rFonts w:ascii="楷体" w:hAnsi="楷体" w:eastAsia="楷体" w:cs="楷体"/>
          <w:sz w:val="28"/>
          <w:szCs w:val="28"/>
        </w:rPr>
      </w:pPr>
      <w:r>
        <w:rPr>
          <w:rFonts w:hint="eastAsia" w:ascii="楷体" w:hAnsi="楷体" w:eastAsia="楷体" w:cs="楷体"/>
          <w:b/>
          <w:bCs/>
          <w:spacing w:val="-15"/>
          <w:sz w:val="28"/>
          <w:szCs w:val="28"/>
          <w:lang w:val="en-US" w:eastAsia="zh-CN"/>
        </w:rPr>
        <w:t xml:space="preserve">2026 </w:t>
      </w:r>
      <w:r>
        <w:rPr>
          <w:rFonts w:ascii="楷体" w:hAnsi="楷体" w:eastAsia="楷体" w:cs="楷体"/>
          <w:b/>
          <w:bCs/>
          <w:spacing w:val="-15"/>
          <w:sz w:val="28"/>
          <w:szCs w:val="28"/>
        </w:rPr>
        <w:t>年</w:t>
      </w:r>
      <w:r>
        <w:rPr>
          <w:rFonts w:hint="eastAsia" w:ascii="楷体" w:hAnsi="楷体" w:eastAsia="楷体" w:cs="楷体"/>
          <w:b/>
          <w:bCs/>
          <w:spacing w:val="-15"/>
          <w:sz w:val="28"/>
          <w:szCs w:val="28"/>
          <w:lang w:val="en-US" w:eastAsia="zh-CN"/>
        </w:rPr>
        <w:t xml:space="preserve"> </w:t>
      </w:r>
      <w:r>
        <w:rPr>
          <w:rFonts w:hint="eastAsia" w:ascii="楷体" w:hAnsi="楷体" w:eastAsia="楷体" w:cs="楷体"/>
          <w:spacing w:val="27"/>
          <w:sz w:val="28"/>
          <w:szCs w:val="28"/>
          <w:lang w:val="en-US" w:eastAsia="zh-CN"/>
        </w:rPr>
        <w:t>5</w:t>
      </w:r>
      <w:r>
        <w:rPr>
          <w:rFonts w:ascii="楷体" w:hAnsi="楷体" w:eastAsia="楷体" w:cs="楷体"/>
          <w:b/>
          <w:bCs/>
          <w:spacing w:val="-15"/>
          <w:sz w:val="28"/>
          <w:szCs w:val="28"/>
        </w:rPr>
        <w:t>月</w:t>
      </w:r>
      <w:r>
        <w:rPr>
          <w:rFonts w:hint="eastAsia" w:ascii="楷体" w:hAnsi="楷体" w:eastAsia="楷体" w:cs="楷体"/>
          <w:b/>
          <w:bCs/>
          <w:spacing w:val="-15"/>
          <w:sz w:val="28"/>
          <w:szCs w:val="28"/>
          <w:lang w:val="en-US" w:eastAsia="zh-CN"/>
        </w:rPr>
        <w:t xml:space="preserve"> </w:t>
      </w:r>
      <w:r>
        <w:rPr>
          <w:rFonts w:hint="eastAsia" w:ascii="楷体" w:hAnsi="楷体" w:eastAsia="楷体" w:cs="楷体"/>
          <w:spacing w:val="31"/>
          <w:sz w:val="28"/>
          <w:szCs w:val="28"/>
          <w:lang w:val="en-US" w:eastAsia="zh-CN"/>
        </w:rPr>
        <w:t>14</w:t>
      </w:r>
      <w:r>
        <w:rPr>
          <w:rFonts w:ascii="楷体" w:hAnsi="楷体" w:eastAsia="楷体" w:cs="楷体"/>
          <w:b/>
          <w:bCs/>
          <w:spacing w:val="-15"/>
          <w:sz w:val="28"/>
          <w:szCs w:val="28"/>
        </w:rPr>
        <w:t>日</w:t>
      </w:r>
    </w:p>
    <w:p w14:paraId="578A97A7">
      <w:pPr>
        <w:spacing w:line="230" w:lineRule="auto"/>
        <w:rPr>
          <w:rFonts w:ascii="楷体" w:hAnsi="楷体" w:eastAsia="楷体" w:cs="楷体"/>
          <w:sz w:val="28"/>
          <w:szCs w:val="28"/>
        </w:rPr>
      </w:pPr>
    </w:p>
    <w:p w14:paraId="55982AC4">
      <w:pPr>
        <w:spacing w:line="230" w:lineRule="auto"/>
        <w:rPr>
          <w:rFonts w:ascii="楷体" w:hAnsi="楷体" w:eastAsia="楷体" w:cs="楷体"/>
          <w:sz w:val="28"/>
          <w:szCs w:val="28"/>
        </w:rPr>
      </w:pPr>
    </w:p>
    <w:p w14:paraId="6A69CE46">
      <w:pPr>
        <w:spacing w:line="230" w:lineRule="auto"/>
        <w:rPr>
          <w:rFonts w:ascii="楷体" w:hAnsi="楷体" w:eastAsia="楷体" w:cs="楷体"/>
          <w:sz w:val="28"/>
          <w:szCs w:val="28"/>
        </w:rPr>
      </w:pPr>
    </w:p>
    <w:p w14:paraId="7D1ADFE6">
      <w:pPr>
        <w:spacing w:line="230" w:lineRule="auto"/>
        <w:rPr>
          <w:rFonts w:ascii="楷体" w:hAnsi="楷体" w:eastAsia="楷体" w:cs="楷体"/>
          <w:sz w:val="28"/>
          <w:szCs w:val="28"/>
        </w:rPr>
      </w:pPr>
    </w:p>
    <w:p w14:paraId="041224D9">
      <w:pPr>
        <w:spacing w:line="230" w:lineRule="auto"/>
        <w:rPr>
          <w:rFonts w:ascii="楷体" w:hAnsi="楷体" w:eastAsia="楷体" w:cs="楷体"/>
          <w:sz w:val="28"/>
          <w:szCs w:val="28"/>
        </w:rPr>
      </w:pPr>
    </w:p>
    <w:p w14:paraId="29EEAF20">
      <w:pPr>
        <w:spacing w:line="230" w:lineRule="auto"/>
        <w:rPr>
          <w:rFonts w:ascii="楷体" w:hAnsi="楷体" w:eastAsia="楷体" w:cs="楷体"/>
          <w:sz w:val="28"/>
          <w:szCs w:val="28"/>
        </w:rPr>
        <w:sectPr>
          <w:headerReference r:id="rId5" w:type="default"/>
          <w:footerReference r:id="rId6" w:type="default"/>
          <w:pgSz w:w="11900" w:h="16830"/>
          <w:pgMar w:top="2445" w:right="1785" w:bottom="2000" w:left="1480" w:header="2014" w:footer="1637" w:gutter="0"/>
          <w:cols w:space="720" w:num="1"/>
        </w:sectPr>
      </w:pPr>
    </w:p>
    <w:p w14:paraId="555DD204">
      <w:pPr>
        <w:spacing w:line="269" w:lineRule="auto"/>
        <w:rPr>
          <w:rFonts w:ascii="Arial"/>
          <w:sz w:val="21"/>
        </w:rPr>
      </w:pPr>
    </w:p>
    <w:p w14:paraId="231C4008">
      <w:pPr>
        <w:spacing w:before="100" w:line="222" w:lineRule="auto"/>
        <w:ind w:left="679"/>
        <w:rPr>
          <w:rFonts w:ascii="黑体" w:hAnsi="黑体" w:eastAsia="黑体" w:cs="黑体"/>
          <w:spacing w:val="-9"/>
          <w:sz w:val="31"/>
          <w:szCs w:val="31"/>
        </w:rPr>
      </w:pPr>
      <w:r>
        <w:rPr>
          <w:rFonts w:ascii="黑体" w:hAnsi="黑体" w:eastAsia="黑体" w:cs="黑体"/>
          <w:spacing w:val="-9"/>
          <w:sz w:val="31"/>
          <w:szCs w:val="31"/>
        </w:rPr>
        <w:t>一</w:t>
      </w:r>
      <w:r>
        <w:rPr>
          <w:rFonts w:ascii="黑体" w:hAnsi="黑体" w:eastAsia="黑体" w:cs="黑体"/>
          <w:spacing w:val="-86"/>
          <w:sz w:val="31"/>
          <w:szCs w:val="31"/>
        </w:rPr>
        <w:t xml:space="preserve"> </w:t>
      </w:r>
      <w:r>
        <w:rPr>
          <w:rFonts w:ascii="黑体" w:hAnsi="黑体" w:eastAsia="黑体" w:cs="黑体"/>
          <w:spacing w:val="-9"/>
          <w:sz w:val="31"/>
          <w:szCs w:val="31"/>
        </w:rPr>
        <w:t>、部门(单位)基本情况</w:t>
      </w:r>
    </w:p>
    <w:p w14:paraId="4A10FC02">
      <w:pPr>
        <w:spacing w:line="560" w:lineRule="exact"/>
        <w:ind w:firstLine="560" w:firstLineChars="200"/>
        <w:rPr>
          <w:rFonts w:hint="eastAsia" w:cs="仿宋_GB2312" w:asciiTheme="minorEastAsia" w:hAnsiTheme="minorEastAsia" w:eastAsiaTheme="minorEastAsia"/>
          <w:color w:val="000000"/>
          <w:kern w:val="2"/>
          <w:sz w:val="24"/>
          <w:szCs w:val="24"/>
          <w:lang w:val="en-US" w:eastAsia="zh-CN" w:bidi="ar-SA"/>
        </w:rPr>
      </w:pPr>
      <w:r>
        <w:rPr>
          <w:rFonts w:hint="eastAsia" w:ascii="仿宋" w:hAnsi="仿宋" w:eastAsia="仿宋" w:cs="宋体"/>
          <w:color w:val="000000"/>
          <w:kern w:val="0"/>
          <w:sz w:val="28"/>
          <w:szCs w:val="28"/>
        </w:rPr>
        <w:t>1、机构设置</w:t>
      </w:r>
    </w:p>
    <w:p w14:paraId="4F90AD75">
      <w:pPr>
        <w:spacing w:line="560" w:lineRule="exact"/>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岳阳县住房保障服务中心为副科级行政支持类事业单位，隶属县住建局二级机构。在编在岗职工</w:t>
      </w:r>
      <w:r>
        <w:rPr>
          <w:rFonts w:hint="eastAsia" w:ascii="仿宋" w:hAnsi="仿宋" w:eastAsia="仿宋" w:cs="宋体"/>
          <w:color w:val="000000"/>
          <w:kern w:val="0"/>
          <w:sz w:val="28"/>
          <w:szCs w:val="28"/>
          <w:lang w:val="en-US" w:eastAsia="zh-CN"/>
        </w:rPr>
        <w:t>9人</w:t>
      </w:r>
      <w:r>
        <w:rPr>
          <w:rFonts w:hint="eastAsia" w:ascii="仿宋" w:hAnsi="仿宋" w:eastAsia="仿宋" w:cs="宋体"/>
          <w:color w:val="000000"/>
          <w:kern w:val="0"/>
          <w:sz w:val="28"/>
          <w:szCs w:val="28"/>
        </w:rPr>
        <w:t>，退休6人。内设有4个股室：办公室、财务股、工程项目股、住房服务股。</w:t>
      </w:r>
    </w:p>
    <w:p w14:paraId="37415A13">
      <w:pPr>
        <w:spacing w:line="560" w:lineRule="exact"/>
        <w:ind w:firstLine="560" w:firstLineChars="200"/>
        <w:rPr>
          <w:rFonts w:hint="eastAsia"/>
        </w:rPr>
      </w:pPr>
      <w:r>
        <w:rPr>
          <w:rFonts w:hint="eastAsia" w:ascii="仿宋" w:hAnsi="仿宋" w:eastAsia="仿宋" w:cs="宋体"/>
          <w:color w:val="000000"/>
          <w:kern w:val="0"/>
          <w:sz w:val="28"/>
          <w:szCs w:val="28"/>
        </w:rPr>
        <w:t>2、主要职责</w:t>
      </w:r>
    </w:p>
    <w:p w14:paraId="46D945DE">
      <w:pPr>
        <w:spacing w:line="560" w:lineRule="exact"/>
        <w:ind w:firstLine="560" w:firstLineChars="200"/>
        <w:rPr>
          <w:rFonts w:hint="eastAsia" w:ascii="仿宋" w:hAnsi="仿宋" w:eastAsia="仿宋" w:cs="宋体"/>
          <w:color w:val="000000"/>
          <w:kern w:val="0"/>
          <w:sz w:val="28"/>
          <w:szCs w:val="28"/>
          <w:lang w:val="en-US" w:eastAsia="en-US"/>
        </w:rPr>
      </w:pPr>
      <w:r>
        <w:rPr>
          <w:rFonts w:hint="eastAsia" w:ascii="仿宋" w:hAnsi="仿宋" w:eastAsia="仿宋" w:cs="宋体"/>
          <w:color w:val="000000"/>
          <w:kern w:val="0"/>
          <w:sz w:val="28"/>
          <w:szCs w:val="28"/>
          <w:lang w:val="en-US" w:eastAsia="en-US"/>
        </w:rPr>
        <w:t>（1）负责贯彻落实国家关于住房保障和住房制度改革的政策；</w:t>
      </w:r>
    </w:p>
    <w:p w14:paraId="04CF4B12">
      <w:pPr>
        <w:spacing w:line="560" w:lineRule="exact"/>
        <w:ind w:firstLine="560" w:firstLineChars="200"/>
        <w:rPr>
          <w:rFonts w:hint="eastAsia" w:ascii="仿宋" w:hAnsi="仿宋" w:eastAsia="仿宋" w:cs="宋体"/>
          <w:color w:val="000000"/>
          <w:kern w:val="0"/>
          <w:sz w:val="28"/>
          <w:szCs w:val="28"/>
          <w:lang w:val="en-US" w:eastAsia="en-US"/>
        </w:rPr>
      </w:pPr>
      <w:r>
        <w:rPr>
          <w:rFonts w:hint="eastAsia" w:ascii="仿宋" w:hAnsi="仿宋" w:eastAsia="仿宋" w:cs="宋体"/>
          <w:color w:val="000000"/>
          <w:kern w:val="0"/>
          <w:sz w:val="28"/>
          <w:szCs w:val="28"/>
          <w:lang w:val="en-US" w:eastAsia="en-US"/>
        </w:rPr>
        <w:t>（2）负责全县保障性住房建设、乡镇住房保障和住房制度改革、国有企业住房制度改革等业务指导；</w:t>
      </w:r>
    </w:p>
    <w:p w14:paraId="015C198F">
      <w:pPr>
        <w:spacing w:line="560" w:lineRule="exact"/>
        <w:ind w:firstLine="560" w:firstLineChars="200"/>
        <w:rPr>
          <w:rFonts w:hint="eastAsia" w:ascii="仿宋" w:hAnsi="仿宋" w:eastAsia="仿宋" w:cs="宋体"/>
          <w:color w:val="000000"/>
          <w:kern w:val="0"/>
          <w:sz w:val="28"/>
          <w:szCs w:val="28"/>
          <w:lang w:val="en-US" w:eastAsia="en-US"/>
        </w:rPr>
      </w:pPr>
      <w:r>
        <w:rPr>
          <w:rFonts w:hint="eastAsia" w:ascii="仿宋" w:hAnsi="仿宋" w:eastAsia="仿宋" w:cs="宋体"/>
          <w:color w:val="000000"/>
          <w:kern w:val="0"/>
          <w:sz w:val="28"/>
          <w:szCs w:val="28"/>
          <w:lang w:val="en-US" w:eastAsia="en-US"/>
        </w:rPr>
        <w:t>（3）负责全县存量公有住房出售、保障性住房、房改房上市交易等业务受理和报批；</w:t>
      </w:r>
    </w:p>
    <w:p w14:paraId="1DC7557B">
      <w:pPr>
        <w:spacing w:line="560" w:lineRule="exact"/>
        <w:ind w:firstLine="560" w:firstLineChars="200"/>
        <w:rPr>
          <w:rFonts w:hint="eastAsia" w:ascii="仿宋" w:hAnsi="仿宋" w:eastAsia="仿宋" w:cs="宋体"/>
          <w:color w:val="000000"/>
          <w:kern w:val="0"/>
          <w:sz w:val="28"/>
          <w:szCs w:val="28"/>
          <w:lang w:val="en-US" w:eastAsia="en-US"/>
        </w:rPr>
      </w:pPr>
      <w:r>
        <w:rPr>
          <w:rFonts w:hint="eastAsia" w:ascii="仿宋" w:hAnsi="仿宋" w:eastAsia="仿宋" w:cs="宋体"/>
          <w:color w:val="000000"/>
          <w:kern w:val="0"/>
          <w:sz w:val="28"/>
          <w:szCs w:val="28"/>
          <w:lang w:val="en-US" w:eastAsia="en-US"/>
        </w:rPr>
        <w:t>（4）负责起草和报批全县保障性住房分配方案；</w:t>
      </w:r>
    </w:p>
    <w:p w14:paraId="1C757C59">
      <w:pPr>
        <w:spacing w:line="560" w:lineRule="exact"/>
        <w:ind w:firstLine="560" w:firstLineChars="200"/>
        <w:rPr>
          <w:rFonts w:hint="eastAsia" w:ascii="仿宋" w:hAnsi="仿宋" w:eastAsia="仿宋" w:cs="宋体"/>
          <w:color w:val="000000"/>
          <w:kern w:val="0"/>
          <w:sz w:val="28"/>
          <w:szCs w:val="28"/>
          <w:lang w:val="en-US" w:eastAsia="en-US"/>
        </w:rPr>
      </w:pPr>
      <w:r>
        <w:rPr>
          <w:rFonts w:hint="eastAsia" w:ascii="仿宋" w:hAnsi="仿宋" w:eastAsia="仿宋" w:cs="宋体"/>
          <w:color w:val="000000"/>
          <w:kern w:val="0"/>
          <w:sz w:val="28"/>
          <w:szCs w:val="28"/>
          <w:lang w:val="en-US" w:eastAsia="en-US"/>
        </w:rPr>
        <w:t>（5）负责全县保障性住房维修、改造项目的实施；筹集全县保障性住房建设资金、保障性住房货币补贴资金；</w:t>
      </w:r>
    </w:p>
    <w:p w14:paraId="789C5374">
      <w:pPr>
        <w:spacing w:line="560" w:lineRule="exact"/>
        <w:ind w:firstLine="560" w:firstLineChars="200"/>
        <w:rPr>
          <w:rFonts w:hint="eastAsia" w:ascii="仿宋" w:hAnsi="仿宋" w:eastAsia="仿宋" w:cs="宋体"/>
          <w:color w:val="000000"/>
          <w:kern w:val="0"/>
          <w:sz w:val="28"/>
          <w:szCs w:val="28"/>
          <w:lang w:val="en-US" w:eastAsia="en-US"/>
        </w:rPr>
      </w:pPr>
      <w:r>
        <w:rPr>
          <w:rFonts w:hint="eastAsia" w:ascii="仿宋" w:hAnsi="仿宋" w:eastAsia="仿宋" w:cs="宋体"/>
          <w:color w:val="000000"/>
          <w:kern w:val="0"/>
          <w:sz w:val="28"/>
          <w:szCs w:val="28"/>
          <w:lang w:val="en-US" w:eastAsia="en-US"/>
        </w:rPr>
        <w:t>（6）负责全县保障性住房租赁服务和保障性住房实物配租工作；</w:t>
      </w:r>
    </w:p>
    <w:p w14:paraId="0AAEA81B">
      <w:pPr>
        <w:spacing w:line="560" w:lineRule="exact"/>
        <w:ind w:firstLine="560" w:firstLineChars="200"/>
        <w:rPr>
          <w:rFonts w:hint="eastAsia" w:ascii="仿宋" w:hAnsi="仿宋" w:eastAsia="仿宋" w:cs="宋体"/>
          <w:color w:val="000000"/>
          <w:kern w:val="0"/>
          <w:sz w:val="28"/>
          <w:szCs w:val="28"/>
          <w:lang w:val="en-US" w:eastAsia="en-US"/>
        </w:rPr>
      </w:pPr>
      <w:r>
        <w:rPr>
          <w:rFonts w:hint="eastAsia" w:ascii="仿宋" w:hAnsi="仿宋" w:eastAsia="仿宋" w:cs="宋体"/>
          <w:color w:val="000000"/>
          <w:kern w:val="0"/>
          <w:sz w:val="28"/>
          <w:szCs w:val="28"/>
          <w:lang w:val="en-US" w:eastAsia="en-US"/>
        </w:rPr>
        <w:t>（7）负责全县保障性住房服务对象的登记和调查核实等工作；</w:t>
      </w:r>
    </w:p>
    <w:p w14:paraId="357FA3F1">
      <w:pPr>
        <w:spacing w:line="560" w:lineRule="exact"/>
        <w:ind w:firstLine="560" w:firstLineChars="200"/>
        <w:rPr>
          <w:rFonts w:hint="eastAsia" w:ascii="仿宋" w:hAnsi="仿宋" w:eastAsia="仿宋" w:cs="宋体"/>
          <w:color w:val="000000"/>
          <w:kern w:val="0"/>
          <w:sz w:val="28"/>
          <w:szCs w:val="28"/>
          <w:lang w:val="en-US" w:eastAsia="en-US"/>
        </w:rPr>
      </w:pPr>
      <w:r>
        <w:rPr>
          <w:rFonts w:hint="eastAsia" w:ascii="仿宋" w:hAnsi="仿宋" w:eastAsia="仿宋" w:cs="宋体"/>
          <w:color w:val="000000"/>
          <w:kern w:val="0"/>
          <w:sz w:val="28"/>
          <w:szCs w:val="28"/>
          <w:lang w:val="en-US" w:eastAsia="en-US"/>
        </w:rPr>
        <w:t>（8）完成上级主管部门交办的其他工作任务。</w:t>
      </w:r>
    </w:p>
    <w:p w14:paraId="DD220DB6">
      <w:pPr>
        <w:spacing w:before="214" w:line="221" w:lineRule="auto"/>
        <w:ind w:left="679"/>
        <w:rPr>
          <w:rFonts w:ascii="黑体" w:hAnsi="黑体" w:eastAsia="黑体" w:cs="黑体"/>
          <w:sz w:val="31"/>
          <w:szCs w:val="31"/>
        </w:rPr>
      </w:pPr>
      <w:r>
        <w:rPr>
          <w:rFonts w:ascii="黑体" w:hAnsi="黑体" w:eastAsia="黑体" w:cs="黑体"/>
          <w:spacing w:val="4"/>
          <w:sz w:val="31"/>
          <w:szCs w:val="31"/>
        </w:rPr>
        <w:t>二、一般公共预算支出情况</w:t>
      </w:r>
    </w:p>
    <w:p w14:paraId="CA43D06B">
      <w:pPr>
        <w:pStyle w:val="2"/>
        <w:spacing w:before="228" w:line="226" w:lineRule="auto"/>
        <w:ind w:left="814"/>
        <w:rPr>
          <w:spacing w:val="-2"/>
          <w:sz w:val="31"/>
          <w:szCs w:val="31"/>
        </w:rPr>
      </w:pPr>
      <w:r>
        <w:rPr>
          <w:rFonts w:ascii="楷体" w:hAnsi="楷体" w:eastAsia="楷体" w:cs="楷体"/>
          <w:b/>
          <w:bCs/>
          <w:spacing w:val="-2"/>
          <w:sz w:val="31"/>
          <w:szCs w:val="31"/>
        </w:rPr>
        <w:t>(</w:t>
      </w:r>
      <w:r>
        <w:rPr>
          <w:rFonts w:ascii="楷体" w:hAnsi="楷体" w:eastAsia="楷体" w:cs="楷体"/>
          <w:spacing w:val="-24"/>
          <w:sz w:val="31"/>
          <w:szCs w:val="31"/>
        </w:rPr>
        <w:t xml:space="preserve"> </w:t>
      </w:r>
      <w:r>
        <w:rPr>
          <w:rFonts w:ascii="楷体" w:hAnsi="楷体" w:eastAsia="楷体" w:cs="楷体"/>
          <w:b/>
          <w:bCs/>
          <w:spacing w:val="-2"/>
          <w:sz w:val="31"/>
          <w:szCs w:val="31"/>
        </w:rPr>
        <w:t>一</w:t>
      </w:r>
      <w:r>
        <w:rPr>
          <w:rFonts w:ascii="楷体" w:hAnsi="楷体" w:eastAsia="楷体" w:cs="楷体"/>
          <w:spacing w:val="-41"/>
          <w:sz w:val="31"/>
          <w:szCs w:val="31"/>
        </w:rPr>
        <w:t xml:space="preserve"> </w:t>
      </w:r>
      <w:r>
        <w:rPr>
          <w:rFonts w:ascii="楷体" w:hAnsi="楷体" w:eastAsia="楷体" w:cs="楷体"/>
          <w:b/>
          <w:bCs/>
          <w:spacing w:val="-2"/>
          <w:sz w:val="31"/>
          <w:szCs w:val="31"/>
        </w:rPr>
        <w:t>)</w:t>
      </w:r>
      <w:r>
        <w:rPr>
          <w:spacing w:val="-2"/>
          <w:sz w:val="31"/>
          <w:szCs w:val="31"/>
        </w:rPr>
        <w:t>基本支出情况</w:t>
      </w:r>
    </w:p>
    <w:p w14:paraId="6D79BFD6">
      <w:pPr>
        <w:spacing w:line="560" w:lineRule="exact"/>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202</w:t>
      </w:r>
      <w:r>
        <w:rPr>
          <w:rFonts w:hint="eastAsia" w:ascii="仿宋" w:hAnsi="仿宋" w:eastAsia="仿宋" w:cs="宋体"/>
          <w:color w:val="000000"/>
          <w:kern w:val="0"/>
          <w:sz w:val="28"/>
          <w:szCs w:val="28"/>
          <w:lang w:val="en-US" w:eastAsia="zh-CN"/>
        </w:rPr>
        <w:t>5</w:t>
      </w:r>
      <w:r>
        <w:rPr>
          <w:rFonts w:hint="eastAsia" w:ascii="仿宋" w:hAnsi="仿宋" w:eastAsia="仿宋" w:cs="宋体"/>
          <w:color w:val="000000"/>
          <w:kern w:val="0"/>
          <w:sz w:val="28"/>
          <w:szCs w:val="28"/>
        </w:rPr>
        <w:t>年度基本支出</w:t>
      </w:r>
      <w:r>
        <w:rPr>
          <w:rFonts w:hint="eastAsia" w:ascii="仿宋" w:hAnsi="仿宋" w:eastAsia="仿宋" w:cs="宋体"/>
          <w:color w:val="000000"/>
          <w:kern w:val="0"/>
          <w:sz w:val="28"/>
          <w:szCs w:val="28"/>
          <w:lang w:val="en-US" w:eastAsia="zh-CN"/>
        </w:rPr>
        <w:t>139.84</w:t>
      </w:r>
      <w:r>
        <w:rPr>
          <w:rFonts w:hint="eastAsia" w:ascii="仿宋" w:hAnsi="仿宋" w:eastAsia="仿宋" w:cs="宋体"/>
          <w:color w:val="000000"/>
          <w:kern w:val="0"/>
          <w:sz w:val="28"/>
          <w:szCs w:val="28"/>
        </w:rPr>
        <w:t>万元，其中：</w:t>
      </w:r>
      <w:r>
        <w:rPr>
          <w:rFonts w:hint="eastAsia" w:ascii="仿宋" w:hAnsi="仿宋" w:eastAsia="仿宋" w:cs="仿宋_GB2312"/>
          <w:bCs/>
          <w:sz w:val="28"/>
          <w:szCs w:val="28"/>
          <w:lang w:val="en-US" w:eastAsia="zh-CN"/>
        </w:rPr>
        <w:t>人员经费127.41万元</w:t>
      </w:r>
      <w:r>
        <w:rPr>
          <w:rFonts w:hint="eastAsia" w:ascii="仿宋" w:hAnsi="仿宋" w:eastAsia="仿宋" w:cs="宋体"/>
          <w:color w:val="000000"/>
          <w:kern w:val="0"/>
          <w:sz w:val="28"/>
          <w:szCs w:val="28"/>
        </w:rPr>
        <w:t>，主要包括基本工资、津贴补贴、奖金、绩效工资、机关事业单位基本养老保险缴费、职业年金缴费、职工基本医疗保险缴费、公务员医疗补助缴费、其他</w:t>
      </w:r>
    </w:p>
    <w:p w14:paraId="69C4D8D3">
      <w:pPr>
        <w:spacing w:line="560" w:lineRule="exact"/>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社会保障缴费、住房公积金、医疗费、其他工资福利支出；公用经</w:t>
      </w:r>
      <w:r>
        <w:rPr>
          <w:rFonts w:hint="eastAsia" w:ascii="仿宋" w:hAnsi="仿宋" w:eastAsia="仿宋" w:cs="宋体"/>
          <w:color w:val="000000"/>
          <w:kern w:val="0"/>
          <w:sz w:val="28"/>
          <w:szCs w:val="28"/>
          <w:lang w:eastAsia="zh-CN"/>
        </w:rPr>
        <w:t>费</w:t>
      </w:r>
      <w:r>
        <w:rPr>
          <w:rFonts w:hint="eastAsia" w:ascii="仿宋" w:hAnsi="仿宋" w:eastAsia="仿宋" w:cs="宋体"/>
          <w:color w:val="000000"/>
          <w:kern w:val="0"/>
          <w:sz w:val="28"/>
          <w:szCs w:val="28"/>
          <w:lang w:val="en-US" w:eastAsia="zh-CN"/>
        </w:rPr>
        <w:t>12.43</w:t>
      </w:r>
      <w:r>
        <w:rPr>
          <w:rFonts w:hint="eastAsia" w:ascii="仿宋" w:hAnsi="仿宋" w:eastAsia="仿宋" w:cs="宋体"/>
          <w:color w:val="000000"/>
          <w:kern w:val="0"/>
          <w:sz w:val="28"/>
          <w:szCs w:val="28"/>
        </w:rPr>
        <w:t>万元，主要包括办公费、印刷费、咨询费、电费、邮电费、物业管</w:t>
      </w:r>
    </w:p>
    <w:p w14:paraId="732938E4">
      <w:pPr>
        <w:spacing w:line="560" w:lineRule="exact"/>
        <w:rPr>
          <w:rFonts w:hint="default" w:ascii="仿宋" w:hAnsi="仿宋" w:eastAsia="仿宋" w:cs="宋体"/>
          <w:color w:val="000000"/>
          <w:kern w:val="0"/>
          <w:sz w:val="28"/>
          <w:szCs w:val="28"/>
          <w:lang w:val="en-US" w:eastAsia="zh-CN"/>
        </w:rPr>
      </w:pPr>
      <w:r>
        <w:rPr>
          <w:rFonts w:hint="eastAsia" w:ascii="仿宋" w:hAnsi="仿宋" w:eastAsia="仿宋" w:cs="宋体"/>
          <w:color w:val="000000"/>
          <w:kern w:val="0"/>
          <w:sz w:val="28"/>
          <w:szCs w:val="28"/>
        </w:rPr>
        <w:t>理费、差旅费、维修费、租赁费、会议费、培训费、公务接待费、专用材料费、劳务费、委托业务费、工会经费、福利费、其他交通费用、其他商品和服务支出</w:t>
      </w:r>
      <w:r>
        <w:rPr>
          <w:rFonts w:hint="eastAsia" w:ascii="仿宋" w:hAnsi="仿宋" w:eastAsia="仿宋" w:cs="宋体"/>
          <w:color w:val="000000"/>
          <w:kern w:val="0"/>
          <w:sz w:val="28"/>
          <w:szCs w:val="28"/>
          <w:lang w:val="en-US" w:eastAsia="zh-CN"/>
        </w:rPr>
        <w:t>。</w:t>
      </w:r>
    </w:p>
    <w:p w14:paraId="F2932813">
      <w:pPr>
        <w:pStyle w:val="2"/>
        <w:spacing w:before="220" w:line="226" w:lineRule="auto"/>
        <w:ind w:left="830"/>
        <w:rPr>
          <w:spacing w:val="-3"/>
          <w:sz w:val="31"/>
          <w:szCs w:val="31"/>
        </w:rPr>
      </w:pPr>
      <w:r>
        <w:rPr>
          <w:rFonts w:ascii="楷体" w:hAnsi="楷体" w:eastAsia="楷体" w:cs="楷体"/>
          <w:spacing w:val="-3"/>
          <w:sz w:val="31"/>
          <w:szCs w:val="31"/>
        </w:rPr>
        <w:t>(</w:t>
      </w:r>
      <w:r>
        <w:rPr>
          <w:rFonts w:ascii="楷体" w:hAnsi="楷体" w:eastAsia="楷体" w:cs="楷体"/>
          <w:spacing w:val="-26"/>
          <w:sz w:val="31"/>
          <w:szCs w:val="31"/>
        </w:rPr>
        <w:t xml:space="preserve"> </w:t>
      </w:r>
      <w:r>
        <w:rPr>
          <w:rFonts w:ascii="楷体" w:hAnsi="楷体" w:eastAsia="楷体" w:cs="楷体"/>
          <w:spacing w:val="-3"/>
          <w:sz w:val="31"/>
          <w:szCs w:val="31"/>
        </w:rPr>
        <w:t>二</w:t>
      </w:r>
      <w:r>
        <w:rPr>
          <w:rFonts w:ascii="楷体" w:hAnsi="楷体" w:eastAsia="楷体" w:cs="楷体"/>
          <w:spacing w:val="-36"/>
          <w:sz w:val="31"/>
          <w:szCs w:val="31"/>
        </w:rPr>
        <w:t xml:space="preserve"> </w:t>
      </w:r>
      <w:r>
        <w:rPr>
          <w:rFonts w:ascii="楷体" w:hAnsi="楷体" w:eastAsia="楷体" w:cs="楷体"/>
          <w:spacing w:val="-3"/>
          <w:sz w:val="31"/>
          <w:szCs w:val="31"/>
        </w:rPr>
        <w:t>)</w:t>
      </w:r>
      <w:r>
        <w:rPr>
          <w:spacing w:val="-3"/>
          <w:sz w:val="31"/>
          <w:szCs w:val="31"/>
        </w:rPr>
        <w:t>项目支出情况</w:t>
      </w:r>
    </w:p>
    <w:p w14:paraId="5364DF26">
      <w:pPr>
        <w:spacing w:line="560" w:lineRule="exact"/>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202</w:t>
      </w:r>
      <w:r>
        <w:rPr>
          <w:rFonts w:hint="eastAsia" w:ascii="仿宋" w:hAnsi="仿宋" w:eastAsia="仿宋" w:cs="宋体"/>
          <w:color w:val="000000"/>
          <w:kern w:val="0"/>
          <w:sz w:val="28"/>
          <w:szCs w:val="28"/>
          <w:lang w:val="en-US" w:eastAsia="zh-CN"/>
        </w:rPr>
        <w:t>5</w:t>
      </w:r>
      <w:r>
        <w:rPr>
          <w:rFonts w:hint="eastAsia" w:ascii="仿宋" w:hAnsi="仿宋" w:eastAsia="仿宋" w:cs="宋体"/>
          <w:color w:val="000000"/>
          <w:kern w:val="0"/>
          <w:sz w:val="28"/>
          <w:szCs w:val="28"/>
        </w:rPr>
        <w:t>年财政安排我单位实施</w:t>
      </w:r>
      <w:r>
        <w:rPr>
          <w:rFonts w:hint="eastAsia" w:ascii="仿宋" w:hAnsi="仿宋" w:eastAsia="仿宋" w:cs="宋体"/>
          <w:color w:val="000000"/>
          <w:kern w:val="0"/>
          <w:sz w:val="28"/>
          <w:szCs w:val="28"/>
          <w:lang w:eastAsia="zh-CN"/>
        </w:rPr>
        <w:t>运行维护经费</w:t>
      </w:r>
      <w:r>
        <w:rPr>
          <w:rFonts w:hint="eastAsia" w:ascii="仿宋" w:hAnsi="仿宋" w:eastAsia="仿宋" w:cs="宋体"/>
          <w:color w:val="000000"/>
          <w:kern w:val="0"/>
          <w:sz w:val="28"/>
          <w:szCs w:val="28"/>
        </w:rPr>
        <w:t>和</w:t>
      </w:r>
      <w:r>
        <w:rPr>
          <w:rFonts w:hint="eastAsia" w:ascii="仿宋" w:hAnsi="仿宋" w:eastAsia="仿宋" w:cs="宋体"/>
          <w:color w:val="000000"/>
          <w:kern w:val="0"/>
          <w:sz w:val="28"/>
          <w:szCs w:val="28"/>
          <w:lang w:eastAsia="zh-CN"/>
        </w:rPr>
        <w:t>保障性安居工程</w:t>
      </w:r>
      <w:r>
        <w:rPr>
          <w:rFonts w:hint="eastAsia" w:ascii="仿宋" w:hAnsi="仿宋" w:eastAsia="仿宋" w:cs="宋体"/>
          <w:color w:val="000000"/>
          <w:kern w:val="0"/>
          <w:sz w:val="28"/>
          <w:szCs w:val="28"/>
        </w:rPr>
        <w:t>项目资金共计</w:t>
      </w:r>
      <w:r>
        <w:rPr>
          <w:rFonts w:hint="eastAsia" w:ascii="仿宋" w:hAnsi="仿宋" w:eastAsia="仿宋" w:cs="宋体"/>
          <w:color w:val="000000"/>
          <w:kern w:val="0"/>
          <w:sz w:val="28"/>
          <w:szCs w:val="28"/>
          <w:lang w:val="en-US" w:eastAsia="zh-CN"/>
        </w:rPr>
        <w:t>1262.78</w:t>
      </w:r>
      <w:r>
        <w:rPr>
          <w:rFonts w:hint="eastAsia" w:ascii="仿宋" w:hAnsi="仿宋" w:eastAsia="仿宋" w:cs="宋体"/>
          <w:color w:val="000000"/>
          <w:kern w:val="0"/>
          <w:sz w:val="28"/>
          <w:szCs w:val="28"/>
        </w:rPr>
        <w:t>万元，我单位实际发生项目支出</w:t>
      </w:r>
      <w:r>
        <w:rPr>
          <w:rFonts w:hint="eastAsia" w:ascii="仿宋" w:hAnsi="仿宋" w:eastAsia="仿宋" w:cs="宋体"/>
          <w:color w:val="000000"/>
          <w:kern w:val="0"/>
          <w:sz w:val="28"/>
          <w:szCs w:val="28"/>
          <w:lang w:val="en-US" w:eastAsia="zh-CN"/>
        </w:rPr>
        <w:t>1262.78</w:t>
      </w:r>
      <w:r>
        <w:rPr>
          <w:rFonts w:hint="eastAsia" w:ascii="仿宋" w:hAnsi="仿宋" w:eastAsia="仿宋" w:cs="宋体"/>
          <w:color w:val="000000"/>
          <w:kern w:val="0"/>
          <w:sz w:val="28"/>
          <w:szCs w:val="28"/>
        </w:rPr>
        <w:t>万元。</w:t>
      </w:r>
    </w:p>
    <w:p w14:paraId="6C26CCCC">
      <w:pPr>
        <w:numPr>
          <w:ilvl w:val="0"/>
          <w:numId w:val="1"/>
        </w:numPr>
        <w:spacing w:line="560" w:lineRule="exact"/>
        <w:ind w:firstLine="560" w:firstLineChars="200"/>
        <w:rPr>
          <w:rFonts w:hint="eastAsia" w:ascii="仿宋_GB2312" w:eastAsia="仿宋_GB2312" w:cs="仿宋_GB2312"/>
          <w:bCs/>
          <w:sz w:val="28"/>
          <w:szCs w:val="28"/>
        </w:rPr>
      </w:pPr>
      <w:r>
        <w:rPr>
          <w:rFonts w:hint="eastAsia" w:ascii="仿宋_GB2312" w:eastAsia="仿宋_GB2312" w:cs="仿宋_GB2312"/>
          <w:bCs/>
          <w:sz w:val="28"/>
          <w:szCs w:val="28"/>
        </w:rPr>
        <w:t>项目资金实际使用情况分析</w:t>
      </w:r>
    </w:p>
    <w:p w14:paraId="74F01451">
      <w:pPr>
        <w:spacing w:line="560" w:lineRule="exact"/>
        <w:ind w:firstLine="560" w:firstLineChars="200"/>
        <w:rPr>
          <w:rFonts w:hint="eastAsia" w:ascii="仿宋" w:hAnsi="仿宋" w:eastAsia="仿宋" w:cs="仿宋_GB2312"/>
          <w:bCs/>
          <w:sz w:val="28"/>
          <w:szCs w:val="28"/>
          <w:lang w:eastAsia="zh-CN"/>
        </w:rPr>
      </w:pPr>
      <w:r>
        <w:rPr>
          <w:rFonts w:hint="eastAsia" w:ascii="仿宋" w:hAnsi="仿宋" w:eastAsia="仿宋" w:cs="仿宋_GB2312"/>
          <w:bCs/>
          <w:sz w:val="28"/>
          <w:szCs w:val="28"/>
          <w:lang w:eastAsia="zh-CN"/>
        </w:rPr>
        <w:t>（</w:t>
      </w:r>
      <w:r>
        <w:rPr>
          <w:rFonts w:hint="eastAsia" w:ascii="仿宋" w:hAnsi="仿宋" w:eastAsia="仿宋" w:cs="仿宋_GB2312"/>
          <w:bCs/>
          <w:sz w:val="28"/>
          <w:szCs w:val="28"/>
          <w:lang w:val="en-US" w:eastAsia="zh-CN"/>
        </w:rPr>
        <w:t>1</w:t>
      </w:r>
      <w:r>
        <w:rPr>
          <w:rFonts w:hint="eastAsia" w:ascii="仿宋" w:hAnsi="仿宋" w:eastAsia="仿宋" w:cs="仿宋_GB2312"/>
          <w:bCs/>
          <w:sz w:val="28"/>
          <w:szCs w:val="28"/>
          <w:lang w:eastAsia="zh-CN"/>
        </w:rPr>
        <w:t>）运行维护经费</w:t>
      </w:r>
    </w:p>
    <w:p w14:paraId="6B1B8B94">
      <w:pPr>
        <w:spacing w:line="560" w:lineRule="exact"/>
        <w:ind w:firstLine="560" w:firstLineChars="200"/>
        <w:rPr>
          <w:rFonts w:hint="default" w:ascii="仿宋" w:hAnsi="仿宋" w:eastAsia="仿宋" w:cs="仿宋_GB2312"/>
          <w:bCs/>
          <w:sz w:val="28"/>
          <w:szCs w:val="28"/>
          <w:lang w:val="en-US" w:eastAsia="zh-CN"/>
        </w:rPr>
      </w:pPr>
      <w:r>
        <w:rPr>
          <w:rFonts w:hint="eastAsia" w:ascii="仿宋" w:hAnsi="仿宋" w:eastAsia="仿宋" w:cs="仿宋_GB2312"/>
          <w:bCs/>
          <w:sz w:val="28"/>
          <w:szCs w:val="28"/>
          <w:lang w:val="en-US" w:eastAsia="zh-CN"/>
        </w:rPr>
        <w:t>运行维护经费共493.95万元，其中：保障性住房工作经费21万元；住房保障与服务经费73.86万元；公租房维修399.09万元。具体用于以下几个方面：</w:t>
      </w:r>
    </w:p>
    <w:p w14:paraId="6292E76B">
      <w:pPr>
        <w:spacing w:line="560" w:lineRule="exact"/>
        <w:ind w:firstLine="560" w:firstLineChars="200"/>
        <w:rPr>
          <w:rFonts w:hint="eastAsia" w:ascii="仿宋" w:hAnsi="仿宋" w:eastAsia="仿宋" w:cs="仿宋_GB2312"/>
          <w:bCs/>
          <w:sz w:val="28"/>
          <w:szCs w:val="28"/>
          <w:lang w:val="en-US" w:eastAsia="zh-CN"/>
        </w:rPr>
      </w:pPr>
      <w:r>
        <w:rPr>
          <w:rFonts w:hint="eastAsia" w:ascii="仿宋" w:hAnsi="仿宋" w:eastAsia="仿宋" w:cs="仿宋_GB2312"/>
          <w:bCs/>
          <w:sz w:val="28"/>
          <w:szCs w:val="28"/>
          <w:lang w:val="en-US" w:eastAsia="zh-CN"/>
        </w:rPr>
        <w:t>一是平稳推进住房保障工作，贯彻和</w:t>
      </w:r>
      <w:r>
        <w:rPr>
          <w:rFonts w:hint="eastAsia" w:ascii="仿宋" w:hAnsi="仿宋" w:eastAsia="仿宋" w:cs="宋体"/>
          <w:color w:val="000000"/>
          <w:kern w:val="0"/>
          <w:sz w:val="28"/>
          <w:szCs w:val="28"/>
          <w:lang w:val="en-US" w:eastAsia="en-US"/>
        </w:rPr>
        <w:t>落实国家关于住房保障和住房制度改革的政策</w:t>
      </w:r>
      <w:r>
        <w:rPr>
          <w:rFonts w:hint="eastAsia" w:ascii="仿宋" w:hAnsi="仿宋" w:eastAsia="仿宋" w:cs="宋体"/>
          <w:color w:val="000000"/>
          <w:kern w:val="0"/>
          <w:sz w:val="28"/>
          <w:szCs w:val="28"/>
          <w:lang w:val="en-US" w:eastAsia="zh-CN"/>
        </w:rPr>
        <w:t>，</w:t>
      </w:r>
      <w:r>
        <w:rPr>
          <w:rFonts w:hint="eastAsia" w:ascii="仿宋" w:hAnsi="仿宋" w:eastAsia="仿宋" w:cs="仿宋_GB2312"/>
          <w:bCs/>
          <w:sz w:val="28"/>
          <w:szCs w:val="28"/>
          <w:lang w:val="en-US" w:eastAsia="zh-CN"/>
        </w:rPr>
        <w:t>扩大内需、重民生、保稳定、促和谐；</w:t>
      </w:r>
    </w:p>
    <w:p w14:paraId="0B456D46">
      <w:pPr>
        <w:spacing w:line="560" w:lineRule="exact"/>
        <w:ind w:firstLine="560" w:firstLineChars="200"/>
        <w:rPr>
          <w:rFonts w:hint="eastAsia" w:ascii="仿宋" w:hAnsi="仿宋" w:eastAsia="仿宋" w:cs="仿宋_GB2312"/>
          <w:bCs/>
          <w:sz w:val="28"/>
          <w:szCs w:val="28"/>
          <w:lang w:val="en-US" w:eastAsia="zh-CN"/>
        </w:rPr>
      </w:pPr>
      <w:r>
        <w:rPr>
          <w:rFonts w:hint="eastAsia" w:ascii="仿宋" w:hAnsi="仿宋" w:eastAsia="仿宋" w:cs="仿宋_GB2312"/>
          <w:bCs/>
          <w:sz w:val="28"/>
          <w:szCs w:val="28"/>
          <w:lang w:val="en-US" w:eastAsia="zh-CN"/>
        </w:rPr>
        <w:t>二是保障住房保障工作后续管理有序进行，我中心认真执行《岳阳县公共租赁住房分配运营管理实施细则》，针对后续管理中的重点、难点，严把后续审核机制，严把维修程序管控，确保后续管理更加规范、有序；</w:t>
      </w:r>
    </w:p>
    <w:p w14:paraId="65A519A4">
      <w:pPr>
        <w:spacing w:line="560" w:lineRule="exact"/>
        <w:rPr>
          <w:rFonts w:hint="eastAsia" w:ascii="仿宋" w:hAnsi="仿宋" w:eastAsia="仿宋" w:cs="仿宋_GB2312"/>
          <w:bCs/>
          <w:sz w:val="28"/>
          <w:szCs w:val="28"/>
          <w:lang w:val="en-US" w:eastAsia="zh-CN"/>
        </w:rPr>
      </w:pPr>
      <w:r>
        <w:rPr>
          <w:rFonts w:hint="eastAsia" w:ascii="仿宋" w:hAnsi="仿宋" w:eastAsia="仿宋" w:cs="仿宋_GB2312"/>
          <w:bCs/>
          <w:sz w:val="28"/>
          <w:szCs w:val="28"/>
          <w:lang w:val="en-US" w:eastAsia="zh-CN"/>
        </w:rPr>
        <w:t>创新收缴模式，全面开通租金政务结算，顺利完成2025年租金收缴工作；</w:t>
      </w:r>
    </w:p>
    <w:p w14:paraId="695893D3">
      <w:pPr>
        <w:spacing w:line="560" w:lineRule="exact"/>
        <w:ind w:firstLine="560" w:firstLineChars="200"/>
        <w:rPr>
          <w:rFonts w:hint="eastAsia" w:ascii="仿宋" w:hAnsi="仿宋" w:eastAsia="仿宋" w:cs="仿宋_GB2312"/>
          <w:bCs/>
          <w:sz w:val="28"/>
          <w:szCs w:val="28"/>
          <w:lang w:val="en-US" w:eastAsia="zh-CN"/>
        </w:rPr>
      </w:pPr>
      <w:r>
        <w:rPr>
          <w:rFonts w:hint="eastAsia" w:ascii="仿宋" w:hAnsi="仿宋" w:eastAsia="仿宋" w:cs="仿宋_GB2312"/>
          <w:bCs/>
          <w:sz w:val="28"/>
          <w:szCs w:val="28"/>
          <w:lang w:val="en-US" w:eastAsia="zh-CN"/>
        </w:rPr>
        <w:t>三是在后续管理维修上，我们严把审核关，严格执行《岳阳县公共租赁住房维修实施细则》和县政府采购程序。成立专业维修队伍、进行大中型维修项目12个；对县城范围内富荣路、贺坪路、文胜路、惠民廉租房等直管公租房进行厕所、厨房、下水道等零星维修及改造次数达142次；全年故障排除及维修及时率达100%；7个城区公租房小区充电桩全覆盖；对不便进行物业管理的廉租房小区，进行文明创建管理。</w:t>
      </w:r>
    </w:p>
    <w:p w14:paraId="1D2385B0">
      <w:pPr>
        <w:numPr>
          <w:ilvl w:val="0"/>
          <w:numId w:val="2"/>
        </w:numPr>
        <w:spacing w:line="560" w:lineRule="exact"/>
        <w:ind w:firstLine="560" w:firstLineChars="200"/>
        <w:rPr>
          <w:rFonts w:hint="eastAsia" w:ascii="仿宋" w:hAnsi="仿宋" w:eastAsia="仿宋" w:cs="仿宋_GB2312"/>
          <w:bCs/>
          <w:sz w:val="28"/>
          <w:szCs w:val="28"/>
          <w:lang w:val="en-US" w:eastAsia="zh-CN"/>
        </w:rPr>
      </w:pPr>
      <w:r>
        <w:rPr>
          <w:rFonts w:hint="eastAsia" w:ascii="仿宋" w:hAnsi="仿宋" w:eastAsia="仿宋" w:cs="仿宋_GB2312"/>
          <w:bCs/>
          <w:sz w:val="28"/>
          <w:szCs w:val="28"/>
          <w:lang w:val="en-US" w:eastAsia="zh-CN"/>
        </w:rPr>
        <w:t>专项资金</w:t>
      </w:r>
    </w:p>
    <w:p w14:paraId="7C816BFA">
      <w:pPr>
        <w:spacing w:line="560" w:lineRule="exact"/>
        <w:ind w:firstLine="560" w:firstLineChars="200"/>
        <w:rPr>
          <w:rFonts w:hint="default" w:ascii="仿宋" w:hAnsi="仿宋" w:eastAsia="仿宋" w:cs="仿宋_GB2312"/>
          <w:bCs/>
          <w:color w:val="FF0000"/>
          <w:sz w:val="28"/>
          <w:szCs w:val="28"/>
          <w:lang w:val="en-US" w:eastAsia="zh-CN"/>
        </w:rPr>
      </w:pPr>
      <w:r>
        <w:rPr>
          <w:rFonts w:hint="eastAsia" w:ascii="仿宋" w:hAnsi="仿宋" w:eastAsia="仿宋" w:cs="仿宋_GB2312"/>
          <w:bCs/>
          <w:sz w:val="28"/>
          <w:szCs w:val="28"/>
          <w:lang w:val="en-US" w:eastAsia="zh-CN"/>
        </w:rPr>
        <w:t>保障性安居工程专项资金768.83</w:t>
      </w:r>
      <w:r>
        <w:rPr>
          <w:rFonts w:hint="eastAsia" w:ascii="仿宋" w:hAnsi="仿宋" w:eastAsia="仿宋" w:cs="仿宋_GB2312"/>
          <w:bCs/>
          <w:sz w:val="28"/>
          <w:szCs w:val="28"/>
          <w:lang w:val="en-US" w:eastAsia="zh-CN"/>
        </w:rPr>
        <w:t>万元，其中：保障性安居工程-棚户区改</w:t>
      </w:r>
      <w:r>
        <w:rPr>
          <w:rFonts w:hint="eastAsia" w:ascii="仿宋" w:hAnsi="仿宋" w:eastAsia="仿宋" w:cs="仿宋_GB2312"/>
          <w:bCs/>
          <w:sz w:val="28"/>
          <w:szCs w:val="28"/>
          <w:lang w:val="en-US" w:eastAsia="zh-CN"/>
        </w:rPr>
        <w:t>造城市危旧房项目471.11万元、保障性安居工程-其他16.52万元、租赁补贴281.2万元。</w:t>
      </w:r>
    </w:p>
    <w:p w14:paraId="79F69002">
      <w:pPr>
        <w:spacing w:line="560" w:lineRule="exact"/>
        <w:ind w:firstLine="560" w:firstLineChars="200"/>
        <w:rPr>
          <w:rFonts w:hint="eastAsia" w:ascii="仿宋" w:hAnsi="仿宋" w:eastAsia="仿宋" w:cs="仿宋_GB2312"/>
          <w:bCs/>
          <w:sz w:val="28"/>
          <w:szCs w:val="28"/>
          <w:lang w:val="en-US" w:eastAsia="zh-CN"/>
        </w:rPr>
      </w:pPr>
      <w:r>
        <w:rPr>
          <w:rFonts w:hint="eastAsia" w:ascii="仿宋" w:hAnsi="仿宋" w:eastAsia="仿宋" w:cs="仿宋_GB2312"/>
          <w:bCs/>
          <w:sz w:val="28"/>
          <w:szCs w:val="28"/>
          <w:lang w:val="en-US" w:eastAsia="zh-CN"/>
        </w:rPr>
        <w:t>保障性安居工程-棚户区改造城市危旧房项目：10个227套城市危改维修加固项目德政街一组18套、三组24套、四组31套、五组15套、六组36套、七组14套、八组16套、九组27套、十组28套、县供销联社维修18套已全部完成房屋鉴定、施工图设计、预算批</w:t>
      </w:r>
      <w:bookmarkStart w:id="0" w:name="_GoBack"/>
      <w:bookmarkEnd w:id="0"/>
      <w:r>
        <w:rPr>
          <w:rFonts w:hint="eastAsia" w:ascii="仿宋" w:hAnsi="仿宋" w:eastAsia="仿宋" w:cs="仿宋_GB2312"/>
          <w:bCs/>
          <w:sz w:val="28"/>
          <w:szCs w:val="28"/>
          <w:lang w:val="en-US" w:eastAsia="zh-CN"/>
        </w:rPr>
        <w:t>复、施工合同签订等前期手续，目前项目已竣工验收；原机械厂12套原址重建项目已完成项目立项批复、施工图设计、预算批复、施工合同签订等前期手续，目前项目已完成主体封顶，进入附属工程建设阶段。其中德政街二期9个项目209套已圆满完成全年实事目标任务。</w:t>
      </w:r>
    </w:p>
    <w:p w14:paraId="1A036705">
      <w:pPr>
        <w:spacing w:line="560" w:lineRule="exact"/>
        <w:ind w:firstLine="560" w:firstLineChars="200"/>
        <w:rPr>
          <w:rFonts w:hint="eastAsia" w:ascii="仿宋" w:hAnsi="仿宋" w:eastAsia="仿宋" w:cs="仿宋_GB2312"/>
          <w:bCs/>
          <w:sz w:val="28"/>
          <w:szCs w:val="28"/>
          <w:lang w:val="en-US" w:eastAsia="zh-CN"/>
        </w:rPr>
      </w:pPr>
      <w:r>
        <w:rPr>
          <w:rFonts w:hint="default" w:ascii="仿宋" w:hAnsi="仿宋" w:eastAsia="仿宋" w:cs="仿宋_GB2312"/>
          <w:bCs/>
          <w:sz w:val="28"/>
          <w:szCs w:val="28"/>
          <w:lang w:val="en-US" w:eastAsia="zh-CN"/>
        </w:rPr>
        <w:t>2025年租赁补贴任务为1750户，采用季度发放的方式，截止到年底共计发放1781户。其中：第一季度发放1781户，发放补贴73.16万元；第二季度发放1693户，发放补贴69.43万元；第三季度发放1694户，发放补贴69.</w:t>
      </w:r>
      <w:r>
        <w:rPr>
          <w:rFonts w:hint="eastAsia" w:ascii="仿宋" w:hAnsi="仿宋" w:eastAsia="仿宋" w:cs="仿宋_GB2312"/>
          <w:bCs/>
          <w:sz w:val="28"/>
          <w:szCs w:val="28"/>
          <w:lang w:val="en-US" w:eastAsia="zh-CN"/>
        </w:rPr>
        <w:t>56</w:t>
      </w:r>
      <w:r>
        <w:rPr>
          <w:rFonts w:hint="default" w:ascii="仿宋" w:hAnsi="仿宋" w:eastAsia="仿宋" w:cs="仿宋_GB2312"/>
          <w:bCs/>
          <w:sz w:val="28"/>
          <w:szCs w:val="28"/>
          <w:lang w:val="en-US" w:eastAsia="zh-CN"/>
        </w:rPr>
        <w:t>万元；第四季度发放1680户，发放补贴69.05万元</w:t>
      </w:r>
      <w:r>
        <w:rPr>
          <w:rFonts w:hint="eastAsia" w:ascii="仿宋" w:hAnsi="仿宋" w:eastAsia="仿宋" w:cs="仿宋_GB2312"/>
          <w:bCs/>
          <w:sz w:val="28"/>
          <w:szCs w:val="28"/>
          <w:lang w:val="en-US" w:eastAsia="zh-CN"/>
        </w:rPr>
        <w:t>。</w:t>
      </w:r>
    </w:p>
    <w:p w14:paraId="4255F19F">
      <w:pPr>
        <w:numPr>
          <w:ilvl w:val="0"/>
          <w:numId w:val="1"/>
        </w:numPr>
        <w:spacing w:line="560" w:lineRule="exact"/>
        <w:ind w:firstLine="560" w:firstLineChars="200"/>
        <w:rPr>
          <w:rFonts w:hint="eastAsia" w:ascii="仿宋_GB2312" w:eastAsia="仿宋_GB2312" w:cs="仿宋_GB2312"/>
          <w:bCs/>
          <w:sz w:val="28"/>
          <w:szCs w:val="28"/>
        </w:rPr>
      </w:pPr>
      <w:r>
        <w:rPr>
          <w:rFonts w:hint="eastAsia" w:ascii="仿宋_GB2312" w:eastAsia="仿宋_GB2312" w:cs="仿宋_GB2312"/>
          <w:bCs/>
          <w:sz w:val="28"/>
          <w:szCs w:val="28"/>
        </w:rPr>
        <w:t>项目资金管理情况分析</w:t>
      </w:r>
    </w:p>
    <w:p w14:paraId="0FC638DC">
      <w:pPr>
        <w:spacing w:line="560" w:lineRule="exact"/>
        <w:ind w:firstLine="560" w:firstLineChars="200"/>
        <w:rPr>
          <w:rFonts w:hint="eastAsia" w:ascii="仿宋" w:hAnsi="仿宋" w:eastAsia="仿宋" w:cs="仿宋_GB2312"/>
          <w:bCs/>
          <w:sz w:val="28"/>
          <w:szCs w:val="28"/>
        </w:rPr>
      </w:pPr>
      <w:r>
        <w:rPr>
          <w:rFonts w:hint="eastAsia" w:ascii="仿宋" w:hAnsi="仿宋" w:eastAsia="仿宋" w:cs="仿宋_GB2312"/>
          <w:bCs/>
          <w:sz w:val="28"/>
          <w:szCs w:val="28"/>
          <w:lang w:eastAsia="zh-CN"/>
        </w:rPr>
        <w:t>我中心</w:t>
      </w:r>
      <w:r>
        <w:rPr>
          <w:rFonts w:hint="eastAsia" w:ascii="仿宋" w:hAnsi="仿宋" w:eastAsia="仿宋" w:cs="仿宋_GB2312"/>
          <w:bCs/>
          <w:sz w:val="28"/>
          <w:szCs w:val="28"/>
        </w:rPr>
        <w:t>项目资金严格按照资金用途开支，实行专帐专户管理，项目实施资金发放进行公开公示，项目验收，完工结算等邀请专业部门进行专项审计，开展项目绩效评价，确保资金充分发挥效益。</w:t>
      </w:r>
    </w:p>
    <w:p w14:paraId="50646F4B">
      <w:pPr>
        <w:numPr>
          <w:ilvl w:val="0"/>
          <w:numId w:val="3"/>
        </w:numPr>
        <w:spacing w:before="197" w:line="222" w:lineRule="auto"/>
        <w:ind w:left="684"/>
        <w:rPr>
          <w:rFonts w:ascii="黑体" w:hAnsi="黑体" w:eastAsia="黑体" w:cs="黑体"/>
          <w:b/>
          <w:bCs/>
          <w:sz w:val="31"/>
          <w:szCs w:val="31"/>
        </w:rPr>
      </w:pPr>
      <w:r>
        <w:rPr>
          <w:rFonts w:ascii="黑体" w:hAnsi="黑体" w:eastAsia="黑体" w:cs="黑体"/>
          <w:b/>
          <w:bCs/>
          <w:sz w:val="31"/>
          <w:szCs w:val="31"/>
        </w:rPr>
        <w:t>政府性基金预算支出情况</w:t>
      </w:r>
    </w:p>
    <w:p w14:paraId="44EA667D">
      <w:pPr>
        <w:spacing w:line="560" w:lineRule="exact"/>
        <w:ind w:firstLine="560" w:firstLineChars="200"/>
        <w:rPr>
          <w:rFonts w:hint="eastAsia" w:ascii="仿宋" w:hAnsi="仿宋" w:eastAsia="仿宋" w:cs="仿宋_GB2312"/>
          <w:bCs/>
          <w:sz w:val="28"/>
          <w:szCs w:val="28"/>
          <w:lang w:eastAsia="zh-CN"/>
        </w:rPr>
      </w:pPr>
      <w:r>
        <w:rPr>
          <w:rFonts w:hint="eastAsia" w:ascii="仿宋" w:hAnsi="仿宋" w:eastAsia="仿宋" w:cs="仿宋_GB2312"/>
          <w:bCs/>
          <w:sz w:val="28"/>
          <w:szCs w:val="28"/>
          <w:lang w:eastAsia="zh-CN"/>
        </w:rPr>
        <w:t>无</w:t>
      </w:r>
    </w:p>
    <w:p w14:paraId="5DC947DC">
      <w:pPr>
        <w:numPr>
          <w:ilvl w:val="0"/>
          <w:numId w:val="3"/>
        </w:numPr>
        <w:spacing w:before="227" w:line="222" w:lineRule="auto"/>
        <w:ind w:left="684" w:leftChars="0" w:firstLine="0" w:firstLineChars="0"/>
        <w:rPr>
          <w:rFonts w:ascii="黑体" w:hAnsi="黑体" w:eastAsia="黑体" w:cs="黑体"/>
          <w:b/>
          <w:bCs/>
          <w:sz w:val="31"/>
          <w:szCs w:val="31"/>
        </w:rPr>
      </w:pPr>
      <w:r>
        <w:rPr>
          <w:rFonts w:ascii="黑体" w:hAnsi="黑体" w:eastAsia="黑体" w:cs="黑体"/>
          <w:b/>
          <w:bCs/>
          <w:sz w:val="31"/>
          <w:szCs w:val="31"/>
        </w:rPr>
        <w:t>国有资本经营预算支出情况</w:t>
      </w:r>
    </w:p>
    <w:p w14:paraId="3D3DE7A3">
      <w:pPr>
        <w:spacing w:line="560" w:lineRule="exact"/>
        <w:ind w:firstLine="560" w:firstLineChars="200"/>
        <w:rPr>
          <w:rFonts w:hint="eastAsia" w:ascii="仿宋" w:hAnsi="仿宋" w:eastAsia="仿宋" w:cs="仿宋_GB2312"/>
          <w:bCs/>
          <w:sz w:val="28"/>
          <w:szCs w:val="28"/>
          <w:lang w:eastAsia="zh-CN"/>
        </w:rPr>
      </w:pPr>
      <w:r>
        <w:rPr>
          <w:rFonts w:hint="eastAsia" w:ascii="仿宋" w:hAnsi="仿宋" w:eastAsia="仿宋" w:cs="仿宋_GB2312"/>
          <w:bCs/>
          <w:sz w:val="28"/>
          <w:szCs w:val="28"/>
          <w:lang w:eastAsia="zh-CN"/>
        </w:rPr>
        <w:t>无</w:t>
      </w:r>
    </w:p>
    <w:p w14:paraId="8F5899BF">
      <w:pPr>
        <w:numPr>
          <w:ilvl w:val="0"/>
          <w:numId w:val="3"/>
        </w:numPr>
        <w:spacing w:before="227" w:line="222" w:lineRule="auto"/>
        <w:ind w:left="684" w:leftChars="0" w:firstLine="0" w:firstLineChars="0"/>
        <w:rPr>
          <w:rFonts w:ascii="黑体" w:hAnsi="黑体" w:eastAsia="黑体" w:cs="黑体"/>
          <w:b/>
          <w:bCs/>
          <w:spacing w:val="1"/>
          <w:sz w:val="31"/>
          <w:szCs w:val="31"/>
        </w:rPr>
      </w:pPr>
      <w:r>
        <w:rPr>
          <w:rFonts w:ascii="黑体" w:hAnsi="黑体" w:eastAsia="黑体" w:cs="黑体"/>
          <w:b/>
          <w:bCs/>
          <w:spacing w:val="1"/>
          <w:sz w:val="31"/>
          <w:szCs w:val="31"/>
        </w:rPr>
        <w:t>社会保险基金预算支出情况</w:t>
      </w:r>
    </w:p>
    <w:p w14:paraId="4475FFA0">
      <w:pPr>
        <w:spacing w:line="560" w:lineRule="exact"/>
        <w:ind w:firstLine="560" w:firstLineChars="200"/>
        <w:rPr>
          <w:rFonts w:ascii="黑体" w:hAnsi="黑体" w:eastAsia="黑体" w:cs="黑体"/>
          <w:b/>
          <w:bCs/>
          <w:sz w:val="31"/>
          <w:szCs w:val="31"/>
        </w:rPr>
      </w:pPr>
      <w:r>
        <w:rPr>
          <w:rFonts w:hint="eastAsia" w:ascii="仿宋" w:hAnsi="仿宋" w:eastAsia="仿宋" w:cs="仿宋_GB2312"/>
          <w:bCs/>
          <w:sz w:val="28"/>
          <w:szCs w:val="28"/>
          <w:lang w:eastAsia="zh-CN"/>
        </w:rPr>
        <w:t>无</w:t>
      </w:r>
    </w:p>
    <w:p w14:paraId="5B64FD0C">
      <w:pPr>
        <w:spacing w:before="227" w:line="221" w:lineRule="auto"/>
        <w:ind w:left="684"/>
        <w:rPr>
          <w:rFonts w:ascii="黑体" w:hAnsi="黑体" w:eastAsia="黑体" w:cs="黑体"/>
          <w:sz w:val="31"/>
          <w:szCs w:val="31"/>
        </w:rPr>
      </w:pPr>
      <w:r>
        <w:rPr>
          <w:rFonts w:ascii="黑体" w:hAnsi="黑体" w:eastAsia="黑体" w:cs="黑体"/>
          <w:b/>
          <w:bCs/>
          <w:sz w:val="31"/>
          <w:szCs w:val="31"/>
        </w:rPr>
        <w:t>六、部门整体支出绩效情况</w:t>
      </w:r>
    </w:p>
    <w:p w14:paraId="086E84D6">
      <w:pPr>
        <w:pStyle w:val="2"/>
        <w:spacing w:before="207" w:line="356" w:lineRule="auto"/>
        <w:ind w:left="29" w:right="246" w:firstLine="649"/>
        <w:rPr>
          <w:rFonts w:hint="eastAsia" w:cs="仿宋_GB2312"/>
          <w:bCs/>
          <w:sz w:val="28"/>
          <w:szCs w:val="28"/>
          <w:lang w:val="en-US" w:eastAsia="zh-CN"/>
        </w:rPr>
      </w:pPr>
      <w:r>
        <w:rPr>
          <w:rFonts w:hint="eastAsia" w:cs="仿宋_GB2312"/>
          <w:bCs/>
          <w:sz w:val="28"/>
          <w:szCs w:val="28"/>
          <w:lang w:val="en-US" w:eastAsia="zh-CN"/>
        </w:rPr>
        <w:t>2025年度支出总计1499.35万元，其中基本支出236.57万元，主要用于人员工资、福利、社会保障缴费及办公室公用支出等，项目支出1262.78万元，主要为2025年运行维护经费及保障性安居工程等开支。</w:t>
      </w:r>
    </w:p>
    <w:p w14:paraId="43AEFD65">
      <w:pPr>
        <w:pStyle w:val="2"/>
        <w:spacing w:before="207" w:line="356" w:lineRule="auto"/>
        <w:ind w:left="29" w:right="246" w:firstLine="649"/>
        <w:rPr>
          <w:rFonts w:hint="eastAsia" w:ascii="仿宋" w:hAnsi="仿宋" w:eastAsia="仿宋" w:cs="仿宋_GB2312"/>
          <w:bCs/>
          <w:sz w:val="28"/>
          <w:szCs w:val="28"/>
          <w:lang w:eastAsia="zh-CN"/>
        </w:rPr>
      </w:pPr>
      <w:r>
        <w:rPr>
          <w:rFonts w:hint="eastAsia" w:cs="仿宋_GB2312"/>
          <w:bCs/>
          <w:sz w:val="28"/>
          <w:szCs w:val="28"/>
          <w:lang w:val="en-US" w:eastAsia="zh-CN"/>
        </w:rPr>
        <w:t>我中心2025年根据年初工作计划和工作安排，紧紧围绕上级经济工作的要求，积极履行职责职能，强化管理，较好的完成了年度工作目标。通过加强预算收支管理，不断建立健全内部管理制度，梳理内部管理流程，部门整体支出管理情况得到提升，成效明显。同时，</w:t>
      </w:r>
      <w:r>
        <w:rPr>
          <w:rFonts w:hint="eastAsia" w:ascii="仿宋" w:hAnsi="仿宋" w:eastAsia="仿宋" w:cs="仿宋_GB2312"/>
          <w:bCs/>
          <w:sz w:val="28"/>
          <w:szCs w:val="28"/>
          <w:lang w:eastAsia="zh-CN"/>
        </w:rPr>
        <w:t>对整个资金支出情况和工作成果进行了认真分析，部门整体支出达到了预期工作成果，实现了预期工作目标，通过部门整体评价，特别是专项项目的实施，改善了群众居住环境，为低收入群体基础生活提供了有力保障；降低了安全事故风险，为住户提供了安全便利的居住体验。</w:t>
      </w:r>
    </w:p>
    <w:p w14:paraId="6925313B">
      <w:pPr>
        <w:numPr>
          <w:ilvl w:val="0"/>
          <w:numId w:val="0"/>
        </w:numPr>
        <w:spacing w:before="227" w:line="222" w:lineRule="auto"/>
        <w:ind w:left="684" w:leftChars="0"/>
        <w:rPr>
          <w:rFonts w:hint="eastAsia" w:ascii="仿宋" w:hAnsi="仿宋" w:eastAsia="仿宋" w:cs="仿宋_GB2312"/>
          <w:bCs/>
          <w:sz w:val="28"/>
          <w:szCs w:val="28"/>
          <w:lang w:eastAsia="zh-CN"/>
        </w:rPr>
      </w:pPr>
      <w:r>
        <w:rPr>
          <w:rFonts w:ascii="黑体" w:hAnsi="黑体" w:eastAsia="黑体" w:cs="黑体"/>
          <w:b/>
          <w:bCs/>
          <w:spacing w:val="1"/>
          <w:sz w:val="31"/>
          <w:szCs w:val="31"/>
        </w:rPr>
        <w:t>七、存在的问题及原因分析</w:t>
      </w:r>
    </w:p>
    <w:p w14:paraId="72502AEE">
      <w:pPr>
        <w:numPr>
          <w:ilvl w:val="0"/>
          <w:numId w:val="0"/>
        </w:numPr>
        <w:spacing w:line="560" w:lineRule="exact"/>
        <w:ind w:firstLine="560" w:firstLineChars="200"/>
        <w:rPr>
          <w:rFonts w:hint="eastAsia" w:ascii="仿宋" w:hAnsi="仿宋" w:eastAsia="仿宋" w:cs="仿宋_GB2312"/>
          <w:bCs/>
          <w:sz w:val="28"/>
          <w:szCs w:val="28"/>
          <w:lang w:eastAsia="zh-CN"/>
        </w:rPr>
      </w:pPr>
      <w:r>
        <w:rPr>
          <w:rFonts w:hint="eastAsia" w:ascii="仿宋" w:hAnsi="仿宋" w:eastAsia="仿宋" w:cs="仿宋_GB2312"/>
          <w:bCs/>
          <w:sz w:val="28"/>
          <w:szCs w:val="28"/>
          <w:lang w:val="en-US" w:eastAsia="zh-CN"/>
        </w:rPr>
        <w:t>1、</w:t>
      </w:r>
      <w:r>
        <w:rPr>
          <w:rFonts w:hint="eastAsia" w:ascii="仿宋" w:hAnsi="仿宋" w:eastAsia="仿宋" w:cs="仿宋_GB2312"/>
          <w:bCs/>
          <w:sz w:val="28"/>
          <w:szCs w:val="28"/>
          <w:lang w:eastAsia="zh-CN"/>
        </w:rPr>
        <w:t>人员配备程度不足</w:t>
      </w:r>
    </w:p>
    <w:p w14:paraId="2836BF87">
      <w:pPr>
        <w:spacing w:line="560" w:lineRule="exact"/>
        <w:ind w:firstLine="560" w:firstLineChars="200"/>
        <w:rPr>
          <w:rFonts w:hint="eastAsia" w:ascii="仿宋" w:hAnsi="仿宋" w:eastAsia="仿宋" w:cs="仿宋_GB2312"/>
          <w:bCs/>
          <w:sz w:val="28"/>
          <w:szCs w:val="28"/>
          <w:lang w:val="en-US" w:eastAsia="zh-CN"/>
        </w:rPr>
      </w:pPr>
      <w:r>
        <w:rPr>
          <w:rFonts w:hint="eastAsia" w:ascii="仿宋" w:hAnsi="仿宋" w:eastAsia="仿宋" w:cs="仿宋_GB2312"/>
          <w:bCs/>
          <w:sz w:val="28"/>
          <w:szCs w:val="28"/>
          <w:lang w:eastAsia="zh-CN"/>
        </w:rPr>
        <w:t>随着无纸化办公程度越来越高，对人员电脑使用要求变高，我中心年轻职工较少，整体电脑化办公程度不高，且我中心日常工作繁琐，尤其是后续管理工作需要人力较多，一人身兼数职的程度高，导致我中心人员配备仍需调整和加强。</w:t>
      </w:r>
    </w:p>
    <w:p w14:paraId="1AC91AAF">
      <w:pPr>
        <w:spacing w:line="560" w:lineRule="exact"/>
        <w:ind w:firstLine="560" w:firstLineChars="200"/>
        <w:rPr>
          <w:rFonts w:hint="default" w:ascii="仿宋" w:hAnsi="仿宋" w:eastAsia="仿宋" w:cs="仿宋_GB2312"/>
          <w:bCs/>
          <w:sz w:val="28"/>
          <w:szCs w:val="28"/>
          <w:lang w:val="en-US" w:eastAsia="zh-CN"/>
        </w:rPr>
      </w:pPr>
      <w:r>
        <w:rPr>
          <w:rFonts w:hint="eastAsia" w:ascii="仿宋" w:hAnsi="仿宋" w:eastAsia="仿宋" w:cs="仿宋_GB2312"/>
          <w:bCs/>
          <w:sz w:val="28"/>
          <w:szCs w:val="28"/>
          <w:lang w:val="en-US" w:eastAsia="zh-CN"/>
        </w:rPr>
        <w:t>2、部分群体收租困难</w:t>
      </w:r>
    </w:p>
    <w:p w14:paraId="696576C3">
      <w:pPr>
        <w:spacing w:line="560" w:lineRule="exact"/>
        <w:ind w:firstLine="560" w:firstLineChars="200"/>
        <w:rPr>
          <w:rFonts w:hint="eastAsia" w:ascii="仿宋" w:hAnsi="仿宋" w:eastAsia="仿宋" w:cs="仿宋_GB2312"/>
          <w:bCs/>
          <w:sz w:val="28"/>
          <w:szCs w:val="28"/>
          <w:lang w:eastAsia="zh-CN"/>
        </w:rPr>
      </w:pPr>
      <w:r>
        <w:rPr>
          <w:rFonts w:hint="eastAsia" w:ascii="仿宋" w:hAnsi="仿宋" w:eastAsia="仿宋" w:cs="仿宋_GB2312"/>
          <w:bCs/>
          <w:sz w:val="28"/>
          <w:szCs w:val="28"/>
          <w:lang w:eastAsia="zh-CN"/>
        </w:rPr>
        <w:t>由于公共租赁住房面临的是社会相对弱势群里，在目前公共租赁住房租金收缴工作中会遇到租金收缴工作难等诸多问题。</w:t>
      </w:r>
    </w:p>
    <w:p w14:paraId="3BD3003C">
      <w:pPr>
        <w:numPr>
          <w:ilvl w:val="0"/>
          <w:numId w:val="0"/>
        </w:numPr>
        <w:spacing w:line="560" w:lineRule="exact"/>
        <w:ind w:firstLine="560" w:firstLineChars="200"/>
        <w:rPr>
          <w:rFonts w:hint="eastAsia" w:ascii="仿宋" w:hAnsi="仿宋" w:eastAsia="仿宋" w:cs="仿宋_GB2312"/>
          <w:bCs/>
          <w:sz w:val="28"/>
          <w:szCs w:val="28"/>
          <w:lang w:val="en-US" w:eastAsia="zh-CN"/>
        </w:rPr>
      </w:pPr>
      <w:r>
        <w:rPr>
          <w:rFonts w:hint="eastAsia" w:ascii="仿宋" w:hAnsi="仿宋" w:eastAsia="仿宋" w:cs="仿宋_GB2312"/>
          <w:bCs/>
          <w:sz w:val="28"/>
          <w:szCs w:val="28"/>
          <w:lang w:val="en-US" w:eastAsia="zh-CN"/>
        </w:rPr>
        <w:t>3、后续管理难度大</w:t>
      </w:r>
    </w:p>
    <w:p w14:paraId="418B9D9C">
      <w:pPr>
        <w:numPr>
          <w:ilvl w:val="0"/>
          <w:numId w:val="0"/>
        </w:numPr>
        <w:spacing w:line="560" w:lineRule="exact"/>
        <w:ind w:firstLine="560" w:firstLineChars="200"/>
        <w:rPr>
          <w:rFonts w:hint="eastAsia" w:ascii="仿宋" w:hAnsi="仿宋" w:eastAsia="仿宋" w:cs="仿宋_GB2312"/>
          <w:bCs/>
          <w:sz w:val="28"/>
          <w:szCs w:val="28"/>
          <w:lang w:val="en-US" w:eastAsia="zh-CN"/>
        </w:rPr>
      </w:pPr>
      <w:r>
        <w:rPr>
          <w:rFonts w:hint="eastAsia" w:ascii="仿宋" w:hAnsi="仿宋" w:eastAsia="仿宋" w:cs="仿宋_GB2312"/>
          <w:bCs/>
          <w:sz w:val="28"/>
          <w:szCs w:val="28"/>
          <w:lang w:val="en-US" w:eastAsia="zh-CN"/>
        </w:rPr>
        <w:t xml:space="preserve"> 我县保障性住房群体较大，管理难度大，再保障性住房配租过程中依旧存在不符合条件入住、提供虚假信息资料骗租、转租、转借、转卖等违法行为。</w:t>
      </w:r>
    </w:p>
    <w:p w14:paraId="6D0851F1">
      <w:pPr>
        <w:widowControl/>
        <w:shd w:val="clear" w:color="auto" w:fill="FFFFFF"/>
        <w:spacing w:line="560" w:lineRule="exact"/>
        <w:ind w:firstLine="480"/>
        <w:jc w:val="left"/>
        <w:rPr>
          <w:rFonts w:hint="eastAsia" w:ascii="仿宋" w:hAnsi="仿宋" w:eastAsia="仿宋" w:cs="宋体"/>
          <w:color w:val="auto"/>
          <w:kern w:val="0"/>
          <w:sz w:val="28"/>
          <w:szCs w:val="28"/>
          <w:lang w:val="en-US" w:eastAsia="zh-CN"/>
        </w:rPr>
      </w:pPr>
      <w:r>
        <w:rPr>
          <w:rFonts w:hint="eastAsia" w:ascii="仿宋" w:hAnsi="仿宋" w:eastAsia="仿宋" w:cs="宋体"/>
          <w:color w:val="auto"/>
          <w:kern w:val="0"/>
          <w:sz w:val="28"/>
          <w:szCs w:val="28"/>
          <w:lang w:val="en-US" w:eastAsia="zh-CN"/>
        </w:rPr>
        <w:t>4、保租房管理难度大</w:t>
      </w:r>
    </w:p>
    <w:p w14:paraId="56B5B062">
      <w:pPr>
        <w:widowControl/>
        <w:shd w:val="clear" w:color="auto" w:fill="FFFFFF"/>
        <w:spacing w:line="560" w:lineRule="exact"/>
        <w:ind w:firstLine="480"/>
        <w:jc w:val="left"/>
        <w:rPr>
          <w:rFonts w:hint="eastAsia" w:ascii="仿宋" w:hAnsi="仿宋" w:eastAsia="仿宋" w:cs="宋体"/>
          <w:color w:val="auto"/>
          <w:kern w:val="0"/>
          <w:sz w:val="28"/>
          <w:szCs w:val="28"/>
          <w:lang w:val="en-US" w:eastAsia="zh-CN"/>
        </w:rPr>
      </w:pPr>
      <w:r>
        <w:rPr>
          <w:rFonts w:hint="eastAsia" w:ascii="仿宋" w:hAnsi="仿宋" w:eastAsia="仿宋" w:cs="宋体"/>
          <w:color w:val="auto"/>
          <w:kern w:val="0"/>
          <w:sz w:val="28"/>
          <w:szCs w:val="28"/>
          <w:lang w:val="en-US" w:eastAsia="zh-CN"/>
        </w:rPr>
        <w:t>保租房申请人数多，审核量大；且保租房管理期间，由于居民收入等情况不断发生变化，对于在一段时间后不再符合居住条件的人群，需进行核查，才能避免出现房屋闲置或外租现象；</w:t>
      </w:r>
    </w:p>
    <w:p w14:paraId="16FF3177">
      <w:pPr>
        <w:widowControl/>
        <w:numPr>
          <w:ilvl w:val="0"/>
          <w:numId w:val="0"/>
        </w:numPr>
        <w:shd w:val="clear" w:color="auto" w:fill="FFFFFF"/>
        <w:spacing w:line="560" w:lineRule="exact"/>
        <w:ind w:left="480" w:leftChars="0"/>
        <w:jc w:val="left"/>
        <w:rPr>
          <w:rFonts w:hint="eastAsia" w:ascii="仿宋" w:hAnsi="仿宋" w:eastAsia="仿宋" w:cs="宋体"/>
          <w:color w:val="auto"/>
          <w:kern w:val="0"/>
          <w:sz w:val="28"/>
          <w:szCs w:val="28"/>
          <w:lang w:val="en-US" w:eastAsia="zh-CN"/>
        </w:rPr>
      </w:pPr>
      <w:r>
        <w:rPr>
          <w:rFonts w:hint="eastAsia" w:ascii="仿宋" w:hAnsi="仿宋" w:eastAsia="仿宋" w:cs="宋体"/>
          <w:color w:val="auto"/>
          <w:kern w:val="0"/>
          <w:sz w:val="28"/>
          <w:szCs w:val="28"/>
          <w:lang w:val="en-US" w:eastAsia="zh-CN"/>
        </w:rPr>
        <w:t>5、租赁补贴发放信息更新慢</w:t>
      </w:r>
    </w:p>
    <w:p w14:paraId="1545E95B">
      <w:pPr>
        <w:widowControl/>
        <w:shd w:val="clear" w:color="auto" w:fill="FFFFFF"/>
        <w:spacing w:line="560" w:lineRule="exact"/>
        <w:ind w:firstLine="480"/>
        <w:jc w:val="left"/>
        <w:rPr>
          <w:rFonts w:hint="default" w:ascii="仿宋" w:hAnsi="仿宋" w:eastAsia="仿宋" w:cs="宋体"/>
          <w:color w:val="auto"/>
          <w:kern w:val="0"/>
          <w:sz w:val="28"/>
          <w:szCs w:val="28"/>
          <w:lang w:val="en-US" w:eastAsia="zh-CN"/>
        </w:rPr>
      </w:pPr>
      <w:r>
        <w:rPr>
          <w:rFonts w:hint="eastAsia" w:ascii="仿宋" w:hAnsi="仿宋" w:eastAsia="仿宋" w:cs="宋体"/>
          <w:color w:val="auto"/>
          <w:kern w:val="0"/>
          <w:sz w:val="28"/>
          <w:szCs w:val="28"/>
          <w:lang w:val="en-US" w:eastAsia="zh-CN"/>
        </w:rPr>
        <w:t>由于租赁补贴对象数量多，且由人工进行数据核对，导致发放对象数据比对难度大，数据信息延迟；</w:t>
      </w:r>
    </w:p>
    <w:p w14:paraId="47688C87">
      <w:pPr>
        <w:widowControl/>
        <w:numPr>
          <w:ilvl w:val="0"/>
          <w:numId w:val="0"/>
        </w:numPr>
        <w:shd w:val="clear" w:color="auto" w:fill="FFFFFF"/>
        <w:spacing w:line="560" w:lineRule="exact"/>
        <w:ind w:left="480" w:leftChars="0"/>
        <w:jc w:val="left"/>
        <w:rPr>
          <w:rFonts w:hint="default" w:ascii="仿宋" w:hAnsi="仿宋" w:eastAsia="仿宋" w:cs="宋体"/>
          <w:color w:val="auto"/>
          <w:kern w:val="0"/>
          <w:sz w:val="28"/>
          <w:szCs w:val="28"/>
          <w:lang w:val="en-US" w:eastAsia="zh-CN"/>
        </w:rPr>
      </w:pPr>
      <w:r>
        <w:rPr>
          <w:rFonts w:hint="eastAsia" w:ascii="仿宋" w:hAnsi="仿宋" w:eastAsia="仿宋" w:cs="宋体"/>
          <w:color w:val="auto"/>
          <w:kern w:val="0"/>
          <w:sz w:val="28"/>
          <w:szCs w:val="28"/>
          <w:lang w:val="en-US" w:eastAsia="zh-CN"/>
        </w:rPr>
        <w:t>6、棚改城市危旧房改造管理需加强</w:t>
      </w:r>
    </w:p>
    <w:p w14:paraId="39E0C37D">
      <w:pPr>
        <w:widowControl/>
        <w:shd w:val="clear" w:color="auto" w:fill="FFFFFF"/>
        <w:spacing w:line="560" w:lineRule="exact"/>
        <w:ind w:firstLine="480"/>
        <w:jc w:val="left"/>
        <w:rPr>
          <w:rFonts w:hint="eastAsia" w:ascii="仿宋" w:hAnsi="仿宋" w:eastAsia="仿宋" w:cs="宋体"/>
          <w:color w:val="auto"/>
          <w:kern w:val="0"/>
          <w:sz w:val="28"/>
          <w:szCs w:val="28"/>
          <w:lang w:val="en-US" w:eastAsia="zh-CN"/>
        </w:rPr>
      </w:pPr>
      <w:r>
        <w:rPr>
          <w:rFonts w:hint="eastAsia" w:ascii="仿宋" w:hAnsi="仿宋" w:eastAsia="仿宋" w:cs="宋体"/>
          <w:color w:val="auto"/>
          <w:kern w:val="0"/>
          <w:sz w:val="28"/>
          <w:szCs w:val="28"/>
          <w:lang w:val="en-US" w:eastAsia="zh-CN"/>
        </w:rPr>
        <w:t>存在的安全隐患的危旧房范围广、数量多；对危旧房安全管理认识不够，危房大检查缺乏系统化、网络化，监管档案不健全；危旧房安全管理、安全使用的宣传力度不够。</w:t>
      </w:r>
    </w:p>
    <w:p w14:paraId="700B5430">
      <w:pPr>
        <w:spacing w:before="226" w:line="221" w:lineRule="auto"/>
        <w:ind w:left="684"/>
        <w:rPr>
          <w:rFonts w:hint="eastAsia" w:ascii="黑体" w:hAnsi="黑体" w:eastAsia="黑体" w:cs="黑体"/>
          <w:b/>
          <w:bCs/>
          <w:spacing w:val="2"/>
          <w:sz w:val="31"/>
          <w:szCs w:val="31"/>
          <w:lang w:val="en-US" w:eastAsia="zh-CN"/>
        </w:rPr>
      </w:pPr>
      <w:r>
        <w:rPr>
          <w:rFonts w:hint="eastAsia" w:ascii="黑体" w:hAnsi="黑体" w:eastAsia="黑体" w:cs="黑体"/>
          <w:b/>
          <w:bCs/>
          <w:spacing w:val="2"/>
          <w:sz w:val="31"/>
          <w:szCs w:val="31"/>
          <w:lang w:val="en-US" w:eastAsia="zh-CN"/>
        </w:rPr>
        <w:t>八、下一步改进措施</w:t>
      </w:r>
    </w:p>
    <w:p w14:paraId="6FF49FF8">
      <w:pPr>
        <w:widowControl/>
        <w:shd w:val="clear" w:color="auto" w:fill="FFFFFF"/>
        <w:spacing w:line="560" w:lineRule="exact"/>
        <w:ind w:firstLine="480"/>
        <w:jc w:val="left"/>
        <w:rPr>
          <w:rFonts w:hint="eastAsia" w:ascii="仿宋" w:hAnsi="仿宋" w:eastAsia="仿宋" w:cs="仿宋_GB2312"/>
          <w:bCs/>
          <w:sz w:val="28"/>
          <w:szCs w:val="28"/>
          <w:lang w:val="en-US" w:eastAsia="zh-CN"/>
        </w:rPr>
      </w:pPr>
      <w:r>
        <w:rPr>
          <w:rFonts w:hint="eastAsia" w:ascii="仿宋" w:hAnsi="仿宋" w:eastAsia="仿宋" w:cs="宋体"/>
          <w:color w:val="auto"/>
          <w:kern w:val="0"/>
          <w:sz w:val="28"/>
          <w:szCs w:val="28"/>
          <w:lang w:val="en-US" w:eastAsia="zh-CN"/>
        </w:rPr>
        <w:t>人员配备方面：培训和发展现有员工的技能，提高他们的工作效</w:t>
      </w:r>
      <w:r>
        <w:rPr>
          <w:rFonts w:hint="eastAsia" w:ascii="仿宋" w:hAnsi="仿宋" w:eastAsia="仿宋" w:cs="仿宋_GB2312"/>
          <w:bCs/>
          <w:sz w:val="28"/>
          <w:szCs w:val="28"/>
          <w:lang w:val="en-US" w:eastAsia="zh-CN"/>
        </w:rPr>
        <w:t>率和生产力；优化工作流程和工作安排，以最大限度地利用现有的人力资源；调整工作职责和分配，以确保每个员工都能发挥其最大的潜力；加强组织文化和团队合作，提高整个单位的人力资源管理水平。</w:t>
      </w:r>
    </w:p>
    <w:p w14:paraId="1B783838">
      <w:pPr>
        <w:numPr>
          <w:ilvl w:val="0"/>
          <w:numId w:val="4"/>
        </w:numPr>
        <w:spacing w:line="560" w:lineRule="exact"/>
        <w:ind w:left="0" w:leftChars="0" w:firstLine="560" w:firstLineChars="200"/>
        <w:rPr>
          <w:rFonts w:hint="eastAsia" w:ascii="仿宋" w:hAnsi="仿宋" w:eastAsia="仿宋" w:cs="仿宋_GB2312"/>
          <w:bCs/>
          <w:sz w:val="28"/>
          <w:szCs w:val="28"/>
          <w:lang w:val="en-US" w:eastAsia="zh-CN"/>
        </w:rPr>
      </w:pPr>
      <w:r>
        <w:rPr>
          <w:rFonts w:hint="eastAsia" w:ascii="仿宋" w:hAnsi="仿宋" w:eastAsia="仿宋" w:cs="仿宋_GB2312"/>
          <w:bCs/>
          <w:sz w:val="28"/>
          <w:szCs w:val="28"/>
          <w:lang w:val="en-US" w:eastAsia="zh-CN"/>
        </w:rPr>
        <w:t>在租金收缴方面：本年度已全面开通租金政务结算，正对承租户下发湖南非税收入缴款单，通过二维码结算租金，未来将进一步推进线上收租服务。对于收缴苦难户，通过电话催缴、上门张贴租金收缴通知、宣传标语及住户互相转告、上门座谈、慰问、党建活动等各种途径进行收缴；同时对事业单位租金收缴纳入财政年初预算代扣。</w:t>
      </w:r>
    </w:p>
    <w:p w14:paraId="4EF55364">
      <w:pPr>
        <w:numPr>
          <w:ilvl w:val="0"/>
          <w:numId w:val="4"/>
        </w:numPr>
        <w:spacing w:line="560" w:lineRule="exact"/>
        <w:ind w:left="0" w:leftChars="0" w:firstLine="560" w:firstLineChars="200"/>
        <w:rPr>
          <w:rFonts w:hint="eastAsia" w:ascii="仿宋" w:hAnsi="仿宋" w:eastAsia="仿宋" w:cs="仿宋_GB2312"/>
          <w:bCs/>
          <w:sz w:val="28"/>
          <w:szCs w:val="28"/>
          <w:lang w:val="en-US" w:eastAsia="zh-CN"/>
        </w:rPr>
      </w:pPr>
      <w:r>
        <w:rPr>
          <w:rFonts w:hint="eastAsia" w:ascii="仿宋" w:hAnsi="仿宋" w:eastAsia="仿宋" w:cs="仿宋_GB2312"/>
          <w:bCs/>
          <w:sz w:val="28"/>
          <w:szCs w:val="28"/>
          <w:lang w:val="en-US" w:eastAsia="zh-CN"/>
        </w:rPr>
        <w:t>后续管理方面：强化科技赋能，制定“人脸识别+水电检测”智能监管平台系统建设方案，计划通过技术手段加强对承租人实际居住情况的日常检测，从源头上防范转租转借、空置等问题发送；同时通过清理整治专项行动，实现“让不合规的请出去，符合条件的住得进来”逐步建立公租房进入退出机制。</w:t>
      </w:r>
    </w:p>
    <w:p w14:paraId="0AECD280">
      <w:pPr>
        <w:widowControl/>
        <w:numPr>
          <w:ilvl w:val="0"/>
          <w:numId w:val="0"/>
        </w:numPr>
        <w:shd w:val="clear" w:color="auto" w:fill="FFFFFF"/>
        <w:spacing w:line="560" w:lineRule="exact"/>
        <w:ind w:firstLine="560" w:firstLineChars="200"/>
        <w:jc w:val="left"/>
        <w:rPr>
          <w:rFonts w:hint="default" w:ascii="仿宋" w:hAnsi="仿宋" w:eastAsia="仿宋" w:cs="宋体"/>
          <w:color w:val="333333"/>
          <w:kern w:val="0"/>
          <w:sz w:val="28"/>
          <w:szCs w:val="28"/>
          <w:lang w:val="en-US" w:eastAsia="zh-CN"/>
        </w:rPr>
      </w:pPr>
      <w:r>
        <w:rPr>
          <w:rFonts w:hint="eastAsia" w:ascii="仿宋" w:hAnsi="仿宋" w:eastAsia="仿宋" w:cs="宋体"/>
          <w:color w:val="333333"/>
          <w:kern w:val="0"/>
          <w:sz w:val="28"/>
          <w:szCs w:val="28"/>
          <w:lang w:val="en-US" w:eastAsia="zh-CN"/>
        </w:rPr>
        <w:t>4、保租房管理方面：加强保租房准入审查，引入现代化技术手段，建立个人住房信息系统，增加审核的可靠性；完善退出机制，使更多具备保障房分配资格的居民分到保障房。</w:t>
      </w:r>
    </w:p>
    <w:p w14:paraId="5DFAF624">
      <w:pPr>
        <w:widowControl/>
        <w:shd w:val="clear" w:color="auto" w:fill="FFFFFF"/>
        <w:spacing w:line="560" w:lineRule="exact"/>
        <w:ind w:firstLine="560" w:firstLineChars="200"/>
        <w:jc w:val="left"/>
        <w:rPr>
          <w:rFonts w:hint="eastAsia" w:ascii="仿宋" w:hAnsi="仿宋" w:eastAsia="仿宋" w:cs="宋体"/>
          <w:color w:val="333333"/>
          <w:kern w:val="0"/>
          <w:sz w:val="28"/>
          <w:szCs w:val="28"/>
          <w:lang w:val="en-US" w:eastAsia="zh-CN"/>
        </w:rPr>
      </w:pPr>
      <w:r>
        <w:rPr>
          <w:rFonts w:hint="eastAsia" w:ascii="仿宋" w:hAnsi="仿宋" w:eastAsia="仿宋" w:cs="宋体"/>
          <w:color w:val="333333"/>
          <w:kern w:val="0"/>
          <w:sz w:val="28"/>
          <w:szCs w:val="28"/>
          <w:lang w:val="en-US" w:eastAsia="zh-CN"/>
        </w:rPr>
        <w:t>5、租赁补贴发放方面：我县全面启动湘易办“高效办成一件事”住房租赁阳光审批。同时，继续完善租赁补贴保障申请、审核、发放和后续管理等操作流程，逐步建立部门联审和信息共享机制，规范租赁补贴年审制度，根据年审结果，对于符合条件保障对象继续发放补贴,不符合条件停止发放补贴。通过公租房租赁补贴发放，切实改善通过市场租赁住房解决居住困难，采取实物配租与租赁补贴相结合的方式，逐步转向以“租赁补贴为主”要求，让更多群众能及时、快捷、方便地享受到保障。</w:t>
      </w:r>
    </w:p>
    <w:p w14:paraId="45C8872E">
      <w:pPr>
        <w:widowControl/>
        <w:shd w:val="clear" w:color="auto" w:fill="FFFFFF"/>
        <w:spacing w:line="560" w:lineRule="exact"/>
        <w:ind w:firstLine="480"/>
        <w:jc w:val="left"/>
        <w:rPr>
          <w:rFonts w:hint="eastAsia" w:ascii="仿宋" w:hAnsi="仿宋" w:eastAsia="仿宋" w:cs="仿宋_GB2312"/>
          <w:bCs/>
          <w:sz w:val="28"/>
          <w:szCs w:val="28"/>
          <w:lang w:val="en-US" w:eastAsia="zh-CN"/>
        </w:rPr>
      </w:pPr>
      <w:r>
        <w:rPr>
          <w:rFonts w:hint="eastAsia" w:ascii="仿宋" w:hAnsi="仿宋" w:eastAsia="仿宋" w:cs="宋体"/>
          <w:color w:val="333333"/>
          <w:kern w:val="0"/>
          <w:sz w:val="28"/>
          <w:szCs w:val="28"/>
          <w:lang w:val="en-US" w:eastAsia="zh-CN"/>
        </w:rPr>
        <w:t>6、棚改城市危旧房改造方面：积极争取政府支持，加强宏观指导，及时向政府请示汇报危旧房安全管理工作，明确房屋安全管理；定期开展房屋安全使用宣传活动；积极开展危旧房安全大检查，组织专业技术人员对重点危旧房一一进行鉴定；重视业务培训，强化房屋安全鉴定工作；完善监控点、网络信息档案，实行动态管理。</w:t>
      </w:r>
    </w:p>
    <w:p w14:paraId="318A10E4">
      <w:pPr>
        <w:spacing w:before="226" w:line="221" w:lineRule="auto"/>
        <w:ind w:left="684"/>
        <w:rPr>
          <w:rFonts w:ascii="黑体" w:hAnsi="黑体" w:eastAsia="黑体" w:cs="黑体"/>
          <w:b/>
          <w:bCs/>
          <w:spacing w:val="2"/>
          <w:sz w:val="31"/>
          <w:szCs w:val="31"/>
        </w:rPr>
      </w:pPr>
      <w:r>
        <w:rPr>
          <w:rFonts w:ascii="黑体" w:hAnsi="黑体" w:eastAsia="黑体" w:cs="黑体"/>
          <w:b/>
          <w:bCs/>
          <w:spacing w:val="2"/>
          <w:sz w:val="31"/>
          <w:szCs w:val="31"/>
        </w:rPr>
        <w:t>九、部门整体支出绩效自评结果拟应用和公开情况</w:t>
      </w:r>
    </w:p>
    <w:p w14:paraId="39A64013">
      <w:pPr>
        <w:spacing w:line="560" w:lineRule="exact"/>
        <w:ind w:firstLine="560" w:firstLineChars="200"/>
        <w:rPr>
          <w:rFonts w:hint="eastAsia" w:ascii="仿宋" w:hAnsi="仿宋" w:eastAsia="仿宋" w:cs="仿宋_GB2312"/>
          <w:bCs/>
          <w:sz w:val="28"/>
          <w:szCs w:val="28"/>
          <w:lang w:eastAsia="zh-CN"/>
        </w:rPr>
      </w:pPr>
      <w:r>
        <w:rPr>
          <w:rFonts w:hint="eastAsia" w:ascii="仿宋" w:hAnsi="仿宋" w:eastAsia="仿宋" w:cs="仿宋_GB2312"/>
          <w:bCs/>
          <w:sz w:val="28"/>
          <w:szCs w:val="28"/>
          <w:lang w:eastAsia="zh-CN"/>
        </w:rPr>
        <w:t>我单位部分整体支出绩效自评报告已在政府门户网站公开。</w:t>
      </w:r>
    </w:p>
    <w:p w14:paraId="65966F84">
      <w:pPr>
        <w:spacing w:before="229" w:line="221" w:lineRule="auto"/>
        <w:ind w:left="684"/>
        <w:rPr>
          <w:rFonts w:ascii="黑体" w:hAnsi="黑体" w:eastAsia="黑体" w:cs="黑体"/>
          <w:sz w:val="31"/>
          <w:szCs w:val="31"/>
        </w:rPr>
      </w:pPr>
      <w:r>
        <w:rPr>
          <w:rFonts w:ascii="黑体" w:hAnsi="黑体" w:eastAsia="黑体" w:cs="黑体"/>
          <w:b/>
          <w:bCs/>
          <w:sz w:val="31"/>
          <w:szCs w:val="31"/>
        </w:rPr>
        <w:t>十、其他需要说明的情况</w:t>
      </w:r>
    </w:p>
    <w:p w14:paraId="15CBA363">
      <w:pPr>
        <w:spacing w:line="560" w:lineRule="exact"/>
        <w:ind w:firstLine="560" w:firstLineChars="200"/>
        <w:rPr>
          <w:rFonts w:hint="eastAsia" w:ascii="仿宋" w:hAnsi="仿宋" w:eastAsia="仿宋" w:cs="仿宋_GB2312"/>
          <w:bCs/>
          <w:sz w:val="28"/>
          <w:szCs w:val="28"/>
          <w:lang w:eastAsia="zh-CN"/>
        </w:rPr>
      </w:pPr>
      <w:r>
        <w:rPr>
          <w:rFonts w:hint="eastAsia" w:ascii="仿宋" w:hAnsi="仿宋" w:eastAsia="仿宋" w:cs="仿宋_GB2312"/>
          <w:bCs/>
          <w:sz w:val="28"/>
          <w:szCs w:val="28"/>
          <w:lang w:eastAsia="zh-CN"/>
        </w:rPr>
        <w:t>无</w:t>
      </w:r>
    </w:p>
    <w:p w14:paraId="7876F3EB">
      <w:pPr>
        <w:spacing w:line="560" w:lineRule="exact"/>
        <w:ind w:firstLine="560" w:firstLineChars="200"/>
        <w:rPr>
          <w:rFonts w:hint="eastAsia" w:ascii="仿宋" w:hAnsi="仿宋" w:eastAsia="仿宋" w:cs="仿宋_GB2312"/>
          <w:bCs/>
          <w:sz w:val="28"/>
          <w:szCs w:val="28"/>
          <w:lang w:eastAsia="zh-CN"/>
        </w:rPr>
      </w:pPr>
    </w:p>
    <w:p w14:paraId="75260941">
      <w:pPr>
        <w:spacing w:line="560" w:lineRule="exact"/>
        <w:ind w:firstLine="560" w:firstLineChars="200"/>
        <w:rPr>
          <w:rFonts w:hint="eastAsia" w:ascii="仿宋" w:hAnsi="仿宋" w:eastAsia="仿宋" w:cs="仿宋_GB2312"/>
          <w:bCs/>
          <w:sz w:val="28"/>
          <w:szCs w:val="28"/>
          <w:lang w:eastAsia="zh-CN"/>
        </w:rPr>
      </w:pPr>
    </w:p>
    <w:p w14:paraId="64FB716D">
      <w:pPr>
        <w:spacing w:line="560" w:lineRule="exact"/>
        <w:ind w:firstLine="560" w:firstLineChars="200"/>
        <w:jc w:val="right"/>
        <w:rPr>
          <w:rFonts w:ascii="黑体" w:hAnsi="黑体" w:eastAsia="黑体" w:cs="黑体"/>
          <w:sz w:val="31"/>
          <w:szCs w:val="31"/>
        </w:rPr>
        <w:sectPr>
          <w:headerReference r:id="rId7" w:type="default"/>
          <w:footerReference r:id="rId8" w:type="default"/>
          <w:pgSz w:w="11900" w:h="16830"/>
          <w:pgMar w:top="1491" w:right="1344" w:bottom="1491" w:left="1489" w:header="0" w:footer="1644" w:gutter="0"/>
          <w:cols w:space="720" w:num="1"/>
        </w:sectPr>
      </w:pPr>
      <w:r>
        <w:rPr>
          <w:rFonts w:hint="eastAsia" w:ascii="仿宋_GB2312" w:hAnsi="仿宋_GB2312" w:eastAsia="仿宋_GB2312" w:cs="仿宋_GB2312"/>
          <w:bCs/>
          <w:sz w:val="28"/>
          <w:szCs w:val="28"/>
        </w:rPr>
        <w:t xml:space="preserve">      </w:t>
      </w:r>
    </w:p>
    <w:p w14:paraId="98120DF2">
      <w:pPr>
        <w:rPr>
          <w:rFonts w:ascii="Arial"/>
          <w:sz w:val="21"/>
        </w:rPr>
      </w:pPr>
    </w:p>
    <w:p w14:paraId="00E3D02B"/>
    <w:sectPr>
      <w:footerReference r:id="rId9" w:type="default"/>
      <w:pgSz w:w="11900" w:h="16830"/>
      <w:pgMar w:top="0" w:right="0" w:bottom="0" w:left="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E1A197F9">
    <w:pPr>
      <w:spacing w:before="1" w:line="232" w:lineRule="auto"/>
      <w:rPr>
        <w:rFonts w:ascii="宋体" w:hAnsi="宋体" w:eastAsia="宋体" w:cs="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CF9CC919">
    <w:pPr>
      <w:spacing w:line="233" w:lineRule="auto"/>
      <w:rPr>
        <w:rFonts w:ascii="宋体" w:hAnsi="宋体" w:eastAsia="宋体" w:cs="宋体"/>
        <w:sz w:val="31"/>
        <w:szCs w:val="3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F00E2373">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9841FB28">
    <w:pPr>
      <w:spacing w:before="74" w:line="219" w:lineRule="auto"/>
      <w:ind w:left="599"/>
      <w:rPr>
        <w:rFonts w:ascii="宋体" w:hAnsi="宋体" w:eastAsia="宋体" w:cs="宋体"/>
        <w:sz w:val="28"/>
        <w:szCs w:val="28"/>
      </w:rPr>
    </w:pPr>
    <w:r>
      <w:rPr>
        <w:rFonts w:ascii="宋体" w:hAnsi="宋体" w:eastAsia="宋体" w:cs="宋体"/>
        <w:spacing w:val="-1"/>
        <w:sz w:val="28"/>
        <w:szCs w:val="28"/>
      </w:rPr>
      <w:t>附件1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C72A8FCE">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1773CB"/>
    <w:multiLevelType w:val="singleLevel"/>
    <w:tmpl w:val="981773CB"/>
    <w:lvl w:ilvl="0" w:tentative="0">
      <w:start w:val="3"/>
      <w:numFmt w:val="chineseCounting"/>
      <w:suff w:val="nothing"/>
      <w:lvlText w:val="%1、"/>
      <w:lvlJc w:val="left"/>
      <w:rPr>
        <w:rFonts w:hint="eastAsia"/>
      </w:rPr>
    </w:lvl>
  </w:abstractNum>
  <w:abstractNum w:abstractNumId="1">
    <w:nsid w:val="B525D36F"/>
    <w:multiLevelType w:val="singleLevel"/>
    <w:tmpl w:val="B525D36F"/>
    <w:lvl w:ilvl="0" w:tentative="0">
      <w:start w:val="1"/>
      <w:numFmt w:val="decimal"/>
      <w:suff w:val="nothing"/>
      <w:lvlText w:val="%1、"/>
      <w:lvlJc w:val="left"/>
    </w:lvl>
  </w:abstractNum>
  <w:abstractNum w:abstractNumId="2">
    <w:nsid w:val="DD984C32"/>
    <w:multiLevelType w:val="singleLevel"/>
    <w:tmpl w:val="DD984C32"/>
    <w:lvl w:ilvl="0" w:tentative="0">
      <w:start w:val="2"/>
      <w:numFmt w:val="decimal"/>
      <w:suff w:val="nothing"/>
      <w:lvlText w:val="%1、"/>
      <w:lvlJc w:val="left"/>
    </w:lvl>
  </w:abstractNum>
  <w:abstractNum w:abstractNumId="3">
    <w:nsid w:val="640066C7"/>
    <w:multiLevelType w:val="singleLevel"/>
    <w:tmpl w:val="640066C7"/>
    <w:lvl w:ilvl="0" w:tentative="0">
      <w:start w:val="2"/>
      <w:numFmt w:val="decimal"/>
      <w:suff w:val="nothing"/>
      <w:lvlText w:val="（%1）"/>
      <w:lvlJc w:val="left"/>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AB63B3E"/>
    <w:rsid w:val="5ED21FAF"/>
    <w:rsid w:val="632959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仿宋" w:hAnsi="仿宋" w:eastAsia="仿宋" w:cs="仿宋"/>
      <w:sz w:val="32"/>
      <w:szCs w:val="3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3430</Words>
  <Characters>3590</Characters>
  <Lines>0</Lines>
  <Paragraphs>0</Paragraphs>
  <TotalTime>1</TotalTime>
  <ScaleCrop>false</ScaleCrop>
  <LinksUpToDate>false</LinksUpToDate>
  <CharactersWithSpaces>3611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『leejongsuk』</cp:lastModifiedBy>
  <dcterms:modified xsi:type="dcterms:W3CDTF">2026-09-28T08:45:36Z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eyJoZGlkIjoiNjBjODBjZGY2OTc2NjQ4ZDE5ODU4MmZjMGQwMTk0NzciLCJ1c2VySWQiOiI0MDA0MTM1MzEifQ==</vt:lpwstr>
  </property>
  <property fmtid="{D5CDD505-2E9C-101B-9397-08002B2CF9AE}" pid="4" name="ICV">
    <vt:lpwstr>547ACAE6B83943D5883A68B079661523_12</vt:lpwstr>
  </property>
</Properties>
</file>