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7A543F">
      <w:pPr>
        <w:pStyle w:val="11"/>
        <w:jc w:val="center"/>
        <w:rPr>
          <w:sz w:val="56"/>
          <w:szCs w:val="56"/>
        </w:rPr>
      </w:pPr>
    </w:p>
    <w:p w14:paraId="2E4F6FBF">
      <w:pPr>
        <w:pStyle w:val="11"/>
        <w:jc w:val="center"/>
        <w:rPr>
          <w:sz w:val="56"/>
          <w:szCs w:val="56"/>
        </w:rPr>
      </w:pPr>
    </w:p>
    <w:p w14:paraId="19C264CF">
      <w:pPr>
        <w:pStyle w:val="11"/>
        <w:jc w:val="center"/>
        <w:rPr>
          <w:sz w:val="84"/>
          <w:szCs w:val="84"/>
        </w:rPr>
      </w:pPr>
    </w:p>
    <w:p w14:paraId="1236BBB9">
      <w:pPr>
        <w:pStyle w:val="11"/>
        <w:jc w:val="center"/>
        <w:rPr>
          <w:sz w:val="84"/>
          <w:szCs w:val="84"/>
        </w:rPr>
      </w:pPr>
    </w:p>
    <w:p w14:paraId="147DDB33">
      <w:pPr>
        <w:pStyle w:val="11"/>
        <w:jc w:val="center"/>
        <w:rPr>
          <w:rFonts w:hint="eastAsia" w:ascii="方正小标宋简体" w:hAnsi="方正小标宋简体" w:eastAsia="方正小标宋简体" w:cs="方正小标宋简体"/>
          <w:sz w:val="84"/>
          <w:szCs w:val="84"/>
        </w:rPr>
      </w:pPr>
      <w:r>
        <w:rPr>
          <w:rFonts w:hint="eastAsia" w:ascii="方正小标宋简体" w:hAnsi="方正小标宋简体" w:eastAsia="方正小标宋简体" w:cs="方正小标宋简体"/>
          <w:sz w:val="84"/>
          <w:szCs w:val="84"/>
          <w:lang w:eastAsia="zh-CN"/>
        </w:rPr>
        <w:t>202</w:t>
      </w:r>
      <w:r>
        <w:rPr>
          <w:rFonts w:hint="eastAsia" w:ascii="方正小标宋简体" w:hAnsi="方正小标宋简体" w:eastAsia="方正小标宋简体" w:cs="方正小标宋简体"/>
          <w:sz w:val="84"/>
          <w:szCs w:val="84"/>
          <w:lang w:val="en-US" w:eastAsia="zh-CN"/>
        </w:rPr>
        <w:t>5</w:t>
      </w:r>
      <w:r>
        <w:rPr>
          <w:rFonts w:hint="eastAsia" w:ascii="方正小标宋简体" w:hAnsi="方正小标宋简体" w:eastAsia="方正小标宋简体" w:cs="方正小标宋简体"/>
          <w:sz w:val="84"/>
          <w:szCs w:val="84"/>
          <w:lang w:eastAsia="zh-CN"/>
        </w:rPr>
        <w:t>年</w:t>
      </w:r>
      <w:r>
        <w:rPr>
          <w:rFonts w:hint="eastAsia" w:ascii="方正小标宋简体" w:hAnsi="方正小标宋简体" w:eastAsia="方正小标宋简体" w:cs="方正小标宋简体"/>
          <w:sz w:val="84"/>
          <w:szCs w:val="84"/>
        </w:rPr>
        <w:t>度</w:t>
      </w:r>
    </w:p>
    <w:p w14:paraId="75D4CDD1">
      <w:pPr>
        <w:pStyle w:val="11"/>
        <w:jc w:val="center"/>
        <w:rPr>
          <w:rFonts w:hint="eastAsia" w:ascii="方正小标宋简体" w:hAnsi="方正小标宋简体" w:eastAsia="方正小标宋简体" w:cs="方正小标宋简体"/>
          <w:b/>
          <w:bCs/>
          <w:sz w:val="84"/>
          <w:szCs w:val="84"/>
        </w:rPr>
      </w:pPr>
      <w:r>
        <w:rPr>
          <w:rFonts w:hint="eastAsia" w:ascii="方正小标宋简体" w:hAnsi="方正小标宋简体" w:eastAsia="方正小标宋简体" w:cs="方正小标宋简体"/>
          <w:sz w:val="84"/>
          <w:szCs w:val="84"/>
        </w:rPr>
        <w:t>岳阳县市场建设管理中心</w:t>
      </w:r>
    </w:p>
    <w:p w14:paraId="426FC86E">
      <w:pPr>
        <w:pStyle w:val="11"/>
        <w:jc w:val="center"/>
        <w:rPr>
          <w:rFonts w:hint="eastAsia" w:ascii="方正小标宋简体" w:hAnsi="方正小标宋简体" w:eastAsia="方正小标宋简体" w:cs="方正小标宋简体"/>
          <w:sz w:val="84"/>
          <w:szCs w:val="84"/>
        </w:rPr>
      </w:pPr>
      <w:r>
        <w:rPr>
          <w:rFonts w:hint="eastAsia" w:ascii="方正小标宋简体" w:hAnsi="方正小标宋简体" w:eastAsia="方正小标宋简体" w:cs="方正小标宋简体"/>
          <w:sz w:val="84"/>
          <w:szCs w:val="84"/>
          <w:lang w:eastAsia="zh-CN"/>
        </w:rPr>
        <w:t>部门</w:t>
      </w:r>
      <w:r>
        <w:rPr>
          <w:rFonts w:hint="eastAsia" w:ascii="方正小标宋简体" w:hAnsi="方正小标宋简体" w:eastAsia="方正小标宋简体" w:cs="方正小标宋简体"/>
          <w:sz w:val="84"/>
          <w:szCs w:val="84"/>
        </w:rPr>
        <w:t>决算</w:t>
      </w:r>
    </w:p>
    <w:p w14:paraId="20CB927C">
      <w:pPr>
        <w:pStyle w:val="11"/>
        <w:jc w:val="center"/>
        <w:rPr>
          <w:rFonts w:hint="eastAsia" w:ascii="方正小标宋_GBK" w:hAnsi="方正小标宋_GBK" w:eastAsia="方正小标宋_GBK" w:cs="方正小标宋_GBK"/>
          <w:sz w:val="56"/>
          <w:szCs w:val="56"/>
        </w:rPr>
      </w:pPr>
    </w:p>
    <w:p w14:paraId="12FC20FA">
      <w:pPr>
        <w:pStyle w:val="11"/>
        <w:jc w:val="center"/>
        <w:rPr>
          <w:sz w:val="56"/>
          <w:szCs w:val="56"/>
        </w:rPr>
      </w:pPr>
    </w:p>
    <w:p w14:paraId="6C8845CE">
      <w:pPr>
        <w:pStyle w:val="11"/>
        <w:jc w:val="center"/>
        <w:rPr>
          <w:sz w:val="56"/>
          <w:szCs w:val="56"/>
        </w:rPr>
      </w:pPr>
    </w:p>
    <w:p w14:paraId="51AF3463">
      <w:pPr>
        <w:pStyle w:val="11"/>
        <w:jc w:val="center"/>
        <w:rPr>
          <w:sz w:val="56"/>
          <w:szCs w:val="56"/>
        </w:rPr>
      </w:pPr>
    </w:p>
    <w:p w14:paraId="7BFACF17">
      <w:pPr>
        <w:pStyle w:val="11"/>
        <w:jc w:val="center"/>
        <w:rPr>
          <w:sz w:val="32"/>
          <w:szCs w:val="32"/>
        </w:rPr>
      </w:pPr>
    </w:p>
    <w:p w14:paraId="69C08D7D">
      <w:pPr>
        <w:pStyle w:val="11"/>
        <w:jc w:val="center"/>
        <w:rPr>
          <w:sz w:val="32"/>
          <w:szCs w:val="32"/>
        </w:rPr>
      </w:pPr>
    </w:p>
    <w:p w14:paraId="419134DE">
      <w:pPr>
        <w:pStyle w:val="11"/>
        <w:jc w:val="center"/>
        <w:rPr>
          <w:sz w:val="32"/>
          <w:szCs w:val="32"/>
        </w:rPr>
      </w:pPr>
    </w:p>
    <w:p w14:paraId="5B042EA1">
      <w:pPr>
        <w:pStyle w:val="11"/>
        <w:jc w:val="center"/>
        <w:rPr>
          <w:sz w:val="32"/>
          <w:szCs w:val="32"/>
        </w:rPr>
      </w:pPr>
    </w:p>
    <w:p w14:paraId="2B617374">
      <w:pPr>
        <w:pStyle w:val="11"/>
        <w:jc w:val="center"/>
        <w:rPr>
          <w:sz w:val="32"/>
          <w:szCs w:val="32"/>
        </w:rPr>
      </w:pPr>
    </w:p>
    <w:p w14:paraId="6E214181">
      <w:pPr>
        <w:pStyle w:val="11"/>
        <w:spacing w:line="540" w:lineRule="exact"/>
        <w:jc w:val="center"/>
        <w:rPr>
          <w:sz w:val="56"/>
          <w:szCs w:val="56"/>
        </w:rPr>
      </w:pPr>
    </w:p>
    <w:p w14:paraId="4460F297">
      <w:pPr>
        <w:pStyle w:val="11"/>
        <w:spacing w:line="500" w:lineRule="exact"/>
        <w:jc w:val="both"/>
        <w:rPr>
          <w:b/>
          <w:sz w:val="36"/>
          <w:szCs w:val="28"/>
        </w:rPr>
      </w:pPr>
    </w:p>
    <w:p w14:paraId="684B0042">
      <w:pPr>
        <w:pStyle w:val="11"/>
        <w:spacing w:line="500" w:lineRule="exact"/>
        <w:jc w:val="center"/>
        <w:rPr>
          <w:b/>
          <w:sz w:val="36"/>
          <w:szCs w:val="28"/>
        </w:rPr>
      </w:pPr>
      <w:r>
        <w:rPr>
          <w:rFonts w:hint="eastAsia"/>
          <w:b/>
          <w:sz w:val="36"/>
          <w:szCs w:val="28"/>
        </w:rPr>
        <w:t>目录</w:t>
      </w:r>
    </w:p>
    <w:p w14:paraId="72FFABFB">
      <w:pPr>
        <w:pStyle w:val="11"/>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第一部分岳阳县市场建设管理中心概况</w:t>
      </w:r>
    </w:p>
    <w:p w14:paraId="02ED8F2E">
      <w:pPr>
        <w:pStyle w:val="11"/>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一、部门职责</w:t>
      </w:r>
    </w:p>
    <w:p w14:paraId="45BC7054">
      <w:pPr>
        <w:pStyle w:val="11"/>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二、机构设置及决算单位构成</w:t>
      </w:r>
    </w:p>
    <w:p w14:paraId="6EA8D6FF">
      <w:pPr>
        <w:pStyle w:val="11"/>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第二部分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部门决算表</w:t>
      </w:r>
    </w:p>
    <w:p w14:paraId="49D3E020">
      <w:pPr>
        <w:pStyle w:val="11"/>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一、收入支出决算总表</w:t>
      </w:r>
    </w:p>
    <w:p w14:paraId="66653F9E">
      <w:pPr>
        <w:pStyle w:val="11"/>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二、收入决算表</w:t>
      </w:r>
    </w:p>
    <w:p w14:paraId="477CBC0F">
      <w:pPr>
        <w:pStyle w:val="11"/>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三、支出决算表</w:t>
      </w:r>
    </w:p>
    <w:p w14:paraId="77AB792D">
      <w:pPr>
        <w:pStyle w:val="11"/>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四、财政拨款收入支出决算总表</w:t>
      </w:r>
    </w:p>
    <w:p w14:paraId="688F18D9">
      <w:pPr>
        <w:pStyle w:val="11"/>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五、一般公共预算财政拨款支出决算表</w:t>
      </w:r>
    </w:p>
    <w:p w14:paraId="719191EA">
      <w:pPr>
        <w:pStyle w:val="11"/>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六、一般公共预算财政拨款基本支出决算明细表</w:t>
      </w:r>
    </w:p>
    <w:p w14:paraId="02E25FC9">
      <w:pPr>
        <w:pStyle w:val="11"/>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七、政府性基金预算财政拨款收入支出决算表</w:t>
      </w:r>
    </w:p>
    <w:p w14:paraId="73733BCF">
      <w:pPr>
        <w:pStyle w:val="11"/>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八、国有资本经营预算财政拨款支出决算表</w:t>
      </w:r>
    </w:p>
    <w:p w14:paraId="3FF45B99">
      <w:pPr>
        <w:pStyle w:val="11"/>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九、财政拨款“三公”经费支出决算表</w:t>
      </w:r>
    </w:p>
    <w:p w14:paraId="48509E25">
      <w:pPr>
        <w:pStyle w:val="11"/>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第三部分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部门决算情况说明</w:t>
      </w:r>
    </w:p>
    <w:p w14:paraId="5640B5DD">
      <w:pPr>
        <w:pStyle w:val="11"/>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一、收入支出决算总体情况说明</w:t>
      </w:r>
    </w:p>
    <w:p w14:paraId="0842829D">
      <w:pPr>
        <w:spacing w:line="500" w:lineRule="exact"/>
        <w:ind w:firstLine="700" w:firstLineChars="25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二、收入决算情况说明</w:t>
      </w:r>
    </w:p>
    <w:p w14:paraId="0201B08A">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三、支出决算情况说明</w:t>
      </w:r>
    </w:p>
    <w:p w14:paraId="161EA4CE">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四、财政拨款收入支出决算总体情况说明</w:t>
      </w:r>
    </w:p>
    <w:p w14:paraId="7A56F930">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五、一般公共预算财政拨款支出决算情况说明</w:t>
      </w:r>
    </w:p>
    <w:p w14:paraId="1B418826">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六、一般公共预算财政拨款基本支出决算情况说明</w:t>
      </w:r>
    </w:p>
    <w:p w14:paraId="4C0B12F6">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lang w:eastAsia="zh-CN"/>
        </w:rPr>
        <w:t>七</w:t>
      </w:r>
      <w:r>
        <w:rPr>
          <w:rFonts w:hint="eastAsia" w:ascii="仿宋_GB2312" w:hAnsi="仿宋_GB2312" w:eastAsia="仿宋_GB2312" w:cs="仿宋_GB2312"/>
          <w:color w:val="000000"/>
          <w:kern w:val="0"/>
          <w:sz w:val="28"/>
          <w:szCs w:val="28"/>
        </w:rPr>
        <w:t>、政府性基金预算收入支出决算情况</w:t>
      </w:r>
    </w:p>
    <w:p w14:paraId="3273275A">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lang w:eastAsia="zh-CN"/>
        </w:rPr>
        <w:t>八</w:t>
      </w:r>
      <w:r>
        <w:rPr>
          <w:rFonts w:hint="eastAsia" w:ascii="仿宋_GB2312" w:hAnsi="仿宋_GB2312" w:eastAsia="仿宋_GB2312" w:cs="仿宋_GB2312"/>
          <w:color w:val="000000"/>
          <w:kern w:val="0"/>
          <w:sz w:val="28"/>
          <w:szCs w:val="28"/>
        </w:rPr>
        <w:t>、</w:t>
      </w:r>
      <w:r>
        <w:rPr>
          <w:rFonts w:hint="eastAsia" w:ascii="仿宋_GB2312" w:hAnsi="仿宋_GB2312" w:eastAsia="仿宋_GB2312" w:cs="仿宋_GB2312"/>
          <w:sz w:val="28"/>
          <w:szCs w:val="28"/>
        </w:rPr>
        <w:t>国有资本经营预算财政拨款支出决算</w:t>
      </w:r>
      <w:r>
        <w:rPr>
          <w:rFonts w:hint="eastAsia" w:ascii="仿宋_GB2312" w:hAnsi="仿宋_GB2312" w:eastAsia="仿宋_GB2312" w:cs="仿宋_GB2312"/>
          <w:sz w:val="28"/>
          <w:szCs w:val="28"/>
          <w:lang w:eastAsia="zh-CN"/>
        </w:rPr>
        <w:t>情况</w:t>
      </w:r>
    </w:p>
    <w:p w14:paraId="19F11AAE">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lang w:eastAsia="zh-CN"/>
        </w:rPr>
        <w:t>九</w:t>
      </w:r>
      <w:r>
        <w:rPr>
          <w:rFonts w:hint="eastAsia" w:ascii="仿宋_GB2312" w:hAnsi="仿宋_GB2312" w:eastAsia="仿宋_GB2312" w:cs="仿宋_GB2312"/>
          <w:color w:val="000000"/>
          <w:kern w:val="0"/>
          <w:sz w:val="28"/>
          <w:szCs w:val="28"/>
        </w:rPr>
        <w:t>、财政拨款三公经费支出决算情况说明</w:t>
      </w:r>
    </w:p>
    <w:p w14:paraId="0C4193AD">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十、关于机关运行经费支出说明</w:t>
      </w:r>
    </w:p>
    <w:p w14:paraId="74530712">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十一、一般性支出情况说明</w:t>
      </w:r>
    </w:p>
    <w:p w14:paraId="4F14555D">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sz w:val="28"/>
          <w:szCs w:val="28"/>
        </w:rPr>
        <w:t>十二、</w:t>
      </w:r>
      <w:r>
        <w:rPr>
          <w:rFonts w:hint="eastAsia" w:ascii="仿宋_GB2312" w:hAnsi="仿宋_GB2312" w:eastAsia="仿宋_GB2312" w:cs="仿宋_GB2312"/>
          <w:color w:val="000000"/>
          <w:kern w:val="0"/>
          <w:sz w:val="28"/>
          <w:szCs w:val="28"/>
        </w:rPr>
        <w:t>关于政府采购支出说明</w:t>
      </w:r>
    </w:p>
    <w:p w14:paraId="27B45EED">
      <w:pPr>
        <w:pStyle w:val="11"/>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十三、关于国有资产占用情况说明</w:t>
      </w:r>
    </w:p>
    <w:p w14:paraId="231EA2BB">
      <w:pPr>
        <w:pStyle w:val="11"/>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十四、</w:t>
      </w:r>
      <w:r>
        <w:rPr>
          <w:rFonts w:hint="eastAsia" w:ascii="仿宋_GB2312" w:hAnsi="仿宋_GB2312" w:eastAsia="仿宋_GB2312" w:cs="仿宋_GB2312"/>
          <w:sz w:val="28"/>
          <w:szCs w:val="28"/>
        </w:rPr>
        <w:t>关于</w:t>
      </w:r>
      <w:r>
        <w:rPr>
          <w:rFonts w:hint="eastAsia" w:ascii="仿宋_GB2312" w:hAnsi="仿宋_GB2312" w:eastAsia="仿宋_GB2312" w:cs="仿宋_GB2312"/>
          <w:sz w:val="28"/>
          <w:szCs w:val="28"/>
          <w:lang w:val="en-US" w:eastAsia="zh-CN"/>
        </w:rPr>
        <w:t>2025年度</w:t>
      </w:r>
      <w:r>
        <w:rPr>
          <w:rFonts w:hint="eastAsia" w:ascii="仿宋_GB2312" w:hAnsi="仿宋_GB2312" w:eastAsia="仿宋_GB2312" w:cs="仿宋_GB2312"/>
          <w:sz w:val="28"/>
          <w:szCs w:val="28"/>
        </w:rPr>
        <w:t>绩效</w:t>
      </w:r>
      <w:r>
        <w:rPr>
          <w:rFonts w:hint="eastAsia" w:ascii="仿宋_GB2312" w:hAnsi="仿宋_GB2312" w:eastAsia="仿宋_GB2312" w:cs="仿宋_GB2312"/>
          <w:sz w:val="28"/>
          <w:szCs w:val="28"/>
          <w:lang w:val="en-US" w:eastAsia="zh-CN"/>
        </w:rPr>
        <w:t>评价</w:t>
      </w:r>
      <w:r>
        <w:rPr>
          <w:rFonts w:hint="eastAsia" w:ascii="仿宋_GB2312" w:hAnsi="仿宋_GB2312" w:eastAsia="仿宋_GB2312" w:cs="仿宋_GB2312"/>
          <w:sz w:val="28"/>
          <w:szCs w:val="28"/>
        </w:rPr>
        <w:t>情况的说明</w:t>
      </w:r>
    </w:p>
    <w:p w14:paraId="0BA6353B">
      <w:pPr>
        <w:pStyle w:val="11"/>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第四部分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名词解释</w:t>
      </w:r>
    </w:p>
    <w:p w14:paraId="1B25B2AF">
      <w:pPr>
        <w:pStyle w:val="11"/>
        <w:spacing w:line="500" w:lineRule="exact"/>
        <w:rPr>
          <w:rFonts w:hint="eastAsia" w:hAnsi="黑体" w:cs="黑体"/>
          <w:b w:val="0"/>
          <w:bCs/>
          <w:sz w:val="28"/>
          <w:szCs w:val="28"/>
          <w:lang w:val="en-US" w:eastAsia="zh-CN"/>
        </w:rPr>
      </w:pPr>
      <w:r>
        <w:rPr>
          <w:rFonts w:hint="eastAsia" w:hAnsi="黑体" w:cs="黑体"/>
          <w:b w:val="0"/>
          <w:bCs/>
          <w:sz w:val="28"/>
          <w:szCs w:val="28"/>
          <w:lang w:val="en-US" w:eastAsia="zh-CN"/>
        </w:rPr>
        <w:t>第五部分 附件</w:t>
      </w:r>
    </w:p>
    <w:p w14:paraId="0544E52B">
      <w:pPr>
        <w:pStyle w:val="11"/>
        <w:spacing w:line="500" w:lineRule="exact"/>
        <w:rPr>
          <w:rFonts w:hint="default" w:ascii="黑体" w:hAnsi="黑体" w:eastAsia="黑体" w:cs="黑体"/>
          <w:b w:val="0"/>
          <w:bCs/>
          <w:sz w:val="28"/>
          <w:szCs w:val="28"/>
          <w:lang w:val="en-US" w:eastAsia="zh-CN"/>
        </w:rPr>
      </w:pPr>
      <w:r>
        <w:rPr>
          <w:rFonts w:hint="eastAsia" w:hAnsi="黑体" w:cs="黑体"/>
          <w:b w:val="0"/>
          <w:bCs/>
          <w:sz w:val="28"/>
          <w:szCs w:val="28"/>
          <w:lang w:val="en-US" w:eastAsia="zh-CN"/>
        </w:rPr>
        <w:br w:type="page"/>
      </w:r>
    </w:p>
    <w:p w14:paraId="7D18E030">
      <w:pPr>
        <w:jc w:val="center"/>
        <w:rPr>
          <w:sz w:val="72"/>
          <w:szCs w:val="72"/>
        </w:rPr>
      </w:pPr>
    </w:p>
    <w:p w14:paraId="75F76471">
      <w:pPr>
        <w:jc w:val="center"/>
        <w:rPr>
          <w:sz w:val="72"/>
          <w:szCs w:val="72"/>
        </w:rPr>
      </w:pPr>
    </w:p>
    <w:p w14:paraId="2B6C889D">
      <w:pPr>
        <w:jc w:val="center"/>
        <w:rPr>
          <w:sz w:val="72"/>
          <w:szCs w:val="72"/>
        </w:rPr>
      </w:pPr>
    </w:p>
    <w:p w14:paraId="12552302">
      <w:pPr>
        <w:jc w:val="center"/>
        <w:rPr>
          <w:sz w:val="72"/>
          <w:szCs w:val="72"/>
        </w:rPr>
      </w:pPr>
    </w:p>
    <w:p w14:paraId="5498A47F">
      <w:pPr>
        <w:rPr>
          <w:rFonts w:hint="eastAsia" w:ascii="方正小标宋_GBK" w:hAnsi="方正小标宋_GBK" w:eastAsia="方正小标宋_GBK" w:cs="方正小标宋_GBK"/>
          <w:sz w:val="72"/>
          <w:szCs w:val="72"/>
        </w:rPr>
      </w:pPr>
    </w:p>
    <w:p w14:paraId="18B1554D">
      <w:pPr>
        <w:pStyle w:val="11"/>
        <w:jc w:val="center"/>
        <w:rPr>
          <w:rFonts w:hint="eastAsia" w:ascii="方正小标宋简体" w:hAnsi="方正小标宋简体" w:eastAsia="方正小标宋简体" w:cs="方正小标宋简体"/>
          <w:sz w:val="84"/>
          <w:szCs w:val="84"/>
        </w:rPr>
      </w:pPr>
      <w:r>
        <w:rPr>
          <w:rFonts w:hint="eastAsia" w:ascii="方正小标宋简体" w:hAnsi="方正小标宋简体" w:eastAsia="方正小标宋简体" w:cs="方正小标宋简体"/>
          <w:sz w:val="84"/>
          <w:szCs w:val="84"/>
        </w:rPr>
        <w:t xml:space="preserve">第一部分 </w:t>
      </w:r>
    </w:p>
    <w:p w14:paraId="03EA694A">
      <w:pPr>
        <w:pStyle w:val="11"/>
        <w:jc w:val="center"/>
        <w:rPr>
          <w:rFonts w:hint="eastAsia" w:ascii="方正小标宋简体" w:hAnsi="方正小标宋简体" w:eastAsia="方正小标宋简体" w:cs="方正小标宋简体"/>
          <w:sz w:val="84"/>
          <w:szCs w:val="84"/>
        </w:rPr>
      </w:pPr>
    </w:p>
    <w:p w14:paraId="5A55E4DF">
      <w:pPr>
        <w:pStyle w:val="11"/>
        <w:jc w:val="center"/>
        <w:rPr>
          <w:rFonts w:hint="eastAsia" w:ascii="方正小标宋简体" w:hAnsi="方正小标宋简体" w:eastAsia="方正小标宋简体" w:cs="方正小标宋简体"/>
          <w:b/>
          <w:bCs/>
          <w:sz w:val="84"/>
          <w:szCs w:val="84"/>
        </w:rPr>
      </w:pPr>
      <w:r>
        <w:rPr>
          <w:rFonts w:hint="eastAsia" w:ascii="方正小标宋简体" w:hAnsi="方正小标宋简体" w:eastAsia="方正小标宋简体" w:cs="方正小标宋简体"/>
          <w:sz w:val="84"/>
          <w:szCs w:val="84"/>
        </w:rPr>
        <w:t>岳阳县市场建设管理中心</w:t>
      </w:r>
    </w:p>
    <w:p w14:paraId="7CD7F61B">
      <w:pPr>
        <w:pStyle w:val="11"/>
        <w:jc w:val="center"/>
        <w:rPr>
          <w:rFonts w:hint="eastAsia" w:ascii="方正小标宋简体" w:hAnsi="方正小标宋简体" w:eastAsia="方正小标宋简体" w:cs="方正小标宋简体"/>
          <w:sz w:val="84"/>
          <w:szCs w:val="84"/>
        </w:rPr>
      </w:pPr>
      <w:r>
        <w:rPr>
          <w:rFonts w:hint="eastAsia" w:ascii="方正小标宋简体" w:hAnsi="方正小标宋简体" w:eastAsia="方正小标宋简体" w:cs="方正小标宋简体"/>
          <w:sz w:val="84"/>
          <w:szCs w:val="84"/>
          <w:lang w:eastAsia="zh-CN"/>
        </w:rPr>
        <w:t>单位</w:t>
      </w:r>
      <w:r>
        <w:rPr>
          <w:rFonts w:hint="eastAsia" w:ascii="方正小标宋简体" w:hAnsi="方正小标宋简体" w:eastAsia="方正小标宋简体" w:cs="方正小标宋简体"/>
          <w:sz w:val="84"/>
          <w:szCs w:val="84"/>
        </w:rPr>
        <w:t>概况</w:t>
      </w:r>
    </w:p>
    <w:p w14:paraId="0E6309F9">
      <w:pPr>
        <w:jc w:val="center"/>
        <w:rPr>
          <w:rFonts w:hint="eastAsia" w:ascii="方正小标宋_GBK" w:hAnsi="方正小标宋_GBK" w:eastAsia="方正小标宋_GBK" w:cs="方正小标宋_GBK"/>
          <w:sz w:val="72"/>
          <w:szCs w:val="72"/>
        </w:rPr>
      </w:pPr>
    </w:p>
    <w:p w14:paraId="1EAD0488">
      <w:pPr>
        <w:jc w:val="center"/>
        <w:rPr>
          <w:rFonts w:hint="eastAsia" w:ascii="方正小标宋_GBK" w:hAnsi="方正小标宋_GBK" w:eastAsia="方正小标宋_GBK" w:cs="方正小标宋_GBK"/>
          <w:sz w:val="72"/>
          <w:szCs w:val="72"/>
        </w:rPr>
      </w:pPr>
    </w:p>
    <w:p w14:paraId="44B86AA5">
      <w:pPr>
        <w:jc w:val="center"/>
        <w:rPr>
          <w:sz w:val="72"/>
          <w:szCs w:val="72"/>
        </w:rPr>
      </w:pPr>
    </w:p>
    <w:p w14:paraId="61FD71D5">
      <w:pPr>
        <w:jc w:val="center"/>
        <w:rPr>
          <w:sz w:val="72"/>
          <w:szCs w:val="72"/>
        </w:rPr>
      </w:pPr>
    </w:p>
    <w:p w14:paraId="3CE08287">
      <w:pPr>
        <w:jc w:val="center"/>
        <w:rPr>
          <w:sz w:val="72"/>
          <w:szCs w:val="72"/>
        </w:rPr>
      </w:pPr>
    </w:p>
    <w:p w14:paraId="579F080C">
      <w:pPr>
        <w:pStyle w:val="12"/>
        <w:numPr>
          <w:ilvl w:val="0"/>
          <w:numId w:val="1"/>
        </w:numPr>
        <w:ind w:firstLineChars="0"/>
        <w:jc w:val="left"/>
        <w:rPr>
          <w:rFonts w:hint="eastAsia" w:ascii="黑体" w:hAnsi="黑体" w:eastAsia="黑体" w:cs="黑体"/>
          <w:b w:val="0"/>
          <w:bCs w:val="0"/>
          <w:sz w:val="32"/>
          <w:szCs w:val="32"/>
        </w:rPr>
      </w:pPr>
      <w:r>
        <w:rPr>
          <w:rFonts w:hint="eastAsia" w:ascii="黑体" w:hAnsi="黑体" w:eastAsia="黑体" w:cs="黑体"/>
          <w:b w:val="0"/>
          <w:bCs w:val="0"/>
          <w:sz w:val="32"/>
          <w:szCs w:val="32"/>
        </w:rPr>
        <w:t>部门职责</w:t>
      </w:r>
    </w:p>
    <w:p w14:paraId="3C1097D1">
      <w:pPr>
        <w:widowControl/>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（一）</w:t>
      </w:r>
      <w:r>
        <w:rPr>
          <w:rFonts w:hint="eastAsia" w:ascii="仿宋" w:hAnsi="仿宋" w:eastAsia="仿宋" w:cs="仿宋"/>
          <w:color w:val="333333"/>
          <w:kern w:val="0"/>
          <w:sz w:val="32"/>
          <w:szCs w:val="32"/>
        </w:rPr>
        <w:t>岳阳县市场建设管理中心主要负责所辖市场资产的经营管理及市场内物业管理</w:t>
      </w:r>
      <w:r>
        <w:rPr>
          <w:rFonts w:hint="eastAsia" w:ascii="仿宋" w:hAnsi="仿宋" w:eastAsia="仿宋" w:cs="仿宋"/>
          <w:color w:val="333333"/>
          <w:kern w:val="0"/>
          <w:sz w:val="32"/>
          <w:szCs w:val="32"/>
          <w:lang w:eastAsia="zh-CN"/>
        </w:rPr>
        <w:t>、</w:t>
      </w:r>
      <w:r>
        <w:rPr>
          <w:rFonts w:hint="eastAsia" w:ascii="仿宋" w:hAnsi="仿宋" w:eastAsia="仿宋" w:cs="仿宋"/>
          <w:color w:val="333333"/>
          <w:kern w:val="0"/>
          <w:sz w:val="32"/>
          <w:szCs w:val="32"/>
        </w:rPr>
        <w:t>市场开发和维修。</w:t>
      </w:r>
    </w:p>
    <w:p w14:paraId="3C89A615">
      <w:pPr>
        <w:pageBreakBefore w:val="0"/>
        <w:widowControl w:val="0"/>
        <w:kinsoku/>
        <w:wordWrap/>
        <w:overflowPunct/>
        <w:topLinePunct w:val="0"/>
        <w:autoSpaceDE/>
        <w:autoSpaceDN/>
        <w:bidi w:val="0"/>
        <w:adjustRightInd/>
        <w:snapToGrid/>
        <w:spacing w:line="360" w:lineRule="auto"/>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（二）</w:t>
      </w:r>
      <w:r>
        <w:rPr>
          <w:rFonts w:hint="eastAsia" w:ascii="仿宋" w:hAnsi="仿宋" w:eastAsia="仿宋" w:cs="仿宋"/>
          <w:color w:val="333333"/>
          <w:kern w:val="0"/>
          <w:sz w:val="32"/>
          <w:szCs w:val="32"/>
        </w:rPr>
        <w:t>提供交易场所和服务设施。</w:t>
      </w:r>
    </w:p>
    <w:p w14:paraId="205648B5">
      <w:pPr>
        <w:widowControl/>
        <w:spacing w:line="600" w:lineRule="exact"/>
        <w:rPr>
          <w:rFonts w:hint="eastAsia" w:ascii="黑体" w:hAnsi="黑体" w:eastAsia="黑体" w:cs="黑体"/>
          <w:b w:val="0"/>
          <w:bCs/>
          <w:kern w:val="0"/>
          <w:sz w:val="32"/>
          <w:szCs w:val="32"/>
        </w:rPr>
      </w:pPr>
      <w:r>
        <w:rPr>
          <w:rFonts w:hint="eastAsia" w:ascii="黑体" w:hAnsi="黑体" w:eastAsia="黑体" w:cs="黑体"/>
          <w:b w:val="0"/>
          <w:bCs/>
          <w:kern w:val="0"/>
          <w:sz w:val="32"/>
          <w:szCs w:val="32"/>
        </w:rPr>
        <w:t>二、机构设置及决算单位构成</w:t>
      </w:r>
    </w:p>
    <w:p w14:paraId="7E5B05A6">
      <w:pPr>
        <w:widowControl/>
        <w:spacing w:line="600" w:lineRule="exact"/>
        <w:ind w:firstLine="640" w:firstLineChars="200"/>
        <w:rPr>
          <w:rFonts w:hint="eastAsia" w:ascii="仿宋" w:hAnsi="仿宋" w:eastAsia="仿宋" w:cs="仿宋"/>
          <w:bCs/>
          <w:kern w:val="0"/>
          <w:sz w:val="32"/>
          <w:szCs w:val="32"/>
          <w:lang w:val="en-US" w:eastAsia="zh-CN"/>
        </w:rPr>
      </w:pPr>
      <w:r>
        <w:rPr>
          <w:rFonts w:hint="eastAsia" w:ascii="仿宋" w:hAnsi="仿宋" w:eastAsia="仿宋" w:cs="仿宋"/>
          <w:bCs/>
          <w:kern w:val="0"/>
          <w:sz w:val="32"/>
          <w:szCs w:val="32"/>
        </w:rPr>
        <w:t>（一）内设机构设置。</w:t>
      </w:r>
      <w:r>
        <w:rPr>
          <w:rFonts w:hint="eastAsia" w:ascii="仿宋" w:hAnsi="仿宋" w:eastAsia="仿宋" w:cs="仿宋"/>
          <w:color w:val="333333"/>
          <w:kern w:val="0"/>
          <w:sz w:val="32"/>
          <w:szCs w:val="32"/>
        </w:rPr>
        <w:t>岳阳县市场建设管理中心</w:t>
      </w:r>
      <w:r>
        <w:rPr>
          <w:rFonts w:hint="eastAsia" w:ascii="仿宋" w:hAnsi="仿宋" w:eastAsia="仿宋" w:cs="仿宋"/>
          <w:bCs/>
          <w:kern w:val="0"/>
          <w:sz w:val="32"/>
          <w:szCs w:val="32"/>
        </w:rPr>
        <w:t>内设机构包括：</w:t>
      </w:r>
      <w:r>
        <w:rPr>
          <w:rFonts w:hint="eastAsia" w:ascii="仿宋" w:hAnsi="仿宋" w:eastAsia="仿宋" w:cs="仿宋"/>
          <w:color w:val="333333"/>
          <w:kern w:val="0"/>
          <w:sz w:val="32"/>
          <w:szCs w:val="32"/>
        </w:rPr>
        <w:t>办公室、财务室、物业股、秩序卫生股</w:t>
      </w:r>
      <w:r>
        <w:rPr>
          <w:rFonts w:hint="eastAsia" w:ascii="仿宋" w:hAnsi="仿宋" w:eastAsia="仿宋" w:cs="仿宋"/>
          <w:color w:val="333333"/>
          <w:kern w:val="0"/>
          <w:sz w:val="32"/>
          <w:szCs w:val="32"/>
          <w:lang w:eastAsia="zh-CN"/>
        </w:rPr>
        <w:t>四</w:t>
      </w:r>
      <w:r>
        <w:rPr>
          <w:rFonts w:hint="eastAsia" w:ascii="仿宋" w:hAnsi="仿宋" w:eastAsia="仿宋" w:cs="仿宋"/>
          <w:color w:val="333333"/>
          <w:kern w:val="0"/>
          <w:sz w:val="32"/>
          <w:szCs w:val="32"/>
        </w:rPr>
        <w:t>个股室。</w:t>
      </w:r>
      <w:r>
        <w:rPr>
          <w:rFonts w:hint="eastAsia" w:ascii="仿宋" w:hAnsi="仿宋" w:eastAsia="仿宋" w:cs="仿宋"/>
          <w:color w:val="333333"/>
          <w:kern w:val="0"/>
          <w:sz w:val="32"/>
          <w:szCs w:val="32"/>
          <w:lang w:val="en-US" w:eastAsia="zh-CN"/>
        </w:rPr>
        <w:t>2025</w:t>
      </w:r>
      <w:r>
        <w:rPr>
          <w:rFonts w:hint="eastAsia" w:ascii="仿宋" w:hAnsi="仿宋" w:eastAsia="仿宋" w:cs="仿宋"/>
          <w:color w:val="333333"/>
          <w:kern w:val="0"/>
          <w:sz w:val="32"/>
          <w:szCs w:val="32"/>
        </w:rPr>
        <w:t>年年末实有</w:t>
      </w:r>
      <w:r>
        <w:rPr>
          <w:rFonts w:hint="eastAsia" w:ascii="仿宋" w:hAnsi="仿宋" w:eastAsia="仿宋" w:cs="仿宋"/>
          <w:color w:val="auto"/>
          <w:kern w:val="0"/>
          <w:sz w:val="32"/>
          <w:szCs w:val="32"/>
        </w:rPr>
        <w:t>在编人数</w:t>
      </w:r>
      <w:r>
        <w:rPr>
          <w:rFonts w:hint="eastAsia" w:ascii="仿宋" w:hAnsi="仿宋" w:eastAsia="仿宋" w:cs="仿宋"/>
          <w:color w:val="auto"/>
          <w:kern w:val="0"/>
          <w:sz w:val="32"/>
          <w:szCs w:val="32"/>
          <w:lang w:val="en-US" w:eastAsia="zh-CN"/>
        </w:rPr>
        <w:t>31</w:t>
      </w:r>
      <w:r>
        <w:rPr>
          <w:rFonts w:hint="eastAsia" w:ascii="仿宋" w:hAnsi="仿宋" w:eastAsia="仿宋" w:cs="仿宋"/>
          <w:color w:val="auto"/>
          <w:kern w:val="0"/>
          <w:sz w:val="32"/>
          <w:szCs w:val="32"/>
        </w:rPr>
        <w:t>人，</w:t>
      </w:r>
      <w:r>
        <w:rPr>
          <w:rFonts w:hint="eastAsia" w:ascii="仿宋" w:hAnsi="仿宋" w:eastAsia="仿宋" w:cs="仿宋"/>
          <w:color w:val="333333"/>
          <w:kern w:val="0"/>
          <w:sz w:val="32"/>
          <w:szCs w:val="32"/>
        </w:rPr>
        <w:t>退休2</w:t>
      </w:r>
      <w:r>
        <w:rPr>
          <w:rFonts w:hint="eastAsia" w:ascii="仿宋" w:hAnsi="仿宋" w:eastAsia="仿宋" w:cs="仿宋"/>
          <w:color w:val="333333"/>
          <w:kern w:val="0"/>
          <w:sz w:val="32"/>
          <w:szCs w:val="32"/>
          <w:lang w:val="en-US" w:eastAsia="zh-CN"/>
        </w:rPr>
        <w:t>9</w:t>
      </w:r>
      <w:r>
        <w:rPr>
          <w:rFonts w:hint="eastAsia" w:ascii="仿宋" w:hAnsi="仿宋" w:eastAsia="仿宋" w:cs="仿宋"/>
          <w:color w:val="333333"/>
          <w:kern w:val="0"/>
          <w:sz w:val="32"/>
          <w:szCs w:val="32"/>
        </w:rPr>
        <w:t>人，临聘市场清洁人员</w:t>
      </w:r>
      <w:r>
        <w:rPr>
          <w:rFonts w:hint="eastAsia" w:ascii="仿宋" w:hAnsi="仿宋" w:eastAsia="仿宋" w:cs="仿宋"/>
          <w:color w:val="333333"/>
          <w:kern w:val="0"/>
          <w:sz w:val="32"/>
          <w:szCs w:val="32"/>
          <w:lang w:val="en-US" w:eastAsia="zh-CN"/>
        </w:rPr>
        <w:t>6</w:t>
      </w:r>
      <w:r>
        <w:rPr>
          <w:rFonts w:hint="eastAsia" w:ascii="仿宋" w:hAnsi="仿宋" w:eastAsia="仿宋" w:cs="仿宋"/>
          <w:color w:val="333333"/>
          <w:kern w:val="0"/>
          <w:sz w:val="32"/>
          <w:szCs w:val="32"/>
        </w:rPr>
        <w:t>人</w:t>
      </w:r>
      <w:r>
        <w:rPr>
          <w:rFonts w:hint="eastAsia" w:ascii="仿宋" w:hAnsi="仿宋" w:eastAsia="仿宋" w:cs="仿宋"/>
          <w:color w:val="333333"/>
          <w:kern w:val="0"/>
          <w:sz w:val="32"/>
          <w:szCs w:val="32"/>
          <w:lang w:eastAsia="zh-CN"/>
        </w:rPr>
        <w:t>。</w:t>
      </w:r>
    </w:p>
    <w:p w14:paraId="7A4A3032">
      <w:pPr>
        <w:widowControl/>
        <w:spacing w:line="600" w:lineRule="exact"/>
        <w:ind w:firstLine="640" w:firstLineChars="200"/>
        <w:rPr>
          <w:rFonts w:hint="eastAsia" w:ascii="仿宋" w:hAnsi="仿宋" w:eastAsia="仿宋" w:cs="仿宋"/>
          <w:bCs/>
          <w:kern w:val="0"/>
          <w:sz w:val="32"/>
          <w:szCs w:val="32"/>
          <w:lang w:val="en-US" w:eastAsia="zh-CN"/>
        </w:rPr>
      </w:pPr>
      <w:r>
        <w:rPr>
          <w:rFonts w:hint="eastAsia" w:ascii="仿宋" w:hAnsi="仿宋" w:eastAsia="仿宋" w:cs="仿宋"/>
          <w:bCs/>
          <w:kern w:val="0"/>
          <w:sz w:val="32"/>
          <w:szCs w:val="32"/>
        </w:rPr>
        <w:t>（二）决算单位构成。</w:t>
      </w:r>
      <w:r>
        <w:rPr>
          <w:rFonts w:hint="eastAsia" w:ascii="仿宋" w:hAnsi="仿宋" w:eastAsia="仿宋" w:cs="仿宋"/>
          <w:color w:val="333333"/>
          <w:kern w:val="0"/>
          <w:sz w:val="32"/>
          <w:szCs w:val="32"/>
        </w:rPr>
        <w:t>岳阳县市场建设管理中心</w:t>
      </w:r>
      <w:r>
        <w:rPr>
          <w:rFonts w:hint="eastAsia" w:ascii="仿宋" w:hAnsi="仿宋" w:eastAsia="仿宋" w:cs="仿宋"/>
          <w:color w:val="333333"/>
          <w:kern w:val="0"/>
          <w:sz w:val="32"/>
          <w:szCs w:val="32"/>
          <w:lang w:val="en-US" w:eastAsia="zh-CN"/>
        </w:rPr>
        <w:t>属于岳阳县商务粮食局的下属公益二类事业单位，</w:t>
      </w:r>
      <w:r>
        <w:rPr>
          <w:rFonts w:hint="eastAsia" w:ascii="仿宋" w:hAnsi="仿宋" w:eastAsia="仿宋" w:cs="仿宋"/>
          <w:bCs/>
          <w:kern w:val="0"/>
          <w:sz w:val="32"/>
          <w:szCs w:val="32"/>
        </w:rPr>
        <w:t>202</w:t>
      </w:r>
      <w:r>
        <w:rPr>
          <w:rFonts w:hint="eastAsia" w:ascii="仿宋" w:hAnsi="仿宋" w:eastAsia="仿宋" w:cs="仿宋"/>
          <w:bCs/>
          <w:kern w:val="0"/>
          <w:sz w:val="32"/>
          <w:szCs w:val="32"/>
          <w:lang w:val="en-US" w:eastAsia="zh-CN"/>
        </w:rPr>
        <w:t>5</w:t>
      </w:r>
      <w:r>
        <w:rPr>
          <w:rFonts w:hint="eastAsia" w:ascii="仿宋" w:hAnsi="仿宋" w:eastAsia="仿宋" w:cs="仿宋"/>
          <w:bCs/>
          <w:kern w:val="0"/>
          <w:sz w:val="32"/>
          <w:szCs w:val="32"/>
        </w:rPr>
        <w:t>年部门决算汇总公开单位构成</w:t>
      </w:r>
      <w:r>
        <w:rPr>
          <w:rFonts w:hint="eastAsia" w:ascii="仿宋" w:hAnsi="仿宋" w:eastAsia="仿宋" w:cs="仿宋"/>
          <w:bCs/>
          <w:kern w:val="0"/>
          <w:sz w:val="32"/>
          <w:szCs w:val="32"/>
          <w:lang w:eastAsia="zh-CN"/>
        </w:rPr>
        <w:t>为</w:t>
      </w:r>
      <w:r>
        <w:rPr>
          <w:rFonts w:hint="eastAsia" w:ascii="仿宋" w:hAnsi="仿宋" w:eastAsia="仿宋" w:cs="仿宋"/>
          <w:color w:val="333333"/>
          <w:kern w:val="0"/>
          <w:sz w:val="32"/>
          <w:szCs w:val="32"/>
        </w:rPr>
        <w:t>岳阳县市场建设管理中心</w:t>
      </w:r>
      <w:r>
        <w:rPr>
          <w:rFonts w:hint="eastAsia" w:ascii="仿宋" w:hAnsi="仿宋" w:eastAsia="仿宋" w:cs="仿宋"/>
          <w:bCs/>
          <w:kern w:val="0"/>
          <w:sz w:val="32"/>
          <w:szCs w:val="32"/>
        </w:rPr>
        <w:t>本级</w:t>
      </w:r>
      <w:r>
        <w:rPr>
          <w:rFonts w:hint="eastAsia" w:ascii="仿宋" w:hAnsi="仿宋" w:eastAsia="仿宋" w:cs="仿宋"/>
          <w:bCs/>
          <w:kern w:val="0"/>
          <w:sz w:val="32"/>
          <w:szCs w:val="32"/>
          <w:lang w:eastAsia="zh-CN"/>
        </w:rPr>
        <w:t>。</w:t>
      </w:r>
    </w:p>
    <w:p w14:paraId="55540780">
      <w:pPr>
        <w:widowControl/>
        <w:spacing w:line="600" w:lineRule="exact"/>
        <w:rPr>
          <w:rFonts w:hint="eastAsia" w:ascii="Times New Roman" w:hAnsi="Times New Roman" w:eastAsia="仿宋_GB2312" w:cs="仿宋_GB2312"/>
          <w:bCs/>
          <w:kern w:val="0"/>
          <w:sz w:val="32"/>
          <w:szCs w:val="32"/>
        </w:rPr>
      </w:pPr>
    </w:p>
    <w:p w14:paraId="5649CE57">
      <w:pPr>
        <w:jc w:val="center"/>
        <w:rPr>
          <w:rFonts w:ascii="黑体" w:hAnsi="黑体" w:eastAsia="黑体"/>
          <w:sz w:val="28"/>
          <w:szCs w:val="28"/>
        </w:rPr>
      </w:pPr>
    </w:p>
    <w:p w14:paraId="37E041AA">
      <w:pPr>
        <w:jc w:val="center"/>
        <w:rPr>
          <w:rFonts w:ascii="黑体" w:hAnsi="黑体" w:eastAsia="黑体"/>
          <w:sz w:val="28"/>
          <w:szCs w:val="28"/>
        </w:rPr>
      </w:pPr>
    </w:p>
    <w:p w14:paraId="52DB7A8E">
      <w:pPr>
        <w:jc w:val="center"/>
        <w:rPr>
          <w:rFonts w:ascii="黑体" w:hAnsi="黑体" w:eastAsia="黑体"/>
          <w:sz w:val="28"/>
          <w:szCs w:val="28"/>
        </w:rPr>
      </w:pPr>
    </w:p>
    <w:p w14:paraId="0F4836B0">
      <w:pPr>
        <w:jc w:val="center"/>
        <w:rPr>
          <w:rFonts w:ascii="黑体" w:hAnsi="黑体" w:eastAsia="黑体"/>
          <w:sz w:val="28"/>
          <w:szCs w:val="28"/>
        </w:rPr>
      </w:pPr>
    </w:p>
    <w:p w14:paraId="35D0456E">
      <w:pPr>
        <w:jc w:val="center"/>
        <w:rPr>
          <w:rFonts w:ascii="黑体" w:hAnsi="黑体" w:eastAsia="黑体"/>
          <w:sz w:val="28"/>
          <w:szCs w:val="28"/>
        </w:rPr>
      </w:pPr>
    </w:p>
    <w:p w14:paraId="55D0BE8C">
      <w:pPr>
        <w:jc w:val="center"/>
        <w:rPr>
          <w:rFonts w:ascii="黑体" w:hAnsi="黑体" w:eastAsia="黑体"/>
          <w:sz w:val="28"/>
          <w:szCs w:val="28"/>
        </w:rPr>
      </w:pPr>
    </w:p>
    <w:p w14:paraId="13DFF5F7">
      <w:pPr>
        <w:jc w:val="center"/>
        <w:rPr>
          <w:rFonts w:ascii="黑体" w:hAnsi="黑体" w:eastAsia="黑体"/>
          <w:sz w:val="28"/>
          <w:szCs w:val="28"/>
        </w:rPr>
      </w:pPr>
    </w:p>
    <w:p w14:paraId="67EAA7F5">
      <w:pPr>
        <w:jc w:val="center"/>
        <w:rPr>
          <w:rFonts w:ascii="黑体" w:hAnsi="黑体" w:eastAsia="黑体"/>
          <w:sz w:val="28"/>
          <w:szCs w:val="28"/>
        </w:rPr>
      </w:pPr>
    </w:p>
    <w:p w14:paraId="0683B18B">
      <w:pPr>
        <w:jc w:val="center"/>
        <w:rPr>
          <w:rFonts w:ascii="黑体" w:hAnsi="黑体" w:eastAsia="黑体"/>
          <w:sz w:val="28"/>
          <w:szCs w:val="28"/>
        </w:rPr>
      </w:pPr>
    </w:p>
    <w:p w14:paraId="2F099563">
      <w:pPr>
        <w:jc w:val="center"/>
        <w:rPr>
          <w:rFonts w:ascii="黑体" w:hAnsi="黑体" w:eastAsia="黑体"/>
          <w:sz w:val="28"/>
          <w:szCs w:val="28"/>
        </w:rPr>
      </w:pPr>
    </w:p>
    <w:p w14:paraId="313D725B">
      <w:pPr>
        <w:jc w:val="center"/>
        <w:rPr>
          <w:rFonts w:ascii="黑体" w:hAnsi="黑体" w:eastAsia="黑体"/>
          <w:sz w:val="28"/>
          <w:szCs w:val="28"/>
        </w:rPr>
      </w:pPr>
    </w:p>
    <w:p w14:paraId="3EE99C21">
      <w:pPr>
        <w:jc w:val="center"/>
        <w:rPr>
          <w:rFonts w:ascii="黑体" w:hAnsi="黑体" w:eastAsia="黑体"/>
          <w:sz w:val="28"/>
          <w:szCs w:val="28"/>
        </w:rPr>
      </w:pPr>
    </w:p>
    <w:p w14:paraId="11738A28">
      <w:pPr>
        <w:jc w:val="center"/>
        <w:rPr>
          <w:sz w:val="72"/>
          <w:szCs w:val="72"/>
        </w:rPr>
      </w:pPr>
    </w:p>
    <w:p w14:paraId="78B06C92">
      <w:pPr>
        <w:jc w:val="center"/>
        <w:rPr>
          <w:sz w:val="72"/>
          <w:szCs w:val="72"/>
        </w:rPr>
      </w:pPr>
    </w:p>
    <w:p w14:paraId="0B59FA60">
      <w:pPr>
        <w:jc w:val="center"/>
        <w:rPr>
          <w:sz w:val="72"/>
          <w:szCs w:val="72"/>
        </w:rPr>
      </w:pPr>
    </w:p>
    <w:p w14:paraId="52F4B58F">
      <w:pPr>
        <w:jc w:val="center"/>
        <w:rPr>
          <w:sz w:val="72"/>
          <w:szCs w:val="72"/>
        </w:rPr>
      </w:pPr>
    </w:p>
    <w:p w14:paraId="1C9FAFD0">
      <w:pPr>
        <w:pStyle w:val="11"/>
        <w:jc w:val="center"/>
        <w:rPr>
          <w:rFonts w:hint="eastAsia" w:ascii="方正小标宋_GBK" w:hAnsi="方正小标宋_GBK" w:eastAsia="方正小标宋_GBK" w:cs="方正小标宋_GBK"/>
          <w:sz w:val="84"/>
          <w:szCs w:val="84"/>
        </w:rPr>
      </w:pPr>
    </w:p>
    <w:p w14:paraId="3A13AC63">
      <w:pPr>
        <w:pStyle w:val="11"/>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第二部分</w:t>
      </w:r>
    </w:p>
    <w:p w14:paraId="575FB67C">
      <w:pPr>
        <w:pStyle w:val="11"/>
        <w:jc w:val="center"/>
        <w:rPr>
          <w:rFonts w:hint="eastAsia" w:ascii="方正小标宋_GBK" w:hAnsi="方正小标宋_GBK" w:eastAsia="方正小标宋_GBK" w:cs="方正小标宋_GBK"/>
          <w:sz w:val="84"/>
          <w:szCs w:val="84"/>
        </w:rPr>
      </w:pPr>
    </w:p>
    <w:p w14:paraId="0ACD6A25">
      <w:pPr>
        <w:pStyle w:val="11"/>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部门决算表</w:t>
      </w:r>
    </w:p>
    <w:p w14:paraId="3C91F9EB">
      <w:pPr>
        <w:jc w:val="center"/>
        <w:rPr>
          <w:rFonts w:hint="eastAsia" w:eastAsia="宋体"/>
          <w:sz w:val="72"/>
          <w:szCs w:val="72"/>
          <w:lang w:eastAsia="zh-CN"/>
        </w:rPr>
      </w:pPr>
      <w:r>
        <w:rPr>
          <w:rFonts w:hint="eastAsia"/>
          <w:sz w:val="72"/>
          <w:szCs w:val="72"/>
          <w:lang w:eastAsia="zh-CN"/>
        </w:rPr>
        <w:t>（见附件）</w:t>
      </w:r>
    </w:p>
    <w:p w14:paraId="3909A95A">
      <w:pPr>
        <w:jc w:val="center"/>
        <w:rPr>
          <w:sz w:val="72"/>
          <w:szCs w:val="72"/>
        </w:rPr>
      </w:pPr>
    </w:p>
    <w:p w14:paraId="2D306D78">
      <w:pPr>
        <w:jc w:val="center"/>
        <w:rPr>
          <w:sz w:val="72"/>
          <w:szCs w:val="72"/>
        </w:rPr>
      </w:pPr>
    </w:p>
    <w:p w14:paraId="286D1828">
      <w:pPr>
        <w:pStyle w:val="11"/>
        <w:jc w:val="both"/>
        <w:rPr>
          <w:rFonts w:hint="eastAsia" w:ascii="方正小标宋_GBK" w:hAnsi="方正小标宋_GBK" w:eastAsia="方正小标宋_GBK" w:cs="方正小标宋_GBK"/>
          <w:sz w:val="72"/>
          <w:szCs w:val="72"/>
        </w:rPr>
      </w:pPr>
    </w:p>
    <w:p w14:paraId="2A6C5B6A">
      <w:pPr>
        <w:pStyle w:val="11"/>
        <w:jc w:val="both"/>
        <w:rPr>
          <w:rFonts w:hint="eastAsia" w:ascii="方正小标宋_GBK" w:hAnsi="方正小标宋_GBK" w:eastAsia="方正小标宋_GBK" w:cs="方正小标宋_GBK"/>
          <w:sz w:val="72"/>
          <w:szCs w:val="72"/>
        </w:rPr>
      </w:pPr>
    </w:p>
    <w:p w14:paraId="77E5C19D">
      <w:pPr>
        <w:pStyle w:val="11"/>
        <w:jc w:val="both"/>
        <w:rPr>
          <w:rFonts w:hint="eastAsia" w:ascii="方正小标宋_GBK" w:hAnsi="方正小标宋_GBK" w:eastAsia="方正小标宋_GBK" w:cs="方正小标宋_GBK"/>
          <w:sz w:val="72"/>
          <w:szCs w:val="72"/>
        </w:rPr>
      </w:pPr>
    </w:p>
    <w:p w14:paraId="383E7E6B">
      <w:pPr>
        <w:pStyle w:val="11"/>
        <w:jc w:val="both"/>
        <w:rPr>
          <w:rFonts w:hint="eastAsia" w:ascii="方正小标宋_GBK" w:hAnsi="方正小标宋_GBK" w:eastAsia="方正小标宋_GBK" w:cs="方正小标宋_GBK"/>
          <w:sz w:val="72"/>
          <w:szCs w:val="72"/>
        </w:rPr>
      </w:pPr>
    </w:p>
    <w:p w14:paraId="0151F95B">
      <w:pPr>
        <w:pStyle w:val="11"/>
        <w:jc w:val="both"/>
        <w:rPr>
          <w:rFonts w:hint="eastAsia" w:ascii="方正小标宋_GBK" w:hAnsi="方正小标宋_GBK" w:eastAsia="方正小标宋_GBK" w:cs="方正小标宋_GBK"/>
          <w:sz w:val="72"/>
          <w:szCs w:val="72"/>
        </w:rPr>
      </w:pPr>
    </w:p>
    <w:p w14:paraId="3AF4D20E">
      <w:pPr>
        <w:pStyle w:val="11"/>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第三部分</w:t>
      </w:r>
    </w:p>
    <w:p w14:paraId="753D127A">
      <w:pPr>
        <w:pStyle w:val="11"/>
        <w:jc w:val="center"/>
        <w:rPr>
          <w:rFonts w:hint="eastAsia" w:ascii="方正小标宋_GBK" w:hAnsi="方正小标宋_GBK" w:eastAsia="方正小标宋_GBK" w:cs="方正小标宋_GBK"/>
          <w:sz w:val="70"/>
          <w:szCs w:val="70"/>
        </w:rPr>
      </w:pPr>
    </w:p>
    <w:p w14:paraId="30AE2120">
      <w:pPr>
        <w:pStyle w:val="11"/>
        <w:jc w:val="center"/>
        <w:rPr>
          <w:rFonts w:hint="eastAsia"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0"/>
          <w:szCs w:val="70"/>
          <w:lang w:eastAsia="zh-CN"/>
        </w:rPr>
        <w:t>202</w:t>
      </w:r>
      <w:r>
        <w:rPr>
          <w:rFonts w:hint="eastAsia" w:ascii="方正小标宋_GBK" w:hAnsi="方正小标宋_GBK" w:eastAsia="方正小标宋_GBK" w:cs="方正小标宋_GBK"/>
          <w:sz w:val="70"/>
          <w:szCs w:val="70"/>
          <w:lang w:val="en-US" w:eastAsia="zh-CN"/>
        </w:rPr>
        <w:t>5</w:t>
      </w:r>
      <w:r>
        <w:rPr>
          <w:rFonts w:hint="eastAsia" w:ascii="方正小标宋_GBK" w:hAnsi="方正小标宋_GBK" w:eastAsia="方正小标宋_GBK" w:cs="方正小标宋_GBK"/>
          <w:sz w:val="70"/>
          <w:szCs w:val="70"/>
          <w:lang w:eastAsia="zh-CN"/>
        </w:rPr>
        <w:t>年</w:t>
      </w:r>
      <w:r>
        <w:rPr>
          <w:rFonts w:hint="eastAsia" w:ascii="方正小标宋_GBK" w:hAnsi="方正小标宋_GBK" w:eastAsia="方正小标宋_GBK" w:cs="方正小标宋_GBK"/>
          <w:sz w:val="70"/>
          <w:szCs w:val="70"/>
        </w:rPr>
        <w:t>度部门决算情况说明</w:t>
      </w:r>
    </w:p>
    <w:p w14:paraId="74C2F92A">
      <w:pPr>
        <w:widowControl/>
        <w:jc w:val="left"/>
        <w:rPr>
          <w:rFonts w:ascii="宋体" w:hAnsi="宋体" w:eastAsia="宋体"/>
          <w:sz w:val="32"/>
          <w:szCs w:val="32"/>
        </w:rPr>
      </w:pPr>
      <w:r>
        <w:rPr>
          <w:rFonts w:hint="eastAsia" w:ascii="方正小标宋_GBK" w:hAnsi="方正小标宋_GBK" w:eastAsia="方正小标宋_GBK" w:cs="方正小标宋_GBK"/>
          <w:sz w:val="70"/>
          <w:szCs w:val="70"/>
        </w:rPr>
        <w:br w:type="page"/>
      </w:r>
    </w:p>
    <w:p w14:paraId="30E11C16">
      <w:pPr>
        <w:pStyle w:val="11"/>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一、收入支出决算总体情况说明</w:t>
      </w:r>
    </w:p>
    <w:p w14:paraId="1EFF1795">
      <w:pPr>
        <w:pStyle w:val="11"/>
        <w:ind w:firstLine="640" w:firstLineChars="200"/>
        <w:rPr>
          <w:rFonts w:hint="eastAsia" w:ascii="仿宋" w:hAnsi="仿宋" w:eastAsia="仿宋" w:cs="仿宋"/>
          <w:i/>
          <w:iCs/>
          <w:color w:val="auto"/>
          <w:sz w:val="32"/>
          <w:szCs w:val="32"/>
        </w:rPr>
      </w:pPr>
      <w:r>
        <w:rPr>
          <w:rFonts w:hint="eastAsia" w:ascii="仿宋" w:hAnsi="仿宋" w:eastAsia="仿宋" w:cs="仿宋"/>
          <w:sz w:val="32"/>
          <w:szCs w:val="32"/>
          <w:lang w:eastAsia="zh-CN"/>
        </w:rPr>
        <w:t>202</w:t>
      </w:r>
      <w:r>
        <w:rPr>
          <w:rFonts w:hint="eastAsia" w:ascii="仿宋" w:hAnsi="仿宋" w:eastAsia="仿宋" w:cs="仿宋"/>
          <w:sz w:val="32"/>
          <w:szCs w:val="32"/>
          <w:lang w:val="en-US" w:eastAsia="zh-CN"/>
        </w:rPr>
        <w:t>5</w:t>
      </w:r>
      <w:r>
        <w:rPr>
          <w:rFonts w:hint="eastAsia" w:ascii="仿宋" w:hAnsi="仿宋" w:eastAsia="仿宋" w:cs="仿宋"/>
          <w:sz w:val="32"/>
          <w:szCs w:val="32"/>
          <w:lang w:eastAsia="zh-CN"/>
        </w:rPr>
        <w:t>年</w:t>
      </w:r>
      <w:r>
        <w:rPr>
          <w:rFonts w:hint="eastAsia" w:ascii="仿宋" w:hAnsi="仿宋" w:eastAsia="仿宋" w:cs="仿宋"/>
          <w:sz w:val="32"/>
          <w:szCs w:val="32"/>
        </w:rPr>
        <w:t>度收、支总计703.66万元。与上年相比，增加</w:t>
      </w:r>
      <w:r>
        <w:rPr>
          <w:rFonts w:hint="eastAsia" w:ascii="仿宋" w:hAnsi="仿宋" w:eastAsia="仿宋" w:cs="仿宋"/>
          <w:sz w:val="32"/>
          <w:szCs w:val="32"/>
          <w:lang w:val="en-US" w:eastAsia="zh-CN"/>
        </w:rPr>
        <w:t>85.8</w:t>
      </w:r>
      <w:r>
        <w:rPr>
          <w:rFonts w:hint="eastAsia" w:ascii="仿宋" w:hAnsi="仿宋" w:eastAsia="仿宋" w:cs="仿宋"/>
          <w:sz w:val="32"/>
          <w:szCs w:val="32"/>
        </w:rPr>
        <w:t>万元，增长</w:t>
      </w:r>
      <w:r>
        <w:rPr>
          <w:rFonts w:hint="eastAsia" w:ascii="仿宋" w:hAnsi="仿宋" w:eastAsia="仿宋" w:cs="仿宋"/>
          <w:sz w:val="32"/>
          <w:szCs w:val="32"/>
          <w:lang w:val="en-US" w:eastAsia="zh-CN"/>
        </w:rPr>
        <w:t>13.89</w:t>
      </w:r>
      <w:r>
        <w:rPr>
          <w:rFonts w:hint="eastAsia" w:ascii="仿宋" w:hAnsi="仿宋" w:eastAsia="仿宋" w:cs="仿宋"/>
          <w:sz w:val="32"/>
          <w:szCs w:val="32"/>
        </w:rPr>
        <w:t>%，</w:t>
      </w:r>
      <w:r>
        <w:rPr>
          <w:rFonts w:hint="eastAsia" w:ascii="仿宋" w:hAnsi="仿宋" w:eastAsia="仿宋" w:cs="仿宋"/>
          <w:color w:val="auto"/>
          <w:sz w:val="32"/>
          <w:szCs w:val="32"/>
        </w:rPr>
        <w:t>主要是因为</w:t>
      </w:r>
      <w:r>
        <w:rPr>
          <w:rFonts w:hint="eastAsia" w:ascii="仿宋" w:hAnsi="仿宋" w:eastAsia="仿宋" w:cs="仿宋"/>
          <w:color w:val="auto"/>
          <w:sz w:val="32"/>
          <w:szCs w:val="32"/>
          <w:lang w:eastAsia="zh-CN"/>
        </w:rPr>
        <w:t>恢复了市场建设管理的预算经费。</w:t>
      </w:r>
    </w:p>
    <w:p w14:paraId="1A475C97">
      <w:pPr>
        <w:pStyle w:val="11"/>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二、收入决算情况说明</w:t>
      </w:r>
    </w:p>
    <w:p w14:paraId="30686F81">
      <w:pPr>
        <w:pStyle w:val="11"/>
        <w:ind w:firstLine="640" w:firstLineChars="200"/>
        <w:rPr>
          <w:rFonts w:hint="eastAsia" w:ascii="楷体" w:hAnsi="楷体" w:eastAsia="楷体" w:cs="楷体"/>
          <w:sz w:val="32"/>
          <w:szCs w:val="32"/>
        </w:rPr>
      </w:pPr>
      <w:r>
        <w:rPr>
          <w:rFonts w:hint="eastAsia" w:ascii="仿宋" w:hAnsi="仿宋" w:eastAsia="仿宋" w:cs="仿宋"/>
          <w:sz w:val="32"/>
          <w:szCs w:val="32"/>
          <w:lang w:eastAsia="zh-CN"/>
        </w:rPr>
        <w:t>202</w:t>
      </w:r>
      <w:r>
        <w:rPr>
          <w:rFonts w:hint="eastAsia" w:ascii="仿宋" w:hAnsi="仿宋" w:eastAsia="仿宋" w:cs="仿宋"/>
          <w:sz w:val="32"/>
          <w:szCs w:val="32"/>
          <w:lang w:val="en-US" w:eastAsia="zh-CN"/>
        </w:rPr>
        <w:t>5</w:t>
      </w:r>
      <w:r>
        <w:rPr>
          <w:rFonts w:hint="eastAsia" w:ascii="仿宋" w:hAnsi="仿宋" w:eastAsia="仿宋" w:cs="仿宋"/>
          <w:sz w:val="32"/>
          <w:szCs w:val="32"/>
          <w:lang w:eastAsia="zh-CN"/>
        </w:rPr>
        <w:t>年</w:t>
      </w:r>
      <w:r>
        <w:rPr>
          <w:rFonts w:hint="eastAsia" w:ascii="仿宋" w:hAnsi="仿宋" w:eastAsia="仿宋" w:cs="仿宋"/>
          <w:sz w:val="32"/>
          <w:szCs w:val="32"/>
        </w:rPr>
        <w:t>度收入合计700.42万元，其中：财政拨款收入654.06万元，占</w:t>
      </w:r>
      <w:r>
        <w:rPr>
          <w:rFonts w:hint="eastAsia" w:ascii="仿宋" w:hAnsi="仿宋" w:eastAsia="仿宋" w:cs="仿宋"/>
          <w:sz w:val="32"/>
          <w:szCs w:val="32"/>
          <w:lang w:val="en-US" w:eastAsia="zh-CN"/>
        </w:rPr>
        <w:t>93.38</w:t>
      </w:r>
      <w:r>
        <w:rPr>
          <w:rFonts w:hint="eastAsia" w:ascii="仿宋" w:hAnsi="仿宋" w:eastAsia="仿宋" w:cs="仿宋"/>
          <w:sz w:val="32"/>
          <w:szCs w:val="32"/>
        </w:rPr>
        <w:t>%；上级补助收入</w:t>
      </w:r>
      <w:r>
        <w:rPr>
          <w:rFonts w:hint="eastAsia" w:ascii="仿宋" w:hAnsi="仿宋" w:eastAsia="仿宋" w:cs="仿宋"/>
          <w:sz w:val="32"/>
          <w:szCs w:val="32"/>
          <w:lang w:val="en-US" w:eastAsia="zh-CN"/>
        </w:rPr>
        <w:t>0</w:t>
      </w:r>
      <w:r>
        <w:rPr>
          <w:rFonts w:hint="eastAsia" w:ascii="仿宋" w:hAnsi="仿宋" w:eastAsia="仿宋" w:cs="仿宋"/>
          <w:sz w:val="32"/>
          <w:szCs w:val="32"/>
        </w:rPr>
        <w:t>万元，占</w:t>
      </w:r>
      <w:r>
        <w:rPr>
          <w:rFonts w:hint="eastAsia" w:ascii="仿宋" w:hAnsi="仿宋" w:eastAsia="仿宋" w:cs="仿宋"/>
          <w:sz w:val="32"/>
          <w:szCs w:val="32"/>
          <w:lang w:val="en-US" w:eastAsia="zh-CN"/>
        </w:rPr>
        <w:t>0</w:t>
      </w:r>
      <w:r>
        <w:rPr>
          <w:rFonts w:hint="eastAsia" w:ascii="仿宋" w:hAnsi="仿宋" w:eastAsia="仿宋" w:cs="仿宋"/>
          <w:sz w:val="32"/>
          <w:szCs w:val="32"/>
        </w:rPr>
        <w:t>%；事业收入</w:t>
      </w:r>
      <w:r>
        <w:rPr>
          <w:rFonts w:hint="eastAsia" w:ascii="仿宋" w:hAnsi="仿宋" w:eastAsia="仿宋" w:cs="仿宋"/>
          <w:sz w:val="32"/>
          <w:szCs w:val="32"/>
          <w:lang w:val="en-US" w:eastAsia="zh-CN"/>
        </w:rPr>
        <w:t>0</w:t>
      </w:r>
      <w:r>
        <w:rPr>
          <w:rFonts w:hint="eastAsia" w:ascii="仿宋" w:hAnsi="仿宋" w:eastAsia="仿宋" w:cs="仿宋"/>
          <w:sz w:val="32"/>
          <w:szCs w:val="32"/>
        </w:rPr>
        <w:t>万元，占</w:t>
      </w:r>
      <w:r>
        <w:rPr>
          <w:rFonts w:hint="eastAsia" w:ascii="仿宋" w:hAnsi="仿宋" w:eastAsia="仿宋" w:cs="仿宋"/>
          <w:sz w:val="32"/>
          <w:szCs w:val="32"/>
          <w:lang w:val="en-US" w:eastAsia="zh-CN"/>
        </w:rPr>
        <w:t>0</w:t>
      </w:r>
      <w:r>
        <w:rPr>
          <w:rFonts w:hint="eastAsia" w:ascii="仿宋" w:hAnsi="仿宋" w:eastAsia="仿宋" w:cs="仿宋"/>
          <w:sz w:val="32"/>
          <w:szCs w:val="32"/>
        </w:rPr>
        <w:t>%；经营收入</w:t>
      </w:r>
      <w:r>
        <w:rPr>
          <w:rFonts w:hint="eastAsia" w:ascii="仿宋" w:hAnsi="仿宋" w:eastAsia="仿宋" w:cs="仿宋"/>
          <w:sz w:val="32"/>
          <w:szCs w:val="32"/>
          <w:lang w:val="en-US" w:eastAsia="zh-CN"/>
        </w:rPr>
        <w:t>0</w:t>
      </w:r>
      <w:r>
        <w:rPr>
          <w:rFonts w:hint="eastAsia" w:ascii="仿宋" w:hAnsi="仿宋" w:eastAsia="仿宋" w:cs="仿宋"/>
          <w:sz w:val="32"/>
          <w:szCs w:val="32"/>
        </w:rPr>
        <w:t>万元，占</w:t>
      </w:r>
      <w:r>
        <w:rPr>
          <w:rFonts w:hint="eastAsia" w:ascii="仿宋" w:hAnsi="仿宋" w:eastAsia="仿宋" w:cs="仿宋"/>
          <w:sz w:val="32"/>
          <w:szCs w:val="32"/>
          <w:lang w:val="en-US" w:eastAsia="zh-CN"/>
        </w:rPr>
        <w:t>0</w:t>
      </w:r>
      <w:r>
        <w:rPr>
          <w:rFonts w:hint="eastAsia" w:ascii="仿宋" w:hAnsi="仿宋" w:eastAsia="仿宋" w:cs="仿宋"/>
          <w:sz w:val="32"/>
          <w:szCs w:val="32"/>
        </w:rPr>
        <w:t>%；附属单位上缴收入</w:t>
      </w:r>
      <w:r>
        <w:rPr>
          <w:rFonts w:hint="eastAsia" w:ascii="仿宋" w:hAnsi="仿宋" w:eastAsia="仿宋" w:cs="仿宋"/>
          <w:sz w:val="32"/>
          <w:szCs w:val="32"/>
          <w:lang w:val="en-US" w:eastAsia="zh-CN"/>
        </w:rPr>
        <w:t>0</w:t>
      </w:r>
      <w:r>
        <w:rPr>
          <w:rFonts w:hint="eastAsia" w:ascii="仿宋" w:hAnsi="仿宋" w:eastAsia="仿宋" w:cs="仿宋"/>
          <w:sz w:val="32"/>
          <w:szCs w:val="32"/>
        </w:rPr>
        <w:t>万元，占</w:t>
      </w:r>
      <w:r>
        <w:rPr>
          <w:rFonts w:hint="eastAsia" w:ascii="仿宋" w:hAnsi="仿宋" w:eastAsia="仿宋" w:cs="仿宋"/>
          <w:sz w:val="32"/>
          <w:szCs w:val="32"/>
          <w:lang w:val="en-US" w:eastAsia="zh-CN"/>
        </w:rPr>
        <w:t>0</w:t>
      </w:r>
      <w:r>
        <w:rPr>
          <w:rFonts w:hint="eastAsia" w:ascii="仿宋" w:hAnsi="仿宋" w:eastAsia="仿宋" w:cs="仿宋"/>
          <w:sz w:val="32"/>
          <w:szCs w:val="32"/>
        </w:rPr>
        <w:t>%；其他收入46.36万元，占</w:t>
      </w:r>
      <w:r>
        <w:rPr>
          <w:rFonts w:hint="eastAsia" w:ascii="仿宋" w:hAnsi="仿宋" w:eastAsia="仿宋" w:cs="仿宋"/>
          <w:sz w:val="32"/>
          <w:szCs w:val="32"/>
          <w:lang w:val="en-US" w:eastAsia="zh-CN"/>
        </w:rPr>
        <w:t>6.62</w:t>
      </w:r>
      <w:r>
        <w:rPr>
          <w:rFonts w:hint="eastAsia" w:ascii="仿宋" w:hAnsi="仿宋" w:eastAsia="仿宋" w:cs="仿宋"/>
          <w:sz w:val="32"/>
          <w:szCs w:val="32"/>
        </w:rPr>
        <w:t>%。</w:t>
      </w:r>
    </w:p>
    <w:p w14:paraId="3B8F7F3A">
      <w:pPr>
        <w:pStyle w:val="11"/>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三、支出决算情况说明</w:t>
      </w:r>
    </w:p>
    <w:p w14:paraId="7CFA06B8">
      <w:pPr>
        <w:pStyle w:val="11"/>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2025年</w:t>
      </w:r>
      <w:r>
        <w:rPr>
          <w:rFonts w:hint="eastAsia" w:ascii="仿宋" w:hAnsi="仿宋" w:eastAsia="仿宋" w:cs="仿宋"/>
          <w:sz w:val="32"/>
          <w:szCs w:val="32"/>
        </w:rPr>
        <w:t>度支出合计703.66万元，其中：基本支出703.66万元，占</w:t>
      </w:r>
      <w:r>
        <w:rPr>
          <w:rFonts w:hint="eastAsia" w:ascii="仿宋" w:hAnsi="仿宋" w:eastAsia="仿宋" w:cs="仿宋"/>
          <w:sz w:val="32"/>
          <w:szCs w:val="32"/>
          <w:lang w:val="en-US" w:eastAsia="zh-CN"/>
        </w:rPr>
        <w:t>100</w:t>
      </w:r>
      <w:r>
        <w:rPr>
          <w:rFonts w:hint="eastAsia" w:ascii="仿宋" w:hAnsi="仿宋" w:eastAsia="仿宋" w:cs="仿宋"/>
          <w:sz w:val="32"/>
          <w:szCs w:val="32"/>
        </w:rPr>
        <w:t>%；项目支出</w:t>
      </w:r>
      <w:r>
        <w:rPr>
          <w:rFonts w:hint="eastAsia" w:ascii="仿宋" w:hAnsi="仿宋" w:eastAsia="仿宋" w:cs="仿宋"/>
          <w:sz w:val="32"/>
          <w:szCs w:val="32"/>
          <w:lang w:val="en-US" w:eastAsia="zh-CN"/>
        </w:rPr>
        <w:t>0</w:t>
      </w:r>
      <w:r>
        <w:rPr>
          <w:rFonts w:hint="eastAsia" w:ascii="仿宋" w:hAnsi="仿宋" w:eastAsia="仿宋" w:cs="仿宋"/>
          <w:sz w:val="32"/>
          <w:szCs w:val="32"/>
        </w:rPr>
        <w:t>万元，占</w:t>
      </w:r>
      <w:r>
        <w:rPr>
          <w:rFonts w:hint="eastAsia" w:ascii="仿宋" w:hAnsi="仿宋" w:eastAsia="仿宋" w:cs="仿宋"/>
          <w:sz w:val="32"/>
          <w:szCs w:val="32"/>
          <w:lang w:val="en-US" w:eastAsia="zh-CN"/>
        </w:rPr>
        <w:t>0</w:t>
      </w:r>
      <w:r>
        <w:rPr>
          <w:rFonts w:hint="eastAsia" w:ascii="仿宋" w:hAnsi="仿宋" w:eastAsia="仿宋" w:cs="仿宋"/>
          <w:sz w:val="32"/>
          <w:szCs w:val="32"/>
        </w:rPr>
        <w:t>%；上缴上级支出</w:t>
      </w:r>
      <w:r>
        <w:rPr>
          <w:rFonts w:hint="eastAsia" w:ascii="仿宋" w:hAnsi="仿宋" w:eastAsia="仿宋" w:cs="仿宋"/>
          <w:sz w:val="32"/>
          <w:szCs w:val="32"/>
          <w:lang w:val="en-US" w:eastAsia="zh-CN"/>
        </w:rPr>
        <w:t>0</w:t>
      </w:r>
      <w:r>
        <w:rPr>
          <w:rFonts w:hint="eastAsia" w:ascii="仿宋" w:hAnsi="仿宋" w:eastAsia="仿宋" w:cs="仿宋"/>
          <w:sz w:val="32"/>
          <w:szCs w:val="32"/>
        </w:rPr>
        <w:t>万元，占</w:t>
      </w:r>
      <w:r>
        <w:rPr>
          <w:rFonts w:hint="eastAsia" w:ascii="仿宋" w:hAnsi="仿宋" w:eastAsia="仿宋" w:cs="仿宋"/>
          <w:sz w:val="32"/>
          <w:szCs w:val="32"/>
          <w:lang w:val="en-US" w:eastAsia="zh-CN"/>
        </w:rPr>
        <w:t>0</w:t>
      </w:r>
      <w:r>
        <w:rPr>
          <w:rFonts w:hint="eastAsia" w:ascii="仿宋" w:hAnsi="仿宋" w:eastAsia="仿宋" w:cs="仿宋"/>
          <w:sz w:val="32"/>
          <w:szCs w:val="32"/>
        </w:rPr>
        <w:t>%；经营支出</w:t>
      </w:r>
      <w:r>
        <w:rPr>
          <w:rFonts w:hint="eastAsia" w:ascii="仿宋" w:hAnsi="仿宋" w:eastAsia="仿宋" w:cs="仿宋"/>
          <w:sz w:val="32"/>
          <w:szCs w:val="32"/>
          <w:lang w:val="en-US" w:eastAsia="zh-CN"/>
        </w:rPr>
        <w:t>0</w:t>
      </w:r>
      <w:r>
        <w:rPr>
          <w:rFonts w:hint="eastAsia" w:ascii="仿宋" w:hAnsi="仿宋" w:eastAsia="仿宋" w:cs="仿宋"/>
          <w:sz w:val="32"/>
          <w:szCs w:val="32"/>
        </w:rPr>
        <w:t>万元，占</w:t>
      </w:r>
      <w:r>
        <w:rPr>
          <w:rFonts w:hint="eastAsia" w:ascii="仿宋" w:hAnsi="仿宋" w:eastAsia="仿宋" w:cs="仿宋"/>
          <w:sz w:val="32"/>
          <w:szCs w:val="32"/>
          <w:lang w:val="en-US" w:eastAsia="zh-CN"/>
        </w:rPr>
        <w:t>0</w:t>
      </w:r>
      <w:r>
        <w:rPr>
          <w:rFonts w:hint="eastAsia" w:ascii="仿宋" w:hAnsi="仿宋" w:eastAsia="仿宋" w:cs="仿宋"/>
          <w:sz w:val="32"/>
          <w:szCs w:val="32"/>
        </w:rPr>
        <w:t>%；对附属单位补助支出</w:t>
      </w:r>
      <w:r>
        <w:rPr>
          <w:rFonts w:hint="eastAsia" w:ascii="仿宋" w:hAnsi="仿宋" w:eastAsia="仿宋" w:cs="仿宋"/>
          <w:sz w:val="32"/>
          <w:szCs w:val="32"/>
          <w:lang w:val="en-US" w:eastAsia="zh-CN"/>
        </w:rPr>
        <w:t>0</w:t>
      </w:r>
      <w:r>
        <w:rPr>
          <w:rFonts w:hint="eastAsia" w:ascii="仿宋" w:hAnsi="仿宋" w:eastAsia="仿宋" w:cs="仿宋"/>
          <w:sz w:val="32"/>
          <w:szCs w:val="32"/>
        </w:rPr>
        <w:t>万元，占</w:t>
      </w:r>
      <w:r>
        <w:rPr>
          <w:rFonts w:hint="eastAsia" w:ascii="仿宋" w:hAnsi="仿宋" w:eastAsia="仿宋" w:cs="仿宋"/>
          <w:sz w:val="32"/>
          <w:szCs w:val="32"/>
          <w:lang w:val="en-US" w:eastAsia="zh-CN"/>
        </w:rPr>
        <w:t>0</w:t>
      </w:r>
      <w:r>
        <w:rPr>
          <w:rFonts w:hint="eastAsia" w:ascii="仿宋" w:hAnsi="仿宋" w:eastAsia="仿宋" w:cs="仿宋"/>
          <w:sz w:val="32"/>
          <w:szCs w:val="32"/>
        </w:rPr>
        <w:t>%。</w:t>
      </w:r>
    </w:p>
    <w:p w14:paraId="162F1BD5">
      <w:pPr>
        <w:pStyle w:val="11"/>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四、财政拨款收入支出决算总体情况说明</w:t>
      </w:r>
    </w:p>
    <w:p w14:paraId="5E0E4DDB">
      <w:pPr>
        <w:pStyle w:val="11"/>
        <w:keepNext w:val="0"/>
        <w:keepLines w:val="0"/>
        <w:pageBreakBefore w:val="0"/>
        <w:widowControl w:val="0"/>
        <w:kinsoku/>
        <w:wordWrap/>
        <w:overflowPunct/>
        <w:topLinePunct w:val="0"/>
        <w:bidi w:val="0"/>
        <w:snapToGrid/>
        <w:spacing w:line="600" w:lineRule="exact"/>
        <w:textAlignment w:val="auto"/>
        <w:rPr>
          <w:rFonts w:hint="eastAsia" w:ascii="仿宋" w:hAnsi="仿宋" w:eastAsia="仿宋" w:cs="仿宋"/>
          <w:color w:val="auto"/>
          <w:sz w:val="32"/>
          <w:szCs w:val="32"/>
        </w:rPr>
      </w:pPr>
      <w:r>
        <w:rPr>
          <w:rFonts w:hint="eastAsia" w:ascii="Times New Roman" w:hAnsi="Times New Roman" w:eastAsia="仿宋_GB2312"/>
          <w:sz w:val="32"/>
          <w:szCs w:val="32"/>
        </w:rPr>
        <w:t xml:space="preserve">   </w:t>
      </w:r>
      <w:r>
        <w:rPr>
          <w:rFonts w:hint="eastAsia" w:ascii="仿宋" w:hAnsi="仿宋" w:eastAsia="仿宋" w:cs="仿宋"/>
          <w:sz w:val="32"/>
          <w:szCs w:val="32"/>
        </w:rPr>
        <w:t xml:space="preserve"> </w:t>
      </w:r>
      <w:r>
        <w:rPr>
          <w:rFonts w:hint="eastAsia" w:ascii="仿宋" w:hAnsi="仿宋" w:eastAsia="仿宋" w:cs="仿宋"/>
          <w:sz w:val="32"/>
          <w:szCs w:val="32"/>
          <w:lang w:eastAsia="zh-CN"/>
        </w:rPr>
        <w:t>2025年</w:t>
      </w:r>
      <w:r>
        <w:rPr>
          <w:rFonts w:hint="eastAsia" w:ascii="仿宋" w:hAnsi="仿宋" w:eastAsia="仿宋" w:cs="仿宋"/>
          <w:sz w:val="32"/>
          <w:szCs w:val="32"/>
        </w:rPr>
        <w:t>度财政拨款收、支总计654.1万元，与上年相比，增加</w:t>
      </w:r>
      <w:r>
        <w:rPr>
          <w:rFonts w:hint="eastAsia" w:ascii="仿宋" w:hAnsi="仿宋" w:eastAsia="仿宋" w:cs="仿宋"/>
          <w:sz w:val="32"/>
          <w:szCs w:val="32"/>
          <w:lang w:val="en-US" w:eastAsia="zh-CN"/>
        </w:rPr>
        <w:t>51.42</w:t>
      </w:r>
      <w:r>
        <w:rPr>
          <w:rFonts w:hint="eastAsia" w:ascii="仿宋" w:hAnsi="仿宋" w:eastAsia="仿宋" w:cs="仿宋"/>
          <w:sz w:val="32"/>
          <w:szCs w:val="32"/>
        </w:rPr>
        <w:t>万元</w:t>
      </w:r>
      <w:r>
        <w:rPr>
          <w:rFonts w:hint="eastAsia" w:ascii="仿宋" w:hAnsi="仿宋" w:eastAsia="仿宋" w:cs="仿宋"/>
          <w:sz w:val="32"/>
          <w:szCs w:val="32"/>
          <w:lang w:eastAsia="zh-CN"/>
        </w:rPr>
        <w:t>，</w:t>
      </w:r>
      <w:r>
        <w:rPr>
          <w:rFonts w:hint="eastAsia" w:ascii="仿宋" w:hAnsi="仿宋" w:eastAsia="仿宋" w:cs="仿宋"/>
          <w:sz w:val="32"/>
          <w:szCs w:val="32"/>
        </w:rPr>
        <w:t>增长</w:t>
      </w:r>
      <w:r>
        <w:rPr>
          <w:rFonts w:hint="eastAsia" w:ascii="仿宋" w:hAnsi="仿宋" w:eastAsia="仿宋" w:cs="仿宋"/>
          <w:sz w:val="32"/>
          <w:szCs w:val="32"/>
          <w:lang w:val="en-US" w:eastAsia="zh-CN"/>
        </w:rPr>
        <w:t>8.53</w:t>
      </w:r>
      <w:r>
        <w:rPr>
          <w:rFonts w:hint="eastAsia" w:ascii="仿宋" w:hAnsi="仿宋" w:eastAsia="仿宋" w:cs="仿宋"/>
          <w:sz w:val="32"/>
          <w:szCs w:val="32"/>
        </w:rPr>
        <w:t>%，</w:t>
      </w:r>
      <w:r>
        <w:rPr>
          <w:rFonts w:hint="eastAsia" w:ascii="仿宋" w:hAnsi="仿宋" w:eastAsia="仿宋" w:cs="仿宋"/>
          <w:color w:val="auto"/>
          <w:sz w:val="32"/>
          <w:szCs w:val="32"/>
        </w:rPr>
        <w:t>主要是因为</w:t>
      </w:r>
      <w:r>
        <w:rPr>
          <w:rFonts w:hint="eastAsia" w:ascii="仿宋" w:hAnsi="仿宋" w:eastAsia="仿宋" w:cs="仿宋"/>
          <w:color w:val="auto"/>
          <w:sz w:val="32"/>
          <w:szCs w:val="32"/>
          <w:lang w:eastAsia="zh-CN"/>
        </w:rPr>
        <w:t>恢复了部分预算经费。</w:t>
      </w:r>
    </w:p>
    <w:p w14:paraId="0A1747D4">
      <w:pPr>
        <w:pStyle w:val="11"/>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五、一般公共预算财政拨款支出决算情况说明</w:t>
      </w:r>
    </w:p>
    <w:p w14:paraId="63C3EA74">
      <w:pPr>
        <w:pStyle w:val="11"/>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 w:hAnsi="仿宋" w:eastAsia="仿宋" w:cs="仿宋"/>
          <w:b w:val="0"/>
          <w:bCs/>
          <w:color w:val="auto"/>
          <w:sz w:val="32"/>
          <w:szCs w:val="32"/>
        </w:rPr>
      </w:pPr>
      <w:r>
        <w:rPr>
          <w:rFonts w:hint="eastAsia" w:ascii="仿宋" w:hAnsi="仿宋" w:eastAsia="仿宋" w:cs="仿宋"/>
          <w:b w:val="0"/>
          <w:bCs/>
          <w:color w:val="auto"/>
          <w:sz w:val="32"/>
          <w:szCs w:val="32"/>
        </w:rPr>
        <w:t>（一）财政拨款支出决算总体情况</w:t>
      </w:r>
    </w:p>
    <w:p w14:paraId="2BAFCEA8">
      <w:pPr>
        <w:pStyle w:val="11"/>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lang w:eastAsia="zh-CN"/>
        </w:rPr>
        <w:t>2025年</w:t>
      </w:r>
      <w:r>
        <w:rPr>
          <w:rFonts w:hint="eastAsia" w:ascii="仿宋" w:hAnsi="仿宋" w:eastAsia="仿宋" w:cs="仿宋"/>
          <w:color w:val="auto"/>
          <w:sz w:val="32"/>
          <w:szCs w:val="32"/>
        </w:rPr>
        <w:t>度财政拨款支出654.1万元，占本年支出合计的</w:t>
      </w:r>
      <w:r>
        <w:rPr>
          <w:rFonts w:hint="eastAsia" w:ascii="仿宋" w:hAnsi="仿宋" w:eastAsia="仿宋" w:cs="仿宋"/>
          <w:color w:val="auto"/>
          <w:sz w:val="32"/>
          <w:szCs w:val="32"/>
          <w:lang w:val="en-US" w:eastAsia="zh-CN"/>
        </w:rPr>
        <w:t>92.96</w:t>
      </w:r>
      <w:r>
        <w:rPr>
          <w:rFonts w:hint="eastAsia" w:ascii="仿宋" w:hAnsi="仿宋" w:eastAsia="仿宋" w:cs="仿宋"/>
          <w:color w:val="auto"/>
          <w:sz w:val="32"/>
          <w:szCs w:val="32"/>
        </w:rPr>
        <w:t>%，与上年相比，财政拨款支出增加</w:t>
      </w:r>
      <w:r>
        <w:rPr>
          <w:rFonts w:hint="eastAsia" w:ascii="仿宋" w:hAnsi="仿宋" w:eastAsia="仿宋" w:cs="仿宋"/>
          <w:color w:val="auto"/>
          <w:sz w:val="32"/>
          <w:szCs w:val="32"/>
          <w:lang w:val="en-US" w:eastAsia="zh-CN"/>
        </w:rPr>
        <w:t>51.46</w:t>
      </w:r>
      <w:r>
        <w:rPr>
          <w:rFonts w:hint="eastAsia" w:ascii="仿宋" w:hAnsi="仿宋" w:eastAsia="仿宋" w:cs="仿宋"/>
          <w:color w:val="auto"/>
          <w:sz w:val="32"/>
          <w:szCs w:val="32"/>
        </w:rPr>
        <w:t>万元，增长</w:t>
      </w:r>
      <w:r>
        <w:rPr>
          <w:rFonts w:hint="eastAsia" w:ascii="仿宋" w:hAnsi="仿宋" w:eastAsia="仿宋" w:cs="仿宋"/>
          <w:color w:val="auto"/>
          <w:sz w:val="32"/>
          <w:szCs w:val="32"/>
          <w:lang w:val="en-US" w:eastAsia="zh-CN"/>
        </w:rPr>
        <w:t>8.54</w:t>
      </w:r>
      <w:r>
        <w:rPr>
          <w:rFonts w:hint="eastAsia" w:ascii="仿宋" w:hAnsi="仿宋" w:eastAsia="仿宋" w:cs="仿宋"/>
          <w:color w:val="auto"/>
          <w:sz w:val="32"/>
          <w:szCs w:val="32"/>
        </w:rPr>
        <w:t>%，主要是因为</w:t>
      </w:r>
      <w:r>
        <w:rPr>
          <w:rFonts w:hint="eastAsia" w:ascii="仿宋" w:hAnsi="仿宋" w:eastAsia="仿宋" w:cs="仿宋"/>
          <w:color w:val="auto"/>
          <w:sz w:val="32"/>
          <w:szCs w:val="32"/>
          <w:lang w:eastAsia="zh-CN"/>
        </w:rPr>
        <w:t>恢复了部分预算经费。</w:t>
      </w:r>
    </w:p>
    <w:p w14:paraId="2EA27414">
      <w:pPr>
        <w:pStyle w:val="11"/>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 w:hAnsi="仿宋" w:eastAsia="仿宋" w:cs="仿宋"/>
          <w:b w:val="0"/>
          <w:bCs/>
          <w:sz w:val="32"/>
          <w:szCs w:val="32"/>
        </w:rPr>
      </w:pPr>
      <w:r>
        <w:rPr>
          <w:rFonts w:hint="eastAsia" w:ascii="仿宋" w:hAnsi="仿宋" w:eastAsia="仿宋" w:cs="仿宋"/>
          <w:b w:val="0"/>
          <w:bCs/>
          <w:sz w:val="32"/>
          <w:szCs w:val="32"/>
        </w:rPr>
        <w:t>（二）财政拨款支出决算结构情况</w:t>
      </w:r>
      <w:bookmarkStart w:id="0" w:name="_GoBack"/>
      <w:bookmarkEnd w:id="0"/>
    </w:p>
    <w:p w14:paraId="1E84F293">
      <w:pPr>
        <w:pStyle w:val="11"/>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2025年</w:t>
      </w:r>
      <w:r>
        <w:rPr>
          <w:rFonts w:hint="eastAsia" w:ascii="仿宋" w:hAnsi="仿宋" w:eastAsia="仿宋" w:cs="仿宋"/>
          <w:sz w:val="32"/>
          <w:szCs w:val="32"/>
        </w:rPr>
        <w:t>度财政拨款支出654.1万元，主要用于以下方面：一般公共服务（类）支出</w:t>
      </w:r>
      <w:r>
        <w:rPr>
          <w:rFonts w:hint="eastAsia" w:ascii="仿宋" w:hAnsi="仿宋" w:eastAsia="仿宋" w:cs="仿宋"/>
          <w:sz w:val="32"/>
          <w:szCs w:val="32"/>
          <w:lang w:val="en-US" w:eastAsia="zh-CN"/>
        </w:rPr>
        <w:t>0</w:t>
      </w:r>
      <w:r>
        <w:rPr>
          <w:rFonts w:hint="eastAsia" w:ascii="仿宋" w:hAnsi="仿宋" w:eastAsia="仿宋" w:cs="仿宋"/>
          <w:sz w:val="32"/>
          <w:szCs w:val="32"/>
        </w:rPr>
        <w:t>万元，占</w:t>
      </w:r>
      <w:r>
        <w:rPr>
          <w:rFonts w:hint="eastAsia" w:ascii="仿宋" w:hAnsi="仿宋" w:eastAsia="仿宋" w:cs="仿宋"/>
          <w:sz w:val="32"/>
          <w:szCs w:val="32"/>
          <w:lang w:val="en-US" w:eastAsia="zh-CN"/>
        </w:rPr>
        <w:t>0</w:t>
      </w:r>
      <w:r>
        <w:rPr>
          <w:rFonts w:hint="eastAsia" w:ascii="仿宋" w:hAnsi="仿宋" w:eastAsia="仿宋" w:cs="仿宋"/>
          <w:sz w:val="32"/>
          <w:szCs w:val="32"/>
        </w:rPr>
        <w:t>%；教育（类）支出</w:t>
      </w:r>
      <w:r>
        <w:rPr>
          <w:rFonts w:hint="eastAsia" w:ascii="仿宋" w:hAnsi="仿宋" w:eastAsia="仿宋" w:cs="仿宋"/>
          <w:sz w:val="32"/>
          <w:szCs w:val="32"/>
          <w:lang w:val="en-US" w:eastAsia="zh-CN"/>
        </w:rPr>
        <w:t>0</w:t>
      </w:r>
      <w:r>
        <w:rPr>
          <w:rFonts w:hint="eastAsia" w:ascii="仿宋" w:hAnsi="仿宋" w:eastAsia="仿宋" w:cs="仿宋"/>
          <w:sz w:val="32"/>
          <w:szCs w:val="32"/>
        </w:rPr>
        <w:t>万元，占</w:t>
      </w:r>
      <w:r>
        <w:rPr>
          <w:rFonts w:hint="eastAsia" w:ascii="仿宋" w:hAnsi="仿宋" w:eastAsia="仿宋" w:cs="仿宋"/>
          <w:sz w:val="32"/>
          <w:szCs w:val="32"/>
          <w:lang w:val="en-US" w:eastAsia="zh-CN"/>
        </w:rPr>
        <w:t>0</w:t>
      </w:r>
      <w:r>
        <w:rPr>
          <w:rFonts w:hint="eastAsia" w:ascii="仿宋" w:hAnsi="仿宋" w:eastAsia="仿宋" w:cs="仿宋"/>
          <w:sz w:val="32"/>
          <w:szCs w:val="32"/>
        </w:rPr>
        <w:t>%;</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科学技术（类）支出11.68万元，占</w:t>
      </w:r>
      <w:r>
        <w:rPr>
          <w:rFonts w:hint="eastAsia" w:ascii="仿宋" w:hAnsi="仿宋" w:eastAsia="仿宋" w:cs="仿宋"/>
          <w:sz w:val="32"/>
          <w:szCs w:val="32"/>
          <w:lang w:val="en-US" w:eastAsia="zh-CN"/>
        </w:rPr>
        <w:t>1.78</w:t>
      </w:r>
      <w:r>
        <w:rPr>
          <w:rFonts w:hint="eastAsia" w:ascii="仿宋" w:hAnsi="仿宋" w:eastAsia="仿宋" w:cs="仿宋"/>
          <w:sz w:val="32"/>
          <w:szCs w:val="32"/>
        </w:rPr>
        <w:t>%;</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社会保障和就业（类）支出49.86万元，占</w:t>
      </w:r>
      <w:r>
        <w:rPr>
          <w:rFonts w:hint="eastAsia" w:ascii="仿宋" w:hAnsi="仿宋" w:eastAsia="仿宋" w:cs="仿宋"/>
          <w:sz w:val="32"/>
          <w:szCs w:val="32"/>
          <w:lang w:val="en-US" w:eastAsia="zh-CN"/>
        </w:rPr>
        <w:t>7.62</w:t>
      </w:r>
      <w:r>
        <w:rPr>
          <w:rFonts w:hint="eastAsia" w:ascii="仿宋" w:hAnsi="仿宋" w:eastAsia="仿宋" w:cs="仿宋"/>
          <w:sz w:val="32"/>
          <w:szCs w:val="32"/>
        </w:rPr>
        <w:t>%；卫生健康（类）支出27.85万元，占4.</w:t>
      </w:r>
      <w:r>
        <w:rPr>
          <w:rFonts w:hint="eastAsia" w:ascii="仿宋" w:hAnsi="仿宋" w:eastAsia="仿宋" w:cs="仿宋"/>
          <w:sz w:val="32"/>
          <w:szCs w:val="32"/>
          <w:lang w:val="en-US" w:eastAsia="zh-CN"/>
        </w:rPr>
        <w:t>26</w:t>
      </w:r>
      <w:r>
        <w:rPr>
          <w:rFonts w:hint="eastAsia" w:ascii="仿宋" w:hAnsi="仿宋" w:eastAsia="仿宋" w:cs="仿宋"/>
          <w:sz w:val="32"/>
          <w:szCs w:val="32"/>
        </w:rPr>
        <w:t>%；商业服务业（类）支出529.53万元，占</w:t>
      </w:r>
      <w:r>
        <w:rPr>
          <w:rFonts w:hint="eastAsia" w:ascii="仿宋" w:hAnsi="仿宋" w:eastAsia="仿宋" w:cs="仿宋"/>
          <w:sz w:val="32"/>
          <w:szCs w:val="32"/>
          <w:lang w:val="en-US" w:eastAsia="zh-CN"/>
        </w:rPr>
        <w:t>80.96</w:t>
      </w:r>
      <w:r>
        <w:rPr>
          <w:rFonts w:hint="eastAsia" w:ascii="仿宋" w:hAnsi="仿宋" w:eastAsia="仿宋" w:cs="仿宋"/>
          <w:sz w:val="32"/>
          <w:szCs w:val="32"/>
        </w:rPr>
        <w:t>%；住房保障（类）支出35.18万元，占5.</w:t>
      </w:r>
      <w:r>
        <w:rPr>
          <w:rFonts w:hint="eastAsia" w:ascii="仿宋" w:hAnsi="仿宋" w:eastAsia="仿宋" w:cs="仿宋"/>
          <w:sz w:val="32"/>
          <w:szCs w:val="32"/>
          <w:lang w:val="en-US" w:eastAsia="zh-CN"/>
        </w:rPr>
        <w:t>38</w:t>
      </w:r>
      <w:r>
        <w:rPr>
          <w:rFonts w:hint="eastAsia" w:ascii="仿宋" w:hAnsi="仿宋" w:eastAsia="仿宋" w:cs="仿宋"/>
          <w:sz w:val="32"/>
          <w:szCs w:val="32"/>
        </w:rPr>
        <w:t>%。</w:t>
      </w:r>
    </w:p>
    <w:p w14:paraId="4172106D">
      <w:pPr>
        <w:pStyle w:val="11"/>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 w:hAnsi="仿宋" w:eastAsia="仿宋" w:cs="仿宋"/>
          <w:b w:val="0"/>
          <w:bCs/>
          <w:sz w:val="32"/>
          <w:szCs w:val="32"/>
        </w:rPr>
      </w:pPr>
      <w:r>
        <w:rPr>
          <w:rFonts w:hint="eastAsia" w:ascii="仿宋" w:hAnsi="仿宋" w:eastAsia="仿宋" w:cs="仿宋"/>
          <w:b w:val="0"/>
          <w:bCs/>
          <w:sz w:val="32"/>
          <w:szCs w:val="32"/>
        </w:rPr>
        <w:t>（三）财政拨款支出决算具体情况</w:t>
      </w:r>
    </w:p>
    <w:p w14:paraId="313E2FC9">
      <w:pPr>
        <w:pStyle w:val="11"/>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 w:hAnsi="仿宋" w:eastAsia="仿宋" w:cs="仿宋"/>
          <w:sz w:val="32"/>
          <w:szCs w:val="32"/>
        </w:rPr>
      </w:pPr>
      <w:r>
        <w:rPr>
          <w:rFonts w:hint="eastAsia" w:ascii="仿宋" w:hAnsi="仿宋" w:eastAsia="仿宋" w:cs="仿宋"/>
          <w:sz w:val="32"/>
          <w:szCs w:val="32"/>
          <w:lang w:eastAsia="zh-CN"/>
        </w:rPr>
        <w:t>2025年</w:t>
      </w:r>
      <w:r>
        <w:rPr>
          <w:rFonts w:hint="eastAsia" w:ascii="仿宋" w:hAnsi="仿宋" w:eastAsia="仿宋" w:cs="仿宋"/>
          <w:sz w:val="32"/>
          <w:szCs w:val="32"/>
        </w:rPr>
        <w:t>度财政拨款支出年初预算数为529.71 万元，支出决算数为654.1万元，完成年初预算的</w:t>
      </w:r>
      <w:r>
        <w:rPr>
          <w:rFonts w:hint="eastAsia" w:ascii="仿宋" w:hAnsi="仿宋" w:eastAsia="仿宋" w:cs="仿宋"/>
          <w:sz w:val="32"/>
          <w:szCs w:val="32"/>
          <w:lang w:val="en-US" w:eastAsia="zh-CN"/>
        </w:rPr>
        <w:t>123.48</w:t>
      </w:r>
      <w:r>
        <w:rPr>
          <w:rFonts w:hint="eastAsia" w:ascii="仿宋" w:hAnsi="仿宋" w:eastAsia="仿宋" w:cs="仿宋"/>
          <w:sz w:val="32"/>
          <w:szCs w:val="32"/>
        </w:rPr>
        <w:t>%，其中：</w:t>
      </w:r>
    </w:p>
    <w:p w14:paraId="3F9D553D">
      <w:pPr>
        <w:pStyle w:val="11"/>
        <w:keepNext w:val="0"/>
        <w:keepLines w:val="0"/>
        <w:pageBreakBefore w:val="0"/>
        <w:widowControl w:val="0"/>
        <w:numPr>
          <w:ilvl w:val="0"/>
          <w:numId w:val="2"/>
        </w:numPr>
        <w:kinsoku/>
        <w:wordWrap/>
        <w:overflowPunct/>
        <w:topLinePunct w:val="0"/>
        <w:autoSpaceDE w:val="0"/>
        <w:autoSpaceDN w:val="0"/>
        <w:bidi w:val="0"/>
        <w:adjustRightInd w:val="0"/>
        <w:snapToGrid/>
        <w:spacing w:line="600" w:lineRule="exact"/>
        <w:ind w:firstLine="800" w:firstLineChars="250"/>
        <w:textAlignment w:val="auto"/>
        <w:rPr>
          <w:rFonts w:hint="eastAsia" w:ascii="仿宋" w:hAnsi="仿宋" w:eastAsia="仿宋" w:cs="仿宋"/>
          <w:sz w:val="32"/>
          <w:szCs w:val="32"/>
        </w:rPr>
      </w:pPr>
      <w:r>
        <w:rPr>
          <w:rFonts w:hint="eastAsia" w:ascii="仿宋" w:hAnsi="仿宋" w:eastAsia="仿宋" w:cs="仿宋"/>
          <w:sz w:val="32"/>
          <w:szCs w:val="32"/>
        </w:rPr>
        <w:t>科学技术支出（类）技术研究与开发（款）科技成果转化与扩散（项）</w:t>
      </w:r>
      <w:r>
        <w:rPr>
          <w:rFonts w:hint="eastAsia" w:ascii="仿宋" w:hAnsi="仿宋" w:eastAsia="仿宋" w:cs="仿宋"/>
          <w:sz w:val="32"/>
          <w:szCs w:val="32"/>
          <w:lang w:val="en-US" w:eastAsia="zh-CN"/>
        </w:rPr>
        <w:t xml:space="preserve">                               </w:t>
      </w:r>
    </w:p>
    <w:p w14:paraId="1F7A0C72">
      <w:pPr>
        <w:pStyle w:val="11"/>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color w:val="auto"/>
          <w:kern w:val="0"/>
          <w:sz w:val="32"/>
          <w:szCs w:val="32"/>
          <w:lang w:val="en-US" w:eastAsia="zh-CN" w:bidi="ar-SA"/>
        </w:rPr>
        <w:t>年初预算为0万元，支出决算为11.68万元，</w:t>
      </w:r>
      <w:r>
        <w:rPr>
          <w:rFonts w:hint="eastAsia" w:ascii="仿宋" w:hAnsi="仿宋" w:eastAsia="仿宋" w:cs="仿宋"/>
          <w:sz w:val="32"/>
          <w:szCs w:val="32"/>
          <w:lang w:eastAsia="zh-CN"/>
        </w:rPr>
        <w:t>因为预算数为</w:t>
      </w:r>
      <w:r>
        <w:rPr>
          <w:rFonts w:hint="eastAsia" w:ascii="仿宋" w:hAnsi="仿宋" w:eastAsia="仿宋" w:cs="仿宋"/>
          <w:sz w:val="32"/>
          <w:szCs w:val="32"/>
          <w:lang w:val="en-US" w:eastAsia="zh-CN"/>
        </w:rPr>
        <w:t>0，无法计算百分比</w:t>
      </w:r>
      <w:r>
        <w:rPr>
          <w:rFonts w:hint="eastAsia" w:ascii="仿宋" w:hAnsi="仿宋" w:eastAsia="仿宋" w:cs="仿宋"/>
          <w:color w:val="auto"/>
          <w:kern w:val="0"/>
          <w:sz w:val="32"/>
          <w:szCs w:val="32"/>
          <w:lang w:val="en-US" w:eastAsia="zh-CN" w:bidi="ar-SA"/>
        </w:rPr>
        <w:t>，决算数大于年初预算数的主要原因是增加了退休人员的经费开支。</w:t>
      </w:r>
    </w:p>
    <w:p w14:paraId="72006F0B">
      <w:pPr>
        <w:pStyle w:val="11"/>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 w:hAnsi="仿宋" w:eastAsia="仿宋" w:cs="仿宋"/>
          <w:sz w:val="32"/>
          <w:szCs w:val="32"/>
        </w:rPr>
      </w:pPr>
      <w:r>
        <w:rPr>
          <w:rFonts w:hint="eastAsia" w:ascii="仿宋" w:hAnsi="仿宋" w:eastAsia="仿宋" w:cs="仿宋"/>
          <w:sz w:val="32"/>
          <w:szCs w:val="32"/>
        </w:rPr>
        <w:t>2、</w:t>
      </w:r>
      <w:r>
        <w:rPr>
          <w:rFonts w:hint="eastAsia" w:ascii="仿宋" w:hAnsi="仿宋" w:eastAsia="仿宋" w:cs="仿宋"/>
          <w:color w:val="auto"/>
          <w:kern w:val="0"/>
          <w:sz w:val="32"/>
          <w:szCs w:val="32"/>
          <w:lang w:val="en-US" w:eastAsia="zh-CN" w:bidi="ar-SA"/>
        </w:rPr>
        <w:t>社会保障和就业支出（类）行政事业单位养老支出（款）机关事业单位基本养老保险缴费支出（项）</w:t>
      </w:r>
    </w:p>
    <w:p w14:paraId="1BA60AE5">
      <w:pPr>
        <w:pStyle w:val="11"/>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rPr>
        <w:t>年初预算为</w:t>
      </w:r>
      <w:r>
        <w:rPr>
          <w:rFonts w:hint="eastAsia" w:ascii="仿宋" w:hAnsi="仿宋" w:eastAsia="仿宋" w:cs="仿宋"/>
          <w:sz w:val="32"/>
          <w:szCs w:val="32"/>
          <w:lang w:val="en-US" w:eastAsia="zh-CN"/>
        </w:rPr>
        <w:t>46.90</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46.90</w:t>
      </w:r>
      <w:r>
        <w:rPr>
          <w:rFonts w:hint="eastAsia" w:ascii="仿宋" w:hAnsi="仿宋" w:eastAsia="仿宋" w:cs="仿宋"/>
          <w:sz w:val="32"/>
          <w:szCs w:val="32"/>
        </w:rPr>
        <w:t xml:space="preserve"> 万元，完成年初预算的</w:t>
      </w:r>
      <w:r>
        <w:rPr>
          <w:rFonts w:hint="eastAsia" w:ascii="仿宋" w:hAnsi="仿宋" w:eastAsia="仿宋" w:cs="仿宋"/>
          <w:sz w:val="32"/>
          <w:szCs w:val="32"/>
          <w:lang w:val="en-US" w:eastAsia="zh-CN"/>
        </w:rPr>
        <w:t>100</w:t>
      </w:r>
      <w:r>
        <w:rPr>
          <w:rFonts w:hint="eastAsia" w:ascii="仿宋" w:hAnsi="仿宋" w:eastAsia="仿宋" w:cs="仿宋"/>
          <w:sz w:val="32"/>
          <w:szCs w:val="32"/>
        </w:rPr>
        <w:t>%，</w:t>
      </w:r>
      <w:r>
        <w:rPr>
          <w:rFonts w:hint="eastAsia" w:ascii="仿宋" w:hAnsi="仿宋" w:eastAsia="仿宋" w:cs="仿宋"/>
          <w:sz w:val="32"/>
          <w:szCs w:val="32"/>
          <w:lang w:val="en-US" w:eastAsia="zh-CN"/>
        </w:rPr>
        <w:t>决算数与年初数持平的主要原因是严格执行预算。</w:t>
      </w:r>
    </w:p>
    <w:p w14:paraId="444CF101">
      <w:pPr>
        <w:ind w:firstLine="640" w:firstLineChars="200"/>
        <w:jc w:val="left"/>
        <w:rPr>
          <w:rFonts w:hint="eastAsia" w:ascii="仿宋" w:hAnsi="仿宋" w:eastAsia="仿宋" w:cs="仿宋"/>
          <w:b w:val="0"/>
          <w:bCs/>
          <w:color w:val="auto"/>
          <w:kern w:val="0"/>
          <w:sz w:val="32"/>
          <w:szCs w:val="32"/>
        </w:rPr>
      </w:pPr>
      <w:r>
        <w:rPr>
          <w:rFonts w:hint="eastAsia" w:ascii="仿宋" w:hAnsi="仿宋" w:eastAsia="仿宋" w:cs="仿宋"/>
          <w:b w:val="0"/>
          <w:bCs/>
          <w:color w:val="auto"/>
          <w:kern w:val="0"/>
          <w:sz w:val="32"/>
          <w:szCs w:val="32"/>
          <w:lang w:val="en-US" w:eastAsia="zh-CN"/>
        </w:rPr>
        <w:t>3、</w:t>
      </w:r>
      <w:r>
        <w:rPr>
          <w:rFonts w:hint="eastAsia" w:ascii="仿宋" w:hAnsi="仿宋" w:eastAsia="仿宋" w:cs="仿宋"/>
          <w:b w:val="0"/>
          <w:bCs/>
          <w:color w:val="auto"/>
          <w:kern w:val="0"/>
          <w:sz w:val="32"/>
          <w:szCs w:val="32"/>
        </w:rPr>
        <w:t>社会保障和就业支出（类）其他社会保障和就业支出（款）其他社会保障和就业支出（项）</w:t>
      </w:r>
    </w:p>
    <w:p w14:paraId="4FA9364D">
      <w:pPr>
        <w:ind w:firstLine="640" w:firstLineChars="200"/>
        <w:jc w:val="left"/>
        <w:rPr>
          <w:rFonts w:hint="eastAsia" w:ascii="仿宋" w:hAnsi="仿宋" w:eastAsia="仿宋" w:cs="仿宋"/>
          <w:b w:val="0"/>
          <w:bCs/>
          <w:color w:val="auto"/>
          <w:kern w:val="0"/>
          <w:sz w:val="32"/>
          <w:szCs w:val="32"/>
        </w:rPr>
      </w:pPr>
      <w:r>
        <w:rPr>
          <w:rFonts w:hint="eastAsia" w:ascii="仿宋" w:hAnsi="仿宋" w:eastAsia="仿宋" w:cs="仿宋"/>
          <w:b w:val="0"/>
          <w:bCs/>
          <w:color w:val="auto"/>
          <w:kern w:val="0"/>
          <w:sz w:val="32"/>
          <w:szCs w:val="32"/>
        </w:rPr>
        <w:t>年初预算为</w:t>
      </w:r>
      <w:r>
        <w:rPr>
          <w:rFonts w:hint="eastAsia" w:ascii="仿宋" w:hAnsi="仿宋" w:eastAsia="仿宋" w:cs="仿宋"/>
          <w:b w:val="0"/>
          <w:bCs/>
          <w:color w:val="auto"/>
          <w:kern w:val="0"/>
          <w:sz w:val="32"/>
          <w:szCs w:val="32"/>
          <w:lang w:val="en-US" w:eastAsia="zh-CN"/>
        </w:rPr>
        <w:t>2.93</w:t>
      </w:r>
      <w:r>
        <w:rPr>
          <w:rFonts w:hint="eastAsia" w:ascii="仿宋" w:hAnsi="仿宋" w:eastAsia="仿宋" w:cs="仿宋"/>
          <w:b w:val="0"/>
          <w:bCs/>
          <w:color w:val="auto"/>
          <w:kern w:val="0"/>
          <w:sz w:val="32"/>
          <w:szCs w:val="32"/>
        </w:rPr>
        <w:t>万元，支出决算为</w:t>
      </w:r>
      <w:r>
        <w:rPr>
          <w:rFonts w:hint="eastAsia" w:ascii="仿宋" w:hAnsi="仿宋" w:eastAsia="仿宋" w:cs="仿宋"/>
          <w:b w:val="0"/>
          <w:bCs/>
          <w:color w:val="auto"/>
          <w:kern w:val="0"/>
          <w:sz w:val="32"/>
          <w:szCs w:val="32"/>
          <w:lang w:val="en-US" w:eastAsia="zh-CN"/>
        </w:rPr>
        <w:t>2.96</w:t>
      </w:r>
      <w:r>
        <w:rPr>
          <w:rFonts w:hint="eastAsia" w:ascii="仿宋" w:hAnsi="仿宋" w:eastAsia="仿宋" w:cs="仿宋"/>
          <w:b w:val="0"/>
          <w:bCs/>
          <w:color w:val="auto"/>
          <w:kern w:val="0"/>
          <w:sz w:val="32"/>
          <w:szCs w:val="32"/>
        </w:rPr>
        <w:t>万元，完成年初预算的</w:t>
      </w:r>
      <w:r>
        <w:rPr>
          <w:rFonts w:hint="eastAsia" w:ascii="仿宋" w:hAnsi="仿宋" w:eastAsia="仿宋" w:cs="仿宋"/>
          <w:b w:val="0"/>
          <w:bCs/>
          <w:color w:val="auto"/>
          <w:kern w:val="0"/>
          <w:sz w:val="32"/>
          <w:szCs w:val="32"/>
          <w:lang w:val="en-US" w:eastAsia="zh-CN"/>
        </w:rPr>
        <w:t>101.02</w:t>
      </w:r>
      <w:r>
        <w:rPr>
          <w:rFonts w:hint="eastAsia" w:ascii="仿宋" w:hAnsi="仿宋" w:eastAsia="仿宋" w:cs="仿宋"/>
          <w:b w:val="0"/>
          <w:bCs/>
          <w:color w:val="auto"/>
          <w:kern w:val="0"/>
          <w:sz w:val="32"/>
          <w:szCs w:val="32"/>
        </w:rPr>
        <w:t>%，决算数大于年初预算数的主要原因是追加安排部分财政拨款预算。</w:t>
      </w:r>
    </w:p>
    <w:p w14:paraId="48AE7744">
      <w:pPr>
        <w:pStyle w:val="11"/>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4、卫生健康支出（类）行政事业单位医疗（款）事业单位医疗（项）</w:t>
      </w:r>
    </w:p>
    <w:p w14:paraId="3D763B95">
      <w:pPr>
        <w:ind w:firstLine="640" w:firstLineChars="200"/>
        <w:jc w:val="left"/>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年初预算为24.92万元，支出决算为24.92万元，完成年初预算的100%。决算数与年初数持平的主要原因是严格执行预算。</w:t>
      </w:r>
    </w:p>
    <w:p w14:paraId="5DA83F5A">
      <w:pPr>
        <w:ind w:firstLine="640" w:firstLineChars="200"/>
        <w:jc w:val="left"/>
        <w:rPr>
          <w:rFonts w:hint="eastAsia" w:ascii="仿宋" w:hAnsi="仿宋" w:eastAsia="仿宋" w:cs="仿宋"/>
          <w:b w:val="0"/>
          <w:bCs/>
          <w:color w:val="auto"/>
          <w:kern w:val="0"/>
          <w:sz w:val="32"/>
          <w:szCs w:val="32"/>
        </w:rPr>
      </w:pPr>
      <w:r>
        <w:rPr>
          <w:rFonts w:hint="eastAsia" w:ascii="仿宋" w:hAnsi="仿宋" w:eastAsia="仿宋" w:cs="仿宋"/>
          <w:b w:val="0"/>
          <w:bCs/>
          <w:color w:val="auto"/>
          <w:kern w:val="0"/>
          <w:sz w:val="32"/>
          <w:szCs w:val="32"/>
          <w:lang w:val="en-US" w:eastAsia="zh-CN"/>
        </w:rPr>
        <w:t>5</w:t>
      </w:r>
      <w:r>
        <w:rPr>
          <w:rFonts w:hint="eastAsia" w:ascii="仿宋" w:hAnsi="仿宋" w:eastAsia="仿宋" w:cs="仿宋"/>
          <w:b w:val="0"/>
          <w:bCs/>
          <w:color w:val="auto"/>
          <w:kern w:val="0"/>
          <w:sz w:val="32"/>
          <w:szCs w:val="32"/>
        </w:rPr>
        <w:t>、卫生健康支出（类）行政事业单位医疗（款）公务员医疗补助（项）</w:t>
      </w:r>
    </w:p>
    <w:p w14:paraId="1B783D28">
      <w:pPr>
        <w:ind w:firstLine="640" w:firstLineChars="200"/>
        <w:jc w:val="left"/>
        <w:rPr>
          <w:rFonts w:hint="eastAsia" w:ascii="仿宋" w:hAnsi="仿宋" w:eastAsia="仿宋" w:cs="仿宋"/>
          <w:b w:val="0"/>
          <w:bCs/>
          <w:color w:val="auto"/>
          <w:kern w:val="0"/>
          <w:sz w:val="32"/>
          <w:szCs w:val="32"/>
        </w:rPr>
      </w:pPr>
      <w:r>
        <w:rPr>
          <w:rFonts w:hint="eastAsia" w:ascii="仿宋" w:hAnsi="仿宋" w:eastAsia="仿宋" w:cs="仿宋"/>
          <w:b w:val="0"/>
          <w:bCs/>
          <w:color w:val="auto"/>
          <w:kern w:val="0"/>
          <w:sz w:val="32"/>
          <w:szCs w:val="32"/>
        </w:rPr>
        <w:t>年初预算为</w:t>
      </w:r>
      <w:r>
        <w:rPr>
          <w:rFonts w:hint="eastAsia" w:ascii="仿宋" w:hAnsi="仿宋" w:eastAsia="仿宋" w:cs="仿宋"/>
          <w:b w:val="0"/>
          <w:bCs/>
          <w:color w:val="auto"/>
          <w:kern w:val="0"/>
          <w:sz w:val="32"/>
          <w:szCs w:val="32"/>
          <w:lang w:val="en-US" w:eastAsia="zh-CN"/>
        </w:rPr>
        <w:t>2.93</w:t>
      </w:r>
      <w:r>
        <w:rPr>
          <w:rFonts w:hint="eastAsia" w:ascii="仿宋" w:hAnsi="仿宋" w:eastAsia="仿宋" w:cs="仿宋"/>
          <w:b w:val="0"/>
          <w:bCs/>
          <w:color w:val="auto"/>
          <w:kern w:val="0"/>
          <w:sz w:val="32"/>
          <w:szCs w:val="32"/>
        </w:rPr>
        <w:t>万元，支出决算为</w:t>
      </w:r>
      <w:r>
        <w:rPr>
          <w:rFonts w:hint="eastAsia" w:ascii="仿宋" w:hAnsi="仿宋" w:eastAsia="仿宋" w:cs="仿宋"/>
          <w:b w:val="0"/>
          <w:bCs/>
          <w:color w:val="auto"/>
          <w:kern w:val="0"/>
          <w:sz w:val="32"/>
          <w:szCs w:val="32"/>
          <w:lang w:val="en-US" w:eastAsia="zh-CN"/>
        </w:rPr>
        <w:t>2.93</w:t>
      </w:r>
      <w:r>
        <w:rPr>
          <w:rFonts w:hint="eastAsia" w:ascii="仿宋" w:hAnsi="仿宋" w:eastAsia="仿宋" w:cs="仿宋"/>
          <w:b w:val="0"/>
          <w:bCs/>
          <w:color w:val="auto"/>
          <w:kern w:val="0"/>
          <w:sz w:val="32"/>
          <w:szCs w:val="32"/>
        </w:rPr>
        <w:t>万元，完成年初预算的10</w:t>
      </w:r>
      <w:r>
        <w:rPr>
          <w:rFonts w:hint="eastAsia" w:ascii="仿宋" w:hAnsi="仿宋" w:eastAsia="仿宋" w:cs="仿宋"/>
          <w:b w:val="0"/>
          <w:bCs/>
          <w:color w:val="auto"/>
          <w:kern w:val="0"/>
          <w:sz w:val="32"/>
          <w:szCs w:val="32"/>
          <w:lang w:val="en-US" w:eastAsia="zh-CN"/>
        </w:rPr>
        <w:t>0</w:t>
      </w:r>
      <w:r>
        <w:rPr>
          <w:rFonts w:hint="eastAsia" w:ascii="仿宋" w:hAnsi="仿宋" w:eastAsia="仿宋" w:cs="仿宋"/>
          <w:b w:val="0"/>
          <w:bCs/>
          <w:color w:val="auto"/>
          <w:kern w:val="0"/>
          <w:sz w:val="32"/>
          <w:szCs w:val="32"/>
        </w:rPr>
        <w:t>%，决算数与年初预算数持平的主要原因是严格执行预算。</w:t>
      </w:r>
    </w:p>
    <w:p w14:paraId="09B75C83">
      <w:pPr>
        <w:pStyle w:val="5"/>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3" w:lineRule="atLeast"/>
        <w:ind w:right="0" w:rightChars="0" w:firstLine="640" w:firstLineChars="200"/>
        <w:jc w:val="both"/>
        <w:textAlignment w:val="center"/>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6、商业服务业等支出（类）商业流通事务（款）市场监测及信息管理（项）。</w:t>
      </w:r>
    </w:p>
    <w:p w14:paraId="46EDAE39">
      <w:pPr>
        <w:pStyle w:val="5"/>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3" w:lineRule="atLeast"/>
        <w:ind w:right="0" w:rightChars="0" w:firstLine="640" w:firstLineChars="200"/>
        <w:jc w:val="both"/>
        <w:textAlignment w:val="center"/>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年初预算为416.85 万元，支出决算为529.53 万元，完成年初预算的127.03%，决算数大于年初预算数的主要原因是增加了开支。</w:t>
      </w:r>
    </w:p>
    <w:p w14:paraId="66547DEA">
      <w:pPr>
        <w:pStyle w:val="5"/>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3" w:lineRule="atLeast"/>
        <w:ind w:right="0" w:rightChars="0" w:firstLine="640" w:firstLineChars="200"/>
        <w:jc w:val="both"/>
        <w:textAlignment w:val="center"/>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7、住房保障（类）住房改革支出（款）住房公积金（项）</w:t>
      </w:r>
    </w:p>
    <w:p w14:paraId="636C0675">
      <w:pPr>
        <w:pStyle w:val="11"/>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color w:val="auto"/>
          <w:kern w:val="0"/>
          <w:sz w:val="32"/>
          <w:szCs w:val="32"/>
          <w:lang w:val="en-US" w:eastAsia="zh-CN" w:bidi="ar-SA"/>
        </w:rPr>
        <w:t>年初预算为35.18 万元，支出决算为35.18 万元，完成年初预算的100%。</w:t>
      </w:r>
      <w:r>
        <w:rPr>
          <w:rFonts w:hint="eastAsia" w:ascii="仿宋" w:hAnsi="仿宋" w:eastAsia="仿宋" w:cs="仿宋"/>
          <w:sz w:val="32"/>
          <w:szCs w:val="32"/>
          <w:lang w:val="en-US" w:eastAsia="zh-CN"/>
        </w:rPr>
        <w:t>决算数与年初数持平的主要原因是严格执行预算。</w:t>
      </w:r>
    </w:p>
    <w:p w14:paraId="0FDF01F2">
      <w:pPr>
        <w:pStyle w:val="11"/>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六、一般公共预算财政拨款基本支出决算情况说明</w:t>
      </w:r>
    </w:p>
    <w:p w14:paraId="49156C1A">
      <w:pPr>
        <w:pStyle w:val="11"/>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2025年</w:t>
      </w:r>
      <w:r>
        <w:rPr>
          <w:rFonts w:hint="eastAsia" w:ascii="仿宋" w:hAnsi="仿宋" w:eastAsia="仿宋" w:cs="仿宋"/>
          <w:sz w:val="32"/>
          <w:szCs w:val="32"/>
        </w:rPr>
        <w:t>度财政拨款基本支出</w:t>
      </w:r>
      <w:r>
        <w:rPr>
          <w:rFonts w:hint="eastAsia" w:ascii="仿宋" w:hAnsi="仿宋" w:eastAsia="仿宋" w:cs="仿宋"/>
          <w:sz w:val="32"/>
          <w:szCs w:val="32"/>
          <w:lang w:val="en-US" w:eastAsia="zh-CN"/>
        </w:rPr>
        <w:t>654.1</w:t>
      </w:r>
      <w:r>
        <w:rPr>
          <w:rFonts w:hint="eastAsia" w:ascii="仿宋" w:hAnsi="仿宋" w:eastAsia="仿宋" w:cs="仿宋"/>
          <w:sz w:val="32"/>
          <w:szCs w:val="32"/>
        </w:rPr>
        <w:t>万元，其中：</w:t>
      </w:r>
    </w:p>
    <w:p w14:paraId="3914BC47">
      <w:pPr>
        <w:pStyle w:val="11"/>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 w:hAnsi="仿宋" w:eastAsia="仿宋" w:cs="仿宋"/>
          <w:color w:val="auto"/>
          <w:kern w:val="0"/>
          <w:sz w:val="32"/>
          <w:szCs w:val="32"/>
          <w:lang w:val="en-US" w:eastAsia="zh-CN" w:bidi="ar-SA"/>
        </w:rPr>
      </w:pPr>
      <w:r>
        <w:rPr>
          <w:rFonts w:hint="eastAsia" w:ascii="仿宋" w:hAnsi="仿宋" w:eastAsia="仿宋" w:cs="仿宋"/>
          <w:b/>
          <w:bCs/>
          <w:sz w:val="32"/>
          <w:szCs w:val="32"/>
        </w:rPr>
        <w:t>人员经费</w:t>
      </w:r>
      <w:r>
        <w:rPr>
          <w:rFonts w:hint="eastAsia" w:ascii="仿宋" w:hAnsi="仿宋" w:eastAsia="仿宋" w:cs="仿宋"/>
          <w:sz w:val="32"/>
          <w:szCs w:val="32"/>
        </w:rPr>
        <w:t>586.3</w:t>
      </w:r>
      <w:r>
        <w:rPr>
          <w:rFonts w:hint="eastAsia" w:ascii="仿宋" w:hAnsi="仿宋" w:eastAsia="仿宋" w:cs="仿宋"/>
          <w:sz w:val="32"/>
          <w:szCs w:val="32"/>
          <w:lang w:val="en-US" w:eastAsia="zh-CN"/>
        </w:rPr>
        <w:t>7</w:t>
      </w:r>
      <w:r>
        <w:rPr>
          <w:rFonts w:hint="eastAsia" w:ascii="仿宋" w:hAnsi="仿宋" w:eastAsia="仿宋" w:cs="仿宋"/>
          <w:sz w:val="32"/>
          <w:szCs w:val="32"/>
        </w:rPr>
        <w:t>万元，占基本支出的</w:t>
      </w:r>
      <w:r>
        <w:rPr>
          <w:rFonts w:hint="eastAsia" w:ascii="仿宋" w:hAnsi="仿宋" w:eastAsia="仿宋" w:cs="仿宋"/>
          <w:sz w:val="32"/>
          <w:szCs w:val="32"/>
          <w:lang w:val="en-US" w:eastAsia="zh-CN"/>
        </w:rPr>
        <w:t>89.65</w:t>
      </w:r>
      <w:r>
        <w:rPr>
          <w:rFonts w:hint="eastAsia" w:ascii="仿宋" w:hAnsi="仿宋" w:eastAsia="仿宋" w:cs="仿宋"/>
          <w:sz w:val="32"/>
          <w:szCs w:val="32"/>
        </w:rPr>
        <w:t>%</w:t>
      </w:r>
      <w:r>
        <w:rPr>
          <w:rFonts w:hint="eastAsia" w:ascii="仿宋" w:hAnsi="仿宋" w:eastAsia="仿宋" w:cs="仿宋"/>
          <w:sz w:val="32"/>
          <w:szCs w:val="32"/>
          <w:lang w:eastAsia="zh-CN"/>
        </w:rPr>
        <w:t>，</w:t>
      </w:r>
      <w:r>
        <w:rPr>
          <w:rFonts w:hint="eastAsia" w:ascii="仿宋" w:hAnsi="仿宋" w:eastAsia="仿宋" w:cs="仿宋"/>
          <w:sz w:val="32"/>
          <w:szCs w:val="32"/>
        </w:rPr>
        <w:t>主要包括</w:t>
      </w:r>
      <w:r>
        <w:rPr>
          <w:rFonts w:hint="eastAsia" w:ascii="仿宋" w:hAnsi="仿宋" w:eastAsia="仿宋" w:cs="仿宋"/>
          <w:color w:val="auto"/>
          <w:kern w:val="0"/>
          <w:sz w:val="32"/>
          <w:szCs w:val="32"/>
          <w:lang w:val="en-US" w:eastAsia="zh-CN" w:bidi="ar-SA"/>
        </w:rPr>
        <w:t>要包括基本工资、津贴补贴、奖金、伙食补助费、绩效工资、机关事业单位基本养老保险缴费、职业年金缴费、其他社会保障缴费、其他工资福利支出、抚恤金、生活补助、医疗费、奖励金、住房公积金、其他对个人和家庭的补助支出等；</w:t>
      </w:r>
    </w:p>
    <w:p w14:paraId="5BBBA2C0">
      <w:pPr>
        <w:pStyle w:val="11"/>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jc w:val="left"/>
        <w:textAlignment w:val="auto"/>
        <w:rPr>
          <w:rFonts w:hint="eastAsia" w:ascii="仿宋" w:hAnsi="仿宋" w:eastAsia="仿宋" w:cs="仿宋"/>
          <w:sz w:val="32"/>
          <w:szCs w:val="32"/>
          <w:lang w:eastAsia="zh-CN"/>
        </w:rPr>
      </w:pPr>
      <w:r>
        <w:rPr>
          <w:rFonts w:hint="eastAsia" w:ascii="仿宋" w:hAnsi="仿宋" w:eastAsia="仿宋" w:cs="仿宋"/>
          <w:b/>
          <w:bCs/>
          <w:sz w:val="32"/>
          <w:szCs w:val="32"/>
        </w:rPr>
        <w:t>公用经费</w:t>
      </w:r>
      <w:r>
        <w:rPr>
          <w:rFonts w:hint="eastAsia" w:ascii="仿宋" w:hAnsi="仿宋" w:eastAsia="仿宋" w:cs="仿宋"/>
          <w:sz w:val="32"/>
          <w:szCs w:val="32"/>
        </w:rPr>
        <w:t>67.7</w:t>
      </w:r>
      <w:r>
        <w:rPr>
          <w:rFonts w:hint="eastAsia" w:ascii="仿宋" w:hAnsi="仿宋" w:eastAsia="仿宋" w:cs="仿宋"/>
          <w:sz w:val="32"/>
          <w:szCs w:val="32"/>
          <w:lang w:val="en-US" w:eastAsia="zh-CN"/>
        </w:rPr>
        <w:t>3</w:t>
      </w:r>
      <w:r>
        <w:rPr>
          <w:rFonts w:hint="eastAsia" w:ascii="仿宋" w:hAnsi="仿宋" w:eastAsia="仿宋" w:cs="仿宋"/>
          <w:sz w:val="32"/>
          <w:szCs w:val="32"/>
        </w:rPr>
        <w:t>万元，占基本支出的</w:t>
      </w:r>
      <w:r>
        <w:rPr>
          <w:rFonts w:hint="eastAsia" w:ascii="仿宋" w:hAnsi="仿宋" w:eastAsia="仿宋" w:cs="仿宋"/>
          <w:sz w:val="32"/>
          <w:szCs w:val="32"/>
          <w:lang w:val="en-US" w:eastAsia="zh-CN"/>
        </w:rPr>
        <w:t>10.35</w:t>
      </w:r>
      <w:r>
        <w:rPr>
          <w:rFonts w:hint="eastAsia" w:ascii="仿宋" w:hAnsi="仿宋" w:eastAsia="仿宋" w:cs="仿宋"/>
          <w:sz w:val="32"/>
          <w:szCs w:val="32"/>
        </w:rPr>
        <w:t>%，</w:t>
      </w:r>
      <w:r>
        <w:rPr>
          <w:rFonts w:hint="eastAsia" w:ascii="仿宋" w:hAnsi="仿宋" w:eastAsia="仿宋" w:cs="仿宋"/>
          <w:color w:val="auto"/>
          <w:kern w:val="0"/>
          <w:sz w:val="32"/>
          <w:szCs w:val="32"/>
          <w:lang w:val="en-US" w:eastAsia="zh-CN" w:bidi="ar-SA"/>
        </w:rPr>
        <w:t>主要包括办公费、印刷费、咨询费、手续费、水费、电费、邮电费、物业管理费、差旅费、维修（护）费、培训费、公务接待费、专用材料费、劳务费、工会经费、其他交通费用、其他商品和服务支出、办公设备购置等。</w:t>
      </w:r>
    </w:p>
    <w:p w14:paraId="4196C1ED">
      <w:pPr>
        <w:pStyle w:val="11"/>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hAnsi="黑体" w:cs="黑体"/>
          <w:b w:val="0"/>
          <w:bCs/>
          <w:sz w:val="32"/>
          <w:szCs w:val="32"/>
          <w:lang w:eastAsia="zh-CN"/>
        </w:rPr>
        <w:t>七</w:t>
      </w:r>
      <w:r>
        <w:rPr>
          <w:rFonts w:hint="eastAsia" w:ascii="黑体" w:hAnsi="黑体" w:eastAsia="黑体" w:cs="黑体"/>
          <w:b w:val="0"/>
          <w:bCs/>
          <w:sz w:val="32"/>
          <w:szCs w:val="32"/>
        </w:rPr>
        <w:t>、政府性基金预算收入支出决算情况</w:t>
      </w:r>
    </w:p>
    <w:p w14:paraId="3DF67FFB">
      <w:pPr>
        <w:pStyle w:val="11"/>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 xml:space="preserve"> </w:t>
      </w:r>
      <w:r>
        <w:rPr>
          <w:rFonts w:hint="eastAsia" w:ascii="仿宋" w:hAnsi="仿宋" w:eastAsia="仿宋" w:cs="仿宋"/>
          <w:color w:val="000000"/>
          <w:sz w:val="32"/>
          <w:szCs w:val="32"/>
        </w:rPr>
        <w:t xml:space="preserve"> </w:t>
      </w:r>
      <w:r>
        <w:rPr>
          <w:rFonts w:hint="eastAsia" w:ascii="仿宋" w:hAnsi="仿宋" w:eastAsia="仿宋" w:cs="仿宋"/>
          <w:color w:val="auto"/>
          <w:kern w:val="0"/>
          <w:sz w:val="32"/>
          <w:szCs w:val="32"/>
          <w:lang w:val="en-US" w:eastAsia="zh-CN" w:bidi="ar-SA"/>
        </w:rPr>
        <w:t>2025年度本单位无政府性基金预算收入支出。</w:t>
      </w:r>
    </w:p>
    <w:p w14:paraId="09B0465E">
      <w:pPr>
        <w:pStyle w:val="11"/>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b/>
          <w:sz w:val="32"/>
          <w:szCs w:val="32"/>
          <w:lang w:eastAsia="zh-CN"/>
        </w:rPr>
      </w:pPr>
      <w:r>
        <w:rPr>
          <w:rFonts w:hint="eastAsia" w:ascii="Times New Roman" w:hAnsi="Times New Roman" w:eastAsia="仿宋_GB2312"/>
          <w:b/>
          <w:sz w:val="32"/>
          <w:szCs w:val="32"/>
          <w:lang w:eastAsia="zh-CN"/>
        </w:rPr>
        <w:t>八</w:t>
      </w:r>
      <w:r>
        <w:rPr>
          <w:rFonts w:hint="eastAsia" w:ascii="Times New Roman" w:hAnsi="Times New Roman" w:eastAsia="仿宋_GB2312"/>
          <w:b/>
          <w:sz w:val="32"/>
          <w:szCs w:val="32"/>
        </w:rPr>
        <w:t>、</w:t>
      </w:r>
      <w:r>
        <w:rPr>
          <w:rFonts w:hint="eastAsia" w:ascii="黑体" w:hAnsi="黑体" w:eastAsia="黑体" w:cs="黑体"/>
          <w:b w:val="0"/>
          <w:bCs/>
          <w:sz w:val="32"/>
          <w:szCs w:val="32"/>
        </w:rPr>
        <w:t>国有资本经营预算财政拨款支出决算</w:t>
      </w:r>
      <w:r>
        <w:rPr>
          <w:rFonts w:hint="eastAsia" w:ascii="黑体" w:hAnsi="黑体" w:eastAsia="黑体" w:cs="黑体"/>
          <w:b w:val="0"/>
          <w:bCs/>
          <w:sz w:val="32"/>
          <w:szCs w:val="32"/>
          <w:lang w:eastAsia="zh-CN"/>
        </w:rPr>
        <w:t>情况</w:t>
      </w:r>
    </w:p>
    <w:p w14:paraId="3E99C240">
      <w:pPr>
        <w:pStyle w:val="11"/>
        <w:keepNext w:val="0"/>
        <w:keepLines w:val="0"/>
        <w:pageBreakBefore w:val="0"/>
        <w:widowControl w:val="0"/>
        <w:numPr>
          <w:ilvl w:val="0"/>
          <w:numId w:val="0"/>
        </w:numPr>
        <w:kinsoku/>
        <w:wordWrap/>
        <w:overflowPunct/>
        <w:topLinePunct w:val="0"/>
        <w:bidi w:val="0"/>
        <w:snapToGrid/>
        <w:spacing w:line="600" w:lineRule="exact"/>
        <w:ind w:firstLine="960" w:firstLineChars="300"/>
        <w:textAlignment w:val="auto"/>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2025年度本单位无国有资本经营预算财政拨款支出。</w:t>
      </w:r>
    </w:p>
    <w:p w14:paraId="1D8DE0EB">
      <w:pPr>
        <w:pStyle w:val="11"/>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hAnsi="黑体" w:cs="黑体"/>
          <w:b w:val="0"/>
          <w:bCs/>
          <w:sz w:val="32"/>
          <w:szCs w:val="32"/>
          <w:highlight w:val="none"/>
          <w:lang w:eastAsia="zh-CN"/>
        </w:rPr>
        <w:t>九、</w:t>
      </w:r>
      <w:r>
        <w:rPr>
          <w:rFonts w:hint="eastAsia" w:ascii="黑体" w:hAnsi="黑体" w:eastAsia="黑体" w:cs="黑体"/>
          <w:b w:val="0"/>
          <w:bCs/>
          <w:sz w:val="32"/>
          <w:szCs w:val="32"/>
        </w:rPr>
        <w:t>财政拨款三公经费支出决算情况说明</w:t>
      </w:r>
    </w:p>
    <w:p w14:paraId="3E0AAEDC">
      <w:pPr>
        <w:pStyle w:val="11"/>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hint="eastAsia" w:ascii="仿宋" w:hAnsi="仿宋" w:eastAsia="仿宋" w:cs="仿宋"/>
          <w:b/>
          <w:bCs w:val="0"/>
          <w:sz w:val="32"/>
          <w:szCs w:val="32"/>
        </w:rPr>
      </w:pPr>
      <w:r>
        <w:rPr>
          <w:rFonts w:hint="eastAsia" w:ascii="仿宋" w:hAnsi="仿宋" w:eastAsia="仿宋" w:cs="仿宋"/>
          <w:b/>
          <w:bCs w:val="0"/>
          <w:sz w:val="32"/>
          <w:szCs w:val="32"/>
        </w:rPr>
        <w:t>（一）“三公”经费财政拨款支出决算总体情况说明</w:t>
      </w:r>
    </w:p>
    <w:p w14:paraId="50808B0E">
      <w:pPr>
        <w:pStyle w:val="11"/>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 w:hAnsi="仿宋" w:eastAsia="仿宋" w:cs="仿宋"/>
          <w:sz w:val="32"/>
          <w:szCs w:val="32"/>
        </w:rPr>
      </w:pPr>
      <w:r>
        <w:rPr>
          <w:rFonts w:hint="eastAsia" w:ascii="仿宋" w:hAnsi="仿宋" w:eastAsia="仿宋" w:cs="仿宋"/>
          <w:sz w:val="32"/>
          <w:szCs w:val="32"/>
        </w:rPr>
        <w:t>“三公”经费财政拨款支出预算为</w:t>
      </w:r>
      <w:r>
        <w:rPr>
          <w:rFonts w:hint="eastAsia" w:ascii="仿宋" w:hAnsi="仿宋" w:eastAsia="仿宋" w:cs="仿宋"/>
          <w:sz w:val="32"/>
          <w:szCs w:val="32"/>
          <w:lang w:val="en-US" w:eastAsia="zh-CN"/>
        </w:rPr>
        <w:t>0</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0</w:t>
      </w:r>
      <w:r>
        <w:rPr>
          <w:rFonts w:hint="eastAsia" w:ascii="仿宋" w:hAnsi="仿宋" w:eastAsia="仿宋" w:cs="仿宋"/>
          <w:sz w:val="32"/>
          <w:szCs w:val="32"/>
        </w:rPr>
        <w:t>万元，完成预算的</w:t>
      </w:r>
      <w:r>
        <w:rPr>
          <w:rFonts w:hint="eastAsia" w:ascii="仿宋" w:hAnsi="仿宋" w:eastAsia="仿宋" w:cs="仿宋"/>
          <w:sz w:val="32"/>
          <w:szCs w:val="32"/>
          <w:lang w:val="en-US" w:eastAsia="zh-CN"/>
        </w:rPr>
        <w:t>0</w:t>
      </w:r>
      <w:r>
        <w:rPr>
          <w:rFonts w:hint="eastAsia" w:ascii="仿宋" w:hAnsi="仿宋" w:eastAsia="仿宋" w:cs="仿宋"/>
          <w:sz w:val="32"/>
          <w:szCs w:val="32"/>
        </w:rPr>
        <w:t>%，其中：</w:t>
      </w:r>
    </w:p>
    <w:p w14:paraId="4D14FABE">
      <w:pPr>
        <w:pStyle w:val="11"/>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因公出国（境）费支出预算为0万元，支出决算为0万元，因为预算数为0，无法计算百分比，决算数与预算数持平，且与上年数持平。原因是认真贯彻落实了中央八项规定精神和厉行节约要求，从严控制“三公”经费开支，全年无因公出国（境）费支出。</w:t>
      </w:r>
    </w:p>
    <w:p w14:paraId="564F4C87">
      <w:pPr>
        <w:pStyle w:val="11"/>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公务接待费支出预算为0万元，支出决算为0万元，因为预算数为0，无法计算百分比，决算数与预算数持平，且与上年数持平。主要原因是认真贯彻落实了中央八项规定精神和厉行节约要求，从严控制“三公”经费开支，全年无公务接待费支出。</w:t>
      </w:r>
    </w:p>
    <w:p w14:paraId="30A9C0B3">
      <w:pPr>
        <w:pStyle w:val="11"/>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公务用车购置费支出预算为0万元，支出决算为0万元，因为预算数为0，无法计算百分比，决算数与预算数持平，且与上年数持平。主要原因是认真贯彻落实了中央八项规定精神和厉行节约要求，从严控制“三公”经费开支，全年无公务用车购置费支出。</w:t>
      </w:r>
    </w:p>
    <w:p w14:paraId="13C6E199">
      <w:pPr>
        <w:pStyle w:val="11"/>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公务用车运行维护费支出预算为0万元，支出决算为0万元，因为预算数为0，无法计算百分比，决算数与预算数持平，且与上年数持平。原因是认真贯彻落实了中央八项规定精神和厉行节约要求，从严控制“三公”经费开支，全年无公务用车运行维护费支出。</w:t>
      </w:r>
    </w:p>
    <w:p w14:paraId="51749161">
      <w:pPr>
        <w:pStyle w:val="11"/>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 w:hAnsi="仿宋" w:eastAsia="仿宋" w:cs="仿宋"/>
          <w:b/>
          <w:bCs w:val="0"/>
          <w:sz w:val="32"/>
          <w:szCs w:val="32"/>
        </w:rPr>
      </w:pPr>
      <w:r>
        <w:rPr>
          <w:rFonts w:hint="eastAsia" w:ascii="仿宋" w:hAnsi="仿宋" w:eastAsia="仿宋" w:cs="仿宋"/>
          <w:b/>
          <w:bCs w:val="0"/>
          <w:sz w:val="32"/>
          <w:szCs w:val="32"/>
        </w:rPr>
        <w:t>（二）“三公”经费财政拨款支出决算具体情况说明</w:t>
      </w:r>
    </w:p>
    <w:p w14:paraId="023EF3B5">
      <w:pPr>
        <w:pStyle w:val="11"/>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2025年</w:t>
      </w:r>
      <w:r>
        <w:rPr>
          <w:rFonts w:hint="eastAsia" w:ascii="仿宋" w:hAnsi="仿宋" w:eastAsia="仿宋" w:cs="仿宋"/>
          <w:sz w:val="32"/>
          <w:szCs w:val="32"/>
        </w:rPr>
        <w:t>度“三公”经费财政拨款支出决算中，公务接待费支出决算</w:t>
      </w:r>
      <w:r>
        <w:rPr>
          <w:rFonts w:hint="eastAsia" w:ascii="仿宋" w:hAnsi="仿宋" w:eastAsia="仿宋" w:cs="仿宋"/>
          <w:sz w:val="32"/>
          <w:szCs w:val="32"/>
          <w:lang w:val="en-US" w:eastAsia="zh-CN"/>
        </w:rPr>
        <w:t>0</w:t>
      </w:r>
      <w:r>
        <w:rPr>
          <w:rFonts w:hint="eastAsia" w:ascii="仿宋" w:hAnsi="仿宋" w:eastAsia="仿宋" w:cs="仿宋"/>
          <w:sz w:val="32"/>
          <w:szCs w:val="32"/>
        </w:rPr>
        <w:t>万元，占</w:t>
      </w:r>
      <w:r>
        <w:rPr>
          <w:rFonts w:hint="eastAsia" w:ascii="仿宋" w:hAnsi="仿宋" w:eastAsia="仿宋" w:cs="仿宋"/>
          <w:sz w:val="32"/>
          <w:szCs w:val="32"/>
          <w:lang w:val="en-US" w:eastAsia="zh-CN"/>
        </w:rPr>
        <w:t>0</w:t>
      </w:r>
      <w:r>
        <w:rPr>
          <w:rFonts w:hint="eastAsia" w:ascii="仿宋" w:hAnsi="仿宋" w:eastAsia="仿宋" w:cs="仿宋"/>
          <w:sz w:val="32"/>
          <w:szCs w:val="32"/>
        </w:rPr>
        <w:t>%</w:t>
      </w:r>
      <w:r>
        <w:rPr>
          <w:rFonts w:hint="eastAsia" w:ascii="仿宋" w:hAnsi="仿宋" w:eastAsia="仿宋" w:cs="仿宋"/>
          <w:sz w:val="32"/>
          <w:szCs w:val="32"/>
          <w:lang w:eastAsia="zh-CN"/>
        </w:rPr>
        <w:t>，</w:t>
      </w:r>
      <w:r>
        <w:rPr>
          <w:rFonts w:hint="eastAsia" w:ascii="仿宋" w:hAnsi="仿宋" w:eastAsia="仿宋" w:cs="仿宋"/>
          <w:sz w:val="32"/>
          <w:szCs w:val="32"/>
        </w:rPr>
        <w:t>因公出国（境）费支出决算</w:t>
      </w:r>
      <w:r>
        <w:rPr>
          <w:rFonts w:hint="eastAsia" w:ascii="仿宋" w:hAnsi="仿宋" w:eastAsia="仿宋" w:cs="仿宋"/>
          <w:sz w:val="32"/>
          <w:szCs w:val="32"/>
          <w:lang w:val="en-US" w:eastAsia="zh-CN"/>
        </w:rPr>
        <w:t>0</w:t>
      </w:r>
      <w:r>
        <w:rPr>
          <w:rFonts w:hint="eastAsia" w:ascii="仿宋" w:hAnsi="仿宋" w:eastAsia="仿宋" w:cs="仿宋"/>
          <w:sz w:val="32"/>
          <w:szCs w:val="32"/>
        </w:rPr>
        <w:t>万元，占</w:t>
      </w:r>
      <w:r>
        <w:rPr>
          <w:rFonts w:hint="eastAsia" w:ascii="仿宋" w:hAnsi="仿宋" w:eastAsia="仿宋" w:cs="仿宋"/>
          <w:sz w:val="32"/>
          <w:szCs w:val="32"/>
          <w:lang w:val="en-US" w:eastAsia="zh-CN"/>
        </w:rPr>
        <w:t>0</w:t>
      </w:r>
      <w:r>
        <w:rPr>
          <w:rFonts w:hint="eastAsia" w:ascii="仿宋" w:hAnsi="仿宋" w:eastAsia="仿宋" w:cs="仿宋"/>
          <w:sz w:val="32"/>
          <w:szCs w:val="32"/>
        </w:rPr>
        <w:t>%</w:t>
      </w:r>
      <w:r>
        <w:rPr>
          <w:rFonts w:hint="eastAsia" w:ascii="仿宋" w:hAnsi="仿宋" w:eastAsia="仿宋" w:cs="仿宋"/>
          <w:sz w:val="32"/>
          <w:szCs w:val="32"/>
          <w:lang w:eastAsia="zh-CN"/>
        </w:rPr>
        <w:t>，</w:t>
      </w:r>
      <w:r>
        <w:rPr>
          <w:rFonts w:hint="eastAsia" w:ascii="仿宋" w:hAnsi="仿宋" w:eastAsia="仿宋" w:cs="仿宋"/>
          <w:sz w:val="32"/>
          <w:szCs w:val="32"/>
        </w:rPr>
        <w:t>公务用车购置费及运行维护费支出决算</w:t>
      </w:r>
      <w:r>
        <w:rPr>
          <w:rFonts w:hint="eastAsia" w:ascii="仿宋" w:hAnsi="仿宋" w:eastAsia="仿宋" w:cs="仿宋"/>
          <w:sz w:val="32"/>
          <w:szCs w:val="32"/>
          <w:lang w:val="en-US" w:eastAsia="zh-CN"/>
        </w:rPr>
        <w:t>0</w:t>
      </w:r>
      <w:r>
        <w:rPr>
          <w:rFonts w:hint="eastAsia" w:ascii="仿宋" w:hAnsi="仿宋" w:eastAsia="仿宋" w:cs="仿宋"/>
          <w:sz w:val="32"/>
          <w:szCs w:val="32"/>
        </w:rPr>
        <w:t>万元，占</w:t>
      </w:r>
      <w:r>
        <w:rPr>
          <w:rFonts w:hint="eastAsia" w:ascii="仿宋" w:hAnsi="仿宋" w:eastAsia="仿宋" w:cs="仿宋"/>
          <w:sz w:val="32"/>
          <w:szCs w:val="32"/>
          <w:lang w:val="en-US" w:eastAsia="zh-CN"/>
        </w:rPr>
        <w:t>0</w:t>
      </w:r>
      <w:r>
        <w:rPr>
          <w:rFonts w:hint="eastAsia" w:ascii="仿宋" w:hAnsi="仿宋" w:eastAsia="仿宋" w:cs="仿宋"/>
          <w:sz w:val="32"/>
          <w:szCs w:val="32"/>
        </w:rPr>
        <w:t>%。其中：</w:t>
      </w:r>
    </w:p>
    <w:p w14:paraId="13704C93">
      <w:pPr>
        <w:pStyle w:val="11"/>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 w:hAnsi="仿宋" w:eastAsia="仿宋" w:cs="仿宋"/>
          <w:b/>
          <w:bCs/>
          <w:i/>
          <w:color w:val="auto"/>
          <w:sz w:val="32"/>
          <w:szCs w:val="32"/>
        </w:rPr>
      </w:pPr>
      <w:r>
        <w:rPr>
          <w:rFonts w:hint="eastAsia" w:ascii="仿宋" w:hAnsi="仿宋" w:eastAsia="仿宋" w:cs="仿宋"/>
          <w:sz w:val="32"/>
          <w:szCs w:val="32"/>
          <w:lang w:val="en-US" w:eastAsia="zh-CN"/>
        </w:rPr>
        <w:t>1、</w:t>
      </w:r>
      <w:r>
        <w:rPr>
          <w:rFonts w:hint="eastAsia" w:ascii="仿宋" w:hAnsi="仿宋" w:eastAsia="仿宋" w:cs="仿宋"/>
          <w:sz w:val="32"/>
          <w:szCs w:val="32"/>
        </w:rPr>
        <w:t>因公出国（境）费支出决算为</w:t>
      </w:r>
      <w:r>
        <w:rPr>
          <w:rFonts w:hint="eastAsia" w:ascii="仿宋" w:hAnsi="仿宋" w:eastAsia="仿宋" w:cs="仿宋"/>
          <w:sz w:val="32"/>
          <w:szCs w:val="32"/>
          <w:lang w:val="en-US" w:eastAsia="zh-CN"/>
        </w:rPr>
        <w:t>0</w:t>
      </w:r>
      <w:r>
        <w:rPr>
          <w:rFonts w:hint="eastAsia" w:ascii="仿宋" w:hAnsi="仿宋" w:eastAsia="仿宋" w:cs="仿宋"/>
          <w:sz w:val="32"/>
          <w:szCs w:val="32"/>
        </w:rPr>
        <w:t>万元，全年安排因公出国（境）团组</w:t>
      </w:r>
      <w:r>
        <w:rPr>
          <w:rFonts w:hint="eastAsia" w:ascii="仿宋" w:hAnsi="仿宋" w:eastAsia="仿宋" w:cs="仿宋"/>
          <w:sz w:val="32"/>
          <w:szCs w:val="32"/>
          <w:lang w:val="en-US" w:eastAsia="zh-CN"/>
        </w:rPr>
        <w:t>0</w:t>
      </w:r>
      <w:r>
        <w:rPr>
          <w:rFonts w:hint="eastAsia" w:ascii="仿宋" w:hAnsi="仿宋" w:eastAsia="仿宋" w:cs="仿宋"/>
          <w:sz w:val="32"/>
          <w:szCs w:val="32"/>
        </w:rPr>
        <w:t>个，累计</w:t>
      </w:r>
      <w:r>
        <w:rPr>
          <w:rFonts w:hint="eastAsia" w:ascii="仿宋" w:hAnsi="仿宋" w:eastAsia="仿宋" w:cs="仿宋"/>
          <w:sz w:val="32"/>
          <w:szCs w:val="32"/>
          <w:lang w:val="en-US" w:eastAsia="zh-CN"/>
        </w:rPr>
        <w:t>0</w:t>
      </w:r>
      <w:r>
        <w:rPr>
          <w:rFonts w:hint="eastAsia" w:ascii="仿宋" w:hAnsi="仿宋" w:eastAsia="仿宋" w:cs="仿宋"/>
          <w:sz w:val="32"/>
          <w:szCs w:val="32"/>
        </w:rPr>
        <w:t>人次</w:t>
      </w:r>
      <w:r>
        <w:rPr>
          <w:rFonts w:hint="eastAsia" w:ascii="仿宋" w:hAnsi="仿宋" w:eastAsia="仿宋" w:cs="仿宋"/>
          <w:b/>
          <w:bCs/>
          <w:i/>
          <w:color w:val="auto"/>
          <w:sz w:val="32"/>
          <w:szCs w:val="32"/>
          <w:lang w:eastAsia="zh-CN"/>
        </w:rPr>
        <w:t>，</w:t>
      </w:r>
      <w:r>
        <w:rPr>
          <w:rFonts w:hint="eastAsia" w:ascii="仿宋" w:hAnsi="仿宋" w:eastAsia="仿宋" w:cs="仿宋"/>
          <w:sz w:val="32"/>
          <w:szCs w:val="32"/>
        </w:rPr>
        <w:t>支出决算为0万元，因为预算数为0，无法计算百分比，决算数与预算数持平，且与上年数持平。原因是认真贯彻落实了中央八项规定精神和厉行节约要求，从严控制“三公”经费开支，全年无因公出国（境）费支出。</w:t>
      </w:r>
      <w:r>
        <w:rPr>
          <w:rFonts w:hint="eastAsia" w:ascii="仿宋" w:hAnsi="仿宋" w:eastAsia="仿宋" w:cs="仿宋"/>
          <w:b/>
          <w:bCs/>
          <w:i/>
          <w:color w:val="auto"/>
          <w:sz w:val="32"/>
          <w:szCs w:val="32"/>
        </w:rPr>
        <w:t xml:space="preserve">     </w:t>
      </w:r>
    </w:p>
    <w:p w14:paraId="198BB4FD">
      <w:pPr>
        <w:pStyle w:val="11"/>
        <w:ind w:firstLine="800" w:firstLineChars="250"/>
        <w:rPr>
          <w:rFonts w:hint="eastAsia" w:ascii="仿宋" w:hAnsi="仿宋" w:eastAsia="仿宋" w:cs="仿宋"/>
          <w:i w:val="0"/>
          <w:iCs w:val="0"/>
          <w:caps w:val="0"/>
          <w:color w:val="000000"/>
          <w:spacing w:val="0"/>
          <w:sz w:val="32"/>
          <w:szCs w:val="32"/>
          <w:shd w:val="clear" w:color="auto" w:fill="FFFFFF"/>
          <w:lang w:eastAsia="zh-CN"/>
        </w:rPr>
      </w:pPr>
      <w:r>
        <w:rPr>
          <w:rFonts w:hint="eastAsia" w:ascii="仿宋" w:hAnsi="仿宋" w:eastAsia="仿宋" w:cs="仿宋"/>
          <w:sz w:val="32"/>
          <w:szCs w:val="32"/>
        </w:rPr>
        <w:t>2、公务接待费支出决算为</w:t>
      </w:r>
      <w:r>
        <w:rPr>
          <w:rFonts w:hint="eastAsia" w:ascii="仿宋" w:hAnsi="仿宋" w:eastAsia="仿宋" w:cs="仿宋"/>
          <w:sz w:val="32"/>
          <w:szCs w:val="32"/>
          <w:lang w:val="en-US" w:eastAsia="zh-CN"/>
        </w:rPr>
        <w:t>0</w:t>
      </w:r>
      <w:r>
        <w:rPr>
          <w:rFonts w:hint="eastAsia" w:ascii="仿宋" w:hAnsi="仿宋" w:eastAsia="仿宋" w:cs="仿宋"/>
          <w:sz w:val="32"/>
          <w:szCs w:val="32"/>
        </w:rPr>
        <w:t>万元，全年共接待来访团组</w:t>
      </w:r>
      <w:r>
        <w:rPr>
          <w:rFonts w:hint="eastAsia" w:ascii="仿宋" w:hAnsi="仿宋" w:eastAsia="仿宋" w:cs="仿宋"/>
          <w:sz w:val="32"/>
          <w:szCs w:val="32"/>
          <w:lang w:val="en-US" w:eastAsia="zh-CN"/>
        </w:rPr>
        <w:t>0</w:t>
      </w:r>
      <w:r>
        <w:rPr>
          <w:rFonts w:hint="eastAsia" w:ascii="仿宋" w:hAnsi="仿宋" w:eastAsia="仿宋" w:cs="仿宋"/>
          <w:sz w:val="32"/>
          <w:szCs w:val="32"/>
        </w:rPr>
        <w:t>个、来宾</w:t>
      </w:r>
      <w:r>
        <w:rPr>
          <w:rFonts w:hint="eastAsia" w:ascii="仿宋" w:hAnsi="仿宋" w:eastAsia="仿宋" w:cs="仿宋"/>
          <w:sz w:val="32"/>
          <w:szCs w:val="32"/>
          <w:lang w:val="en-US" w:eastAsia="zh-CN"/>
        </w:rPr>
        <w:t>0</w:t>
      </w:r>
      <w:r>
        <w:rPr>
          <w:rFonts w:hint="eastAsia" w:ascii="仿宋" w:hAnsi="仿宋" w:eastAsia="仿宋" w:cs="仿宋"/>
          <w:sz w:val="32"/>
          <w:szCs w:val="32"/>
        </w:rPr>
        <w:t>人次，</w:t>
      </w:r>
      <w:r>
        <w:rPr>
          <w:rFonts w:hint="eastAsia" w:ascii="仿宋" w:hAnsi="仿宋" w:eastAsia="仿宋" w:cs="仿宋"/>
          <w:sz w:val="32"/>
          <w:szCs w:val="32"/>
          <w:lang w:eastAsia="zh-CN"/>
        </w:rPr>
        <w:t>因为预算数为</w:t>
      </w:r>
      <w:r>
        <w:rPr>
          <w:rFonts w:hint="eastAsia" w:ascii="仿宋" w:hAnsi="仿宋" w:eastAsia="仿宋" w:cs="仿宋"/>
          <w:sz w:val="32"/>
          <w:szCs w:val="32"/>
          <w:lang w:val="en-US" w:eastAsia="zh-CN"/>
        </w:rPr>
        <w:t>0，无法计算百分比</w:t>
      </w:r>
      <w:r>
        <w:rPr>
          <w:rFonts w:hint="eastAsia" w:ascii="仿宋" w:hAnsi="仿宋" w:eastAsia="仿宋" w:cs="仿宋"/>
          <w:sz w:val="32"/>
          <w:szCs w:val="32"/>
        </w:rPr>
        <w:t>，决算数</w:t>
      </w:r>
      <w:r>
        <w:rPr>
          <w:rFonts w:hint="eastAsia" w:ascii="仿宋" w:hAnsi="仿宋" w:eastAsia="仿宋" w:cs="仿宋"/>
          <w:sz w:val="32"/>
          <w:szCs w:val="32"/>
          <w:lang w:eastAsia="zh-CN"/>
        </w:rPr>
        <w:t>与</w:t>
      </w:r>
      <w:r>
        <w:rPr>
          <w:rFonts w:hint="eastAsia" w:ascii="仿宋" w:hAnsi="仿宋" w:eastAsia="仿宋" w:cs="仿宋"/>
          <w:sz w:val="32"/>
          <w:szCs w:val="32"/>
        </w:rPr>
        <w:t>预算数</w:t>
      </w:r>
      <w:r>
        <w:rPr>
          <w:rFonts w:hint="eastAsia" w:ascii="仿宋" w:hAnsi="仿宋" w:eastAsia="仿宋" w:cs="仿宋"/>
          <w:sz w:val="32"/>
          <w:szCs w:val="32"/>
          <w:lang w:eastAsia="zh-CN"/>
        </w:rPr>
        <w:t>持平</w:t>
      </w:r>
      <w:r>
        <w:rPr>
          <w:rFonts w:hint="eastAsia" w:ascii="仿宋" w:hAnsi="仿宋" w:eastAsia="仿宋" w:cs="仿宋"/>
          <w:i w:val="0"/>
          <w:iCs w:val="0"/>
          <w:caps w:val="0"/>
          <w:color w:val="000000"/>
          <w:spacing w:val="0"/>
          <w:sz w:val="32"/>
          <w:szCs w:val="32"/>
          <w:shd w:val="clear" w:color="auto" w:fill="FFFFFF"/>
        </w:rPr>
        <w:t>，</w:t>
      </w:r>
      <w:r>
        <w:rPr>
          <w:rFonts w:hint="eastAsia" w:ascii="仿宋" w:hAnsi="仿宋" w:eastAsia="仿宋" w:cs="仿宋"/>
          <w:i w:val="0"/>
          <w:iCs w:val="0"/>
          <w:caps w:val="0"/>
          <w:color w:val="000000"/>
          <w:spacing w:val="0"/>
          <w:sz w:val="32"/>
          <w:szCs w:val="32"/>
          <w:shd w:val="clear" w:color="auto" w:fill="FFFFFF"/>
          <w:lang w:eastAsia="zh-CN"/>
        </w:rPr>
        <w:t>且</w:t>
      </w:r>
      <w:r>
        <w:rPr>
          <w:rFonts w:hint="eastAsia" w:ascii="仿宋" w:hAnsi="仿宋" w:eastAsia="仿宋" w:cs="仿宋"/>
          <w:i w:val="0"/>
          <w:iCs w:val="0"/>
          <w:caps w:val="0"/>
          <w:color w:val="000000"/>
          <w:spacing w:val="0"/>
          <w:sz w:val="32"/>
          <w:szCs w:val="32"/>
          <w:shd w:val="clear" w:color="auto" w:fill="FFFFFF"/>
        </w:rPr>
        <w:t>与上年</w:t>
      </w:r>
      <w:r>
        <w:rPr>
          <w:rFonts w:hint="eastAsia" w:ascii="仿宋" w:hAnsi="仿宋" w:eastAsia="仿宋" w:cs="仿宋"/>
          <w:i w:val="0"/>
          <w:iCs w:val="0"/>
          <w:caps w:val="0"/>
          <w:color w:val="000000"/>
          <w:spacing w:val="0"/>
          <w:sz w:val="32"/>
          <w:szCs w:val="32"/>
          <w:shd w:val="clear" w:color="auto" w:fill="FFFFFF"/>
          <w:lang w:val="en-US" w:eastAsia="zh-CN"/>
        </w:rPr>
        <w:t>数持平。</w:t>
      </w:r>
      <w:r>
        <w:rPr>
          <w:rFonts w:hint="eastAsia" w:ascii="仿宋" w:hAnsi="仿宋" w:eastAsia="仿宋" w:cs="仿宋"/>
          <w:sz w:val="32"/>
          <w:szCs w:val="32"/>
        </w:rPr>
        <w:t>主要原因是</w:t>
      </w:r>
      <w:r>
        <w:rPr>
          <w:rFonts w:hint="eastAsia" w:ascii="仿宋" w:hAnsi="仿宋" w:eastAsia="仿宋" w:cs="仿宋"/>
          <w:i w:val="0"/>
          <w:iCs w:val="0"/>
          <w:caps w:val="0"/>
          <w:color w:val="000000"/>
          <w:spacing w:val="0"/>
          <w:sz w:val="32"/>
          <w:szCs w:val="32"/>
          <w:shd w:val="clear" w:color="auto" w:fill="FFFFFF"/>
        </w:rPr>
        <w:t>认真贯彻落实</w:t>
      </w:r>
      <w:r>
        <w:rPr>
          <w:rFonts w:hint="eastAsia" w:ascii="仿宋" w:hAnsi="仿宋" w:eastAsia="仿宋" w:cs="仿宋"/>
          <w:i w:val="0"/>
          <w:iCs w:val="0"/>
          <w:caps w:val="0"/>
          <w:color w:val="000000"/>
          <w:spacing w:val="0"/>
          <w:sz w:val="32"/>
          <w:szCs w:val="32"/>
          <w:shd w:val="clear" w:color="auto" w:fill="FFFFFF"/>
          <w:lang w:eastAsia="zh-CN"/>
        </w:rPr>
        <w:t>了</w:t>
      </w:r>
      <w:r>
        <w:rPr>
          <w:rFonts w:hint="eastAsia" w:ascii="仿宋" w:hAnsi="仿宋" w:eastAsia="仿宋" w:cs="仿宋"/>
          <w:i w:val="0"/>
          <w:iCs w:val="0"/>
          <w:caps w:val="0"/>
          <w:color w:val="000000"/>
          <w:spacing w:val="0"/>
          <w:sz w:val="32"/>
          <w:szCs w:val="32"/>
          <w:shd w:val="clear" w:color="auto" w:fill="FFFFFF"/>
        </w:rPr>
        <w:t>中央八项规定精神和厉行节约要求，从严控制“三公”经费开支，全年</w:t>
      </w:r>
      <w:r>
        <w:rPr>
          <w:rFonts w:hint="eastAsia" w:ascii="仿宋" w:hAnsi="仿宋" w:eastAsia="仿宋" w:cs="仿宋"/>
          <w:i w:val="0"/>
          <w:iCs w:val="0"/>
          <w:caps w:val="0"/>
          <w:color w:val="000000"/>
          <w:spacing w:val="0"/>
          <w:sz w:val="32"/>
          <w:szCs w:val="32"/>
          <w:shd w:val="clear" w:color="auto" w:fill="FFFFFF"/>
          <w:lang w:eastAsia="zh-CN"/>
        </w:rPr>
        <w:t>无公务接待费支出。</w:t>
      </w:r>
    </w:p>
    <w:p w14:paraId="3196F7AB">
      <w:pPr>
        <w:pStyle w:val="11"/>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 w:hAnsi="仿宋" w:eastAsia="仿宋" w:cs="仿宋"/>
          <w:i/>
          <w:iCs w:val="0"/>
          <w:color w:val="FF0000"/>
          <w:sz w:val="32"/>
          <w:szCs w:val="32"/>
          <w:lang w:eastAsia="zh-CN"/>
        </w:rPr>
      </w:pPr>
      <w:r>
        <w:rPr>
          <w:rFonts w:hint="eastAsia" w:ascii="仿宋" w:hAnsi="仿宋" w:eastAsia="仿宋" w:cs="仿宋"/>
          <w:sz w:val="32"/>
          <w:szCs w:val="32"/>
        </w:rPr>
        <w:t>3、公务用车购置费及运行维护费支出决算为</w:t>
      </w:r>
      <w:r>
        <w:rPr>
          <w:rFonts w:hint="eastAsia" w:ascii="仿宋" w:hAnsi="仿宋" w:eastAsia="仿宋" w:cs="仿宋"/>
          <w:sz w:val="32"/>
          <w:szCs w:val="32"/>
          <w:lang w:val="en-US" w:eastAsia="zh-CN"/>
        </w:rPr>
        <w:t>0</w:t>
      </w:r>
      <w:r>
        <w:rPr>
          <w:rFonts w:hint="eastAsia" w:ascii="仿宋" w:hAnsi="仿宋" w:eastAsia="仿宋" w:cs="仿宋"/>
          <w:sz w:val="32"/>
          <w:szCs w:val="32"/>
        </w:rPr>
        <w:t>万元，其中：公务用车购置费</w:t>
      </w:r>
      <w:r>
        <w:rPr>
          <w:rFonts w:hint="eastAsia" w:ascii="仿宋" w:hAnsi="仿宋" w:eastAsia="仿宋" w:cs="仿宋"/>
          <w:sz w:val="32"/>
          <w:szCs w:val="32"/>
          <w:lang w:val="en-US" w:eastAsia="zh-CN"/>
        </w:rPr>
        <w:t>0</w:t>
      </w:r>
      <w:r>
        <w:rPr>
          <w:rFonts w:hint="eastAsia" w:ascii="仿宋" w:hAnsi="仿宋" w:eastAsia="仿宋" w:cs="仿宋"/>
          <w:sz w:val="32"/>
          <w:szCs w:val="32"/>
        </w:rPr>
        <w:t>万元，</w:t>
      </w:r>
      <w:r>
        <w:rPr>
          <w:rFonts w:hint="eastAsia" w:ascii="仿宋" w:hAnsi="仿宋" w:eastAsia="仿宋" w:cs="仿宋"/>
          <w:sz w:val="32"/>
          <w:szCs w:val="32"/>
          <w:lang w:eastAsia="zh-CN"/>
        </w:rPr>
        <w:t>岳阳县市场建设管理中心</w:t>
      </w:r>
      <w:r>
        <w:rPr>
          <w:rFonts w:hint="eastAsia" w:ascii="仿宋" w:hAnsi="仿宋" w:eastAsia="仿宋" w:cs="仿宋"/>
          <w:sz w:val="32"/>
          <w:szCs w:val="32"/>
        </w:rPr>
        <w:t>更新公务用车</w:t>
      </w:r>
      <w:r>
        <w:rPr>
          <w:rFonts w:hint="eastAsia" w:ascii="仿宋" w:hAnsi="仿宋" w:eastAsia="仿宋" w:cs="仿宋"/>
          <w:sz w:val="32"/>
          <w:szCs w:val="32"/>
          <w:lang w:val="en-US" w:eastAsia="zh-CN"/>
        </w:rPr>
        <w:t>0</w:t>
      </w:r>
      <w:r>
        <w:rPr>
          <w:rFonts w:hint="eastAsia" w:ascii="仿宋" w:hAnsi="仿宋" w:eastAsia="仿宋" w:cs="仿宋"/>
          <w:sz w:val="32"/>
          <w:szCs w:val="32"/>
        </w:rPr>
        <w:t>辆</w:t>
      </w:r>
      <w:r>
        <w:rPr>
          <w:rFonts w:hint="eastAsia" w:ascii="仿宋" w:hAnsi="仿宋" w:eastAsia="仿宋" w:cs="仿宋"/>
          <w:sz w:val="32"/>
          <w:szCs w:val="32"/>
          <w:lang w:eastAsia="zh-CN"/>
        </w:rPr>
        <w:t>，</w:t>
      </w:r>
      <w:r>
        <w:rPr>
          <w:rFonts w:hint="eastAsia" w:ascii="仿宋" w:hAnsi="仿宋" w:eastAsia="仿宋" w:cs="仿宋"/>
          <w:sz w:val="32"/>
          <w:szCs w:val="32"/>
        </w:rPr>
        <w:t>公务用车运行维护费</w:t>
      </w:r>
      <w:r>
        <w:rPr>
          <w:rFonts w:hint="eastAsia" w:ascii="仿宋" w:hAnsi="仿宋" w:eastAsia="仿宋" w:cs="仿宋"/>
          <w:sz w:val="32"/>
          <w:szCs w:val="32"/>
          <w:lang w:val="en-US" w:eastAsia="zh-CN"/>
        </w:rPr>
        <w:t>0</w:t>
      </w:r>
      <w:r>
        <w:rPr>
          <w:rFonts w:hint="eastAsia" w:ascii="仿宋" w:hAnsi="仿宋" w:eastAsia="仿宋" w:cs="仿宋"/>
          <w:sz w:val="32"/>
          <w:szCs w:val="32"/>
        </w:rPr>
        <w:t>万元，截</w:t>
      </w:r>
      <w:r>
        <w:rPr>
          <w:rFonts w:hint="eastAsia" w:ascii="仿宋" w:hAnsi="仿宋" w:eastAsia="仿宋" w:cs="仿宋"/>
          <w:sz w:val="32"/>
          <w:szCs w:val="32"/>
          <w:lang w:val="en-US" w:eastAsia="zh-CN"/>
        </w:rPr>
        <w:t>至</w:t>
      </w:r>
      <w:r>
        <w:rPr>
          <w:rFonts w:hint="eastAsia" w:ascii="仿宋" w:hAnsi="仿宋" w:eastAsia="仿宋" w:cs="仿宋"/>
          <w:sz w:val="32"/>
          <w:szCs w:val="32"/>
          <w:lang w:eastAsia="zh-CN"/>
        </w:rPr>
        <w:t>2025年</w:t>
      </w:r>
      <w:r>
        <w:rPr>
          <w:rFonts w:hint="eastAsia" w:ascii="仿宋" w:hAnsi="仿宋" w:eastAsia="仿宋" w:cs="仿宋"/>
          <w:sz w:val="32"/>
          <w:szCs w:val="32"/>
        </w:rPr>
        <w:t>12月31日，我单位开支财政拨款的公务用车保有量为</w:t>
      </w:r>
      <w:r>
        <w:rPr>
          <w:rFonts w:hint="eastAsia" w:ascii="仿宋" w:hAnsi="仿宋" w:eastAsia="仿宋" w:cs="仿宋"/>
          <w:sz w:val="32"/>
          <w:szCs w:val="32"/>
          <w:lang w:val="en-US" w:eastAsia="zh-CN"/>
        </w:rPr>
        <w:t>0</w:t>
      </w:r>
      <w:r>
        <w:rPr>
          <w:rFonts w:hint="eastAsia" w:ascii="仿宋" w:hAnsi="仿宋" w:eastAsia="仿宋" w:cs="仿宋"/>
          <w:sz w:val="32"/>
          <w:szCs w:val="32"/>
        </w:rPr>
        <w:t>辆。</w:t>
      </w:r>
      <w:r>
        <w:rPr>
          <w:rFonts w:hint="eastAsia" w:ascii="仿宋" w:hAnsi="仿宋" w:eastAsia="仿宋" w:cs="仿宋"/>
          <w:sz w:val="32"/>
          <w:szCs w:val="32"/>
          <w:lang w:eastAsia="zh-CN"/>
        </w:rPr>
        <w:t>因为预算数为</w:t>
      </w:r>
      <w:r>
        <w:rPr>
          <w:rFonts w:hint="eastAsia" w:ascii="仿宋" w:hAnsi="仿宋" w:eastAsia="仿宋" w:cs="仿宋"/>
          <w:sz w:val="32"/>
          <w:szCs w:val="32"/>
          <w:lang w:val="en-US" w:eastAsia="zh-CN"/>
        </w:rPr>
        <w:t>0，无法计算百分比</w:t>
      </w:r>
      <w:r>
        <w:rPr>
          <w:rFonts w:hint="eastAsia" w:ascii="仿宋" w:hAnsi="仿宋" w:eastAsia="仿宋" w:cs="仿宋"/>
          <w:sz w:val="32"/>
          <w:szCs w:val="32"/>
        </w:rPr>
        <w:t>，决算数</w:t>
      </w:r>
      <w:r>
        <w:rPr>
          <w:rFonts w:hint="eastAsia" w:ascii="仿宋" w:hAnsi="仿宋" w:eastAsia="仿宋" w:cs="仿宋"/>
          <w:sz w:val="32"/>
          <w:szCs w:val="32"/>
          <w:lang w:eastAsia="zh-CN"/>
        </w:rPr>
        <w:t>与</w:t>
      </w:r>
      <w:r>
        <w:rPr>
          <w:rFonts w:hint="eastAsia" w:ascii="仿宋" w:hAnsi="仿宋" w:eastAsia="仿宋" w:cs="仿宋"/>
          <w:sz w:val="32"/>
          <w:szCs w:val="32"/>
        </w:rPr>
        <w:t>预算数</w:t>
      </w:r>
      <w:r>
        <w:rPr>
          <w:rFonts w:hint="eastAsia" w:ascii="仿宋" w:hAnsi="仿宋" w:eastAsia="仿宋" w:cs="仿宋"/>
          <w:sz w:val="32"/>
          <w:szCs w:val="32"/>
          <w:lang w:eastAsia="zh-CN"/>
        </w:rPr>
        <w:t>持平</w:t>
      </w:r>
      <w:r>
        <w:rPr>
          <w:rFonts w:hint="eastAsia" w:ascii="仿宋" w:hAnsi="仿宋" w:eastAsia="仿宋" w:cs="仿宋"/>
          <w:i w:val="0"/>
          <w:iCs w:val="0"/>
          <w:caps w:val="0"/>
          <w:color w:val="000000"/>
          <w:spacing w:val="0"/>
          <w:sz w:val="32"/>
          <w:szCs w:val="32"/>
          <w:shd w:val="clear" w:color="auto" w:fill="FFFFFF"/>
        </w:rPr>
        <w:t>，</w:t>
      </w:r>
      <w:r>
        <w:rPr>
          <w:rFonts w:hint="eastAsia" w:ascii="仿宋" w:hAnsi="仿宋" w:eastAsia="仿宋" w:cs="仿宋"/>
          <w:i w:val="0"/>
          <w:iCs w:val="0"/>
          <w:caps w:val="0"/>
          <w:color w:val="000000"/>
          <w:spacing w:val="0"/>
          <w:sz w:val="32"/>
          <w:szCs w:val="32"/>
          <w:shd w:val="clear" w:color="auto" w:fill="FFFFFF"/>
          <w:lang w:eastAsia="zh-CN"/>
        </w:rPr>
        <w:t>且</w:t>
      </w:r>
      <w:r>
        <w:rPr>
          <w:rFonts w:hint="eastAsia" w:ascii="仿宋" w:hAnsi="仿宋" w:eastAsia="仿宋" w:cs="仿宋"/>
          <w:i w:val="0"/>
          <w:iCs w:val="0"/>
          <w:caps w:val="0"/>
          <w:color w:val="000000"/>
          <w:spacing w:val="0"/>
          <w:sz w:val="32"/>
          <w:szCs w:val="32"/>
          <w:shd w:val="clear" w:color="auto" w:fill="FFFFFF"/>
        </w:rPr>
        <w:t>与上年</w:t>
      </w:r>
      <w:r>
        <w:rPr>
          <w:rFonts w:hint="eastAsia" w:ascii="仿宋" w:hAnsi="仿宋" w:eastAsia="仿宋" w:cs="仿宋"/>
          <w:i w:val="0"/>
          <w:iCs w:val="0"/>
          <w:caps w:val="0"/>
          <w:color w:val="000000"/>
          <w:spacing w:val="0"/>
          <w:sz w:val="32"/>
          <w:szCs w:val="32"/>
          <w:shd w:val="clear" w:color="auto" w:fill="FFFFFF"/>
          <w:lang w:val="en-US" w:eastAsia="zh-CN"/>
        </w:rPr>
        <w:t>数持平。原因</w:t>
      </w:r>
      <w:r>
        <w:rPr>
          <w:rFonts w:hint="eastAsia" w:ascii="仿宋" w:hAnsi="仿宋" w:eastAsia="仿宋" w:cs="仿宋"/>
          <w:i w:val="0"/>
          <w:iCs w:val="0"/>
          <w:caps w:val="0"/>
          <w:color w:val="000000"/>
          <w:spacing w:val="0"/>
          <w:sz w:val="32"/>
          <w:szCs w:val="32"/>
          <w:shd w:val="clear" w:color="auto" w:fill="FFFFFF"/>
        </w:rPr>
        <w:t>是认真贯彻落实</w:t>
      </w:r>
      <w:r>
        <w:rPr>
          <w:rFonts w:hint="eastAsia" w:ascii="仿宋" w:hAnsi="仿宋" w:eastAsia="仿宋" w:cs="仿宋"/>
          <w:i w:val="0"/>
          <w:iCs w:val="0"/>
          <w:caps w:val="0"/>
          <w:color w:val="000000"/>
          <w:spacing w:val="0"/>
          <w:sz w:val="32"/>
          <w:szCs w:val="32"/>
          <w:shd w:val="clear" w:color="auto" w:fill="FFFFFF"/>
          <w:lang w:eastAsia="zh-CN"/>
        </w:rPr>
        <w:t>了</w:t>
      </w:r>
      <w:r>
        <w:rPr>
          <w:rFonts w:hint="eastAsia" w:ascii="仿宋" w:hAnsi="仿宋" w:eastAsia="仿宋" w:cs="仿宋"/>
          <w:i w:val="0"/>
          <w:iCs w:val="0"/>
          <w:caps w:val="0"/>
          <w:color w:val="000000"/>
          <w:spacing w:val="0"/>
          <w:sz w:val="32"/>
          <w:szCs w:val="32"/>
          <w:shd w:val="clear" w:color="auto" w:fill="FFFFFF"/>
        </w:rPr>
        <w:t>中央八项规定精神和厉行节约要求，从严控制“三公”经费开支，全年</w:t>
      </w:r>
      <w:r>
        <w:rPr>
          <w:rFonts w:hint="eastAsia" w:ascii="仿宋" w:hAnsi="仿宋" w:eastAsia="仿宋" w:cs="仿宋"/>
          <w:i w:val="0"/>
          <w:iCs w:val="0"/>
          <w:caps w:val="0"/>
          <w:color w:val="000000"/>
          <w:spacing w:val="0"/>
          <w:sz w:val="32"/>
          <w:szCs w:val="32"/>
          <w:shd w:val="clear" w:color="auto" w:fill="FFFFFF"/>
          <w:lang w:eastAsia="zh-CN"/>
        </w:rPr>
        <w:t>无</w:t>
      </w:r>
      <w:r>
        <w:rPr>
          <w:rFonts w:hint="eastAsia" w:ascii="仿宋" w:hAnsi="仿宋" w:eastAsia="仿宋" w:cs="仿宋"/>
          <w:i w:val="0"/>
          <w:iCs w:val="0"/>
          <w:caps w:val="0"/>
          <w:color w:val="000000"/>
          <w:spacing w:val="0"/>
          <w:sz w:val="32"/>
          <w:szCs w:val="32"/>
          <w:shd w:val="clear" w:color="auto" w:fill="FFFFFF"/>
        </w:rPr>
        <w:t>公务用车</w:t>
      </w:r>
      <w:r>
        <w:rPr>
          <w:rFonts w:hint="eastAsia" w:ascii="仿宋" w:hAnsi="仿宋" w:eastAsia="仿宋" w:cs="仿宋"/>
          <w:sz w:val="32"/>
          <w:szCs w:val="32"/>
        </w:rPr>
        <w:t>购置费支出</w:t>
      </w:r>
      <w:r>
        <w:rPr>
          <w:rFonts w:hint="eastAsia" w:ascii="仿宋" w:hAnsi="仿宋" w:eastAsia="仿宋" w:cs="仿宋"/>
          <w:sz w:val="32"/>
          <w:szCs w:val="32"/>
          <w:lang w:eastAsia="zh-CN"/>
        </w:rPr>
        <w:t>。</w:t>
      </w:r>
    </w:p>
    <w:p w14:paraId="65B64C4F">
      <w:pPr>
        <w:pStyle w:val="11"/>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sz w:val="32"/>
          <w:szCs w:val="32"/>
        </w:rPr>
      </w:pPr>
      <w:r>
        <w:rPr>
          <w:rFonts w:hint="eastAsia" w:ascii="黑体" w:hAnsi="黑体" w:eastAsia="黑体" w:cs="黑体"/>
          <w:b/>
          <w:sz w:val="32"/>
          <w:szCs w:val="32"/>
          <w:lang w:eastAsia="zh-CN"/>
        </w:rPr>
        <w:t>十、</w:t>
      </w:r>
      <w:r>
        <w:rPr>
          <w:rFonts w:hint="eastAsia" w:ascii="黑体" w:hAnsi="黑体" w:eastAsia="黑体" w:cs="黑体"/>
          <w:b/>
          <w:sz w:val="32"/>
          <w:szCs w:val="32"/>
        </w:rPr>
        <w:t>关于机关运行经费支出说明</w:t>
      </w:r>
    </w:p>
    <w:p w14:paraId="645A24F8">
      <w:pPr>
        <w:pStyle w:val="11"/>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 w:hAnsi="仿宋" w:eastAsia="仿宋" w:cs="仿宋"/>
          <w:i w:val="0"/>
          <w:iCs w:val="0"/>
          <w:caps w:val="0"/>
          <w:color w:val="000000"/>
          <w:spacing w:val="0"/>
          <w:sz w:val="32"/>
          <w:szCs w:val="32"/>
          <w:shd w:val="clear" w:color="auto" w:fill="FFFFFF"/>
          <w:lang w:eastAsia="zh-CN"/>
        </w:rPr>
      </w:pPr>
      <w:r>
        <w:rPr>
          <w:rFonts w:hint="eastAsia" w:ascii="仿宋" w:hAnsi="仿宋" w:eastAsia="仿宋" w:cs="仿宋"/>
          <w:i w:val="0"/>
          <w:iCs w:val="0"/>
          <w:caps w:val="0"/>
          <w:color w:val="000000"/>
          <w:spacing w:val="0"/>
          <w:sz w:val="32"/>
          <w:szCs w:val="32"/>
          <w:shd w:val="clear" w:color="auto" w:fill="FFFFFF"/>
          <w:lang w:eastAsia="zh-CN"/>
        </w:rPr>
        <w:t>岳阳县市场建设管理中心为事业单位，按照机关运行经费的口径，本年度机关运行经费为</w:t>
      </w:r>
      <w:r>
        <w:rPr>
          <w:rFonts w:hint="eastAsia" w:ascii="仿宋" w:hAnsi="仿宋" w:eastAsia="仿宋" w:cs="仿宋"/>
          <w:i w:val="0"/>
          <w:iCs w:val="0"/>
          <w:caps w:val="0"/>
          <w:color w:val="000000"/>
          <w:spacing w:val="0"/>
          <w:sz w:val="32"/>
          <w:szCs w:val="32"/>
          <w:shd w:val="clear" w:color="auto" w:fill="FFFFFF"/>
          <w:lang w:val="en-US" w:eastAsia="zh-CN"/>
        </w:rPr>
        <w:t>0。</w:t>
      </w:r>
    </w:p>
    <w:p w14:paraId="34B642FF">
      <w:pPr>
        <w:pStyle w:val="11"/>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w:t>
      </w:r>
      <w:r>
        <w:rPr>
          <w:rFonts w:hint="eastAsia" w:hAnsi="黑体" w:cs="黑体"/>
          <w:b w:val="0"/>
          <w:bCs/>
          <w:sz w:val="32"/>
          <w:szCs w:val="32"/>
          <w:lang w:eastAsia="zh-CN"/>
        </w:rPr>
        <w:t>一</w:t>
      </w:r>
      <w:r>
        <w:rPr>
          <w:rFonts w:hint="eastAsia" w:ascii="黑体" w:hAnsi="黑体" w:eastAsia="黑体" w:cs="黑体"/>
          <w:b w:val="0"/>
          <w:bCs/>
          <w:sz w:val="32"/>
          <w:szCs w:val="32"/>
        </w:rPr>
        <w:t>、一般性支出情况说明</w:t>
      </w:r>
    </w:p>
    <w:p w14:paraId="7D6902DC">
      <w:pPr>
        <w:pStyle w:val="11"/>
        <w:ind w:firstLine="640" w:firstLineChars="200"/>
        <w:rPr>
          <w:rFonts w:hint="eastAsia" w:ascii="仿宋" w:hAnsi="仿宋" w:eastAsia="仿宋" w:cs="仿宋"/>
          <w:b/>
          <w:bCs/>
          <w:i/>
          <w:color w:val="FF0000"/>
          <w:kern w:val="0"/>
          <w:sz w:val="32"/>
          <w:szCs w:val="32"/>
          <w:lang w:val="en-US" w:eastAsia="zh-CN" w:bidi="ar-SA"/>
        </w:rPr>
      </w:pPr>
      <w:r>
        <w:rPr>
          <w:rFonts w:hint="eastAsia" w:ascii="仿宋" w:hAnsi="仿宋" w:eastAsia="仿宋" w:cs="仿宋"/>
          <w:sz w:val="32"/>
          <w:szCs w:val="32"/>
          <w:lang w:eastAsia="zh-CN"/>
        </w:rPr>
        <w:t>2025年本部门开支会议费0万元，开支培训费1.12万元，用于开展党校培训和在岗职工培训，人数36人，内容为党校培训和在岗职工培训；2025年本单位未举办节庆、晚会、论坛、赛事等活动，开支0万元。</w:t>
      </w:r>
    </w:p>
    <w:p w14:paraId="3AA90B00">
      <w:pPr>
        <w:pStyle w:val="11"/>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w:t>
      </w:r>
      <w:r>
        <w:rPr>
          <w:rFonts w:hint="eastAsia" w:hAnsi="黑体" w:cs="黑体"/>
          <w:b w:val="0"/>
          <w:bCs/>
          <w:sz w:val="32"/>
          <w:szCs w:val="32"/>
          <w:lang w:eastAsia="zh-CN"/>
        </w:rPr>
        <w:t>二</w:t>
      </w:r>
      <w:r>
        <w:rPr>
          <w:rFonts w:hint="eastAsia" w:ascii="黑体" w:hAnsi="黑体" w:eastAsia="黑体" w:cs="黑体"/>
          <w:b w:val="0"/>
          <w:bCs/>
          <w:sz w:val="32"/>
          <w:szCs w:val="32"/>
        </w:rPr>
        <w:t>、关于政府采购支出说明</w:t>
      </w:r>
    </w:p>
    <w:p w14:paraId="0DAFE502">
      <w:pPr>
        <w:pStyle w:val="11"/>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本部门</w:t>
      </w:r>
      <w:r>
        <w:rPr>
          <w:rFonts w:hint="eastAsia" w:ascii="仿宋" w:hAnsi="仿宋" w:eastAsia="仿宋" w:cs="仿宋"/>
          <w:sz w:val="32"/>
          <w:szCs w:val="32"/>
          <w:lang w:eastAsia="zh-CN"/>
        </w:rPr>
        <w:t>2025年</w:t>
      </w:r>
      <w:r>
        <w:rPr>
          <w:rFonts w:hint="eastAsia" w:ascii="仿宋" w:hAnsi="仿宋" w:eastAsia="仿宋" w:cs="仿宋"/>
          <w:sz w:val="32"/>
          <w:szCs w:val="32"/>
        </w:rPr>
        <w:t>度政府采购支出总额</w:t>
      </w:r>
      <w:r>
        <w:rPr>
          <w:rFonts w:hint="eastAsia" w:ascii="仿宋" w:hAnsi="仿宋" w:eastAsia="仿宋" w:cs="仿宋"/>
          <w:sz w:val="32"/>
          <w:szCs w:val="32"/>
          <w:lang w:val="en-US" w:eastAsia="zh-CN"/>
        </w:rPr>
        <w:t>2</w:t>
      </w:r>
      <w:r>
        <w:rPr>
          <w:rFonts w:hint="eastAsia" w:ascii="仿宋" w:hAnsi="仿宋" w:eastAsia="仿宋" w:cs="仿宋"/>
          <w:sz w:val="32"/>
          <w:szCs w:val="32"/>
        </w:rPr>
        <w:t>万元，其中：政府采购货物支出</w:t>
      </w:r>
      <w:r>
        <w:rPr>
          <w:rFonts w:hint="eastAsia" w:ascii="仿宋" w:hAnsi="仿宋" w:eastAsia="仿宋" w:cs="仿宋"/>
          <w:sz w:val="32"/>
          <w:szCs w:val="32"/>
          <w:lang w:val="en-US" w:eastAsia="zh-CN"/>
        </w:rPr>
        <w:t>0</w:t>
      </w:r>
      <w:r>
        <w:rPr>
          <w:rFonts w:hint="eastAsia" w:ascii="仿宋" w:hAnsi="仿宋" w:eastAsia="仿宋" w:cs="仿宋"/>
          <w:sz w:val="32"/>
          <w:szCs w:val="32"/>
        </w:rPr>
        <w:t>万元、政府采购工程支出</w:t>
      </w:r>
      <w:r>
        <w:rPr>
          <w:rFonts w:hint="eastAsia" w:ascii="仿宋" w:hAnsi="仿宋" w:eastAsia="仿宋" w:cs="仿宋"/>
          <w:sz w:val="32"/>
          <w:szCs w:val="32"/>
          <w:lang w:val="en-US" w:eastAsia="zh-CN"/>
        </w:rPr>
        <w:t>0</w:t>
      </w:r>
      <w:r>
        <w:rPr>
          <w:rFonts w:hint="eastAsia" w:ascii="仿宋" w:hAnsi="仿宋" w:eastAsia="仿宋" w:cs="仿宋"/>
          <w:sz w:val="32"/>
          <w:szCs w:val="32"/>
        </w:rPr>
        <w:t>万元、政府采购服务支出</w:t>
      </w:r>
      <w:r>
        <w:rPr>
          <w:rFonts w:hint="eastAsia" w:ascii="仿宋" w:hAnsi="仿宋" w:eastAsia="仿宋" w:cs="仿宋"/>
          <w:sz w:val="32"/>
          <w:szCs w:val="32"/>
          <w:lang w:val="en-US" w:eastAsia="zh-CN"/>
        </w:rPr>
        <w:t>2</w:t>
      </w:r>
      <w:r>
        <w:rPr>
          <w:rFonts w:hint="eastAsia" w:ascii="仿宋" w:hAnsi="仿宋" w:eastAsia="仿宋" w:cs="仿宋"/>
          <w:sz w:val="32"/>
          <w:szCs w:val="32"/>
        </w:rPr>
        <w:t>万元。授予中小企业合同金额</w:t>
      </w:r>
      <w:r>
        <w:rPr>
          <w:rFonts w:hint="eastAsia" w:ascii="仿宋" w:hAnsi="仿宋" w:eastAsia="仿宋" w:cs="仿宋"/>
          <w:sz w:val="32"/>
          <w:szCs w:val="32"/>
          <w:lang w:val="en-US" w:eastAsia="zh-CN"/>
        </w:rPr>
        <w:t>2</w:t>
      </w:r>
      <w:r>
        <w:rPr>
          <w:rFonts w:hint="eastAsia" w:ascii="仿宋" w:hAnsi="仿宋" w:eastAsia="仿宋" w:cs="仿宋"/>
          <w:sz w:val="32"/>
          <w:szCs w:val="32"/>
        </w:rPr>
        <w:t>万元，占政府采购支出总额的</w:t>
      </w:r>
      <w:r>
        <w:rPr>
          <w:rFonts w:hint="eastAsia" w:ascii="仿宋" w:hAnsi="仿宋" w:eastAsia="仿宋" w:cs="仿宋"/>
          <w:sz w:val="32"/>
          <w:szCs w:val="32"/>
          <w:lang w:val="en-US" w:eastAsia="zh-CN"/>
        </w:rPr>
        <w:t>100</w:t>
      </w:r>
      <w:r>
        <w:rPr>
          <w:rFonts w:hint="eastAsia" w:ascii="仿宋" w:hAnsi="仿宋" w:eastAsia="仿宋" w:cs="仿宋"/>
          <w:sz w:val="32"/>
          <w:szCs w:val="32"/>
        </w:rPr>
        <w:t>%，其中：授予小微企业合同金额</w:t>
      </w:r>
      <w:r>
        <w:rPr>
          <w:rFonts w:hint="eastAsia" w:ascii="仿宋" w:hAnsi="仿宋" w:eastAsia="仿宋" w:cs="仿宋"/>
          <w:sz w:val="32"/>
          <w:szCs w:val="32"/>
          <w:lang w:val="en-US" w:eastAsia="zh-CN"/>
        </w:rPr>
        <w:t>2</w:t>
      </w:r>
      <w:r>
        <w:rPr>
          <w:rFonts w:hint="eastAsia" w:ascii="仿宋" w:hAnsi="仿宋" w:eastAsia="仿宋" w:cs="仿宋"/>
          <w:sz w:val="32"/>
          <w:szCs w:val="32"/>
        </w:rPr>
        <w:t>万元，占授予中小企业合同金额的</w:t>
      </w:r>
      <w:r>
        <w:rPr>
          <w:rFonts w:hint="eastAsia" w:ascii="仿宋" w:hAnsi="仿宋" w:eastAsia="仿宋" w:cs="仿宋"/>
          <w:sz w:val="32"/>
          <w:szCs w:val="32"/>
          <w:lang w:val="en-US" w:eastAsia="zh-CN"/>
        </w:rPr>
        <w:t>100</w:t>
      </w:r>
      <w:r>
        <w:rPr>
          <w:rFonts w:hint="eastAsia" w:ascii="仿宋" w:hAnsi="仿宋" w:eastAsia="仿宋" w:cs="仿宋"/>
          <w:sz w:val="32"/>
          <w:szCs w:val="32"/>
        </w:rPr>
        <w:t>%。货物采购授予中小企业合同金额占货物支出金额的</w:t>
      </w:r>
      <w:r>
        <w:rPr>
          <w:rFonts w:hint="eastAsia" w:ascii="仿宋" w:hAnsi="仿宋" w:eastAsia="仿宋" w:cs="仿宋"/>
          <w:sz w:val="32"/>
          <w:szCs w:val="32"/>
          <w:lang w:val="en-US" w:eastAsia="zh-CN"/>
        </w:rPr>
        <w:t>0</w:t>
      </w:r>
      <w:r>
        <w:rPr>
          <w:rFonts w:hint="eastAsia" w:ascii="仿宋" w:hAnsi="仿宋" w:eastAsia="仿宋" w:cs="仿宋"/>
          <w:sz w:val="32"/>
          <w:szCs w:val="32"/>
        </w:rPr>
        <w:t>%，工程采购授予中小企业合同金额占工程支出金额的</w:t>
      </w:r>
      <w:r>
        <w:rPr>
          <w:rFonts w:hint="eastAsia" w:ascii="仿宋" w:hAnsi="仿宋" w:eastAsia="仿宋" w:cs="仿宋"/>
          <w:sz w:val="32"/>
          <w:szCs w:val="32"/>
          <w:lang w:val="en-US" w:eastAsia="zh-CN"/>
        </w:rPr>
        <w:t>0</w:t>
      </w:r>
      <w:r>
        <w:rPr>
          <w:rFonts w:hint="eastAsia" w:ascii="仿宋" w:hAnsi="仿宋" w:eastAsia="仿宋" w:cs="仿宋"/>
          <w:sz w:val="32"/>
          <w:szCs w:val="32"/>
        </w:rPr>
        <w:t>%，服务采购授予中小企业合同金额占服务支出金额的</w:t>
      </w:r>
      <w:r>
        <w:rPr>
          <w:rFonts w:hint="eastAsia" w:ascii="仿宋" w:hAnsi="仿宋" w:eastAsia="仿宋" w:cs="仿宋"/>
          <w:sz w:val="32"/>
          <w:szCs w:val="32"/>
          <w:lang w:val="en-US" w:eastAsia="zh-CN"/>
        </w:rPr>
        <w:t>100</w:t>
      </w:r>
      <w:r>
        <w:rPr>
          <w:rFonts w:hint="eastAsia" w:ascii="仿宋" w:hAnsi="仿宋" w:eastAsia="仿宋" w:cs="仿宋"/>
          <w:sz w:val="32"/>
          <w:szCs w:val="32"/>
        </w:rPr>
        <w:t>%。</w:t>
      </w:r>
    </w:p>
    <w:p w14:paraId="0E65FE4F">
      <w:pPr>
        <w:pStyle w:val="11"/>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w:t>
      </w:r>
      <w:r>
        <w:rPr>
          <w:rFonts w:hint="eastAsia" w:hAnsi="黑体" w:cs="黑体"/>
          <w:b w:val="0"/>
          <w:bCs/>
          <w:sz w:val="32"/>
          <w:szCs w:val="32"/>
          <w:lang w:eastAsia="zh-CN"/>
        </w:rPr>
        <w:t>三</w:t>
      </w:r>
      <w:r>
        <w:rPr>
          <w:rFonts w:hint="eastAsia" w:ascii="黑体" w:hAnsi="黑体" w:eastAsia="黑体" w:cs="黑体"/>
          <w:b w:val="0"/>
          <w:bCs/>
          <w:sz w:val="32"/>
          <w:szCs w:val="32"/>
        </w:rPr>
        <w:t>、关于国有资产占用情况说明</w:t>
      </w:r>
    </w:p>
    <w:p w14:paraId="5C310AC9">
      <w:pPr>
        <w:pStyle w:val="11"/>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截至</w:t>
      </w:r>
      <w:r>
        <w:rPr>
          <w:rFonts w:hint="eastAsia" w:ascii="仿宋" w:hAnsi="仿宋" w:eastAsia="仿宋" w:cs="仿宋"/>
          <w:sz w:val="32"/>
          <w:szCs w:val="32"/>
          <w:lang w:eastAsia="zh-CN"/>
        </w:rPr>
        <w:t>2025年</w:t>
      </w:r>
      <w:r>
        <w:rPr>
          <w:rFonts w:hint="eastAsia" w:ascii="仿宋" w:hAnsi="仿宋" w:eastAsia="仿宋" w:cs="仿宋"/>
          <w:sz w:val="32"/>
          <w:szCs w:val="32"/>
        </w:rPr>
        <w:t>12月31日，本单位共有车辆</w:t>
      </w:r>
      <w:r>
        <w:rPr>
          <w:rFonts w:hint="eastAsia" w:ascii="仿宋" w:hAnsi="仿宋" w:eastAsia="仿宋" w:cs="仿宋"/>
          <w:sz w:val="32"/>
          <w:szCs w:val="32"/>
          <w:lang w:val="en-US" w:eastAsia="zh-CN"/>
        </w:rPr>
        <w:t>0</w:t>
      </w:r>
      <w:r>
        <w:rPr>
          <w:rFonts w:hint="eastAsia" w:ascii="仿宋" w:hAnsi="仿宋" w:eastAsia="仿宋" w:cs="仿宋"/>
          <w:sz w:val="32"/>
          <w:szCs w:val="32"/>
        </w:rPr>
        <w:t>辆，其中，主要领导干部用车</w:t>
      </w:r>
      <w:r>
        <w:rPr>
          <w:rFonts w:hint="eastAsia" w:ascii="仿宋" w:hAnsi="仿宋" w:eastAsia="仿宋" w:cs="仿宋"/>
          <w:sz w:val="32"/>
          <w:szCs w:val="32"/>
          <w:lang w:val="en-US" w:eastAsia="zh-CN"/>
        </w:rPr>
        <w:t>0</w:t>
      </w:r>
      <w:r>
        <w:rPr>
          <w:rFonts w:hint="eastAsia" w:ascii="仿宋" w:hAnsi="仿宋" w:eastAsia="仿宋" w:cs="仿宋"/>
          <w:sz w:val="32"/>
          <w:szCs w:val="32"/>
        </w:rPr>
        <w:t>辆，机要通信用车</w:t>
      </w:r>
      <w:r>
        <w:rPr>
          <w:rFonts w:hint="eastAsia" w:ascii="仿宋" w:hAnsi="仿宋" w:eastAsia="仿宋" w:cs="仿宋"/>
          <w:sz w:val="32"/>
          <w:szCs w:val="32"/>
          <w:lang w:val="en-US" w:eastAsia="zh-CN"/>
        </w:rPr>
        <w:t>0</w:t>
      </w:r>
      <w:r>
        <w:rPr>
          <w:rFonts w:hint="eastAsia" w:ascii="仿宋" w:hAnsi="仿宋" w:eastAsia="仿宋" w:cs="仿宋"/>
          <w:sz w:val="32"/>
          <w:szCs w:val="32"/>
        </w:rPr>
        <w:t>辆、应急保障用车</w:t>
      </w:r>
      <w:r>
        <w:rPr>
          <w:rFonts w:hint="eastAsia" w:ascii="仿宋" w:hAnsi="仿宋" w:eastAsia="仿宋" w:cs="仿宋"/>
          <w:sz w:val="32"/>
          <w:szCs w:val="32"/>
          <w:lang w:val="en-US" w:eastAsia="zh-CN"/>
        </w:rPr>
        <w:t>0</w:t>
      </w:r>
      <w:r>
        <w:rPr>
          <w:rFonts w:hint="eastAsia" w:ascii="仿宋" w:hAnsi="仿宋" w:eastAsia="仿宋" w:cs="仿宋"/>
          <w:sz w:val="32"/>
          <w:szCs w:val="32"/>
        </w:rPr>
        <w:t>辆、执法执勤用车</w:t>
      </w:r>
      <w:r>
        <w:rPr>
          <w:rFonts w:hint="eastAsia" w:ascii="仿宋" w:hAnsi="仿宋" w:eastAsia="仿宋" w:cs="仿宋"/>
          <w:sz w:val="32"/>
          <w:szCs w:val="32"/>
          <w:lang w:val="en-US" w:eastAsia="zh-CN"/>
        </w:rPr>
        <w:t>0</w:t>
      </w:r>
      <w:r>
        <w:rPr>
          <w:rFonts w:hint="eastAsia" w:ascii="仿宋" w:hAnsi="仿宋" w:eastAsia="仿宋" w:cs="仿宋"/>
          <w:sz w:val="32"/>
          <w:szCs w:val="32"/>
        </w:rPr>
        <w:t>辆、特种专业技术用车</w:t>
      </w:r>
      <w:r>
        <w:rPr>
          <w:rFonts w:hint="eastAsia" w:ascii="仿宋" w:hAnsi="仿宋" w:eastAsia="仿宋" w:cs="仿宋"/>
          <w:sz w:val="32"/>
          <w:szCs w:val="32"/>
          <w:lang w:val="en-US" w:eastAsia="zh-CN"/>
        </w:rPr>
        <w:t>0</w:t>
      </w:r>
      <w:r>
        <w:rPr>
          <w:rFonts w:hint="eastAsia" w:ascii="仿宋" w:hAnsi="仿宋" w:eastAsia="仿宋" w:cs="仿宋"/>
          <w:sz w:val="32"/>
          <w:szCs w:val="32"/>
        </w:rPr>
        <w:t>辆、其他用车</w:t>
      </w:r>
      <w:r>
        <w:rPr>
          <w:rFonts w:hint="eastAsia" w:ascii="仿宋" w:hAnsi="仿宋" w:eastAsia="仿宋" w:cs="仿宋"/>
          <w:sz w:val="32"/>
          <w:szCs w:val="32"/>
          <w:lang w:val="en-US" w:eastAsia="zh-CN"/>
        </w:rPr>
        <w:t>0</w:t>
      </w:r>
      <w:r>
        <w:rPr>
          <w:rFonts w:hint="eastAsia" w:ascii="仿宋" w:hAnsi="仿宋" w:eastAsia="仿宋" w:cs="仿宋"/>
          <w:sz w:val="32"/>
          <w:szCs w:val="32"/>
        </w:rPr>
        <w:t>辆，单位价值50万元以上通用设备</w:t>
      </w:r>
      <w:r>
        <w:rPr>
          <w:rFonts w:hint="eastAsia" w:ascii="仿宋" w:hAnsi="仿宋" w:eastAsia="仿宋" w:cs="仿宋"/>
          <w:sz w:val="32"/>
          <w:szCs w:val="32"/>
          <w:lang w:val="en-US" w:eastAsia="zh-CN"/>
        </w:rPr>
        <w:t>0</w:t>
      </w:r>
      <w:r>
        <w:rPr>
          <w:rFonts w:hint="eastAsia" w:ascii="仿宋" w:hAnsi="仿宋" w:eastAsia="仿宋" w:cs="仿宋"/>
          <w:sz w:val="32"/>
          <w:szCs w:val="32"/>
        </w:rPr>
        <w:t>台（套）；单位价值100万元以上专用设备</w:t>
      </w:r>
      <w:r>
        <w:rPr>
          <w:rFonts w:hint="eastAsia" w:ascii="仿宋" w:hAnsi="仿宋" w:eastAsia="仿宋" w:cs="仿宋"/>
          <w:sz w:val="32"/>
          <w:szCs w:val="32"/>
          <w:lang w:val="en-US" w:eastAsia="zh-CN"/>
        </w:rPr>
        <w:t>0</w:t>
      </w:r>
      <w:r>
        <w:rPr>
          <w:rFonts w:hint="eastAsia" w:ascii="仿宋" w:hAnsi="仿宋" w:eastAsia="仿宋" w:cs="仿宋"/>
          <w:sz w:val="32"/>
          <w:szCs w:val="32"/>
        </w:rPr>
        <w:t>台（套）。</w:t>
      </w:r>
    </w:p>
    <w:p w14:paraId="48A8B104">
      <w:pPr>
        <w:pStyle w:val="11"/>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w:t>
      </w:r>
      <w:r>
        <w:rPr>
          <w:rFonts w:hint="eastAsia" w:hAnsi="黑体" w:cs="黑体"/>
          <w:b w:val="0"/>
          <w:bCs/>
          <w:sz w:val="32"/>
          <w:szCs w:val="32"/>
          <w:lang w:eastAsia="zh-CN"/>
        </w:rPr>
        <w:t>四</w:t>
      </w:r>
      <w:r>
        <w:rPr>
          <w:rFonts w:hint="eastAsia" w:ascii="黑体" w:hAnsi="黑体" w:eastAsia="黑体" w:cs="黑体"/>
          <w:b w:val="0"/>
          <w:bCs/>
          <w:sz w:val="32"/>
          <w:szCs w:val="32"/>
        </w:rPr>
        <w:t>、关于</w:t>
      </w:r>
      <w:r>
        <w:rPr>
          <w:rFonts w:hint="eastAsia" w:ascii="Times New Roman" w:hAnsi="Times New Roman" w:eastAsia="仿宋_GB2312"/>
          <w:sz w:val="32"/>
          <w:szCs w:val="32"/>
          <w:lang w:eastAsia="zh-CN"/>
        </w:rPr>
        <w:t>2025年</w:t>
      </w:r>
      <w:r>
        <w:rPr>
          <w:rFonts w:hint="eastAsia" w:ascii="黑体" w:hAnsi="黑体" w:eastAsia="黑体" w:cs="黑体"/>
          <w:b w:val="0"/>
          <w:bCs/>
          <w:sz w:val="32"/>
          <w:szCs w:val="32"/>
        </w:rPr>
        <w:t>度绩效</w:t>
      </w:r>
      <w:r>
        <w:rPr>
          <w:rFonts w:hint="eastAsia" w:hAnsi="黑体" w:cs="黑体"/>
          <w:b w:val="0"/>
          <w:bCs/>
          <w:sz w:val="32"/>
          <w:szCs w:val="32"/>
          <w:lang w:val="en-US" w:eastAsia="zh-CN"/>
        </w:rPr>
        <w:t>评价</w:t>
      </w:r>
      <w:r>
        <w:rPr>
          <w:rFonts w:hint="eastAsia" w:ascii="黑体" w:hAnsi="黑体" w:eastAsia="黑体" w:cs="黑体"/>
          <w:b w:val="0"/>
          <w:bCs/>
          <w:sz w:val="32"/>
          <w:szCs w:val="32"/>
        </w:rPr>
        <w:t>情况的说明</w:t>
      </w:r>
    </w:p>
    <w:p w14:paraId="241A7527">
      <w:pPr>
        <w:autoSpaceDE w:val="0"/>
        <w:autoSpaceDN w:val="0"/>
        <w:adjustRightInd w:val="0"/>
        <w:ind w:firstLine="640" w:firstLineChars="200"/>
        <w:jc w:val="left"/>
        <w:rPr>
          <w:rFonts w:ascii="宋体" w:hAnsi="宋体" w:cs="黑体"/>
          <w:color w:val="000000"/>
          <w:kern w:val="0"/>
          <w:sz w:val="32"/>
          <w:szCs w:val="32"/>
        </w:rPr>
      </w:pPr>
      <w:r>
        <w:rPr>
          <w:rFonts w:hint="eastAsia" w:ascii="宋体" w:hAnsi="宋体" w:cs="黑体"/>
          <w:b/>
          <w:color w:val="000000"/>
          <w:kern w:val="0"/>
          <w:sz w:val="32"/>
          <w:szCs w:val="32"/>
        </w:rPr>
        <w:t>（1）绩效管理评价工作开展情况</w:t>
      </w:r>
      <w:r>
        <w:rPr>
          <w:rFonts w:hint="eastAsia" w:ascii="宋体" w:hAnsi="宋体" w:cs="黑体"/>
          <w:color w:val="000000"/>
          <w:kern w:val="0"/>
          <w:sz w:val="32"/>
          <w:szCs w:val="32"/>
        </w:rPr>
        <w:t>。</w:t>
      </w:r>
    </w:p>
    <w:p w14:paraId="7FDBBBBA">
      <w:pPr>
        <w:autoSpaceDE w:val="0"/>
        <w:autoSpaceDN w:val="0"/>
        <w:adjustRightInd w:val="0"/>
        <w:ind w:firstLine="640" w:firstLineChars="200"/>
        <w:jc w:val="left"/>
        <w:rPr>
          <w:rFonts w:hint="eastAsia" w:ascii="仿宋" w:hAnsi="仿宋" w:eastAsia="仿宋" w:cs="仿宋"/>
          <w:color w:val="000000"/>
          <w:kern w:val="0"/>
          <w:sz w:val="32"/>
          <w:szCs w:val="32"/>
          <w:lang w:val="en-US" w:eastAsia="zh-CN" w:bidi="ar-SA"/>
        </w:rPr>
      </w:pPr>
      <w:r>
        <w:rPr>
          <w:rFonts w:hint="eastAsia" w:ascii="仿宋" w:hAnsi="仿宋" w:eastAsia="仿宋" w:cs="仿宋"/>
          <w:color w:val="000000"/>
          <w:kern w:val="0"/>
          <w:sz w:val="32"/>
          <w:szCs w:val="32"/>
          <w:lang w:val="en-US" w:eastAsia="zh-CN" w:bidi="ar-SA"/>
        </w:rPr>
        <w:t>根据预算绩效管理要求，我部门组织对2025年度一般公共预算项目支出全面开展绩效自评，其中，一级项目0个，二级项目0个，共涉及资金0万元，占一般公共预算项目支出总额的0%。组织对2025年度0个政府性基金预算项目支出开展绩效自评，共涉及资金0万元，占政府性基金预算项目支出总额的0%。组织对2025年度0个国有资本经营预算项目支出开展绩效自评，共涉及资金0万元，占国有资本经营预算项目支出总额的0%。</w:t>
      </w:r>
    </w:p>
    <w:p w14:paraId="7FA5C1F1">
      <w:pPr>
        <w:autoSpaceDE w:val="0"/>
        <w:autoSpaceDN w:val="0"/>
        <w:adjustRightInd w:val="0"/>
        <w:ind w:firstLine="640" w:firstLineChars="200"/>
        <w:jc w:val="left"/>
        <w:rPr>
          <w:rFonts w:hint="eastAsia" w:ascii="仿宋" w:hAnsi="仿宋" w:eastAsia="仿宋" w:cs="仿宋"/>
          <w:color w:val="000000"/>
          <w:kern w:val="0"/>
          <w:sz w:val="32"/>
          <w:szCs w:val="32"/>
          <w:lang w:val="en-US" w:eastAsia="zh-CN" w:bidi="ar-SA"/>
        </w:rPr>
      </w:pPr>
      <w:r>
        <w:rPr>
          <w:rFonts w:hint="eastAsia" w:ascii="仿宋" w:hAnsi="仿宋" w:eastAsia="仿宋" w:cs="仿宋"/>
          <w:color w:val="000000"/>
          <w:kern w:val="0"/>
          <w:sz w:val="32"/>
          <w:szCs w:val="32"/>
          <w:lang w:val="en-US" w:eastAsia="zh-CN" w:bidi="ar-SA"/>
        </w:rPr>
        <w:t>组织对“0”个项目开展了部门评价，涉及一般公共预算支出0万元，政府性基金预算支出0万元，国有资本经营预算支出0万元。</w:t>
      </w:r>
    </w:p>
    <w:p w14:paraId="441DAE95">
      <w:pPr>
        <w:autoSpaceDE w:val="0"/>
        <w:autoSpaceDN w:val="0"/>
        <w:adjustRightInd w:val="0"/>
        <w:ind w:firstLine="640" w:firstLineChars="200"/>
        <w:jc w:val="left"/>
        <w:rPr>
          <w:rFonts w:hint="eastAsia" w:ascii="仿宋" w:hAnsi="仿宋" w:eastAsia="仿宋" w:cs="仿宋"/>
          <w:color w:val="000000"/>
          <w:kern w:val="0"/>
          <w:sz w:val="32"/>
          <w:szCs w:val="32"/>
          <w:lang w:val="en-US" w:eastAsia="zh-CN" w:bidi="ar-SA"/>
        </w:rPr>
      </w:pPr>
      <w:r>
        <w:rPr>
          <w:rFonts w:hint="eastAsia" w:ascii="仿宋" w:hAnsi="仿宋" w:eastAsia="仿宋" w:cs="仿宋"/>
          <w:color w:val="000000"/>
          <w:kern w:val="0"/>
          <w:sz w:val="32"/>
          <w:szCs w:val="32"/>
          <w:lang w:val="en-US" w:eastAsia="zh-CN" w:bidi="ar-SA"/>
        </w:rPr>
        <w:t>组织对岳阳县市场建设管理中心1个单位开展整体支出绩效评价，涉及一般公共预算支出654.1万元，政府性基金预算支出0万元。从评价情况来看，部门整体支出绩效自评得分96.97分，评价等级为“优秀”，已按县财政局统一要求随同部门决算作为附件公开。</w:t>
      </w:r>
    </w:p>
    <w:p w14:paraId="32AAC4CD">
      <w:pPr>
        <w:autoSpaceDE w:val="0"/>
        <w:autoSpaceDN w:val="0"/>
        <w:adjustRightInd w:val="0"/>
        <w:ind w:firstLine="640" w:firstLineChars="200"/>
        <w:jc w:val="left"/>
        <w:rPr>
          <w:rFonts w:ascii="宋体" w:hAnsi="宋体" w:cs="黑体"/>
          <w:b/>
          <w:color w:val="000000"/>
          <w:kern w:val="0"/>
          <w:sz w:val="32"/>
          <w:szCs w:val="32"/>
        </w:rPr>
      </w:pPr>
      <w:r>
        <w:rPr>
          <w:rFonts w:hint="eastAsia" w:ascii="宋体" w:hAnsi="宋体" w:cs="黑体"/>
          <w:b/>
          <w:color w:val="000000"/>
          <w:kern w:val="0"/>
          <w:sz w:val="32"/>
          <w:szCs w:val="32"/>
        </w:rPr>
        <w:t>（2）部门决算中项目绩效自评结果。</w:t>
      </w:r>
    </w:p>
    <w:p w14:paraId="76FEACAE">
      <w:pPr>
        <w:autoSpaceDE w:val="0"/>
        <w:autoSpaceDN w:val="0"/>
        <w:adjustRightInd w:val="0"/>
        <w:ind w:firstLine="640" w:firstLineChars="200"/>
        <w:jc w:val="left"/>
        <w:rPr>
          <w:rFonts w:hint="eastAsia" w:ascii="宋体" w:hAnsi="宋体" w:cs="黑体"/>
          <w:color w:val="auto"/>
          <w:kern w:val="0"/>
          <w:sz w:val="32"/>
          <w:szCs w:val="32"/>
          <w:lang w:eastAsia="zh-CN"/>
        </w:rPr>
      </w:pPr>
      <w:r>
        <w:rPr>
          <w:rFonts w:hint="eastAsia" w:ascii="仿宋" w:hAnsi="仿宋" w:eastAsia="仿宋" w:cs="仿宋"/>
          <w:color w:val="auto"/>
          <w:kern w:val="0"/>
          <w:sz w:val="32"/>
          <w:szCs w:val="32"/>
          <w:lang w:val="en-US" w:eastAsia="zh-CN"/>
        </w:rPr>
        <w:t>2025年度本单位无</w:t>
      </w:r>
      <w:r>
        <w:rPr>
          <w:rFonts w:hint="eastAsia" w:ascii="仿宋" w:hAnsi="仿宋" w:eastAsia="仿宋" w:cs="仿宋"/>
          <w:color w:val="auto"/>
          <w:kern w:val="0"/>
          <w:sz w:val="32"/>
          <w:szCs w:val="32"/>
        </w:rPr>
        <w:t>项目</w:t>
      </w:r>
      <w:r>
        <w:rPr>
          <w:rFonts w:hint="eastAsia" w:ascii="仿宋" w:hAnsi="仿宋" w:eastAsia="仿宋" w:cs="仿宋"/>
          <w:color w:val="auto"/>
          <w:kern w:val="0"/>
          <w:sz w:val="32"/>
          <w:szCs w:val="32"/>
          <w:lang w:eastAsia="zh-CN"/>
        </w:rPr>
        <w:t>支出</w:t>
      </w:r>
      <w:r>
        <w:rPr>
          <w:rFonts w:hint="eastAsia" w:ascii="仿宋" w:hAnsi="仿宋" w:eastAsia="仿宋" w:cs="仿宋"/>
          <w:color w:val="auto"/>
          <w:kern w:val="0"/>
          <w:sz w:val="32"/>
          <w:szCs w:val="32"/>
        </w:rPr>
        <w:t>绩效</w:t>
      </w:r>
      <w:r>
        <w:rPr>
          <w:rFonts w:hint="eastAsia" w:ascii="仿宋" w:hAnsi="仿宋" w:eastAsia="仿宋" w:cs="仿宋"/>
          <w:color w:val="auto"/>
          <w:kern w:val="0"/>
          <w:sz w:val="32"/>
          <w:szCs w:val="32"/>
          <w:lang w:eastAsia="zh-CN"/>
        </w:rPr>
        <w:t>评价</w:t>
      </w:r>
      <w:r>
        <w:rPr>
          <w:rFonts w:hint="eastAsia" w:ascii="宋体" w:hAnsi="宋体" w:cs="黑体"/>
          <w:color w:val="auto"/>
          <w:kern w:val="0"/>
          <w:sz w:val="32"/>
          <w:szCs w:val="32"/>
          <w:lang w:eastAsia="zh-CN"/>
        </w:rPr>
        <w:t>。</w:t>
      </w:r>
    </w:p>
    <w:p w14:paraId="5E6CE33F">
      <w:pPr>
        <w:autoSpaceDE w:val="0"/>
        <w:autoSpaceDN w:val="0"/>
        <w:adjustRightInd w:val="0"/>
        <w:ind w:firstLine="640" w:firstLineChars="200"/>
        <w:jc w:val="left"/>
        <w:rPr>
          <w:rFonts w:ascii="宋体" w:hAnsi="宋体" w:cs="黑体"/>
          <w:color w:val="000000"/>
          <w:kern w:val="0"/>
          <w:sz w:val="32"/>
          <w:szCs w:val="32"/>
        </w:rPr>
      </w:pPr>
      <w:r>
        <w:rPr>
          <w:rFonts w:hint="eastAsia" w:ascii="宋体" w:hAnsi="宋体" w:cs="黑体"/>
          <w:b/>
          <w:color w:val="000000"/>
          <w:kern w:val="0"/>
          <w:sz w:val="32"/>
          <w:szCs w:val="32"/>
        </w:rPr>
        <w:t>（</w:t>
      </w:r>
      <w:r>
        <w:rPr>
          <w:rFonts w:ascii="宋体" w:hAnsi="宋体" w:cs="黑体"/>
          <w:b/>
          <w:color w:val="000000"/>
          <w:kern w:val="0"/>
          <w:sz w:val="32"/>
          <w:szCs w:val="32"/>
        </w:rPr>
        <w:t>3</w:t>
      </w:r>
      <w:r>
        <w:rPr>
          <w:rFonts w:hint="eastAsia" w:ascii="宋体" w:hAnsi="宋体" w:cs="黑体"/>
          <w:b/>
          <w:color w:val="000000"/>
          <w:kern w:val="0"/>
          <w:sz w:val="32"/>
          <w:szCs w:val="32"/>
        </w:rPr>
        <w:t>）部门评价项目绩效评价结果。</w:t>
      </w:r>
    </w:p>
    <w:p w14:paraId="3B15075B">
      <w:pPr>
        <w:autoSpaceDE w:val="0"/>
        <w:autoSpaceDN w:val="0"/>
        <w:adjustRightInd w:val="0"/>
        <w:ind w:firstLine="640" w:firstLineChars="200"/>
        <w:jc w:val="left"/>
        <w:rPr>
          <w:rFonts w:hint="eastAsia" w:ascii="仿宋" w:hAnsi="仿宋" w:eastAsia="仿宋" w:cs="仿宋"/>
          <w:color w:val="000000"/>
          <w:kern w:val="0"/>
          <w:sz w:val="32"/>
          <w:szCs w:val="32"/>
          <w:lang w:val="en-US" w:eastAsia="zh-CN" w:bidi="ar-SA"/>
        </w:rPr>
      </w:pPr>
      <w:r>
        <w:rPr>
          <w:rFonts w:hint="eastAsia" w:ascii="仿宋" w:hAnsi="仿宋" w:eastAsia="仿宋" w:cs="仿宋"/>
          <w:color w:val="000000"/>
          <w:kern w:val="0"/>
          <w:sz w:val="32"/>
          <w:szCs w:val="32"/>
          <w:lang w:val="en-US" w:eastAsia="zh-CN" w:bidi="ar-SA"/>
        </w:rPr>
        <w:t>部门评价项目数量3个以内的，至少将1 个部门评价报告向社会公开；部门评价项目数量大于3个的，至少将2个部门评价报告向社会公开。报告框架可参考《项目支出绩效评价办法》（财预〔2020〕10 号）中《项目支出绩效评价报告（参考提纲）》、《湖南省预算支出绩效评价管理办法》（湘财绩〔2020〕7号）。</w:t>
      </w:r>
    </w:p>
    <w:p w14:paraId="69AFBDA7">
      <w:pPr>
        <w:pStyle w:val="11"/>
        <w:jc w:val="both"/>
        <w:rPr>
          <w:rFonts w:hint="eastAsia" w:ascii="方正小标宋_GBK" w:hAnsi="方正小标宋_GBK" w:eastAsia="方正小标宋_GBK" w:cs="方正小标宋_GBK"/>
          <w:sz w:val="72"/>
          <w:szCs w:val="72"/>
        </w:rPr>
      </w:pPr>
    </w:p>
    <w:p w14:paraId="50FC78D2">
      <w:pPr>
        <w:pStyle w:val="11"/>
        <w:jc w:val="both"/>
        <w:rPr>
          <w:rFonts w:hint="eastAsia" w:ascii="方正小标宋_GBK" w:hAnsi="方正小标宋_GBK" w:eastAsia="方正小标宋_GBK" w:cs="方正小标宋_GBK"/>
          <w:sz w:val="72"/>
          <w:szCs w:val="72"/>
        </w:rPr>
      </w:pPr>
    </w:p>
    <w:p w14:paraId="1A5E2A13">
      <w:pPr>
        <w:pStyle w:val="11"/>
        <w:jc w:val="both"/>
        <w:rPr>
          <w:rFonts w:hint="eastAsia" w:ascii="方正小标宋_GBK" w:hAnsi="方正小标宋_GBK" w:eastAsia="方正小标宋_GBK" w:cs="方正小标宋_GBK"/>
          <w:sz w:val="72"/>
          <w:szCs w:val="72"/>
        </w:rPr>
      </w:pPr>
    </w:p>
    <w:p w14:paraId="184F49E7">
      <w:pPr>
        <w:pStyle w:val="11"/>
        <w:jc w:val="both"/>
        <w:rPr>
          <w:rFonts w:hint="eastAsia" w:ascii="方正小标宋_GBK" w:hAnsi="方正小标宋_GBK" w:eastAsia="方正小标宋_GBK" w:cs="方正小标宋_GBK"/>
          <w:sz w:val="72"/>
          <w:szCs w:val="72"/>
        </w:rPr>
      </w:pPr>
    </w:p>
    <w:p w14:paraId="42FD2D1D">
      <w:pPr>
        <w:pStyle w:val="11"/>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第四部分</w:t>
      </w:r>
    </w:p>
    <w:p w14:paraId="2F0F200B">
      <w:pPr>
        <w:jc w:val="center"/>
        <w:rPr>
          <w:rFonts w:hint="eastAsia" w:ascii="方正小标宋_GBK" w:hAnsi="方正小标宋_GBK" w:eastAsia="方正小标宋_GBK" w:cs="方正小标宋_GBK"/>
          <w:color w:val="000000"/>
          <w:kern w:val="0"/>
          <w:sz w:val="70"/>
          <w:szCs w:val="70"/>
        </w:rPr>
      </w:pPr>
    </w:p>
    <w:p w14:paraId="359BA37A">
      <w:pPr>
        <w:jc w:val="center"/>
        <w:rPr>
          <w:rFonts w:hint="eastAsia" w:ascii="方正小标宋_GBK" w:hAnsi="方正小标宋_GBK" w:eastAsia="方正小标宋_GBK" w:cs="方正小标宋_GBK"/>
          <w:color w:val="000000"/>
          <w:kern w:val="0"/>
          <w:sz w:val="70"/>
          <w:szCs w:val="70"/>
        </w:rPr>
      </w:pPr>
      <w:r>
        <w:rPr>
          <w:rFonts w:hint="eastAsia" w:ascii="方正小标宋_GBK" w:hAnsi="方正小标宋_GBK" w:eastAsia="方正小标宋_GBK" w:cs="方正小标宋_GBK"/>
          <w:color w:val="000000"/>
          <w:kern w:val="0"/>
          <w:sz w:val="70"/>
          <w:szCs w:val="70"/>
        </w:rPr>
        <w:t>名词解释</w:t>
      </w:r>
    </w:p>
    <w:p w14:paraId="094134A5">
      <w:pPr>
        <w:widowControl/>
        <w:jc w:val="left"/>
        <w:rPr>
          <w:rFonts w:ascii="宋体" w:hAnsi="宋体" w:cs="黑体"/>
          <w:color w:val="000000"/>
          <w:kern w:val="0"/>
          <w:sz w:val="32"/>
          <w:szCs w:val="32"/>
        </w:rPr>
      </w:pPr>
      <w:r>
        <w:rPr>
          <w:rFonts w:hint="eastAsia" w:ascii="方正小标宋_GBK" w:hAnsi="方正小标宋_GBK" w:eastAsia="方正小标宋_GBK" w:cs="方正小标宋_GBK"/>
          <w:color w:val="000000"/>
          <w:kern w:val="0"/>
          <w:sz w:val="70"/>
          <w:szCs w:val="70"/>
        </w:rPr>
        <w:br w:type="page"/>
      </w:r>
    </w:p>
    <w:p w14:paraId="712BAEA3">
      <w:pPr>
        <w:ind w:firstLine="640" w:firstLineChars="200"/>
        <w:jc w:val="left"/>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一、“三公”经费：指用财政拨款安排的因公出国（境）费、公务用车购置及运行费和公务接待费。其中，因公出国（境）费反映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7682367D">
      <w:pPr>
        <w:ind w:firstLine="640" w:firstLineChars="200"/>
        <w:jc w:val="left"/>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二、机关运行经费</w:t>
      </w:r>
      <w:r>
        <w:rPr>
          <w:rFonts w:hint="eastAsia" w:ascii="仿宋" w:hAnsi="仿宋" w:eastAsia="仿宋" w:cs="仿宋"/>
          <w:color w:val="000000"/>
          <w:kern w:val="0"/>
          <w:sz w:val="32"/>
          <w:szCs w:val="32"/>
          <w:lang w:eastAsia="zh-CN"/>
        </w:rPr>
        <w:t>，</w:t>
      </w:r>
      <w:r>
        <w:rPr>
          <w:rFonts w:hint="eastAsia" w:ascii="仿宋" w:hAnsi="仿宋" w:eastAsia="仿宋" w:cs="仿宋"/>
          <w:color w:val="000000"/>
          <w:kern w:val="0"/>
          <w:sz w:val="32"/>
          <w:szCs w:val="32"/>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5EC715EA">
      <w:pPr>
        <w:pStyle w:val="11"/>
        <w:jc w:val="center"/>
        <w:rPr>
          <w:rFonts w:hint="eastAsia" w:ascii="仿宋" w:hAnsi="仿宋" w:eastAsia="仿宋" w:cs="仿宋"/>
          <w:sz w:val="72"/>
          <w:szCs w:val="72"/>
        </w:rPr>
      </w:pPr>
    </w:p>
    <w:p w14:paraId="7E323CD6">
      <w:pPr>
        <w:pStyle w:val="11"/>
        <w:jc w:val="center"/>
        <w:rPr>
          <w:sz w:val="72"/>
          <w:szCs w:val="72"/>
        </w:rPr>
      </w:pPr>
    </w:p>
    <w:p w14:paraId="35F6A1D1">
      <w:pPr>
        <w:pStyle w:val="11"/>
        <w:jc w:val="center"/>
        <w:rPr>
          <w:sz w:val="72"/>
          <w:szCs w:val="72"/>
        </w:rPr>
      </w:pPr>
    </w:p>
    <w:p w14:paraId="0A389DE7">
      <w:pPr>
        <w:pStyle w:val="11"/>
        <w:jc w:val="center"/>
        <w:rPr>
          <w:sz w:val="72"/>
          <w:szCs w:val="72"/>
        </w:rPr>
      </w:pPr>
    </w:p>
    <w:p w14:paraId="5E229057">
      <w:pPr>
        <w:pStyle w:val="11"/>
        <w:jc w:val="center"/>
        <w:rPr>
          <w:sz w:val="72"/>
          <w:szCs w:val="72"/>
        </w:rPr>
      </w:pPr>
    </w:p>
    <w:p w14:paraId="5A4943F1">
      <w:pPr>
        <w:pStyle w:val="11"/>
        <w:jc w:val="center"/>
        <w:rPr>
          <w:sz w:val="72"/>
          <w:szCs w:val="72"/>
        </w:rPr>
      </w:pPr>
    </w:p>
    <w:p w14:paraId="64024AEB">
      <w:pPr>
        <w:pStyle w:val="11"/>
        <w:jc w:val="center"/>
        <w:rPr>
          <w:sz w:val="72"/>
          <w:szCs w:val="72"/>
        </w:rPr>
      </w:pPr>
    </w:p>
    <w:p w14:paraId="0596EAB0">
      <w:pPr>
        <w:pStyle w:val="11"/>
        <w:jc w:val="center"/>
        <w:rPr>
          <w:sz w:val="72"/>
          <w:szCs w:val="72"/>
        </w:rPr>
      </w:pPr>
    </w:p>
    <w:p w14:paraId="3F661B81">
      <w:pPr>
        <w:pStyle w:val="11"/>
        <w:jc w:val="center"/>
        <w:rPr>
          <w:sz w:val="72"/>
          <w:szCs w:val="72"/>
        </w:rPr>
      </w:pPr>
    </w:p>
    <w:p w14:paraId="7B6485B2">
      <w:pPr>
        <w:pStyle w:val="11"/>
        <w:jc w:val="center"/>
        <w:rPr>
          <w:sz w:val="72"/>
          <w:szCs w:val="72"/>
        </w:rPr>
      </w:pPr>
    </w:p>
    <w:p w14:paraId="66F7A174">
      <w:pPr>
        <w:pStyle w:val="11"/>
        <w:jc w:val="center"/>
        <w:rPr>
          <w:sz w:val="72"/>
          <w:szCs w:val="72"/>
        </w:rPr>
      </w:pPr>
    </w:p>
    <w:p w14:paraId="59D6D8CB">
      <w:pPr>
        <w:pStyle w:val="11"/>
        <w:jc w:val="center"/>
        <w:rPr>
          <w:sz w:val="72"/>
          <w:szCs w:val="72"/>
        </w:rPr>
      </w:pPr>
      <w:r>
        <w:rPr>
          <w:rFonts w:hint="eastAsia"/>
          <w:sz w:val="72"/>
          <w:szCs w:val="72"/>
        </w:rPr>
        <w:t>第五部分</w:t>
      </w:r>
    </w:p>
    <w:p w14:paraId="04E0A00F">
      <w:pPr>
        <w:jc w:val="center"/>
        <w:rPr>
          <w:rFonts w:ascii="黑体" w:eastAsia="黑体" w:cs="黑体"/>
          <w:color w:val="000000"/>
          <w:kern w:val="0"/>
          <w:sz w:val="70"/>
          <w:szCs w:val="70"/>
        </w:rPr>
      </w:pPr>
    </w:p>
    <w:p w14:paraId="288C3024">
      <w:pPr>
        <w:pStyle w:val="11"/>
        <w:jc w:val="center"/>
        <w:rPr>
          <w:sz w:val="72"/>
          <w:szCs w:val="72"/>
        </w:rPr>
      </w:pPr>
      <w:r>
        <w:rPr>
          <w:rFonts w:hint="eastAsia" w:ascii="黑体" w:eastAsia="黑体" w:cs="黑体"/>
          <w:color w:val="000000"/>
          <w:kern w:val="0"/>
          <w:sz w:val="70"/>
          <w:szCs w:val="70"/>
        </w:rPr>
        <w:t>附件</w:t>
      </w:r>
    </w:p>
    <w:p w14:paraId="7CF3F30E">
      <w:pPr>
        <w:ind w:firstLine="640" w:firstLineChars="200"/>
        <w:jc w:val="left"/>
        <w:rPr>
          <w:rFonts w:hint="eastAsia" w:ascii="宋体" w:hAnsi="宋体" w:cs="黑体"/>
          <w:b/>
          <w:color w:val="000000"/>
          <w:kern w:val="0"/>
          <w:sz w:val="32"/>
          <w:szCs w:val="32"/>
          <w:lang w:val="en-US" w:eastAsia="zh-CN"/>
        </w:rPr>
      </w:pPr>
    </w:p>
    <w:p w14:paraId="491D2093">
      <w:pPr>
        <w:ind w:firstLine="640" w:firstLineChars="200"/>
        <w:jc w:val="left"/>
        <w:rPr>
          <w:rFonts w:hint="eastAsia" w:ascii="宋体" w:hAnsi="宋体" w:eastAsia="宋体" w:cs="黑体"/>
          <w:b/>
          <w:color w:val="000000"/>
          <w:kern w:val="0"/>
          <w:sz w:val="32"/>
          <w:szCs w:val="32"/>
          <w:lang w:val="en-US" w:eastAsia="zh-CN"/>
        </w:rPr>
      </w:pPr>
      <w:r>
        <w:rPr>
          <w:rFonts w:hint="eastAsia" w:ascii="宋体" w:hAnsi="宋体" w:cs="黑体"/>
          <w:b/>
          <w:color w:val="000000"/>
          <w:kern w:val="0"/>
          <w:sz w:val="32"/>
          <w:szCs w:val="32"/>
          <w:lang w:val="en-US" w:eastAsia="zh-CN"/>
        </w:rPr>
        <w:t>1、2025年部门决算公开表格</w:t>
      </w:r>
    </w:p>
    <w:p w14:paraId="29F19D91">
      <w:pPr>
        <w:ind w:firstLine="640" w:firstLineChars="200"/>
        <w:jc w:val="left"/>
        <w:rPr>
          <w:rFonts w:ascii="宋体" w:hAnsi="宋体" w:cs="黑体"/>
          <w:color w:val="000000"/>
          <w:kern w:val="0"/>
          <w:sz w:val="32"/>
          <w:szCs w:val="32"/>
        </w:rPr>
      </w:pPr>
      <w:r>
        <w:rPr>
          <w:rFonts w:hint="eastAsia" w:ascii="宋体" w:hAnsi="宋体" w:cs="黑体"/>
          <w:b/>
          <w:color w:val="000000"/>
          <w:kern w:val="0"/>
          <w:sz w:val="32"/>
          <w:szCs w:val="32"/>
          <w:lang w:val="en-US" w:eastAsia="zh-CN"/>
        </w:rPr>
        <w:t>2、</w:t>
      </w:r>
      <w:r>
        <w:rPr>
          <w:rFonts w:hint="eastAsia" w:ascii="宋体" w:hAnsi="宋体" w:cs="黑体"/>
          <w:b/>
          <w:color w:val="000000"/>
          <w:kern w:val="0"/>
          <w:sz w:val="32"/>
          <w:szCs w:val="32"/>
          <w:lang w:eastAsia="zh-CN"/>
        </w:rPr>
        <w:t>2025年</w:t>
      </w:r>
      <w:r>
        <w:rPr>
          <w:rFonts w:hint="eastAsia" w:ascii="宋体" w:hAnsi="宋体" w:cs="黑体"/>
          <w:b/>
          <w:color w:val="000000"/>
          <w:kern w:val="0"/>
          <w:sz w:val="32"/>
          <w:szCs w:val="32"/>
        </w:rPr>
        <w:t>度部门整体支出绩效评价报告</w:t>
      </w:r>
    </w:p>
    <w:sectPr>
      <w:pgSz w:w="11906" w:h="16838"/>
      <w:pgMar w:top="720" w:right="720" w:bottom="720" w:left="720"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CAEAFFA-2B3D-44FB-BDA4-F4D7E95D482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方正小标宋简体">
    <w:panose1 w:val="02000000000000000000"/>
    <w:charset w:val="86"/>
    <w:family w:val="auto"/>
    <w:pitch w:val="default"/>
    <w:sig w:usb0="00000001" w:usb1="08000000" w:usb2="00000000" w:usb3="00000000" w:csb0="00040000" w:csb1="00000000"/>
    <w:embedRegular r:id="rId2" w:fontKey="{57DE444A-CCDC-4339-97D0-C7E600D45DDC}"/>
  </w:font>
  <w:font w:name="方正小标宋_GBK">
    <w:panose1 w:val="03000509000000000000"/>
    <w:charset w:val="86"/>
    <w:family w:val="script"/>
    <w:pitch w:val="default"/>
    <w:sig w:usb0="00000001" w:usb1="080E0000" w:usb2="00000000" w:usb3="00000000" w:csb0="00040000" w:csb1="00000000"/>
    <w:embedRegular r:id="rId3" w:fontKey="{DF0F6575-6EFB-43B4-B382-2332BE77C816}"/>
  </w:font>
  <w:font w:name="仿宋_GB2312">
    <w:panose1 w:val="02010609030101010101"/>
    <w:charset w:val="86"/>
    <w:family w:val="auto"/>
    <w:pitch w:val="default"/>
    <w:sig w:usb0="00000001" w:usb1="080E0000" w:usb2="00000000" w:usb3="00000000" w:csb0="00040000" w:csb1="00000000"/>
    <w:embedRegular r:id="rId4" w:fontKey="{7D92BB79-32FA-4EDC-8FCF-7A9C54BA3144}"/>
  </w:font>
  <w:font w:name="仿宋">
    <w:panose1 w:val="02010609060101010101"/>
    <w:charset w:val="86"/>
    <w:family w:val="auto"/>
    <w:pitch w:val="default"/>
    <w:sig w:usb0="800002BF" w:usb1="38CF7CFA" w:usb2="00000016" w:usb3="00000000" w:csb0="00040001" w:csb1="00000000"/>
    <w:embedRegular r:id="rId5" w:fontKey="{65218A3D-54F9-463D-A224-DFB7B32E6574}"/>
  </w:font>
  <w:font w:name="楷体">
    <w:panose1 w:val="02010609060101010101"/>
    <w:charset w:val="86"/>
    <w:family w:val="auto"/>
    <w:pitch w:val="default"/>
    <w:sig w:usb0="800002BF" w:usb1="38CF7CFA" w:usb2="00000016" w:usb3="00000000" w:csb0="00040001" w:csb1="00000000"/>
    <w:embedRegular r:id="rId6" w:fontKey="{001F2224-36A0-4EC4-9718-12FCB0243E3F}"/>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27862A"/>
    <w:multiLevelType w:val="singleLevel"/>
    <w:tmpl w:val="CB27862A"/>
    <w:lvl w:ilvl="0" w:tentative="0">
      <w:start w:val="1"/>
      <w:numFmt w:val="decimal"/>
      <w:suff w:val="nothing"/>
      <w:lvlText w:val="%1、"/>
      <w:lvlJc w:val="left"/>
    </w:lvl>
  </w:abstractNum>
  <w:abstractNum w:abstractNumId="1">
    <w:nsid w:val="373518C1"/>
    <w:multiLevelType w:val="multilevel"/>
    <w:tmpl w:val="373518C1"/>
    <w:lvl w:ilvl="0" w:tentative="0">
      <w:start w:val="1"/>
      <w:numFmt w:val="none"/>
      <w:lvlText w:val="一、"/>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TrueTypeFonts/>
  <w:saveSubsetFonts/>
  <w:bordersDoNotSurroundHeader w:val="0"/>
  <w:bordersDoNotSurroundFooter w:val="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MTFhZjE4ZTkxMDRhODEzZDc4NjgwY2FhZjAwNTY0ZGMifQ=="/>
  </w:docVars>
  <w:rsids>
    <w:rsidRoot w:val="004506F9"/>
    <w:rsid w:val="0002229B"/>
    <w:rsid w:val="000273BD"/>
    <w:rsid w:val="00040CBC"/>
    <w:rsid w:val="000415B7"/>
    <w:rsid w:val="00041E3F"/>
    <w:rsid w:val="00055DAA"/>
    <w:rsid w:val="00061F7B"/>
    <w:rsid w:val="000658A3"/>
    <w:rsid w:val="00074155"/>
    <w:rsid w:val="000A3F69"/>
    <w:rsid w:val="00103957"/>
    <w:rsid w:val="00152C6D"/>
    <w:rsid w:val="00162D39"/>
    <w:rsid w:val="001678BD"/>
    <w:rsid w:val="00182373"/>
    <w:rsid w:val="001A67DB"/>
    <w:rsid w:val="001C3C29"/>
    <w:rsid w:val="001D51E5"/>
    <w:rsid w:val="001E080D"/>
    <w:rsid w:val="001E53D0"/>
    <w:rsid w:val="001F0C3B"/>
    <w:rsid w:val="00202C82"/>
    <w:rsid w:val="00214427"/>
    <w:rsid w:val="00226CB7"/>
    <w:rsid w:val="00264552"/>
    <w:rsid w:val="00264EF9"/>
    <w:rsid w:val="00265724"/>
    <w:rsid w:val="0027426B"/>
    <w:rsid w:val="002E0A30"/>
    <w:rsid w:val="003130C4"/>
    <w:rsid w:val="00316C4B"/>
    <w:rsid w:val="0032192B"/>
    <w:rsid w:val="003479BD"/>
    <w:rsid w:val="0037197D"/>
    <w:rsid w:val="003768D5"/>
    <w:rsid w:val="003926B9"/>
    <w:rsid w:val="003C47E6"/>
    <w:rsid w:val="003C4FC2"/>
    <w:rsid w:val="00416E61"/>
    <w:rsid w:val="0042790C"/>
    <w:rsid w:val="004506F9"/>
    <w:rsid w:val="004717A2"/>
    <w:rsid w:val="00473DF3"/>
    <w:rsid w:val="00487911"/>
    <w:rsid w:val="00491741"/>
    <w:rsid w:val="004B0CEE"/>
    <w:rsid w:val="00500E5F"/>
    <w:rsid w:val="005122EF"/>
    <w:rsid w:val="0051441A"/>
    <w:rsid w:val="00517C33"/>
    <w:rsid w:val="00517D5F"/>
    <w:rsid w:val="00523644"/>
    <w:rsid w:val="00535485"/>
    <w:rsid w:val="0054069E"/>
    <w:rsid w:val="00544866"/>
    <w:rsid w:val="005767CC"/>
    <w:rsid w:val="00590D9F"/>
    <w:rsid w:val="00595D26"/>
    <w:rsid w:val="005A74E6"/>
    <w:rsid w:val="005B404E"/>
    <w:rsid w:val="005D4D55"/>
    <w:rsid w:val="005E2CFB"/>
    <w:rsid w:val="005F2103"/>
    <w:rsid w:val="005F3D1C"/>
    <w:rsid w:val="0062378F"/>
    <w:rsid w:val="00641842"/>
    <w:rsid w:val="00651EEC"/>
    <w:rsid w:val="00686673"/>
    <w:rsid w:val="00691E8C"/>
    <w:rsid w:val="006A22C4"/>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4478C"/>
    <w:rsid w:val="0086638C"/>
    <w:rsid w:val="008A3E8D"/>
    <w:rsid w:val="009237C4"/>
    <w:rsid w:val="00944C48"/>
    <w:rsid w:val="00950252"/>
    <w:rsid w:val="00967F5D"/>
    <w:rsid w:val="009A0F95"/>
    <w:rsid w:val="009B3ADF"/>
    <w:rsid w:val="009C3B52"/>
    <w:rsid w:val="009E6817"/>
    <w:rsid w:val="009E6E9A"/>
    <w:rsid w:val="00A01D2B"/>
    <w:rsid w:val="00A42218"/>
    <w:rsid w:val="00A70249"/>
    <w:rsid w:val="00A70B02"/>
    <w:rsid w:val="00A71D9F"/>
    <w:rsid w:val="00A92E9F"/>
    <w:rsid w:val="00AB18FF"/>
    <w:rsid w:val="00B33BEA"/>
    <w:rsid w:val="00B57C9F"/>
    <w:rsid w:val="00B63572"/>
    <w:rsid w:val="00B845B3"/>
    <w:rsid w:val="00B85D8B"/>
    <w:rsid w:val="00BB4A40"/>
    <w:rsid w:val="00BD6C3E"/>
    <w:rsid w:val="00BE3674"/>
    <w:rsid w:val="00C10681"/>
    <w:rsid w:val="00C3049A"/>
    <w:rsid w:val="00C31B1E"/>
    <w:rsid w:val="00C77645"/>
    <w:rsid w:val="00CE04C3"/>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9CB2742"/>
    <w:rsid w:val="0AC57974"/>
    <w:rsid w:val="0DD41D56"/>
    <w:rsid w:val="0FE268D2"/>
    <w:rsid w:val="11A63AC3"/>
    <w:rsid w:val="134641EF"/>
    <w:rsid w:val="13B518E3"/>
    <w:rsid w:val="153A073E"/>
    <w:rsid w:val="15986B0A"/>
    <w:rsid w:val="16642925"/>
    <w:rsid w:val="17317B00"/>
    <w:rsid w:val="17D85E72"/>
    <w:rsid w:val="1A840B44"/>
    <w:rsid w:val="1B84582A"/>
    <w:rsid w:val="1D04257E"/>
    <w:rsid w:val="1DC149EE"/>
    <w:rsid w:val="1DEA7E9E"/>
    <w:rsid w:val="1FCA4774"/>
    <w:rsid w:val="25463A4A"/>
    <w:rsid w:val="29701875"/>
    <w:rsid w:val="2E490D2F"/>
    <w:rsid w:val="2E9652FB"/>
    <w:rsid w:val="2F026361"/>
    <w:rsid w:val="306F0E15"/>
    <w:rsid w:val="32046FD5"/>
    <w:rsid w:val="37D16267"/>
    <w:rsid w:val="390F4B16"/>
    <w:rsid w:val="39A45A72"/>
    <w:rsid w:val="3A414072"/>
    <w:rsid w:val="44AC435F"/>
    <w:rsid w:val="454935FD"/>
    <w:rsid w:val="455448C0"/>
    <w:rsid w:val="46E32A8D"/>
    <w:rsid w:val="470A192F"/>
    <w:rsid w:val="474D3079"/>
    <w:rsid w:val="487D493C"/>
    <w:rsid w:val="4B86753E"/>
    <w:rsid w:val="4CD62D3F"/>
    <w:rsid w:val="50632B3C"/>
    <w:rsid w:val="519C3DB1"/>
    <w:rsid w:val="522C1CA0"/>
    <w:rsid w:val="551F4B81"/>
    <w:rsid w:val="55C63EE6"/>
    <w:rsid w:val="570566FB"/>
    <w:rsid w:val="570F5142"/>
    <w:rsid w:val="5777D4F5"/>
    <w:rsid w:val="5B4F3FC2"/>
    <w:rsid w:val="5CEB0E9E"/>
    <w:rsid w:val="5CEE6B5D"/>
    <w:rsid w:val="5F2B49AC"/>
    <w:rsid w:val="5FC6BB1E"/>
    <w:rsid w:val="5FF720F1"/>
    <w:rsid w:val="619C5EAE"/>
    <w:rsid w:val="63224C5A"/>
    <w:rsid w:val="63930AB7"/>
    <w:rsid w:val="6BD30F4C"/>
    <w:rsid w:val="6CD91875"/>
    <w:rsid w:val="6D1D2BA3"/>
    <w:rsid w:val="6DB87DF0"/>
    <w:rsid w:val="70017416"/>
    <w:rsid w:val="737D59BA"/>
    <w:rsid w:val="765B7D5B"/>
    <w:rsid w:val="776B5ABC"/>
    <w:rsid w:val="77C37683"/>
    <w:rsid w:val="79FF515B"/>
    <w:rsid w:val="7C5F303F"/>
    <w:rsid w:val="7E9F11B4"/>
    <w:rsid w:val="7FC69637"/>
    <w:rsid w:val="7FFDB408"/>
    <w:rsid w:val="CBFF70E0"/>
    <w:rsid w:val="EEABED75"/>
    <w:rsid w:val="FB36E1A6"/>
    <w:rsid w:val="FFFF1C8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Balloon Text"/>
    <w:basedOn w:val="1"/>
    <w:link w:val="8"/>
    <w:unhideWhenUsed/>
    <w:qFormat/>
    <w:uiPriority w:val="99"/>
    <w:rPr>
      <w:sz w:val="18"/>
      <w:szCs w:val="18"/>
    </w:r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99"/>
    <w:pPr>
      <w:spacing w:beforeAutospacing="1" w:afterAutospacing="1"/>
      <w:jc w:val="left"/>
    </w:pPr>
    <w:rPr>
      <w:kern w:val="0"/>
      <w:sz w:val="24"/>
    </w:rPr>
  </w:style>
  <w:style w:type="character" w:customStyle="1" w:styleId="8">
    <w:name w:val="批注框文本 Char"/>
    <w:basedOn w:val="7"/>
    <w:link w:val="2"/>
    <w:semiHidden/>
    <w:qFormat/>
    <w:uiPriority w:val="99"/>
    <w:rPr>
      <w:sz w:val="18"/>
      <w:szCs w:val="18"/>
    </w:rPr>
  </w:style>
  <w:style w:type="character" w:customStyle="1" w:styleId="9">
    <w:name w:val="页脚 Char"/>
    <w:basedOn w:val="7"/>
    <w:link w:val="3"/>
    <w:qFormat/>
    <w:uiPriority w:val="99"/>
    <w:rPr>
      <w:sz w:val="18"/>
      <w:szCs w:val="18"/>
    </w:rPr>
  </w:style>
  <w:style w:type="character" w:customStyle="1" w:styleId="10">
    <w:name w:val="页眉 Char"/>
    <w:basedOn w:val="7"/>
    <w:link w:val="4"/>
    <w:qFormat/>
    <w:uiPriority w:val="99"/>
    <w:rPr>
      <w:sz w:val="18"/>
      <w:szCs w:val="18"/>
    </w:rPr>
  </w:style>
  <w:style w:type="paragraph" w:customStyle="1" w:styleId="11">
    <w:name w:val="Default"/>
    <w:qFormat/>
    <w:uiPriority w:val="0"/>
    <w:pPr>
      <w:widowControl w:val="0"/>
      <w:autoSpaceDE w:val="0"/>
      <w:autoSpaceDN w:val="0"/>
      <w:adjustRightInd w:val="0"/>
    </w:pPr>
    <w:rPr>
      <w:rFonts w:ascii="黑体" w:hAnsi="Calibri" w:eastAsia="黑体" w:cs="黑体"/>
      <w:color w:val="000000"/>
      <w:kern w:val="0"/>
      <w:sz w:val="24"/>
      <w:szCs w:val="24"/>
      <w:lang w:val="en-US" w:eastAsia="zh-CN" w:bidi="ar-SA"/>
    </w:rPr>
  </w:style>
  <w:style w:type="paragraph" w:styleId="12">
    <w:name w:val="List Paragraph"/>
    <w:basedOn w:val="1"/>
    <w:qFormat/>
    <w:uiPriority w:val="34"/>
    <w:pPr>
      <w:ind w:firstLine="420" w:firstLineChars="200"/>
    </w:pPr>
  </w:style>
  <w:style w:type="character" w:customStyle="1" w:styleId="13">
    <w:name w:val="font01"/>
    <w:basedOn w:val="7"/>
    <w:qFormat/>
    <w:uiPriority w:val="0"/>
    <w:rPr>
      <w:rFonts w:hint="eastAsia" w:ascii="宋体" w:hAnsi="宋体" w:eastAsia="宋体" w:cs="宋体"/>
      <w:color w:val="000000"/>
      <w:sz w:val="22"/>
      <w:szCs w:val="22"/>
      <w:u w:val="none"/>
    </w:rPr>
  </w:style>
  <w:style w:type="character" w:customStyle="1" w:styleId="14">
    <w:name w:val="font21"/>
    <w:basedOn w:val="7"/>
    <w:qFormat/>
    <w:uiPriority w:val="0"/>
    <w:rPr>
      <w:rFonts w:hint="eastAsia" w:ascii="宋体" w:hAnsi="宋体" w:eastAsia="宋体" w:cs="宋体"/>
      <w:color w:val="000000"/>
      <w:sz w:val="24"/>
      <w:szCs w:val="24"/>
      <w:u w:val="none"/>
    </w:rPr>
  </w:style>
  <w:style w:type="character" w:customStyle="1" w:styleId="15">
    <w:name w:val="font11"/>
    <w:basedOn w:val="7"/>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16</Pages>
  <Words>2276</Words>
  <Characters>2568</Characters>
  <Lines>1</Lines>
  <Paragraphs>1</Paragraphs>
  <TotalTime>80</TotalTime>
  <ScaleCrop>false</ScaleCrop>
  <LinksUpToDate>false</LinksUpToDate>
  <CharactersWithSpaces>2618</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2020-07-04T18:32:00Z</dcterms:created>
  <dc:creator>李航 null</dc:creator>
  <cp:lastModifiedBy>何荣荣</cp:lastModifiedBy>
  <cp:lastPrinted>2023-08-15T09:28:00Z</cp:lastPrinted>
  <dcterms:modified xsi:type="dcterms:W3CDTF">2026-09-22T01:45:37Z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96091BBCB7CF47C19CF0AE54426438C2_13</vt:lpwstr>
  </property>
  <property fmtid="{D5CDD505-2E9C-101B-9397-08002B2CF9AE}" pid="4" name="KSOTemplateDocerSaveRecord">
    <vt:lpwstr>eyJoZGlkIjoiYWI0YTVjYTIyMmQ2ZGZiNzljNzFhMTAyNzRlODllNTAiLCJ1c2VySWQiOiIxMTU3MzMyNTc1In0=</vt:lpwstr>
  </property>
</Properties>
</file>