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880"/>
        <w:jc w:val="center"/>
        <w:rPr>
          <w:rFonts w:hint="eastAsia" w:ascii="方正小标宋简体" w:eastAsia="方正小标宋简体"/>
          <w:sz w:val="44"/>
          <w:szCs w:val="44"/>
          <w:lang w:eastAsia="zh-CN"/>
        </w:rPr>
      </w:pPr>
    </w:p>
    <w:p>
      <w:pPr>
        <w:ind w:firstLine="880"/>
        <w:jc w:val="center"/>
        <w:rPr>
          <w:rFonts w:hint="eastAsia" w:ascii="方正小标宋简体" w:eastAsia="方正小标宋简体"/>
          <w:sz w:val="44"/>
          <w:szCs w:val="44"/>
          <w:lang w:eastAsia="zh-CN"/>
        </w:rPr>
      </w:pPr>
    </w:p>
    <w:p>
      <w:pPr>
        <w:ind w:firstLine="880"/>
        <w:jc w:val="center"/>
        <w:rPr>
          <w:rFonts w:hint="eastAsia" w:ascii="方正小标宋简体" w:eastAsia="方正小标宋简体"/>
          <w:sz w:val="44"/>
          <w:szCs w:val="44"/>
          <w:lang w:eastAsia="zh-CN"/>
        </w:rPr>
      </w:pPr>
    </w:p>
    <w:p>
      <w:pPr>
        <w:ind w:firstLine="880"/>
        <w:jc w:val="center"/>
        <w:rPr>
          <w:rFonts w:ascii="方正小标宋简体" w:hAnsi="宋体" w:eastAsia="方正小标宋简体" w:cs="宋体"/>
          <w:sz w:val="44"/>
          <w:szCs w:val="44"/>
          <w:lang w:eastAsia="zh-CN"/>
        </w:rPr>
      </w:pPr>
      <w:r>
        <w:rPr>
          <w:rFonts w:hint="eastAsia" w:ascii="方正小标宋简体" w:eastAsia="方正小标宋简体"/>
          <w:sz w:val="44"/>
          <w:szCs w:val="44"/>
          <w:lang w:eastAsia="zh-CN"/>
        </w:rPr>
        <w:t>202</w:t>
      </w:r>
      <w:r>
        <w:rPr>
          <w:rFonts w:hint="eastAsia" w:ascii="方正小标宋简体" w:eastAsia="方正小标宋简体"/>
          <w:sz w:val="44"/>
          <w:szCs w:val="44"/>
          <w:lang w:val="en-US" w:eastAsia="zh-CN"/>
        </w:rPr>
        <w:t>5</w:t>
      </w:r>
      <w:r>
        <w:rPr>
          <w:rFonts w:hint="eastAsia" w:ascii="方正小标宋简体" w:hAnsi="宋体" w:eastAsia="方正小标宋简体" w:cs="宋体"/>
          <w:sz w:val="44"/>
          <w:szCs w:val="44"/>
          <w:lang w:eastAsia="zh-CN"/>
        </w:rPr>
        <w:t>年度岳阳县公安局整体支出</w:t>
      </w:r>
    </w:p>
    <w:p>
      <w:pPr>
        <w:ind w:firstLine="880"/>
        <w:jc w:val="center"/>
        <w:rPr>
          <w:rFonts w:ascii="方正小标宋简体" w:eastAsia="方正小标宋简体"/>
          <w:sz w:val="44"/>
          <w:szCs w:val="44"/>
          <w:lang w:eastAsia="zh-CN"/>
        </w:rPr>
      </w:pPr>
      <w:r>
        <w:rPr>
          <w:rFonts w:hint="eastAsia" w:ascii="方正小标宋简体" w:hAnsi="宋体" w:eastAsia="方正小标宋简体" w:cs="宋体"/>
          <w:sz w:val="44"/>
          <w:szCs w:val="44"/>
          <w:lang w:eastAsia="zh-CN"/>
        </w:rPr>
        <w:t>绩效自评报告</w:t>
      </w:r>
    </w:p>
    <w:p>
      <w:pPr>
        <w:pStyle w:val="3"/>
        <w:spacing w:before="78" w:line="221" w:lineRule="auto"/>
        <w:ind w:firstLine="587"/>
        <w:jc w:val="center"/>
        <w:rPr>
          <w:rFonts w:ascii="楷体_GB2312" w:eastAsia="楷体_GB2312"/>
          <w:b/>
          <w:bCs/>
          <w:spacing w:val="-28"/>
          <w:sz w:val="32"/>
          <w:szCs w:val="32"/>
          <w:lang w:eastAsia="zh-CN"/>
        </w:rPr>
      </w:pPr>
    </w:p>
    <w:p>
      <w:pPr>
        <w:pStyle w:val="3"/>
        <w:spacing w:before="78" w:line="221" w:lineRule="auto"/>
        <w:ind w:firstLine="587"/>
        <w:jc w:val="center"/>
        <w:rPr>
          <w:rFonts w:ascii="楷体_GB2312" w:eastAsia="楷体_GB2312"/>
          <w:b/>
          <w:bCs/>
          <w:spacing w:val="-28"/>
          <w:sz w:val="32"/>
          <w:szCs w:val="32"/>
          <w:lang w:eastAsia="zh-CN"/>
        </w:rPr>
      </w:pPr>
    </w:p>
    <w:p>
      <w:pPr>
        <w:pStyle w:val="3"/>
        <w:spacing w:before="78" w:line="221" w:lineRule="auto"/>
        <w:ind w:firstLine="587"/>
        <w:jc w:val="center"/>
        <w:rPr>
          <w:rFonts w:ascii="楷体_GB2312" w:eastAsia="楷体_GB2312"/>
          <w:b/>
          <w:bCs/>
          <w:spacing w:val="-28"/>
          <w:sz w:val="32"/>
          <w:szCs w:val="32"/>
          <w:lang w:eastAsia="zh-CN"/>
        </w:rPr>
      </w:pPr>
    </w:p>
    <w:p>
      <w:pPr>
        <w:pStyle w:val="3"/>
        <w:spacing w:before="78" w:line="221" w:lineRule="auto"/>
        <w:ind w:firstLine="587"/>
        <w:jc w:val="center"/>
        <w:rPr>
          <w:rFonts w:ascii="楷体_GB2312" w:eastAsia="楷体_GB2312"/>
          <w:b/>
          <w:bCs/>
          <w:spacing w:val="-28"/>
          <w:sz w:val="32"/>
          <w:szCs w:val="32"/>
          <w:lang w:eastAsia="zh-CN"/>
        </w:rPr>
      </w:pPr>
    </w:p>
    <w:p>
      <w:pPr>
        <w:pStyle w:val="3"/>
        <w:spacing w:before="78" w:line="221" w:lineRule="auto"/>
        <w:ind w:firstLine="587"/>
        <w:jc w:val="center"/>
        <w:rPr>
          <w:rFonts w:ascii="楷体_GB2312" w:eastAsia="楷体_GB2312"/>
          <w:b/>
          <w:bCs/>
          <w:spacing w:val="-28"/>
          <w:sz w:val="32"/>
          <w:szCs w:val="32"/>
          <w:lang w:eastAsia="zh-CN"/>
        </w:rPr>
      </w:pPr>
    </w:p>
    <w:p>
      <w:pPr>
        <w:pStyle w:val="3"/>
        <w:spacing w:before="78" w:line="221" w:lineRule="auto"/>
        <w:ind w:firstLine="587"/>
        <w:jc w:val="center"/>
        <w:rPr>
          <w:rFonts w:ascii="楷体_GB2312" w:eastAsia="楷体_GB2312"/>
          <w:b/>
          <w:bCs/>
          <w:spacing w:val="-28"/>
          <w:sz w:val="32"/>
          <w:szCs w:val="32"/>
          <w:lang w:eastAsia="zh-CN"/>
        </w:rPr>
      </w:pPr>
    </w:p>
    <w:p>
      <w:pPr>
        <w:pStyle w:val="3"/>
        <w:spacing w:before="78" w:line="221" w:lineRule="auto"/>
        <w:ind w:firstLine="587"/>
        <w:jc w:val="center"/>
        <w:rPr>
          <w:rFonts w:ascii="楷体_GB2312" w:eastAsia="楷体_GB2312"/>
          <w:b/>
          <w:bCs/>
          <w:spacing w:val="-28"/>
          <w:sz w:val="32"/>
          <w:szCs w:val="32"/>
          <w:lang w:eastAsia="zh-CN"/>
        </w:rPr>
      </w:pPr>
    </w:p>
    <w:p>
      <w:pPr>
        <w:pStyle w:val="3"/>
        <w:spacing w:before="78" w:line="221" w:lineRule="auto"/>
        <w:ind w:firstLine="587"/>
        <w:jc w:val="center"/>
        <w:rPr>
          <w:rFonts w:ascii="楷体_GB2312" w:eastAsia="楷体_GB2312"/>
          <w:b/>
          <w:bCs/>
          <w:spacing w:val="-28"/>
          <w:sz w:val="32"/>
          <w:szCs w:val="32"/>
          <w:lang w:eastAsia="zh-CN"/>
        </w:rPr>
      </w:pPr>
    </w:p>
    <w:p>
      <w:pPr>
        <w:pStyle w:val="3"/>
        <w:spacing w:before="78" w:line="221" w:lineRule="auto"/>
        <w:ind w:firstLine="587"/>
        <w:jc w:val="center"/>
        <w:rPr>
          <w:rFonts w:ascii="楷体_GB2312" w:eastAsia="楷体_GB2312"/>
          <w:b/>
          <w:bCs/>
          <w:spacing w:val="-28"/>
          <w:sz w:val="32"/>
          <w:szCs w:val="32"/>
          <w:lang w:eastAsia="zh-CN"/>
        </w:rPr>
      </w:pPr>
    </w:p>
    <w:p>
      <w:pPr>
        <w:pStyle w:val="3"/>
        <w:spacing w:before="78" w:line="221" w:lineRule="auto"/>
        <w:ind w:firstLine="587"/>
        <w:jc w:val="center"/>
        <w:rPr>
          <w:rFonts w:ascii="楷体_GB2312" w:eastAsia="楷体_GB2312"/>
          <w:b/>
          <w:bCs/>
          <w:spacing w:val="-28"/>
          <w:sz w:val="32"/>
          <w:szCs w:val="32"/>
          <w:lang w:eastAsia="zh-CN"/>
        </w:rPr>
      </w:pPr>
    </w:p>
    <w:p>
      <w:pPr>
        <w:pStyle w:val="3"/>
        <w:spacing w:before="78" w:line="221" w:lineRule="auto"/>
        <w:ind w:firstLine="587"/>
        <w:jc w:val="center"/>
        <w:rPr>
          <w:rFonts w:ascii="楷体_GB2312" w:eastAsia="楷体_GB2312"/>
          <w:b/>
          <w:bCs/>
          <w:spacing w:val="-28"/>
          <w:sz w:val="32"/>
          <w:szCs w:val="32"/>
          <w:lang w:eastAsia="zh-CN"/>
        </w:rPr>
      </w:pPr>
    </w:p>
    <w:p>
      <w:pPr>
        <w:pStyle w:val="3"/>
        <w:spacing w:before="78" w:line="221" w:lineRule="auto"/>
        <w:ind w:firstLine="587"/>
        <w:jc w:val="center"/>
        <w:rPr>
          <w:rFonts w:ascii="楷体_GB2312" w:eastAsia="楷体_GB2312"/>
          <w:b/>
          <w:bCs/>
          <w:spacing w:val="-28"/>
          <w:sz w:val="32"/>
          <w:szCs w:val="32"/>
          <w:lang w:eastAsia="zh-CN"/>
        </w:rPr>
      </w:pPr>
    </w:p>
    <w:p>
      <w:pPr>
        <w:pStyle w:val="3"/>
        <w:spacing w:before="78" w:line="221" w:lineRule="auto"/>
        <w:ind w:firstLine="587"/>
        <w:jc w:val="center"/>
        <w:rPr>
          <w:rFonts w:ascii="楷体_GB2312" w:eastAsia="楷体_GB2312"/>
          <w:b/>
          <w:bCs/>
          <w:spacing w:val="-28"/>
          <w:sz w:val="32"/>
          <w:szCs w:val="32"/>
          <w:lang w:eastAsia="zh-CN"/>
        </w:rPr>
      </w:pPr>
    </w:p>
    <w:p>
      <w:pPr>
        <w:pStyle w:val="3"/>
        <w:spacing w:before="78" w:line="221" w:lineRule="auto"/>
        <w:ind w:firstLine="587"/>
        <w:jc w:val="center"/>
        <w:rPr>
          <w:rFonts w:ascii="楷体_GB2312" w:eastAsia="楷体_GB2312"/>
          <w:b/>
          <w:bCs/>
          <w:spacing w:val="-28"/>
          <w:sz w:val="32"/>
          <w:szCs w:val="32"/>
          <w:lang w:eastAsia="zh-CN"/>
        </w:rPr>
      </w:pPr>
    </w:p>
    <w:p>
      <w:pPr>
        <w:pStyle w:val="3"/>
        <w:spacing w:before="78" w:line="221" w:lineRule="auto"/>
        <w:ind w:firstLine="587"/>
        <w:jc w:val="center"/>
        <w:rPr>
          <w:rFonts w:ascii="楷体_GB2312" w:eastAsia="楷体_GB2312"/>
          <w:b/>
          <w:bCs/>
          <w:spacing w:val="-28"/>
          <w:sz w:val="32"/>
          <w:szCs w:val="32"/>
          <w:lang w:eastAsia="zh-CN"/>
        </w:rPr>
      </w:pPr>
    </w:p>
    <w:p>
      <w:pPr>
        <w:pStyle w:val="3"/>
        <w:spacing w:before="78" w:line="221" w:lineRule="auto"/>
        <w:ind w:firstLine="587"/>
        <w:jc w:val="center"/>
        <w:rPr>
          <w:rFonts w:ascii="楷体_GB2312" w:eastAsia="楷体_GB2312"/>
          <w:b/>
          <w:bCs/>
          <w:spacing w:val="-28"/>
          <w:sz w:val="32"/>
          <w:szCs w:val="32"/>
          <w:lang w:eastAsia="zh-CN"/>
        </w:rPr>
      </w:pPr>
    </w:p>
    <w:p>
      <w:pPr>
        <w:pStyle w:val="3"/>
        <w:spacing w:before="78" w:line="221" w:lineRule="auto"/>
        <w:ind w:firstLine="587"/>
        <w:jc w:val="center"/>
        <w:rPr>
          <w:rFonts w:ascii="楷体_GB2312" w:eastAsia="楷体_GB2312"/>
          <w:b/>
          <w:bCs/>
          <w:spacing w:val="-28"/>
          <w:sz w:val="32"/>
          <w:szCs w:val="32"/>
          <w:lang w:eastAsia="zh-CN"/>
        </w:rPr>
      </w:pPr>
    </w:p>
    <w:p>
      <w:pPr>
        <w:pStyle w:val="3"/>
        <w:spacing w:before="78" w:line="221" w:lineRule="auto"/>
        <w:ind w:firstLine="587"/>
        <w:jc w:val="center"/>
        <w:rPr>
          <w:rFonts w:ascii="楷体_GB2312" w:eastAsia="楷体_GB2312"/>
          <w:sz w:val="32"/>
          <w:szCs w:val="32"/>
          <w:lang w:eastAsia="zh-CN"/>
        </w:rPr>
      </w:pPr>
      <w:r>
        <w:rPr>
          <w:rFonts w:hint="eastAsia" w:ascii="楷体_GB2312" w:eastAsia="楷体_GB2312"/>
          <w:b/>
          <w:bCs/>
          <w:spacing w:val="-28"/>
          <w:sz w:val="32"/>
          <w:szCs w:val="32"/>
          <w:lang w:eastAsia="zh-CN"/>
        </w:rPr>
        <w:t>部门(单位)名称：</w:t>
      </w:r>
      <w:r>
        <w:rPr>
          <w:rFonts w:hint="eastAsia" w:ascii="楷体_GB2312" w:eastAsia="楷体_GB2312"/>
          <w:b/>
          <w:bCs/>
          <w:spacing w:val="-28"/>
          <w:sz w:val="32"/>
          <w:szCs w:val="32"/>
          <w:u w:val="single"/>
          <w:lang w:eastAsia="zh-CN"/>
        </w:rPr>
        <w:t>岳阳县公安局</w:t>
      </w:r>
    </w:p>
    <w:p>
      <w:pPr>
        <w:spacing w:before="274" w:line="225" w:lineRule="auto"/>
        <w:ind w:firstLine="617"/>
        <w:jc w:val="center"/>
        <w:rPr>
          <w:b/>
          <w:bCs/>
          <w:spacing w:val="18"/>
          <w:sz w:val="30"/>
          <w:szCs w:val="30"/>
          <w:lang w:eastAsia="zh-CN"/>
        </w:rPr>
      </w:pPr>
      <w:r>
        <w:rPr>
          <w:rFonts w:hint="eastAsia" w:ascii="楷体_GB2312" w:hAnsi="楷体" w:eastAsia="楷体_GB2312" w:cs="楷体"/>
          <w:b/>
          <w:bCs/>
          <w:spacing w:val="-13"/>
          <w:sz w:val="32"/>
          <w:szCs w:val="32"/>
          <w:lang w:val="en-US" w:eastAsia="zh-CN"/>
        </w:rPr>
        <w:t>2026</w:t>
      </w:r>
      <w:r>
        <w:rPr>
          <w:rFonts w:hint="eastAsia" w:ascii="楷体_GB2312" w:hAnsi="楷体" w:eastAsia="楷体_GB2312" w:cs="楷体"/>
          <w:b/>
          <w:bCs/>
          <w:spacing w:val="-13"/>
          <w:sz w:val="32"/>
          <w:szCs w:val="32"/>
          <w:lang w:eastAsia="zh-CN"/>
        </w:rPr>
        <w:t xml:space="preserve">年 </w:t>
      </w:r>
      <w:r>
        <w:rPr>
          <w:rFonts w:hint="eastAsia" w:ascii="楷体_GB2312" w:hAnsi="楷体" w:eastAsia="楷体_GB2312" w:cs="楷体"/>
          <w:b/>
          <w:bCs/>
          <w:spacing w:val="-13"/>
          <w:sz w:val="32"/>
          <w:szCs w:val="32"/>
          <w:lang w:val="en-US" w:eastAsia="zh-CN"/>
        </w:rPr>
        <w:t>5</w:t>
      </w:r>
      <w:r>
        <w:rPr>
          <w:rFonts w:hint="eastAsia" w:ascii="楷体_GB2312" w:hAnsi="楷体" w:eastAsia="楷体_GB2312" w:cs="楷体"/>
          <w:b/>
          <w:bCs/>
          <w:spacing w:val="-13"/>
          <w:sz w:val="32"/>
          <w:szCs w:val="32"/>
          <w:lang w:eastAsia="zh-CN"/>
        </w:rPr>
        <w:t xml:space="preserve"> </w:t>
      </w:r>
      <w:r>
        <w:rPr>
          <w:rFonts w:hint="eastAsia" w:ascii="楷体_GB2312" w:hAnsi="楷体" w:eastAsia="楷体_GB2312" w:cs="楷体"/>
          <w:spacing w:val="-13"/>
          <w:sz w:val="32"/>
          <w:szCs w:val="32"/>
          <w:lang w:eastAsia="zh-CN"/>
        </w:rPr>
        <w:t xml:space="preserve">月 </w:t>
      </w:r>
      <w:r>
        <w:rPr>
          <w:rFonts w:hint="eastAsia" w:ascii="楷体_GB2312" w:hAnsi="楷体" w:eastAsia="楷体_GB2312" w:cs="楷体"/>
          <w:spacing w:val="-13"/>
          <w:sz w:val="32"/>
          <w:szCs w:val="32"/>
          <w:lang w:val="en-US" w:eastAsia="zh-CN"/>
        </w:rPr>
        <w:t>27</w:t>
      </w:r>
      <w:r>
        <w:rPr>
          <w:rFonts w:hint="eastAsia" w:ascii="楷体_GB2312" w:hAnsi="楷体" w:eastAsia="楷体_GB2312" w:cs="楷体"/>
          <w:spacing w:val="-13"/>
          <w:sz w:val="32"/>
          <w:szCs w:val="32"/>
          <w:lang w:eastAsia="zh-CN"/>
        </w:rPr>
        <w:t xml:space="preserve"> </w:t>
      </w:r>
      <w:r>
        <w:rPr>
          <w:rFonts w:hint="eastAsia" w:ascii="楷体_GB2312" w:hAnsi="楷体" w:eastAsia="楷体_GB2312" w:cs="楷体"/>
          <w:b/>
          <w:bCs/>
          <w:spacing w:val="-13"/>
          <w:sz w:val="32"/>
          <w:szCs w:val="32"/>
          <w:lang w:eastAsia="zh-CN"/>
        </w:rPr>
        <w:t>日</w:t>
      </w:r>
    </w:p>
    <w:p>
      <w:pPr>
        <w:keepNext w:val="0"/>
        <w:keepLines w:val="0"/>
        <w:pageBreakBefore w:val="0"/>
        <w:widowControl w:val="0"/>
        <w:numPr>
          <w:ilvl w:val="0"/>
          <w:numId w:val="1"/>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部门（单位）基本情况</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200" w:right="0" w:rightChars="0" w:firstLine="320" w:firstLineChars="10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（一）机构设置情况</w:t>
      </w:r>
    </w:p>
    <w:p>
      <w:pPr>
        <w:pStyle w:val="5"/>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eastAsia" w:ascii="Times New Roman" w:hAnsi="Times New Roman" w:eastAsia="仿宋_GB2312" w:cs="仿宋_GB2312"/>
          <w:bCs/>
          <w:kern w:val="0"/>
          <w:sz w:val="32"/>
          <w:szCs w:val="32"/>
          <w:lang w:val="en-US" w:eastAsia="zh-CN" w:bidi="ar-SA"/>
        </w:rPr>
        <w:t>岳阳县公安局单位内设机构包括：情报指挥中心、政工室、政治安全保卫大队（反恐怖大队）、经济犯罪侦查大队、治安管理大队（出入境管理大队）、刑事侦查大队（禁毒大队）、网络安全保卫大队（科技信息化与大数据实战大队）、交通警察大队（交通管理局）、巡特警大队（留置看护大队）、法制大队（督察审计大队）、警务保障室、机关党委；直属机构包括：岳阳县森林公安局（环境资源与食品药品犯罪侦查局）、岳阳县看守所、岳阳县拘留所（县强制隔离戒毒所）、岳阳县车管所；下设18个派出所。</w:t>
      </w:r>
    </w:p>
    <w:p>
      <w:pPr>
        <w:pStyle w:val="5"/>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人员编制情况</w:t>
      </w:r>
    </w:p>
    <w:p>
      <w:pPr>
        <w:widowControl/>
        <w:spacing w:line="600" w:lineRule="exact"/>
        <w:ind w:firstLine="640" w:firstLineChars="200"/>
        <w:rPr>
          <w:rFonts w:hint="eastAsia" w:ascii="楷体_GB2312" w:eastAsia="楷体_GB2312" w:cs="楷体_GB2312"/>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 xml:space="preserve"> </w:t>
      </w:r>
      <w:r>
        <w:rPr>
          <w:rFonts w:hint="eastAsia" w:ascii="仿宋" w:hAnsi="仿宋" w:eastAsia="仿宋" w:cs="仿宋"/>
          <w:color w:val="000000"/>
          <w:kern w:val="0"/>
          <w:sz w:val="32"/>
          <w:szCs w:val="32"/>
        </w:rPr>
        <w:t>我局现有在职民警33</w:t>
      </w:r>
      <w:r>
        <w:rPr>
          <w:rFonts w:hint="eastAsia" w:ascii="仿宋" w:hAnsi="仿宋" w:eastAsia="仿宋" w:cs="仿宋"/>
          <w:color w:val="000000"/>
          <w:kern w:val="0"/>
          <w:sz w:val="32"/>
          <w:szCs w:val="32"/>
          <w:lang w:val="en-US" w:eastAsia="zh-CN"/>
        </w:rPr>
        <w:t>8</w:t>
      </w:r>
      <w:r>
        <w:rPr>
          <w:rFonts w:hint="eastAsia" w:ascii="仿宋" w:hAnsi="仿宋" w:eastAsia="仿宋" w:cs="仿宋"/>
          <w:color w:val="000000"/>
          <w:kern w:val="0"/>
          <w:sz w:val="32"/>
          <w:szCs w:val="32"/>
        </w:rPr>
        <w:t>人，退休民警</w:t>
      </w:r>
      <w:r>
        <w:rPr>
          <w:rFonts w:hint="eastAsia" w:ascii="仿宋" w:hAnsi="仿宋" w:eastAsia="仿宋" w:cs="仿宋"/>
          <w:color w:val="000000"/>
          <w:kern w:val="0"/>
          <w:sz w:val="32"/>
          <w:szCs w:val="32"/>
          <w:lang w:val="en-US" w:eastAsia="zh-CN"/>
        </w:rPr>
        <w:t>169</w:t>
      </w:r>
      <w:r>
        <w:rPr>
          <w:rFonts w:hint="eastAsia" w:ascii="仿宋" w:hAnsi="仿宋" w:eastAsia="仿宋" w:cs="仿宋"/>
          <w:color w:val="000000"/>
          <w:kern w:val="0"/>
          <w:sz w:val="32"/>
          <w:szCs w:val="32"/>
        </w:rPr>
        <w:t>人；临雇人员</w:t>
      </w:r>
      <w:r>
        <w:rPr>
          <w:rFonts w:hint="eastAsia" w:ascii="仿宋" w:hAnsi="仿宋" w:eastAsia="仿宋" w:cs="仿宋"/>
          <w:color w:val="000000"/>
          <w:kern w:val="0"/>
          <w:sz w:val="32"/>
          <w:szCs w:val="32"/>
          <w:lang w:val="en-US" w:eastAsia="zh-CN"/>
        </w:rPr>
        <w:t>541</w:t>
      </w:r>
      <w:r>
        <w:rPr>
          <w:rFonts w:hint="eastAsia" w:ascii="仿宋" w:hAnsi="仿宋" w:eastAsia="仿宋" w:cs="仿宋"/>
          <w:color w:val="000000"/>
          <w:kern w:val="0"/>
          <w:sz w:val="32"/>
          <w:szCs w:val="32"/>
        </w:rPr>
        <w:t>人；定编公务用车</w:t>
      </w:r>
      <w:r>
        <w:rPr>
          <w:rFonts w:hint="eastAsia" w:ascii="仿宋" w:hAnsi="仿宋" w:eastAsia="仿宋" w:cs="仿宋"/>
          <w:color w:val="000000"/>
          <w:kern w:val="0"/>
          <w:sz w:val="32"/>
          <w:szCs w:val="32"/>
          <w:lang w:val="en-US" w:eastAsia="zh-CN"/>
        </w:rPr>
        <w:t>67</w:t>
      </w:r>
      <w:r>
        <w:rPr>
          <w:rFonts w:hint="eastAsia" w:ascii="仿宋" w:hAnsi="仿宋" w:eastAsia="仿宋" w:cs="仿宋"/>
          <w:color w:val="000000"/>
          <w:kern w:val="0"/>
          <w:sz w:val="32"/>
          <w:szCs w:val="32"/>
        </w:rPr>
        <w:t>台，实有</w:t>
      </w:r>
      <w:r>
        <w:rPr>
          <w:rFonts w:hint="eastAsia" w:ascii="仿宋" w:hAnsi="仿宋" w:eastAsia="仿宋" w:cs="仿宋"/>
          <w:color w:val="000000"/>
          <w:kern w:val="0"/>
          <w:sz w:val="32"/>
          <w:szCs w:val="32"/>
          <w:lang w:val="en-US" w:eastAsia="zh-CN"/>
        </w:rPr>
        <w:t>67</w:t>
      </w:r>
      <w:r>
        <w:rPr>
          <w:rFonts w:hint="eastAsia" w:ascii="仿宋" w:hAnsi="仿宋" w:eastAsia="仿宋" w:cs="仿宋"/>
          <w:color w:val="000000"/>
          <w:kern w:val="0"/>
          <w:sz w:val="32"/>
          <w:szCs w:val="32"/>
        </w:rPr>
        <w:t>台。</w:t>
      </w:r>
    </w:p>
    <w:p>
      <w:pPr>
        <w:pStyle w:val="5"/>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default" w:ascii="楷体_GB2312" w:eastAsia="楷体_GB2312" w:cs="楷体_GB2312"/>
          <w:i w:val="0"/>
          <w:iCs w:val="0"/>
          <w:caps w:val="0"/>
          <w:color w:val="000000"/>
          <w:spacing w:val="0"/>
          <w:sz w:val="32"/>
          <w:szCs w:val="32"/>
          <w:shd w:val="clear" w:fill="FFFFFF"/>
          <w:lang w:val="en-US" w:eastAsia="zh-CN"/>
        </w:rPr>
      </w:pPr>
      <w:r>
        <w:rPr>
          <w:rFonts w:hint="default" w:ascii="楷体_GB2312" w:eastAsia="楷体_GB2312" w:cs="楷体_GB2312"/>
          <w:i w:val="0"/>
          <w:iCs w:val="0"/>
          <w:caps w:val="0"/>
          <w:color w:val="000000"/>
          <w:spacing w:val="0"/>
          <w:sz w:val="32"/>
          <w:szCs w:val="32"/>
          <w:shd w:val="clear" w:fill="FFFFFF"/>
        </w:rPr>
        <w:t>主要职能职责</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default" w:ascii="楷体_GB2312" w:eastAsia="楷体_GB2312" w:cs="楷体_GB2312"/>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 xml:space="preserve"> </w:t>
      </w:r>
      <w:r>
        <w:rPr>
          <w:rFonts w:hint="eastAsia" w:ascii="仿宋" w:hAnsi="仿宋" w:eastAsia="仿宋" w:cs="仿宋"/>
          <w:color w:val="000000"/>
          <w:kern w:val="0"/>
          <w:sz w:val="32"/>
          <w:szCs w:val="32"/>
        </w:rPr>
        <w:t>公安机关是国家政权的重要组成部分，是我国人民民主专政政权中具有武装性质的治安行政和刑事司法专门机关，其任务是维护国家安全，维护社会秩序，保护公民的人身安全、人身自由和合法财产,保护公共财产，预防、制止和惩治违法犯罪活动、保障改革开放和社会现代化建设的顺利进行。</w:t>
      </w:r>
    </w:p>
    <w:p>
      <w:pPr>
        <w:pStyle w:val="8"/>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二、一般公共预算支出情况</w:t>
      </w:r>
    </w:p>
    <w:p>
      <w:pPr>
        <w:pStyle w:val="8"/>
        <w:keepNext w:val="0"/>
        <w:keepLines w:val="0"/>
        <w:pageBreakBefore w:val="0"/>
        <w:widowControl w:val="0"/>
        <w:kinsoku/>
        <w:wordWrap/>
        <w:overflowPunct/>
        <w:topLinePunct w:val="0"/>
        <w:autoSpaceDE/>
        <w:autoSpaceDN/>
        <w:bidi w:val="0"/>
        <w:adjustRightInd/>
        <w:snapToGrid/>
        <w:spacing w:line="640" w:lineRule="exact"/>
        <w:ind w:firstLine="643" w:firstLineChars="200"/>
        <w:jc w:val="both"/>
        <w:textAlignment w:val="auto"/>
        <w:rPr>
          <w:rFonts w:hint="default" w:ascii="Times New Roman" w:hAnsi="Times New Roman" w:eastAsia="楷体_GB2312" w:cs="Times New Roman"/>
          <w:b/>
          <w:sz w:val="32"/>
          <w:szCs w:val="32"/>
          <w:highlight w:val="none"/>
        </w:rPr>
      </w:pPr>
      <w:r>
        <w:rPr>
          <w:rFonts w:hint="default" w:ascii="Times New Roman" w:hAnsi="Times New Roman" w:eastAsia="楷体_GB2312" w:cs="Times New Roman"/>
          <w:b/>
          <w:sz w:val="32"/>
          <w:szCs w:val="32"/>
          <w:highlight w:val="none"/>
        </w:rPr>
        <w:t>（一）基本支出情况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640" w:right="0" w:firstLine="0"/>
        <w:textAlignment w:val="auto"/>
        <w:rPr>
          <w:rFonts w:hint="default" w:ascii="仿宋_GB2312" w:eastAsia="仿宋_GB2312" w:cs="仿宋_GB2312"/>
          <w:i w:val="0"/>
          <w:iCs w:val="0"/>
          <w:caps w:val="0"/>
          <w:color w:val="000000"/>
          <w:spacing w:val="0"/>
          <w:sz w:val="32"/>
          <w:szCs w:val="32"/>
          <w:shd w:val="clear" w:fill="FFFFFF"/>
          <w:lang w:val="en-US" w:eastAsia="zh-CN"/>
        </w:rPr>
      </w:pPr>
      <w:r>
        <w:rPr>
          <w:rFonts w:hint="eastAsia" w:ascii="仿宋_GB2312" w:eastAsia="仿宋_GB2312" w:cs="仿宋_GB2312"/>
          <w:i w:val="0"/>
          <w:iCs w:val="0"/>
          <w:caps w:val="0"/>
          <w:color w:val="000000"/>
          <w:spacing w:val="0"/>
          <w:sz w:val="32"/>
          <w:szCs w:val="32"/>
          <w:shd w:val="clear" w:fill="FFFFFF"/>
          <w:lang w:eastAsia="zh-CN"/>
        </w:rPr>
        <w:t>本年度基本支出</w:t>
      </w:r>
      <w:r>
        <w:rPr>
          <w:rFonts w:hint="eastAsia" w:ascii="仿宋_GB2312" w:eastAsia="仿宋_GB2312" w:cs="仿宋_GB2312"/>
          <w:i w:val="0"/>
          <w:iCs w:val="0"/>
          <w:caps w:val="0"/>
          <w:color w:val="000000"/>
          <w:spacing w:val="0"/>
          <w:sz w:val="32"/>
          <w:szCs w:val="32"/>
          <w:shd w:val="clear" w:fill="FFFFFF"/>
          <w:lang w:val="en-US" w:eastAsia="zh-CN"/>
        </w:rPr>
        <w:t>12102.87万元。</w:t>
      </w:r>
    </w:p>
    <w:p>
      <w:pPr>
        <w:pStyle w:val="8"/>
        <w:keepNext w:val="0"/>
        <w:keepLines w:val="0"/>
        <w:pageBreakBefore w:val="0"/>
        <w:widowControl w:val="0"/>
        <w:kinsoku/>
        <w:wordWrap/>
        <w:overflowPunct/>
        <w:topLinePunct w:val="0"/>
        <w:autoSpaceDE/>
        <w:autoSpaceDN/>
        <w:bidi w:val="0"/>
        <w:adjustRightInd/>
        <w:snapToGrid/>
        <w:spacing w:line="640" w:lineRule="exact"/>
        <w:ind w:firstLine="643" w:firstLineChars="200"/>
        <w:jc w:val="both"/>
        <w:textAlignment w:val="auto"/>
        <w:rPr>
          <w:rFonts w:hint="default" w:ascii="Times New Roman" w:hAnsi="Times New Roman" w:eastAsia="楷体_GB2312" w:cs="Times New Roman"/>
          <w:b/>
          <w:sz w:val="32"/>
          <w:szCs w:val="32"/>
          <w:highlight w:val="none"/>
        </w:rPr>
      </w:pPr>
    </w:p>
    <w:p>
      <w:pPr>
        <w:pStyle w:val="8"/>
        <w:keepNext w:val="0"/>
        <w:keepLines w:val="0"/>
        <w:pageBreakBefore w:val="0"/>
        <w:widowControl w:val="0"/>
        <w:numPr>
          <w:ilvl w:val="0"/>
          <w:numId w:val="3"/>
        </w:numPr>
        <w:kinsoku/>
        <w:wordWrap/>
        <w:overflowPunct/>
        <w:topLinePunct w:val="0"/>
        <w:autoSpaceDE/>
        <w:autoSpaceDN/>
        <w:bidi w:val="0"/>
        <w:adjustRightInd/>
        <w:snapToGrid/>
        <w:spacing w:line="640" w:lineRule="exact"/>
        <w:ind w:firstLine="643" w:firstLineChars="200"/>
        <w:jc w:val="both"/>
        <w:textAlignment w:val="auto"/>
        <w:rPr>
          <w:rFonts w:hint="default" w:ascii="Times New Roman" w:hAnsi="Times New Roman" w:eastAsia="楷体_GB2312" w:cs="Times New Roman"/>
          <w:b/>
          <w:sz w:val="32"/>
          <w:szCs w:val="32"/>
          <w:highlight w:val="none"/>
        </w:rPr>
      </w:pPr>
      <w:r>
        <w:rPr>
          <w:rFonts w:hint="default" w:ascii="Times New Roman" w:hAnsi="Times New Roman" w:eastAsia="楷体_GB2312" w:cs="Times New Roman"/>
          <w:b/>
          <w:sz w:val="32"/>
          <w:szCs w:val="32"/>
          <w:highlight w:val="none"/>
        </w:rPr>
        <w:t>项目支出情况</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640" w:leftChars="0" w:right="0" w:rightChars="0"/>
        <w:textAlignment w:val="auto"/>
        <w:rPr>
          <w:rFonts w:hint="default" w:ascii="Times New Roman" w:hAnsi="Times New Roman" w:eastAsia="楷体_GB2312" w:cs="Times New Roman"/>
          <w:b/>
          <w:sz w:val="32"/>
          <w:szCs w:val="32"/>
          <w:highlight w:val="none"/>
          <w:lang w:val="en-US" w:eastAsia="zh-CN"/>
        </w:rPr>
      </w:pPr>
      <w:r>
        <w:rPr>
          <w:rFonts w:hint="eastAsia" w:ascii="Times New Roman" w:hAnsi="Times New Roman" w:eastAsia="楷体_GB2312" w:cs="Times New Roman"/>
          <w:b/>
          <w:sz w:val="32"/>
          <w:szCs w:val="32"/>
          <w:highlight w:val="none"/>
          <w:lang w:val="en-US" w:eastAsia="zh-CN"/>
        </w:rPr>
        <w:t xml:space="preserve"> </w:t>
      </w:r>
      <w:r>
        <w:rPr>
          <w:rFonts w:hint="eastAsia" w:ascii="仿宋_GB2312" w:eastAsia="仿宋_GB2312" w:cs="仿宋_GB2312"/>
          <w:i w:val="0"/>
          <w:iCs w:val="0"/>
          <w:caps w:val="0"/>
          <w:color w:val="000000"/>
          <w:spacing w:val="0"/>
          <w:sz w:val="32"/>
          <w:szCs w:val="32"/>
          <w:shd w:val="clear" w:fill="FFFFFF"/>
          <w:lang w:eastAsia="zh-CN"/>
        </w:rPr>
        <w:t>本年度项目支出</w:t>
      </w:r>
      <w:r>
        <w:rPr>
          <w:rFonts w:hint="eastAsia" w:ascii="仿宋_GB2312" w:eastAsia="仿宋_GB2312" w:cs="仿宋_GB2312"/>
          <w:i w:val="0"/>
          <w:iCs w:val="0"/>
          <w:caps w:val="0"/>
          <w:color w:val="000000"/>
          <w:spacing w:val="0"/>
          <w:sz w:val="32"/>
          <w:szCs w:val="32"/>
          <w:shd w:val="clear" w:fill="FFFFFF"/>
          <w:lang w:val="en-US" w:eastAsia="zh-CN"/>
        </w:rPr>
        <w:t>3251.51万元。</w:t>
      </w:r>
    </w:p>
    <w:p>
      <w:pPr>
        <w:pStyle w:val="8"/>
        <w:keepNext w:val="0"/>
        <w:keepLines w:val="0"/>
        <w:pageBreakBefore w:val="0"/>
        <w:widowControl w:val="0"/>
        <w:numPr>
          <w:ilvl w:val="0"/>
          <w:numId w:val="1"/>
        </w:numPr>
        <w:kinsoku/>
        <w:wordWrap/>
        <w:overflowPunct/>
        <w:topLinePunct w:val="0"/>
        <w:autoSpaceDE/>
        <w:autoSpaceDN/>
        <w:bidi w:val="0"/>
        <w:adjustRightInd/>
        <w:snapToGrid/>
        <w:spacing w:line="640" w:lineRule="exact"/>
        <w:ind w:left="0" w:leftChars="0"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政府性基金预算支出情况</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200" w:firstLine="320" w:firstLineChars="100"/>
        <w:jc w:val="both"/>
        <w:textAlignment w:val="auto"/>
        <w:rPr>
          <w:rFonts w:hint="default" w:ascii="Times New Roman" w:hAnsi="Times New Roman" w:eastAsia="黑体" w:cs="Times New Roman"/>
          <w:sz w:val="32"/>
          <w:szCs w:val="32"/>
          <w:highlight w:val="none"/>
        </w:rPr>
      </w:pPr>
      <w:r>
        <w:rPr>
          <w:rFonts w:hint="eastAsia" w:ascii="仿宋" w:hAnsi="仿宋" w:eastAsia="仿宋" w:cs="仿宋"/>
          <w:color w:val="000000"/>
          <w:kern w:val="0"/>
          <w:sz w:val="32"/>
          <w:szCs w:val="32"/>
          <w:lang w:val="en-US" w:eastAsia="zh-CN" w:bidi="ar-SA"/>
        </w:rPr>
        <w:t>本单位无政府性基金收入和支出。</w:t>
      </w:r>
    </w:p>
    <w:p>
      <w:pPr>
        <w:pStyle w:val="8"/>
        <w:keepNext w:val="0"/>
        <w:keepLines w:val="0"/>
        <w:pageBreakBefore w:val="0"/>
        <w:widowControl w:val="0"/>
        <w:numPr>
          <w:ilvl w:val="0"/>
          <w:numId w:val="1"/>
        </w:numPr>
        <w:kinsoku/>
        <w:wordWrap/>
        <w:overflowPunct/>
        <w:topLinePunct w:val="0"/>
        <w:autoSpaceDE/>
        <w:autoSpaceDN/>
        <w:bidi w:val="0"/>
        <w:adjustRightInd/>
        <w:snapToGrid/>
        <w:spacing w:line="640" w:lineRule="exact"/>
        <w:ind w:left="0" w:leftChars="0"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国有资本经营预算支出情况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Times New Roman" w:hAnsi="Times New Roman" w:eastAsia="黑体" w:cs="Times New Roman"/>
          <w:sz w:val="32"/>
          <w:szCs w:val="32"/>
          <w:highlight w:val="none"/>
        </w:rPr>
      </w:pPr>
      <w:r>
        <w:rPr>
          <w:rFonts w:hint="eastAsia" w:ascii="仿宋" w:hAnsi="仿宋" w:eastAsia="仿宋" w:cs="仿宋"/>
          <w:color w:val="000000"/>
          <w:kern w:val="0"/>
          <w:sz w:val="32"/>
          <w:szCs w:val="32"/>
          <w:lang w:val="en-US" w:eastAsia="zh-CN" w:bidi="ar-SA"/>
        </w:rPr>
        <w:t>本单位无国有资本经营收入和支出。</w:t>
      </w:r>
    </w:p>
    <w:p>
      <w:pPr>
        <w:pStyle w:val="8"/>
        <w:keepNext w:val="0"/>
        <w:keepLines w:val="0"/>
        <w:pageBreakBefore w:val="0"/>
        <w:widowControl w:val="0"/>
        <w:numPr>
          <w:ilvl w:val="0"/>
          <w:numId w:val="1"/>
        </w:numPr>
        <w:kinsoku/>
        <w:wordWrap/>
        <w:overflowPunct/>
        <w:topLinePunct w:val="0"/>
        <w:autoSpaceDE/>
        <w:autoSpaceDN/>
        <w:bidi w:val="0"/>
        <w:adjustRightInd/>
        <w:snapToGrid/>
        <w:spacing w:line="640" w:lineRule="exact"/>
        <w:ind w:left="0" w:leftChars="0"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社会保险基金预算支出情况</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200" w:firstLine="320" w:firstLineChars="100"/>
        <w:jc w:val="both"/>
        <w:textAlignment w:val="auto"/>
        <w:rPr>
          <w:rFonts w:hint="default" w:ascii="Times New Roman" w:hAnsi="Times New Roman" w:eastAsia="黑体" w:cs="Times New Roman"/>
          <w:sz w:val="32"/>
          <w:szCs w:val="32"/>
          <w:highlight w:val="none"/>
        </w:rPr>
      </w:pPr>
      <w:r>
        <w:rPr>
          <w:rFonts w:hint="eastAsia" w:ascii="仿宋" w:hAnsi="仿宋" w:eastAsia="仿宋" w:cs="仿宋"/>
          <w:color w:val="000000"/>
          <w:kern w:val="0"/>
          <w:sz w:val="32"/>
          <w:szCs w:val="32"/>
          <w:lang w:val="en-US" w:eastAsia="zh-CN" w:bidi="ar-SA"/>
        </w:rPr>
        <w:t>本单位无社会保险基金收入和支出。</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五</w:t>
      </w:r>
      <w:r>
        <w:rPr>
          <w:rFonts w:hint="default" w:ascii="Times New Roman" w:hAnsi="Times New Roman" w:eastAsia="黑体" w:cs="Times New Roman"/>
          <w:sz w:val="32"/>
          <w:szCs w:val="32"/>
          <w:highlight w:val="none"/>
        </w:rPr>
        <w:t>、部门整体支出绩效情况</w:t>
      </w:r>
    </w:p>
    <w:p>
      <w:pPr>
        <w:spacing w:line="560" w:lineRule="exact"/>
        <w:ind w:firstLine="707" w:firstLineChars="221"/>
        <w:rPr>
          <w:rFonts w:hint="default"/>
        </w:rPr>
      </w:pPr>
      <w:r>
        <w:rPr>
          <w:rFonts w:hint="eastAsia" w:ascii="仿宋_GB2312" w:hAnsi="宋体" w:eastAsia="仿宋_GB2312"/>
          <w:sz w:val="32"/>
          <w:szCs w:val="32"/>
        </w:rPr>
        <w:t>针对公安财务的现状和整体支出的管控，岳阳县公安局党委非常重视财务工作。</w:t>
      </w:r>
      <w:r>
        <w:rPr>
          <w:rFonts w:hint="eastAsia" w:ascii="仿宋_GB2312" w:hAnsi="宋体" w:eastAsia="仿宋_GB2312"/>
          <w:sz w:val="32"/>
          <w:szCs w:val="32"/>
          <w:lang w:eastAsia="zh-CN"/>
        </w:rPr>
        <w:t>一是保障了全县社会治安大局稳定，完成了年初制定的工作任务；二</w:t>
      </w:r>
      <w:r>
        <w:rPr>
          <w:rFonts w:hint="eastAsia" w:ascii="仿宋_GB2312" w:hAnsi="宋体" w:eastAsia="仿宋_GB2312"/>
          <w:sz w:val="32"/>
          <w:szCs w:val="32"/>
        </w:rPr>
        <w:t>是多次召开党委会、局务会研究管理措施，制订了《</w:t>
      </w:r>
      <w:r>
        <w:rPr>
          <w:rFonts w:hint="eastAsia" w:ascii="仿宋_GB2312" w:hAnsi="宋体" w:eastAsia="仿宋_GB2312"/>
          <w:sz w:val="32"/>
          <w:szCs w:val="32"/>
          <w:lang w:val="en-US" w:eastAsia="zh-CN"/>
        </w:rPr>
        <w:t>2025年</w:t>
      </w:r>
      <w:r>
        <w:rPr>
          <w:rFonts w:hint="eastAsia" w:ascii="仿宋_GB2312" w:hAnsi="宋体" w:eastAsia="仿宋_GB2312"/>
          <w:sz w:val="32"/>
          <w:szCs w:val="32"/>
        </w:rPr>
        <w:t>岳阳县公安局财务管理</w:t>
      </w:r>
      <w:r>
        <w:rPr>
          <w:rFonts w:hint="eastAsia" w:ascii="仿宋_GB2312" w:hAnsi="宋体" w:eastAsia="仿宋_GB2312"/>
          <w:sz w:val="32"/>
          <w:szCs w:val="32"/>
          <w:lang w:eastAsia="zh-CN"/>
        </w:rPr>
        <w:t>办法</w:t>
      </w:r>
      <w:r>
        <w:rPr>
          <w:rFonts w:hint="eastAsia" w:ascii="仿宋_GB2312" w:hAnsi="宋体" w:eastAsia="仿宋_GB2312"/>
          <w:sz w:val="32"/>
          <w:szCs w:val="32"/>
        </w:rPr>
        <w:t>》</w:t>
      </w:r>
      <w:r>
        <w:rPr>
          <w:rFonts w:hint="eastAsia" w:ascii="仿宋_GB2312" w:hAnsi="宋体" w:eastAsia="仿宋_GB2312"/>
          <w:sz w:val="32"/>
          <w:szCs w:val="32"/>
          <w:lang w:eastAsia="zh-CN"/>
        </w:rPr>
        <w:t>；三</w:t>
      </w:r>
      <w:r>
        <w:rPr>
          <w:rFonts w:hint="eastAsia" w:ascii="仿宋_GB2312" w:hAnsi="宋体" w:eastAsia="仿宋_GB2312"/>
          <w:sz w:val="32"/>
          <w:szCs w:val="32"/>
        </w:rPr>
        <w:t>是</w:t>
      </w:r>
      <w:r>
        <w:rPr>
          <w:rFonts w:hint="eastAsia" w:ascii="仿宋_GB2312" w:hAnsi="宋体" w:eastAsia="仿宋_GB2312"/>
          <w:sz w:val="32"/>
          <w:szCs w:val="32"/>
          <w:lang w:eastAsia="zh-CN"/>
        </w:rPr>
        <w:t>顺利完成了涉案财物审计工作；四</w:t>
      </w:r>
      <w:r>
        <w:rPr>
          <w:rFonts w:hint="eastAsia" w:ascii="仿宋_GB2312" w:hAnsi="宋体" w:eastAsia="仿宋_GB2312"/>
          <w:sz w:val="32"/>
          <w:szCs w:val="32"/>
        </w:rPr>
        <w:t>是</w:t>
      </w:r>
      <w:r>
        <w:rPr>
          <w:rFonts w:hint="eastAsia" w:ascii="仿宋_GB2312" w:hAnsi="宋体" w:eastAsia="仿宋_GB2312"/>
          <w:sz w:val="32"/>
          <w:szCs w:val="32"/>
          <w:lang w:eastAsia="zh-CN"/>
        </w:rPr>
        <w:t>根据省厅要求，开设了涉案资金专户</w:t>
      </w:r>
      <w:r>
        <w:rPr>
          <w:rFonts w:hint="eastAsia" w:ascii="仿宋_GB2312" w:hAnsi="宋体" w:eastAsia="仿宋_GB2312"/>
          <w:sz w:val="32"/>
          <w:szCs w:val="32"/>
        </w:rPr>
        <w:t>。20</w:t>
      </w:r>
      <w:r>
        <w:rPr>
          <w:rFonts w:hint="eastAsia" w:ascii="仿宋_GB2312" w:hAnsi="宋体" w:eastAsia="仿宋_GB2312"/>
          <w:sz w:val="32"/>
          <w:szCs w:val="32"/>
          <w:lang w:val="en-US" w:eastAsia="zh-CN"/>
        </w:rPr>
        <w:t>25</w:t>
      </w:r>
      <w:r>
        <w:rPr>
          <w:rFonts w:hint="eastAsia" w:ascii="仿宋_GB2312" w:hAnsi="宋体" w:eastAsia="仿宋_GB2312"/>
          <w:sz w:val="32"/>
          <w:szCs w:val="32"/>
        </w:rPr>
        <w:t>年全局整体支出使用情况如下：</w:t>
      </w:r>
      <w:r>
        <w:rPr>
          <w:rFonts w:hint="eastAsia" w:ascii="仿宋_GB2312" w:hAnsi="宋体" w:eastAsia="仿宋_GB2312"/>
          <w:sz w:val="32"/>
          <w:szCs w:val="32"/>
          <w:lang w:eastAsia="zh-CN"/>
        </w:rPr>
        <w:t>全年支出15354.38万元。</w:t>
      </w:r>
      <w:r>
        <w:rPr>
          <w:rFonts w:hint="default" w:ascii="仿宋_GB2312" w:hAnsi="宋体" w:eastAsia="仿宋_GB2312"/>
          <w:sz w:val="32"/>
          <w:szCs w:val="32"/>
          <w:lang w:eastAsia="zh-CN"/>
        </w:rPr>
        <w:t>综合评价结论</w:t>
      </w:r>
      <w:r>
        <w:rPr>
          <w:rFonts w:hint="eastAsia" w:ascii="仿宋_GB2312" w:hAnsi="宋体" w:eastAsia="仿宋_GB2312"/>
          <w:sz w:val="32"/>
          <w:szCs w:val="32"/>
          <w:lang w:eastAsia="zh-CN"/>
        </w:rPr>
        <w:t>：</w:t>
      </w:r>
      <w:r>
        <w:rPr>
          <w:rFonts w:hint="default" w:ascii="仿宋_GB2312" w:eastAsia="仿宋_GB2312" w:cs="仿宋_GB2312"/>
          <w:i w:val="0"/>
          <w:iCs w:val="0"/>
          <w:caps w:val="0"/>
          <w:color w:val="000000"/>
          <w:spacing w:val="0"/>
          <w:sz w:val="32"/>
          <w:szCs w:val="32"/>
          <w:shd w:val="clear" w:fill="FFFFFF"/>
        </w:rPr>
        <w:t>自评得分</w:t>
      </w:r>
      <w:r>
        <w:rPr>
          <w:rFonts w:hint="eastAsia" w:ascii="仿宋_GB2312" w:eastAsia="仿宋_GB2312" w:cs="仿宋_GB2312"/>
          <w:i w:val="0"/>
          <w:iCs w:val="0"/>
          <w:caps w:val="0"/>
          <w:color w:val="000000"/>
          <w:spacing w:val="0"/>
          <w:sz w:val="32"/>
          <w:szCs w:val="32"/>
          <w:shd w:val="clear" w:fill="FFFFFF"/>
          <w:lang w:val="en-US" w:eastAsia="zh-CN"/>
        </w:rPr>
        <w:t>98分</w:t>
      </w:r>
      <w:r>
        <w:rPr>
          <w:rFonts w:hint="default" w:ascii="仿宋_GB2312" w:eastAsia="仿宋_GB2312" w:cs="仿宋_GB2312"/>
          <w:i w:val="0"/>
          <w:iCs w:val="0"/>
          <w:caps w:val="0"/>
          <w:color w:val="000000"/>
          <w:spacing w:val="0"/>
          <w:sz w:val="32"/>
          <w:szCs w:val="32"/>
          <w:shd w:val="clear" w:fill="FFFFFF"/>
        </w:rPr>
        <w:t>。</w:t>
      </w:r>
    </w:p>
    <w:p>
      <w:pPr>
        <w:pStyle w:val="8"/>
        <w:keepNext w:val="0"/>
        <w:keepLines w:val="0"/>
        <w:pageBreakBefore w:val="0"/>
        <w:widowControl w:val="0"/>
        <w:numPr>
          <w:ilvl w:val="0"/>
          <w:numId w:val="4"/>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存在的问题及原因分析</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default" w:ascii="仿宋_GB2312" w:hAnsi="宋体" w:eastAsia="仿宋_GB2312" w:cs="Arial"/>
          <w:snapToGrid w:val="0"/>
          <w:color w:val="000000"/>
          <w:sz w:val="32"/>
          <w:szCs w:val="32"/>
          <w:lang w:val="en-US" w:eastAsia="zh-CN" w:bidi="ar-SA"/>
        </w:rPr>
      </w:pPr>
      <w:r>
        <w:rPr>
          <w:rFonts w:hint="eastAsia" w:ascii="Times New Roman" w:hAnsi="Times New Roman" w:eastAsia="黑体" w:cs="Times New Roman"/>
          <w:sz w:val="32"/>
          <w:szCs w:val="32"/>
          <w:highlight w:val="none"/>
          <w:lang w:val="en-US" w:eastAsia="zh-CN"/>
        </w:rPr>
        <w:t xml:space="preserve">    </w:t>
      </w:r>
      <w:r>
        <w:rPr>
          <w:rFonts w:hint="eastAsia" w:ascii="仿宋_GB2312" w:hAnsi="宋体" w:eastAsia="仿宋_GB2312" w:cs="Arial"/>
          <w:snapToGrid w:val="0"/>
          <w:color w:val="000000"/>
          <w:sz w:val="32"/>
          <w:szCs w:val="32"/>
          <w:lang w:val="en-US" w:eastAsia="zh-CN" w:bidi="ar-SA"/>
        </w:rPr>
        <w:t>无</w:t>
      </w:r>
    </w:p>
    <w:p>
      <w:pPr>
        <w:keepNext w:val="0"/>
        <w:keepLines w:val="0"/>
        <w:pageBreakBefore w:val="0"/>
        <w:widowControl w:val="0"/>
        <w:numPr>
          <w:ilvl w:val="0"/>
          <w:numId w:val="4"/>
        </w:numPr>
        <w:kinsoku/>
        <w:wordWrap/>
        <w:overflowPunct/>
        <w:topLinePunct w:val="0"/>
        <w:autoSpaceDE/>
        <w:autoSpaceDN/>
        <w:bidi w:val="0"/>
        <w:adjustRightInd/>
        <w:snapToGrid/>
        <w:spacing w:line="640" w:lineRule="exact"/>
        <w:ind w:left="0" w:leftChars="0"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下一步改进措施</w:t>
      </w:r>
    </w:p>
    <w:p>
      <w:pPr>
        <w:pStyle w:val="2"/>
        <w:numPr>
          <w:ilvl w:val="0"/>
          <w:numId w:val="0"/>
        </w:numPr>
        <w:ind w:firstLine="640" w:firstLineChars="200"/>
        <w:rPr>
          <w:rFonts w:hint="default" w:ascii="仿宋_GB2312" w:hAnsi="宋体" w:eastAsia="仿宋_GB2312" w:cs="Arial"/>
          <w:snapToGrid w:val="0"/>
          <w:color w:val="000000"/>
          <w:sz w:val="32"/>
          <w:szCs w:val="32"/>
          <w:lang w:val="en-US" w:eastAsia="zh-CN" w:bidi="ar-SA"/>
        </w:rPr>
      </w:pPr>
      <w:r>
        <w:rPr>
          <w:rFonts w:hint="eastAsia" w:ascii="仿宋_GB2312" w:hAnsi="宋体" w:eastAsia="仿宋_GB2312" w:cs="Arial"/>
          <w:snapToGrid w:val="0"/>
          <w:color w:val="000000"/>
          <w:sz w:val="32"/>
          <w:szCs w:val="32"/>
          <w:lang w:val="en-US" w:eastAsia="zh-CN" w:bidi="ar-SA"/>
        </w:rPr>
        <w:t>无</w:t>
      </w:r>
    </w:p>
    <w:p>
      <w:pPr>
        <w:keepNext w:val="0"/>
        <w:keepLines w:val="0"/>
        <w:pageBreakBefore w:val="0"/>
        <w:widowControl w:val="0"/>
        <w:numPr>
          <w:ilvl w:val="0"/>
          <w:numId w:val="4"/>
        </w:numPr>
        <w:kinsoku/>
        <w:wordWrap/>
        <w:overflowPunct/>
        <w:topLinePunct w:val="0"/>
        <w:autoSpaceDE/>
        <w:autoSpaceDN/>
        <w:bidi w:val="0"/>
        <w:adjustRightInd/>
        <w:snapToGrid/>
        <w:spacing w:line="640" w:lineRule="exact"/>
        <w:ind w:left="0" w:leftChars="0"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部门整体支出绩效自评结果拟应用和公开情况</w:t>
      </w:r>
    </w:p>
    <w:p>
      <w:pPr>
        <w:pStyle w:val="2"/>
        <w:numPr>
          <w:ilvl w:val="0"/>
          <w:numId w:val="0"/>
        </w:numPr>
        <w:ind w:leftChars="200"/>
        <w:rPr>
          <w:rFonts w:hint="eastAsia" w:ascii="仿宋_GB2312" w:hAnsi="宋体" w:eastAsia="仿宋_GB2312" w:cs="Arial"/>
          <w:snapToGrid w:val="0"/>
          <w:color w:val="000000"/>
          <w:sz w:val="32"/>
          <w:szCs w:val="32"/>
          <w:lang w:val="en-US" w:eastAsia="zh-CN" w:bidi="ar-SA"/>
        </w:rPr>
      </w:pPr>
      <w:r>
        <w:rPr>
          <w:rFonts w:hint="eastAsia" w:eastAsia="宋体"/>
          <w:lang w:val="en-US" w:eastAsia="zh-CN"/>
        </w:rPr>
        <w:t xml:space="preserve">  </w:t>
      </w:r>
      <w:r>
        <w:rPr>
          <w:rFonts w:hint="eastAsia" w:ascii="仿宋_GB2312" w:hAnsi="宋体" w:eastAsia="仿宋_GB2312" w:cs="Arial"/>
          <w:snapToGrid w:val="0"/>
          <w:color w:val="000000"/>
          <w:sz w:val="32"/>
          <w:szCs w:val="32"/>
          <w:lang w:val="en-US" w:eastAsia="zh-CN" w:bidi="ar-SA"/>
        </w:rPr>
        <w:t>按规定公开</w:t>
      </w:r>
    </w:p>
    <w:p>
      <w:bookmarkStart w:id="0" w:name="_GoBack"/>
      <w:bookmarkEnd w:id="0"/>
    </w:p>
    <w:sectPr>
      <w:footerReference r:id="rId3" w:type="default"/>
      <w:pgSz w:w="11907" w:h="16839"/>
      <w:pgMar w:top="2098" w:right="1474" w:bottom="1985" w:left="1588" w:header="0" w:footer="1588" w:gutter="0"/>
      <w:pgNumType w:fmt="numberInDash"/>
      <w:cols w:space="720" w:num="1"/>
      <w:titlePg/>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11 -</w:t>
    </w:r>
    <w:r>
      <w:rPr>
        <w:rFonts w:asciiTheme="minorEastAsia" w:hAnsiTheme="minorEastAsia" w:eastAsiaTheme="minorEastAsia"/>
        <w:sz w:val="28"/>
        <w:szCs w:val="2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7ADB1A"/>
    <w:multiLevelType w:val="singleLevel"/>
    <w:tmpl w:val="A17ADB1A"/>
    <w:lvl w:ilvl="0" w:tentative="0">
      <w:start w:val="2"/>
      <w:numFmt w:val="chineseCounting"/>
      <w:suff w:val="nothing"/>
      <w:lvlText w:val="（%1）"/>
      <w:lvlJc w:val="left"/>
      <w:rPr>
        <w:rFonts w:hint="eastAsia"/>
      </w:rPr>
    </w:lvl>
  </w:abstractNum>
  <w:abstractNum w:abstractNumId="1">
    <w:nsid w:val="AC28F42B"/>
    <w:multiLevelType w:val="singleLevel"/>
    <w:tmpl w:val="AC28F42B"/>
    <w:lvl w:ilvl="0" w:tentative="0">
      <w:start w:val="1"/>
      <w:numFmt w:val="chineseCounting"/>
      <w:suff w:val="nothing"/>
      <w:lvlText w:val="%1、"/>
      <w:lvlJc w:val="left"/>
      <w:rPr>
        <w:rFonts w:hint="eastAsia"/>
      </w:rPr>
    </w:lvl>
  </w:abstractNum>
  <w:abstractNum w:abstractNumId="2">
    <w:nsid w:val="B2DA6613"/>
    <w:multiLevelType w:val="singleLevel"/>
    <w:tmpl w:val="B2DA6613"/>
    <w:lvl w:ilvl="0" w:tentative="0">
      <w:start w:val="7"/>
      <w:numFmt w:val="chineseCounting"/>
      <w:suff w:val="nothing"/>
      <w:lvlText w:val="%1、"/>
      <w:lvlJc w:val="left"/>
      <w:rPr>
        <w:rFonts w:hint="eastAsia"/>
      </w:rPr>
    </w:lvl>
  </w:abstractNum>
  <w:abstractNum w:abstractNumId="3">
    <w:nsid w:val="618790D3"/>
    <w:multiLevelType w:val="singleLevel"/>
    <w:tmpl w:val="618790D3"/>
    <w:lvl w:ilvl="0" w:tentative="0">
      <w:start w:val="2"/>
      <w:numFmt w:val="chineseCounting"/>
      <w:suff w:val="nothing"/>
      <w:lvlText w:val="（%1）"/>
      <w:lvlJc w:val="left"/>
      <w:rPr>
        <w:rFonts w:hint="eastAsia"/>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kMjMyN2ZmN2FjMmRlMjE1MjRjMTgwNjZjNDI3MzUifQ=="/>
  </w:docVars>
  <w:rsids>
    <w:rsidRoot w:val="00000000"/>
    <w:rsid w:val="129D6DD5"/>
    <w:rsid w:val="2ED95618"/>
    <w:rsid w:val="36113430"/>
    <w:rsid w:val="40163646"/>
    <w:rsid w:val="53256821"/>
    <w:rsid w:val="59097FD3"/>
    <w:rsid w:val="77564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99"/>
    <w:pPr>
      <w:spacing w:before="120" w:after="200" w:line="276" w:lineRule="auto"/>
    </w:pPr>
    <w:rPr>
      <w:rFonts w:ascii="Arial" w:hAnsi="Arial"/>
      <w:sz w:val="24"/>
    </w:rPr>
  </w:style>
  <w:style w:type="paragraph" w:styleId="3">
    <w:name w:val="Body Text"/>
    <w:basedOn w:val="1"/>
    <w:semiHidden/>
    <w:qFormat/>
    <w:uiPriority w:val="0"/>
    <w:pPr>
      <w:spacing w:before="20" w:line="222" w:lineRule="auto"/>
    </w:pPr>
    <w:rPr>
      <w:rFonts w:ascii="仿宋" w:hAnsi="仿宋" w:eastAsia="仿宋" w:cs="仿宋"/>
      <w:sz w:val="35"/>
      <w:szCs w:val="35"/>
    </w:rPr>
  </w:style>
  <w:style w:type="paragraph" w:styleId="4">
    <w:name w:val="footer"/>
    <w:basedOn w:val="1"/>
    <w:qFormat/>
    <w:uiPriority w:val="99"/>
    <w:pPr>
      <w:tabs>
        <w:tab w:val="center" w:pos="4153"/>
        <w:tab w:val="right" w:pos="8306"/>
      </w:tabs>
      <w:spacing w:line="560" w:lineRule="exact"/>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943</Words>
  <Characters>992</Characters>
  <Lines>0</Lines>
  <Paragraphs>0</Paragraphs>
  <TotalTime>3</TotalTime>
  <ScaleCrop>false</ScaleCrop>
  <LinksUpToDate>false</LinksUpToDate>
  <CharactersWithSpaces>1005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2026-05-27T07:02:00Z</dcterms:created>
  <dc:creator>Administrator</dc:creator>
  <cp:lastModifiedBy>Administrator</cp:lastModifiedBy>
  <dcterms:modified xsi:type="dcterms:W3CDTF">2026-09-21T01:51:19Z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D4CB9AE18AC14E1481A2A8DF02C8A42D</vt:lpwstr>
  </property>
</Properties>
</file>