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5C4A6F">
      <w:pPr>
        <w:widowControl/>
        <w:kinsoku w:val="0"/>
        <w:autoSpaceDE w:val="0"/>
        <w:autoSpaceDN w:val="0"/>
        <w:adjustRightInd w:val="0"/>
        <w:snapToGrid w:val="0"/>
        <w:spacing w:before="166" w:line="290" w:lineRule="auto"/>
        <w:ind w:left="3585" w:right="550" w:hanging="1909"/>
        <w:jc w:val="both"/>
        <w:textAlignment w:val="baseline"/>
        <w:rPr>
          <w:rFonts w:hint="default" w:ascii="宋体" w:hAnsi="宋体" w:eastAsia="宋体" w:cs="宋体"/>
          <w:b/>
          <w:bCs/>
          <w:snapToGrid w:val="0"/>
          <w:color w:val="000000"/>
          <w:spacing w:val="1"/>
          <w:kern w:val="0"/>
          <w:sz w:val="42"/>
          <w:szCs w:val="42"/>
          <w:lang w:val="en-US" w:eastAsia="zh-CN"/>
        </w:rPr>
      </w:pPr>
      <w:r>
        <w:rPr>
          <w:rFonts w:ascii="宋体" w:hAnsi="宋体" w:eastAsia="宋体" w:cs="宋体"/>
          <w:b/>
          <w:bCs/>
          <w:snapToGrid w:val="0"/>
          <w:color w:val="000000"/>
          <w:spacing w:val="1"/>
          <w:kern w:val="0"/>
          <w:sz w:val="42"/>
          <w:szCs w:val="42"/>
          <w:lang w:eastAsia="en-US"/>
        </w:rPr>
        <w:t>202</w:t>
      </w:r>
      <w:r>
        <w:rPr>
          <w:rFonts w:hint="eastAsia" w:ascii="宋体" w:hAnsi="宋体" w:eastAsia="宋体" w:cs="宋体"/>
          <w:b/>
          <w:bCs/>
          <w:snapToGrid w:val="0"/>
          <w:color w:val="000000"/>
          <w:spacing w:val="1"/>
          <w:kern w:val="0"/>
          <w:sz w:val="42"/>
          <w:szCs w:val="42"/>
          <w:lang w:val="en-US" w:eastAsia="zh-CN"/>
        </w:rPr>
        <w:t>5</w:t>
      </w:r>
      <w:r>
        <w:rPr>
          <w:rFonts w:ascii="宋体" w:hAnsi="宋体" w:eastAsia="宋体" w:cs="宋体"/>
          <w:b/>
          <w:bCs/>
          <w:snapToGrid w:val="0"/>
          <w:color w:val="000000"/>
          <w:spacing w:val="1"/>
          <w:kern w:val="0"/>
          <w:sz w:val="42"/>
          <w:szCs w:val="42"/>
          <w:lang w:eastAsia="en-US"/>
        </w:rPr>
        <w:t>年度</w:t>
      </w:r>
      <w:r>
        <w:rPr>
          <w:rFonts w:hint="eastAsia" w:ascii="宋体" w:hAnsi="宋体" w:eastAsia="宋体" w:cs="宋体"/>
          <w:b/>
          <w:bCs/>
          <w:snapToGrid w:val="0"/>
          <w:color w:val="000000"/>
          <w:spacing w:val="1"/>
          <w:kern w:val="0"/>
          <w:sz w:val="42"/>
          <w:szCs w:val="42"/>
          <w:lang w:val="en-US" w:eastAsia="zh-CN"/>
        </w:rPr>
        <w:t>岳阳县机关事务管理中心</w:t>
      </w:r>
    </w:p>
    <w:p w14:paraId="31BE3E3A">
      <w:pPr>
        <w:widowControl/>
        <w:kinsoku w:val="0"/>
        <w:autoSpaceDE w:val="0"/>
        <w:autoSpaceDN w:val="0"/>
        <w:adjustRightInd w:val="0"/>
        <w:snapToGrid w:val="0"/>
        <w:spacing w:before="166" w:line="290" w:lineRule="auto"/>
        <w:ind w:left="3693" w:leftChars="1343" w:right="550" w:hanging="873" w:hangingChars="206"/>
        <w:jc w:val="both"/>
        <w:textAlignment w:val="baseline"/>
        <w:rPr>
          <w:rFonts w:ascii="宋体" w:hAnsi="宋体" w:eastAsia="宋体" w:cs="宋体"/>
          <w:snapToGrid w:val="0"/>
          <w:color w:val="000000"/>
          <w:kern w:val="0"/>
          <w:sz w:val="42"/>
          <w:szCs w:val="42"/>
          <w:lang w:eastAsia="en-US"/>
        </w:rPr>
      </w:pPr>
      <w:r>
        <w:rPr>
          <w:rFonts w:ascii="宋体" w:hAnsi="宋体" w:eastAsia="宋体" w:cs="宋体"/>
          <w:b/>
          <w:bCs/>
          <w:snapToGrid w:val="0"/>
          <w:color w:val="000000"/>
          <w:spacing w:val="1"/>
          <w:kern w:val="0"/>
          <w:sz w:val="42"/>
          <w:szCs w:val="42"/>
          <w:lang w:eastAsia="en-US"/>
        </w:rPr>
        <w:t>整体支出</w:t>
      </w:r>
      <w:r>
        <w:rPr>
          <w:rFonts w:ascii="宋体" w:hAnsi="宋体" w:eastAsia="宋体" w:cs="宋体"/>
          <w:b/>
          <w:bCs/>
          <w:snapToGrid w:val="0"/>
          <w:color w:val="000000"/>
          <w:spacing w:val="8"/>
          <w:kern w:val="0"/>
          <w:sz w:val="42"/>
          <w:szCs w:val="42"/>
          <w:lang w:eastAsia="en-US"/>
        </w:rPr>
        <w:t>绩效自评报告</w:t>
      </w:r>
    </w:p>
    <w:p w14:paraId="D79E408D">
      <w:pPr>
        <w:widowControl/>
        <w:kinsoku w:val="0"/>
        <w:autoSpaceDE w:val="0"/>
        <w:autoSpaceDN w:val="0"/>
        <w:adjustRightInd w:val="0"/>
        <w:snapToGrid w:val="0"/>
        <w:spacing w:line="24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21C586FA">
      <w:pPr>
        <w:widowControl/>
        <w:kinsoku w:val="0"/>
        <w:autoSpaceDE w:val="0"/>
        <w:autoSpaceDN w:val="0"/>
        <w:adjustRightInd w:val="0"/>
        <w:snapToGrid w:val="0"/>
        <w:spacing w:line="24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A07271D2">
      <w:pPr>
        <w:widowControl/>
        <w:kinsoku w:val="0"/>
        <w:autoSpaceDE w:val="0"/>
        <w:autoSpaceDN w:val="0"/>
        <w:adjustRightInd w:val="0"/>
        <w:snapToGrid w:val="0"/>
        <w:spacing w:line="24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57CEC4DC">
      <w:pPr>
        <w:widowControl/>
        <w:kinsoku w:val="0"/>
        <w:autoSpaceDE w:val="0"/>
        <w:autoSpaceDN w:val="0"/>
        <w:adjustRightInd w:val="0"/>
        <w:snapToGrid w:val="0"/>
        <w:spacing w:line="24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0DF5B41D">
      <w:pPr>
        <w:widowControl/>
        <w:kinsoku w:val="0"/>
        <w:autoSpaceDE w:val="0"/>
        <w:autoSpaceDN w:val="0"/>
        <w:adjustRightInd w:val="0"/>
        <w:snapToGrid w:val="0"/>
        <w:spacing w:line="24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F5A4EDB9">
      <w:pPr>
        <w:widowControl/>
        <w:kinsoku w:val="0"/>
        <w:autoSpaceDE w:val="0"/>
        <w:autoSpaceDN w:val="0"/>
        <w:adjustRightInd w:val="0"/>
        <w:snapToGrid w:val="0"/>
        <w:spacing w:line="24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F61574D7">
      <w:pPr>
        <w:widowControl/>
        <w:kinsoku w:val="0"/>
        <w:autoSpaceDE w:val="0"/>
        <w:autoSpaceDN w:val="0"/>
        <w:adjustRightInd w:val="0"/>
        <w:snapToGrid w:val="0"/>
        <w:spacing w:line="24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3A21DFA9">
      <w:pPr>
        <w:widowControl/>
        <w:kinsoku w:val="0"/>
        <w:autoSpaceDE w:val="0"/>
        <w:autoSpaceDN w:val="0"/>
        <w:adjustRightInd w:val="0"/>
        <w:snapToGrid w:val="0"/>
        <w:spacing w:line="24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B184E1D8">
      <w:pPr>
        <w:widowControl/>
        <w:kinsoku w:val="0"/>
        <w:autoSpaceDE w:val="0"/>
        <w:autoSpaceDN w:val="0"/>
        <w:adjustRightInd w:val="0"/>
        <w:snapToGrid w:val="0"/>
        <w:spacing w:line="24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634EF9D6">
      <w:pPr>
        <w:widowControl/>
        <w:kinsoku w:val="0"/>
        <w:autoSpaceDE w:val="0"/>
        <w:autoSpaceDN w:val="0"/>
        <w:adjustRightInd w:val="0"/>
        <w:snapToGrid w:val="0"/>
        <w:spacing w:line="24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CA2D6C3D">
      <w:pPr>
        <w:widowControl/>
        <w:kinsoku w:val="0"/>
        <w:autoSpaceDE w:val="0"/>
        <w:autoSpaceDN w:val="0"/>
        <w:adjustRightInd w:val="0"/>
        <w:snapToGrid w:val="0"/>
        <w:spacing w:line="24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BE447159">
      <w:pPr>
        <w:widowControl/>
        <w:kinsoku w:val="0"/>
        <w:autoSpaceDE w:val="0"/>
        <w:autoSpaceDN w:val="0"/>
        <w:adjustRightInd w:val="0"/>
        <w:snapToGrid w:val="0"/>
        <w:spacing w:line="24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5DB6FBE1">
      <w:pPr>
        <w:widowControl/>
        <w:kinsoku w:val="0"/>
        <w:autoSpaceDE w:val="0"/>
        <w:autoSpaceDN w:val="0"/>
        <w:adjustRightInd w:val="0"/>
        <w:snapToGrid w:val="0"/>
        <w:spacing w:line="24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DE44644B">
      <w:pPr>
        <w:widowControl/>
        <w:kinsoku w:val="0"/>
        <w:autoSpaceDE w:val="0"/>
        <w:autoSpaceDN w:val="0"/>
        <w:adjustRightInd w:val="0"/>
        <w:snapToGrid w:val="0"/>
        <w:spacing w:line="24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522A2C09">
      <w:pPr>
        <w:widowControl/>
        <w:kinsoku w:val="0"/>
        <w:autoSpaceDE w:val="0"/>
        <w:autoSpaceDN w:val="0"/>
        <w:adjustRightInd w:val="0"/>
        <w:snapToGrid w:val="0"/>
        <w:spacing w:line="24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7E03651A">
      <w:pPr>
        <w:widowControl/>
        <w:kinsoku w:val="0"/>
        <w:autoSpaceDE w:val="0"/>
        <w:autoSpaceDN w:val="0"/>
        <w:adjustRightInd w:val="0"/>
        <w:snapToGrid w:val="0"/>
        <w:spacing w:line="24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82C5E08C">
      <w:pPr>
        <w:widowControl/>
        <w:kinsoku w:val="0"/>
        <w:autoSpaceDE w:val="0"/>
        <w:autoSpaceDN w:val="0"/>
        <w:adjustRightInd w:val="0"/>
        <w:snapToGrid w:val="0"/>
        <w:spacing w:line="24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F3F182BA">
      <w:pPr>
        <w:widowControl/>
        <w:kinsoku w:val="0"/>
        <w:autoSpaceDE w:val="0"/>
        <w:autoSpaceDN w:val="0"/>
        <w:adjustRightInd w:val="0"/>
        <w:snapToGrid w:val="0"/>
        <w:spacing w:line="24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2674C3E0">
      <w:pPr>
        <w:widowControl/>
        <w:kinsoku w:val="0"/>
        <w:autoSpaceDE w:val="0"/>
        <w:autoSpaceDN w:val="0"/>
        <w:adjustRightInd w:val="0"/>
        <w:snapToGrid w:val="0"/>
        <w:spacing w:line="24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718F0D6B">
      <w:pPr>
        <w:widowControl/>
        <w:kinsoku w:val="0"/>
        <w:autoSpaceDE w:val="0"/>
        <w:autoSpaceDN w:val="0"/>
        <w:adjustRightInd w:val="0"/>
        <w:snapToGrid w:val="0"/>
        <w:spacing w:line="24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9482CA95">
      <w:pPr>
        <w:widowControl/>
        <w:kinsoku w:val="0"/>
        <w:autoSpaceDE w:val="0"/>
        <w:autoSpaceDN w:val="0"/>
        <w:adjustRightInd w:val="0"/>
        <w:snapToGrid w:val="0"/>
        <w:spacing w:line="24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818B0C5B">
      <w:pPr>
        <w:widowControl/>
        <w:kinsoku w:val="0"/>
        <w:autoSpaceDE w:val="0"/>
        <w:autoSpaceDN w:val="0"/>
        <w:adjustRightInd w:val="0"/>
        <w:snapToGrid w:val="0"/>
        <w:spacing w:line="24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855E652F">
      <w:pPr>
        <w:widowControl/>
        <w:kinsoku w:val="0"/>
        <w:autoSpaceDE w:val="0"/>
        <w:autoSpaceDN w:val="0"/>
        <w:adjustRightInd w:val="0"/>
        <w:snapToGrid w:val="0"/>
        <w:spacing w:line="24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7D3885BB">
      <w:pPr>
        <w:widowControl/>
        <w:kinsoku w:val="0"/>
        <w:autoSpaceDE w:val="0"/>
        <w:autoSpaceDN w:val="0"/>
        <w:adjustRightInd w:val="0"/>
        <w:snapToGrid w:val="0"/>
        <w:spacing w:line="247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020DC37A">
      <w:pPr>
        <w:widowControl/>
        <w:kinsoku w:val="0"/>
        <w:autoSpaceDE w:val="0"/>
        <w:autoSpaceDN w:val="0"/>
        <w:adjustRightInd w:val="0"/>
        <w:snapToGrid w:val="0"/>
        <w:spacing w:line="248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418CA6EF">
      <w:pPr>
        <w:widowControl/>
        <w:kinsoku w:val="0"/>
        <w:autoSpaceDE w:val="0"/>
        <w:autoSpaceDN w:val="0"/>
        <w:adjustRightInd w:val="0"/>
        <w:snapToGrid w:val="0"/>
        <w:spacing w:line="248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30D2A05D">
      <w:pPr>
        <w:widowControl/>
        <w:kinsoku w:val="0"/>
        <w:autoSpaceDE w:val="0"/>
        <w:autoSpaceDN w:val="0"/>
        <w:adjustRightInd w:val="0"/>
        <w:snapToGrid w:val="0"/>
        <w:spacing w:line="248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A68F03DA">
      <w:pPr>
        <w:widowControl/>
        <w:kinsoku w:val="0"/>
        <w:autoSpaceDE w:val="0"/>
        <w:autoSpaceDN w:val="0"/>
        <w:adjustRightInd w:val="0"/>
        <w:snapToGrid w:val="0"/>
        <w:spacing w:line="248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1817413D">
      <w:pPr>
        <w:widowControl/>
        <w:kinsoku w:val="0"/>
        <w:autoSpaceDE w:val="0"/>
        <w:autoSpaceDN w:val="0"/>
        <w:adjustRightInd w:val="0"/>
        <w:snapToGrid w:val="0"/>
        <w:spacing w:line="248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E7735B71">
      <w:pPr>
        <w:widowControl/>
        <w:kinsoku w:val="0"/>
        <w:autoSpaceDE w:val="0"/>
        <w:autoSpaceDN w:val="0"/>
        <w:adjustRightInd w:val="0"/>
        <w:snapToGrid w:val="0"/>
        <w:spacing w:line="248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81940550">
      <w:pPr>
        <w:widowControl/>
        <w:kinsoku w:val="0"/>
        <w:autoSpaceDE w:val="0"/>
        <w:autoSpaceDN w:val="0"/>
        <w:adjustRightInd w:val="0"/>
        <w:snapToGrid w:val="0"/>
        <w:spacing w:line="248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7D24E6A5">
      <w:pPr>
        <w:widowControl/>
        <w:kinsoku w:val="0"/>
        <w:autoSpaceDE w:val="0"/>
        <w:autoSpaceDN w:val="0"/>
        <w:adjustRightInd w:val="0"/>
        <w:snapToGrid w:val="0"/>
        <w:spacing w:before="91" w:line="224" w:lineRule="auto"/>
        <w:ind w:firstLine="1898" w:firstLineChars="700"/>
        <w:jc w:val="left"/>
        <w:textAlignment w:val="baseline"/>
        <w:rPr>
          <w:rFonts w:hint="default" w:ascii="楷体" w:hAnsi="楷体" w:eastAsia="楷体" w:cs="楷体"/>
          <w:snapToGrid w:val="0"/>
          <w:color w:val="000000"/>
          <w:kern w:val="0"/>
          <w:sz w:val="28"/>
          <w:szCs w:val="28"/>
          <w:lang w:val="en-US" w:eastAsia="zh-CN"/>
        </w:rPr>
      </w:pPr>
      <w:r>
        <w:rPr>
          <w:rFonts w:ascii="楷体" w:hAnsi="楷体" w:eastAsia="楷体" w:cs="楷体"/>
          <w:b/>
          <w:bCs/>
          <w:snapToGrid w:val="0"/>
          <w:color w:val="000000"/>
          <w:spacing w:val="-5"/>
          <w:kern w:val="0"/>
          <w:sz w:val="28"/>
          <w:szCs w:val="28"/>
          <w:lang w:eastAsia="en-US"/>
        </w:rPr>
        <w:t>部门(单位)名称：</w:t>
      </w:r>
      <w:r>
        <w:rPr>
          <w:rFonts w:ascii="楷体" w:hAnsi="楷体" w:eastAsia="楷体" w:cs="楷体"/>
          <w:snapToGrid w:val="0"/>
          <w:color w:val="000000"/>
          <w:spacing w:val="-76"/>
          <w:kern w:val="0"/>
          <w:sz w:val="28"/>
          <w:szCs w:val="28"/>
          <w:lang w:eastAsia="en-US"/>
        </w:rPr>
        <w:t xml:space="preserve"> </w:t>
      </w:r>
      <w:r>
        <w:rPr>
          <w:rFonts w:ascii="楷体" w:hAnsi="楷体" w:eastAsia="楷体" w:cs="楷体"/>
          <w:snapToGrid w:val="0"/>
          <w:color w:val="000000"/>
          <w:spacing w:val="-77"/>
          <w:kern w:val="0"/>
          <w:sz w:val="28"/>
          <w:szCs w:val="28"/>
          <w:u w:val="single" w:color="auto"/>
          <w:lang w:eastAsia="en-US"/>
        </w:rPr>
        <w:t xml:space="preserve"> </w:t>
      </w:r>
      <w:r>
        <w:rPr>
          <w:rFonts w:hint="eastAsia" w:ascii="楷体" w:hAnsi="楷体" w:eastAsia="楷体" w:cs="楷体"/>
          <w:b/>
          <w:bCs/>
          <w:snapToGrid w:val="0"/>
          <w:color w:val="000000"/>
          <w:spacing w:val="-5"/>
          <w:kern w:val="0"/>
          <w:sz w:val="28"/>
          <w:szCs w:val="28"/>
          <w:u w:val="single" w:color="auto"/>
          <w:lang w:val="en-US" w:eastAsia="zh-CN"/>
        </w:rPr>
        <w:t>岳阳县机关事务管理中心</w:t>
      </w:r>
    </w:p>
    <w:p w14:paraId="1C72607B">
      <w:pPr>
        <w:widowControl/>
        <w:kinsoku w:val="0"/>
        <w:autoSpaceDE w:val="0"/>
        <w:autoSpaceDN w:val="0"/>
        <w:adjustRightInd w:val="0"/>
        <w:snapToGrid w:val="0"/>
        <w:spacing w:before="290" w:line="225" w:lineRule="auto"/>
        <w:ind w:firstLine="3264" w:firstLineChars="1300"/>
        <w:jc w:val="left"/>
        <w:textAlignment w:val="baseline"/>
        <w:rPr>
          <w:rFonts w:ascii="楷体" w:hAnsi="楷体" w:eastAsia="楷体" w:cs="楷体"/>
          <w:snapToGrid w:val="0"/>
          <w:color w:val="000000"/>
          <w:kern w:val="0"/>
          <w:sz w:val="28"/>
          <w:szCs w:val="28"/>
          <w:lang w:eastAsia="en-US"/>
        </w:rPr>
      </w:pPr>
      <w:r>
        <w:rPr>
          <w:rFonts w:hint="eastAsia" w:ascii="楷体" w:hAnsi="楷体" w:eastAsia="楷体" w:cs="楷体"/>
          <w:b/>
          <w:bCs/>
          <w:snapToGrid w:val="0"/>
          <w:color w:val="000000"/>
          <w:spacing w:val="-15"/>
          <w:kern w:val="0"/>
          <w:sz w:val="28"/>
          <w:szCs w:val="28"/>
          <w:lang w:val="en-US" w:eastAsia="zh-CN"/>
        </w:rPr>
        <w:t xml:space="preserve">2026 </w:t>
      </w:r>
      <w:r>
        <w:rPr>
          <w:rFonts w:ascii="楷体" w:hAnsi="楷体" w:eastAsia="楷体" w:cs="楷体"/>
          <w:b/>
          <w:bCs/>
          <w:snapToGrid w:val="0"/>
          <w:color w:val="000000"/>
          <w:spacing w:val="-15"/>
          <w:kern w:val="0"/>
          <w:sz w:val="28"/>
          <w:szCs w:val="28"/>
          <w:lang w:eastAsia="en-US"/>
        </w:rPr>
        <w:t>年</w:t>
      </w:r>
      <w:r>
        <w:rPr>
          <w:rFonts w:ascii="楷体" w:hAnsi="楷体" w:eastAsia="楷体" w:cs="楷体"/>
          <w:snapToGrid w:val="0"/>
          <w:color w:val="000000"/>
          <w:spacing w:val="27"/>
          <w:kern w:val="0"/>
          <w:sz w:val="28"/>
          <w:szCs w:val="28"/>
          <w:lang w:eastAsia="en-US"/>
        </w:rPr>
        <w:t xml:space="preserve"> </w:t>
      </w:r>
      <w:r>
        <w:rPr>
          <w:rFonts w:hint="eastAsia" w:ascii="楷体" w:hAnsi="楷体" w:eastAsia="楷体" w:cs="楷体"/>
          <w:b/>
          <w:bCs/>
          <w:snapToGrid w:val="0"/>
          <w:color w:val="000000"/>
          <w:spacing w:val="27"/>
          <w:kern w:val="0"/>
          <w:sz w:val="28"/>
          <w:szCs w:val="28"/>
          <w:lang w:val="en-US" w:eastAsia="zh-CN"/>
        </w:rPr>
        <w:t>5</w:t>
      </w:r>
      <w:r>
        <w:rPr>
          <w:rFonts w:hint="eastAsia" w:ascii="楷体" w:hAnsi="楷体" w:eastAsia="楷体" w:cs="楷体"/>
          <w:snapToGrid w:val="0"/>
          <w:color w:val="000000"/>
          <w:spacing w:val="27"/>
          <w:kern w:val="0"/>
          <w:sz w:val="28"/>
          <w:szCs w:val="28"/>
          <w:lang w:val="en-US" w:eastAsia="zh-CN"/>
        </w:rPr>
        <w:t xml:space="preserve"> </w:t>
      </w:r>
      <w:r>
        <w:rPr>
          <w:rFonts w:ascii="楷体" w:hAnsi="楷体" w:eastAsia="楷体" w:cs="楷体"/>
          <w:b/>
          <w:bCs/>
          <w:snapToGrid w:val="0"/>
          <w:color w:val="000000"/>
          <w:spacing w:val="-15"/>
          <w:kern w:val="0"/>
          <w:sz w:val="28"/>
          <w:szCs w:val="28"/>
          <w:lang w:eastAsia="en-US"/>
        </w:rPr>
        <w:t>月</w:t>
      </w:r>
      <w:r>
        <w:rPr>
          <w:rFonts w:hint="eastAsia" w:ascii="楷体" w:hAnsi="楷体" w:eastAsia="楷体" w:cs="楷体"/>
          <w:b/>
          <w:bCs/>
          <w:snapToGrid w:val="0"/>
          <w:color w:val="000000"/>
          <w:spacing w:val="-15"/>
          <w:kern w:val="0"/>
          <w:sz w:val="28"/>
          <w:szCs w:val="28"/>
          <w:lang w:val="en-US" w:eastAsia="zh-CN"/>
        </w:rPr>
        <w:t xml:space="preserve"> 19 </w:t>
      </w:r>
      <w:r>
        <w:rPr>
          <w:rFonts w:ascii="楷体" w:hAnsi="楷体" w:eastAsia="楷体" w:cs="楷体"/>
          <w:b/>
          <w:bCs/>
          <w:snapToGrid w:val="0"/>
          <w:color w:val="000000"/>
          <w:spacing w:val="-15"/>
          <w:kern w:val="0"/>
          <w:sz w:val="28"/>
          <w:szCs w:val="28"/>
          <w:lang w:eastAsia="en-US"/>
        </w:rPr>
        <w:t>日</w:t>
      </w:r>
    </w:p>
    <w:p w14:paraId="4D2F4B08">
      <w:pPr>
        <w:spacing w:line="230" w:lineRule="auto"/>
        <w:rPr>
          <w:rFonts w:ascii="楷体" w:hAnsi="楷体" w:eastAsia="楷体" w:cs="楷体"/>
          <w:sz w:val="28"/>
          <w:szCs w:val="28"/>
        </w:rPr>
        <w:sectPr>
          <w:headerReference r:id="rId3" w:type="default"/>
          <w:footerReference r:id="rId4" w:type="default"/>
          <w:pgSz w:w="11900" w:h="16830"/>
          <w:pgMar w:top="2445" w:right="1785" w:bottom="2000" w:left="1480" w:header="2014" w:footer="1637" w:gutter="0"/>
          <w:cols w:space="720" w:num="1"/>
        </w:sectPr>
      </w:pPr>
    </w:p>
    <w:p w14:paraId="96E5A0C3">
      <w:pPr>
        <w:widowControl/>
        <w:kinsoku w:val="0"/>
        <w:autoSpaceDE w:val="0"/>
        <w:autoSpaceDN w:val="0"/>
        <w:adjustRightInd w:val="0"/>
        <w:snapToGrid w:val="0"/>
        <w:spacing w:line="268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CFD15090">
      <w:pPr>
        <w:widowControl/>
        <w:kinsoku w:val="0"/>
        <w:autoSpaceDE w:val="0"/>
        <w:autoSpaceDN w:val="0"/>
        <w:adjustRightInd w:val="0"/>
        <w:snapToGrid w:val="0"/>
        <w:spacing w:line="268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DFB8FDB3">
      <w:pPr>
        <w:widowControl/>
        <w:kinsoku w:val="0"/>
        <w:autoSpaceDE w:val="0"/>
        <w:autoSpaceDN w:val="0"/>
        <w:adjustRightInd w:val="0"/>
        <w:snapToGrid w:val="0"/>
        <w:spacing w:line="269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FBD91C40">
      <w:pPr>
        <w:widowControl/>
        <w:kinsoku w:val="0"/>
        <w:autoSpaceDE w:val="0"/>
        <w:autoSpaceDN w:val="0"/>
        <w:adjustRightInd w:val="0"/>
        <w:snapToGrid w:val="0"/>
        <w:spacing w:line="269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76FCC2C3">
      <w:pPr>
        <w:widowControl/>
        <w:kinsoku w:val="0"/>
        <w:autoSpaceDE w:val="0"/>
        <w:autoSpaceDN w:val="0"/>
        <w:adjustRightInd w:val="0"/>
        <w:snapToGrid w:val="0"/>
        <w:spacing w:line="269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555DD204">
      <w:pPr>
        <w:widowControl/>
        <w:kinsoku w:val="0"/>
        <w:autoSpaceDE w:val="0"/>
        <w:autoSpaceDN w:val="0"/>
        <w:adjustRightInd w:val="0"/>
        <w:snapToGrid w:val="0"/>
        <w:spacing w:line="269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231C4008">
      <w:pPr>
        <w:widowControl/>
        <w:kinsoku w:val="0"/>
        <w:autoSpaceDE w:val="0"/>
        <w:autoSpaceDN w:val="0"/>
        <w:adjustRightInd w:val="0"/>
        <w:snapToGrid w:val="0"/>
        <w:spacing w:before="100" w:line="222" w:lineRule="auto"/>
        <w:ind w:left="679"/>
        <w:jc w:val="left"/>
        <w:textAlignment w:val="baseline"/>
        <w:rPr>
          <w:rFonts w:ascii="黑体" w:hAnsi="黑体" w:eastAsia="黑体" w:cs="黑体"/>
          <w:snapToGrid w:val="0"/>
          <w:color w:val="000000"/>
          <w:spacing w:val="-9"/>
          <w:kern w:val="0"/>
          <w:sz w:val="32"/>
          <w:szCs w:val="32"/>
          <w:lang w:eastAsia="en-US"/>
        </w:rPr>
      </w:pPr>
      <w:r>
        <w:rPr>
          <w:rFonts w:ascii="黑体" w:hAnsi="黑体" w:eastAsia="黑体" w:cs="黑体"/>
          <w:snapToGrid w:val="0"/>
          <w:color w:val="000000"/>
          <w:spacing w:val="-9"/>
          <w:kern w:val="0"/>
          <w:sz w:val="32"/>
          <w:szCs w:val="32"/>
          <w:lang w:eastAsia="en-US"/>
        </w:rPr>
        <w:t>一</w:t>
      </w:r>
      <w:r>
        <w:rPr>
          <w:rFonts w:ascii="黑体" w:hAnsi="黑体" w:eastAsia="黑体" w:cs="黑体"/>
          <w:snapToGrid w:val="0"/>
          <w:color w:val="000000"/>
          <w:spacing w:val="-86"/>
          <w:kern w:val="0"/>
          <w:sz w:val="32"/>
          <w:szCs w:val="32"/>
          <w:lang w:eastAsia="en-US"/>
        </w:rPr>
        <w:t xml:space="preserve"> </w:t>
      </w:r>
      <w:r>
        <w:rPr>
          <w:rFonts w:ascii="黑体" w:hAnsi="黑体" w:eastAsia="黑体" w:cs="黑体"/>
          <w:snapToGrid w:val="0"/>
          <w:color w:val="000000"/>
          <w:spacing w:val="-9"/>
          <w:kern w:val="0"/>
          <w:sz w:val="32"/>
          <w:szCs w:val="32"/>
          <w:lang w:eastAsia="en-US"/>
        </w:rPr>
        <w:t>、部门(单位)基本情况</w:t>
      </w:r>
    </w:p>
    <w:p w14:paraId="64A6395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我单位设8个内设部门，包括：办公室、接待股、财务股、公务用车股、办公用房股、公共机构节能股、工会、公务用车   管理服务中心。事业编制15名，设主任1名，副主任3名，正科级领导职数1名，副科级领导职数3名。</w:t>
      </w:r>
    </w:p>
    <w:p w14:paraId="6FBC3E8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left"/>
        <w:textAlignment w:val="auto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　  2025年末在职实有人数15人，其中：行政编制人员1人，事业编制人员14人。</w:t>
      </w:r>
    </w:p>
    <w:p w14:paraId="0C0DE87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职能职责：</w:t>
      </w:r>
    </w:p>
    <w:p w14:paraId="4DD141F6">
      <w:pPr>
        <w:keepNext w:val="0"/>
        <w:keepLines w:val="0"/>
        <w:pageBreakBefore w:val="0"/>
        <w:widowControl/>
        <w:tabs>
          <w:tab w:val="left" w:pos="614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150"/>
        <w:jc w:val="left"/>
        <w:textAlignment w:val="center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 xml:space="preserve">1、负责政府大院办公区设施和大型会议场所的管理与服务工作，承办县四套班子领导交办的有关会议及重要活动的后勤供应工作；                          </w:t>
      </w:r>
    </w:p>
    <w:p w14:paraId="498C294A">
      <w:pPr>
        <w:keepNext w:val="0"/>
        <w:keepLines w:val="0"/>
        <w:pageBreakBefore w:val="0"/>
        <w:widowControl/>
        <w:tabs>
          <w:tab w:val="left" w:pos="614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150"/>
        <w:jc w:val="left"/>
        <w:textAlignment w:val="center"/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2、负责机关车辆管理和调配；</w:t>
      </w:r>
    </w:p>
    <w:p w14:paraId="21F56A8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15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000000"/>
          <w:spacing w:val="-9"/>
          <w:kern w:val="0"/>
          <w:sz w:val="32"/>
          <w:szCs w:val="32"/>
          <w:lang w:eastAsia="en-US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3、负责机关办公用房的调配、管理、办公设施维修。</w:t>
      </w:r>
    </w:p>
    <w:p w14:paraId="DD220DB6">
      <w:pPr>
        <w:widowControl/>
        <w:kinsoku w:val="0"/>
        <w:autoSpaceDE w:val="0"/>
        <w:autoSpaceDN w:val="0"/>
        <w:adjustRightInd w:val="0"/>
        <w:snapToGrid w:val="0"/>
        <w:spacing w:before="214" w:line="221" w:lineRule="auto"/>
        <w:ind w:left="679"/>
        <w:jc w:val="left"/>
        <w:textAlignment w:val="baseline"/>
        <w:rPr>
          <w:rFonts w:ascii="黑体" w:hAnsi="黑体" w:eastAsia="黑体" w:cs="黑体"/>
          <w:snapToGrid w:val="0"/>
          <w:color w:val="000000"/>
          <w:kern w:val="0"/>
          <w:sz w:val="31"/>
          <w:szCs w:val="31"/>
          <w:lang w:eastAsia="en-US"/>
        </w:rPr>
      </w:pPr>
      <w:r>
        <w:rPr>
          <w:rFonts w:ascii="黑体" w:hAnsi="黑体" w:eastAsia="黑体" w:cs="黑体"/>
          <w:snapToGrid w:val="0"/>
          <w:color w:val="000000"/>
          <w:spacing w:val="4"/>
          <w:kern w:val="0"/>
          <w:sz w:val="31"/>
          <w:szCs w:val="31"/>
          <w:lang w:eastAsia="en-US"/>
        </w:rPr>
        <w:t>二、一般公共预算支出情况</w:t>
      </w:r>
    </w:p>
    <w:p w14:paraId="CA43D06B">
      <w:pPr>
        <w:kinsoku w:val="0"/>
        <w:autoSpaceDE w:val="0"/>
        <w:autoSpaceDN w:val="0"/>
        <w:adjustRightInd w:val="0"/>
        <w:snapToGrid w:val="0"/>
        <w:spacing w:before="228" w:line="226" w:lineRule="auto"/>
        <w:ind w:left="814"/>
        <w:jc w:val="left"/>
        <w:textAlignment w:val="baseline"/>
        <w:rPr>
          <w:rFonts w:ascii="仿宋" w:hAnsi="仿宋" w:eastAsia="仿宋" w:cs="仿宋"/>
          <w:snapToGrid w:val="0"/>
          <w:color w:val="000000"/>
          <w:spacing w:val="-2"/>
          <w:kern w:val="0"/>
          <w:sz w:val="31"/>
          <w:szCs w:val="31"/>
          <w:lang w:val="en-US" w:eastAsia="en-US" w:bidi="ar-SA"/>
        </w:rPr>
      </w:pPr>
      <w:r>
        <w:rPr>
          <w:rFonts w:ascii="楷体" w:hAnsi="楷体" w:eastAsia="楷体" w:cs="楷体"/>
          <w:b/>
          <w:bCs/>
          <w:snapToGrid w:val="0"/>
          <w:color w:val="000000"/>
          <w:spacing w:val="-2"/>
          <w:kern w:val="0"/>
          <w:sz w:val="31"/>
          <w:szCs w:val="31"/>
          <w:lang w:val="en-US" w:eastAsia="en-US" w:bidi="ar-SA"/>
        </w:rPr>
        <w:t>(</w:t>
      </w:r>
      <w:r>
        <w:rPr>
          <w:rFonts w:ascii="楷体" w:hAnsi="楷体" w:eastAsia="楷体" w:cs="楷体"/>
          <w:snapToGrid w:val="0"/>
          <w:color w:val="000000"/>
          <w:spacing w:val="-24"/>
          <w:kern w:val="0"/>
          <w:sz w:val="31"/>
          <w:szCs w:val="31"/>
          <w:lang w:val="en-US" w:eastAsia="en-US" w:bidi="ar-SA"/>
        </w:rPr>
        <w:t xml:space="preserve"> </w:t>
      </w:r>
      <w:r>
        <w:rPr>
          <w:rFonts w:ascii="楷体" w:hAnsi="楷体" w:eastAsia="楷体" w:cs="楷体"/>
          <w:b/>
          <w:bCs/>
          <w:snapToGrid w:val="0"/>
          <w:color w:val="000000"/>
          <w:spacing w:val="-2"/>
          <w:kern w:val="0"/>
          <w:sz w:val="31"/>
          <w:szCs w:val="31"/>
          <w:lang w:val="en-US" w:eastAsia="en-US" w:bidi="ar-SA"/>
        </w:rPr>
        <w:t>一</w:t>
      </w:r>
      <w:r>
        <w:rPr>
          <w:rFonts w:ascii="楷体" w:hAnsi="楷体" w:eastAsia="楷体" w:cs="楷体"/>
          <w:snapToGrid w:val="0"/>
          <w:color w:val="000000"/>
          <w:spacing w:val="-41"/>
          <w:kern w:val="0"/>
          <w:sz w:val="31"/>
          <w:szCs w:val="31"/>
          <w:lang w:val="en-US" w:eastAsia="en-US" w:bidi="ar-SA"/>
        </w:rPr>
        <w:t xml:space="preserve"> </w:t>
      </w:r>
      <w:r>
        <w:rPr>
          <w:rFonts w:ascii="楷体" w:hAnsi="楷体" w:eastAsia="楷体" w:cs="楷体"/>
          <w:b/>
          <w:bCs/>
          <w:snapToGrid w:val="0"/>
          <w:color w:val="000000"/>
          <w:spacing w:val="-2"/>
          <w:kern w:val="0"/>
          <w:sz w:val="31"/>
          <w:szCs w:val="31"/>
          <w:lang w:val="en-US" w:eastAsia="en-US" w:bidi="ar-SA"/>
        </w:rPr>
        <w:t>)</w:t>
      </w:r>
      <w:r>
        <w:rPr>
          <w:rFonts w:ascii="仿宋" w:hAnsi="仿宋" w:eastAsia="仿宋" w:cs="仿宋"/>
          <w:snapToGrid w:val="0"/>
          <w:color w:val="000000"/>
          <w:spacing w:val="-2"/>
          <w:kern w:val="0"/>
          <w:sz w:val="31"/>
          <w:szCs w:val="31"/>
          <w:lang w:val="en-US" w:eastAsia="en-US" w:bidi="ar-SA"/>
        </w:rPr>
        <w:t>基本支出情况</w:t>
      </w:r>
    </w:p>
    <w:p w14:paraId="1AE8216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0" w:firstLineChars="200"/>
        <w:jc w:val="both"/>
        <w:textAlignment w:val="baseline"/>
        <w:rPr>
          <w:rFonts w:ascii="Arial" w:hAnsi="Arial" w:eastAsia="Arial" w:cs="Arial"/>
          <w:snapToGrid w:val="0"/>
          <w:color w:val="auto"/>
          <w:spacing w:val="-2"/>
          <w:sz w:val="31"/>
          <w:szCs w:val="31"/>
          <w:lang w:val="en-US" w:eastAsia="en-US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2025年基本支出共756.24万元，主要用于人员经费支出653.30万元，公用经费支出102.94万元，严格控制“三公经费”管理，2025年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 w:bidi="ar-SA"/>
        </w:rPr>
        <w:t>“三公”经费合计330.97万元，公务接待费103.64万元，无因公出国（境）费用支出，公务车运行维护费227.33万元。</w:t>
      </w:r>
    </w:p>
    <w:p w14:paraId="F2932813">
      <w:pPr>
        <w:kinsoku w:val="0"/>
        <w:autoSpaceDE w:val="0"/>
        <w:autoSpaceDN w:val="0"/>
        <w:adjustRightInd w:val="0"/>
        <w:snapToGrid w:val="0"/>
        <w:spacing w:before="220" w:line="226" w:lineRule="auto"/>
        <w:ind w:left="830"/>
        <w:jc w:val="left"/>
        <w:textAlignment w:val="baseline"/>
        <w:rPr>
          <w:rFonts w:ascii="仿宋" w:hAnsi="仿宋" w:eastAsia="仿宋" w:cs="仿宋"/>
          <w:snapToGrid w:val="0"/>
          <w:color w:val="000000"/>
          <w:spacing w:val="-3"/>
          <w:kern w:val="0"/>
          <w:sz w:val="31"/>
          <w:szCs w:val="31"/>
          <w:lang w:val="en-US" w:eastAsia="en-US" w:bidi="ar-SA"/>
        </w:rPr>
      </w:pPr>
      <w:r>
        <w:rPr>
          <w:rFonts w:ascii="楷体" w:hAnsi="楷体" w:eastAsia="楷体" w:cs="楷体"/>
          <w:snapToGrid w:val="0"/>
          <w:color w:val="000000"/>
          <w:spacing w:val="-3"/>
          <w:kern w:val="0"/>
          <w:sz w:val="31"/>
          <w:szCs w:val="31"/>
          <w:lang w:val="en-US" w:eastAsia="en-US" w:bidi="ar-SA"/>
        </w:rPr>
        <w:t>(</w:t>
      </w:r>
      <w:r>
        <w:rPr>
          <w:rFonts w:ascii="楷体" w:hAnsi="楷体" w:eastAsia="楷体" w:cs="楷体"/>
          <w:snapToGrid w:val="0"/>
          <w:color w:val="000000"/>
          <w:spacing w:val="-26"/>
          <w:kern w:val="0"/>
          <w:sz w:val="31"/>
          <w:szCs w:val="31"/>
          <w:lang w:val="en-US" w:eastAsia="en-US" w:bidi="ar-SA"/>
        </w:rPr>
        <w:t xml:space="preserve"> </w:t>
      </w:r>
      <w:r>
        <w:rPr>
          <w:rFonts w:ascii="楷体" w:hAnsi="楷体" w:eastAsia="楷体" w:cs="楷体"/>
          <w:snapToGrid w:val="0"/>
          <w:color w:val="000000"/>
          <w:spacing w:val="-3"/>
          <w:kern w:val="0"/>
          <w:sz w:val="31"/>
          <w:szCs w:val="31"/>
          <w:lang w:val="en-US" w:eastAsia="en-US" w:bidi="ar-SA"/>
        </w:rPr>
        <w:t>二</w:t>
      </w:r>
      <w:r>
        <w:rPr>
          <w:rFonts w:ascii="楷体" w:hAnsi="楷体" w:eastAsia="楷体" w:cs="楷体"/>
          <w:snapToGrid w:val="0"/>
          <w:color w:val="000000"/>
          <w:spacing w:val="-36"/>
          <w:kern w:val="0"/>
          <w:sz w:val="31"/>
          <w:szCs w:val="31"/>
          <w:lang w:val="en-US" w:eastAsia="en-US" w:bidi="ar-SA"/>
        </w:rPr>
        <w:t xml:space="preserve"> </w:t>
      </w:r>
      <w:r>
        <w:rPr>
          <w:rFonts w:ascii="楷体" w:hAnsi="楷体" w:eastAsia="楷体" w:cs="楷体"/>
          <w:snapToGrid w:val="0"/>
          <w:color w:val="000000"/>
          <w:spacing w:val="-3"/>
          <w:kern w:val="0"/>
          <w:sz w:val="31"/>
          <w:szCs w:val="31"/>
          <w:lang w:val="en-US" w:eastAsia="en-US" w:bidi="ar-SA"/>
        </w:rPr>
        <w:t>)</w:t>
      </w:r>
      <w:r>
        <w:rPr>
          <w:rFonts w:ascii="仿宋" w:hAnsi="仿宋" w:eastAsia="仿宋" w:cs="仿宋"/>
          <w:snapToGrid w:val="0"/>
          <w:color w:val="000000"/>
          <w:spacing w:val="-3"/>
          <w:kern w:val="0"/>
          <w:sz w:val="31"/>
          <w:szCs w:val="31"/>
          <w:lang w:val="en-US" w:eastAsia="en-US" w:bidi="ar-SA"/>
        </w:rPr>
        <w:t>项目支出情况</w:t>
      </w:r>
    </w:p>
    <w:p w14:paraId="7D79BDE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20" w:line="360" w:lineRule="auto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 w:bidi="ar-SA"/>
        </w:rPr>
        <w:t>2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 w:bidi="ar-SA"/>
        </w:rPr>
        <w:t>025年项目支出1079.55万元，主要用于支付公务接待103.64万元、公务用车运行维护费227.33万元、租车费464.67万元、委托业务费283.91万元。</w:t>
      </w:r>
    </w:p>
    <w:p w14:paraId="50646F4B">
      <w:pPr>
        <w:widowControl/>
        <w:numPr>
          <w:ilvl w:val="0"/>
          <w:numId w:val="1"/>
        </w:numPr>
        <w:kinsoku w:val="0"/>
        <w:autoSpaceDE w:val="0"/>
        <w:autoSpaceDN w:val="0"/>
        <w:adjustRightInd w:val="0"/>
        <w:snapToGrid w:val="0"/>
        <w:spacing w:before="197" w:line="222" w:lineRule="auto"/>
        <w:ind w:left="684"/>
        <w:jc w:val="left"/>
        <w:textAlignment w:val="baseline"/>
        <w:rPr>
          <w:rFonts w:hint="eastAsia" w:ascii="黑体" w:hAnsi="黑体" w:eastAsia="黑体" w:cs="黑体"/>
          <w:b/>
          <w:bCs/>
          <w:snapToGrid w:val="0"/>
          <w:color w:val="auto"/>
          <w:kern w:val="0"/>
          <w:sz w:val="31"/>
          <w:szCs w:val="31"/>
          <w:lang w:val="en-US" w:eastAsia="zh-CN"/>
        </w:rPr>
      </w:pPr>
      <w:r>
        <w:rPr>
          <w:rFonts w:ascii="黑体" w:hAnsi="黑体" w:eastAsia="黑体" w:cs="黑体"/>
          <w:b/>
          <w:bCs/>
          <w:snapToGrid w:val="0"/>
          <w:color w:val="auto"/>
          <w:kern w:val="0"/>
          <w:sz w:val="31"/>
          <w:szCs w:val="31"/>
          <w:lang w:eastAsia="en-US"/>
        </w:rPr>
        <w:t>政府性基金预算支出情况</w:t>
      </w:r>
      <w:r>
        <w:rPr>
          <w:rFonts w:hint="eastAsia" w:ascii="黑体" w:hAnsi="黑体" w:eastAsia="黑体" w:cs="黑体"/>
          <w:b/>
          <w:bCs/>
          <w:snapToGrid w:val="0"/>
          <w:color w:val="auto"/>
          <w:kern w:val="0"/>
          <w:sz w:val="31"/>
          <w:szCs w:val="31"/>
          <w:lang w:val="en-US" w:eastAsia="zh-CN"/>
        </w:rPr>
        <w:t xml:space="preserve"> </w:t>
      </w:r>
    </w:p>
    <w:p w14:paraId="313C467E">
      <w:pPr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197" w:line="222" w:lineRule="auto"/>
        <w:jc w:val="left"/>
        <w:textAlignment w:val="baseline"/>
        <w:rPr>
          <w:rFonts w:hint="eastAsia" w:ascii="仿宋" w:hAnsi="仿宋" w:eastAsia="仿宋" w:cs="仿宋"/>
          <w:b w:val="0"/>
          <w:bCs w:val="0"/>
          <w:snapToGrid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napToGrid w:val="0"/>
          <w:color w:val="FF0000"/>
          <w:kern w:val="0"/>
          <w:sz w:val="31"/>
          <w:szCs w:val="31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b w:val="0"/>
          <w:bCs w:val="0"/>
          <w:snapToGrid w:val="0"/>
          <w:color w:val="FF0000"/>
          <w:kern w:val="0"/>
          <w:sz w:val="31"/>
          <w:szCs w:val="31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snapToGrid w:val="0"/>
          <w:color w:val="auto"/>
          <w:kern w:val="0"/>
          <w:sz w:val="32"/>
          <w:szCs w:val="32"/>
          <w:lang w:val="en-US" w:eastAsia="zh-CN"/>
        </w:rPr>
        <w:t>2025年政府性基金预算支出232.77万元，主要用于委托业务费。</w:t>
      </w:r>
    </w:p>
    <w:p w14:paraId="5DC947DC">
      <w:pPr>
        <w:widowControl/>
        <w:numPr>
          <w:ilvl w:val="0"/>
          <w:numId w:val="1"/>
        </w:numPr>
        <w:kinsoku w:val="0"/>
        <w:autoSpaceDE w:val="0"/>
        <w:autoSpaceDN w:val="0"/>
        <w:adjustRightInd w:val="0"/>
        <w:snapToGrid w:val="0"/>
        <w:spacing w:before="227" w:line="222" w:lineRule="auto"/>
        <w:ind w:left="684" w:leftChars="0" w:firstLine="0" w:firstLineChars="0"/>
        <w:jc w:val="left"/>
        <w:textAlignment w:val="baseline"/>
        <w:rPr>
          <w:rFonts w:ascii="黑体" w:hAnsi="黑体" w:eastAsia="黑体" w:cs="黑体"/>
          <w:b/>
          <w:bCs/>
          <w:snapToGrid w:val="0"/>
          <w:color w:val="auto"/>
          <w:kern w:val="0"/>
          <w:sz w:val="31"/>
          <w:szCs w:val="31"/>
          <w:lang w:eastAsia="en-US"/>
        </w:rPr>
      </w:pPr>
      <w:r>
        <w:rPr>
          <w:rFonts w:ascii="黑体" w:hAnsi="黑体" w:eastAsia="黑体" w:cs="黑体"/>
          <w:b/>
          <w:bCs/>
          <w:snapToGrid w:val="0"/>
          <w:color w:val="auto"/>
          <w:kern w:val="0"/>
          <w:sz w:val="31"/>
          <w:szCs w:val="31"/>
          <w:lang w:eastAsia="en-US"/>
        </w:rPr>
        <w:t>国有资本经营预算支出情况</w:t>
      </w:r>
    </w:p>
    <w:p w14:paraId="4C350651">
      <w:pPr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27" w:line="222" w:lineRule="auto"/>
        <w:jc w:val="left"/>
        <w:textAlignment w:val="baseline"/>
        <w:rPr>
          <w:rFonts w:hint="default" w:ascii="仿宋" w:hAnsi="仿宋" w:eastAsia="仿宋" w:cs="仿宋"/>
          <w:b w:val="0"/>
          <w:bCs w:val="0"/>
          <w:snapToGrid w:val="0"/>
          <w:color w:val="auto"/>
          <w:kern w:val="0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b/>
          <w:bCs/>
          <w:snapToGrid w:val="0"/>
          <w:color w:val="auto"/>
          <w:kern w:val="0"/>
          <w:sz w:val="31"/>
          <w:szCs w:val="31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napToGrid w:val="0"/>
          <w:color w:val="auto"/>
          <w:kern w:val="0"/>
          <w:sz w:val="31"/>
          <w:szCs w:val="31"/>
          <w:lang w:val="en-US" w:eastAsia="zh-CN"/>
        </w:rPr>
        <w:t xml:space="preserve"> 2025年国有资本经营预算支出51.15万元，主要用于困难职工补助发放。</w:t>
      </w:r>
    </w:p>
    <w:p w14:paraId="8F5899BF">
      <w:pPr>
        <w:widowControl/>
        <w:numPr>
          <w:ilvl w:val="0"/>
          <w:numId w:val="1"/>
        </w:numPr>
        <w:kinsoku w:val="0"/>
        <w:autoSpaceDE w:val="0"/>
        <w:autoSpaceDN w:val="0"/>
        <w:adjustRightInd w:val="0"/>
        <w:snapToGrid w:val="0"/>
        <w:spacing w:before="227" w:line="222" w:lineRule="auto"/>
        <w:ind w:left="684" w:leftChars="0" w:firstLine="0" w:firstLineChars="0"/>
        <w:jc w:val="left"/>
        <w:textAlignment w:val="baseline"/>
        <w:rPr>
          <w:rFonts w:hint="eastAsia" w:ascii="黑体" w:hAnsi="黑体" w:eastAsia="黑体" w:cs="黑体"/>
          <w:b/>
          <w:bCs/>
          <w:snapToGrid w:val="0"/>
          <w:color w:val="000000"/>
          <w:spacing w:val="1"/>
          <w:kern w:val="0"/>
          <w:sz w:val="31"/>
          <w:szCs w:val="31"/>
          <w:lang w:val="en-US" w:eastAsia="zh-CN"/>
        </w:rPr>
      </w:pPr>
      <w:r>
        <w:rPr>
          <w:rFonts w:ascii="黑体" w:hAnsi="黑体" w:eastAsia="黑体" w:cs="黑体"/>
          <w:b/>
          <w:bCs/>
          <w:snapToGrid w:val="0"/>
          <w:color w:val="000000"/>
          <w:spacing w:val="1"/>
          <w:kern w:val="0"/>
          <w:sz w:val="31"/>
          <w:szCs w:val="31"/>
          <w:lang w:eastAsia="en-US"/>
        </w:rPr>
        <w:t>社会保险基金预算支出情况</w:t>
      </w:r>
      <w:r>
        <w:rPr>
          <w:rFonts w:hint="eastAsia" w:ascii="黑体" w:hAnsi="黑体" w:eastAsia="黑体" w:cs="黑体"/>
          <w:b/>
          <w:bCs/>
          <w:snapToGrid w:val="0"/>
          <w:color w:val="000000"/>
          <w:spacing w:val="1"/>
          <w:kern w:val="0"/>
          <w:sz w:val="31"/>
          <w:szCs w:val="31"/>
          <w:lang w:val="en-US" w:eastAsia="zh-CN"/>
        </w:rPr>
        <w:t xml:space="preserve"> </w:t>
      </w:r>
    </w:p>
    <w:p w14:paraId="23E60534">
      <w:pPr>
        <w:widowControl/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227" w:line="222" w:lineRule="auto"/>
        <w:jc w:val="left"/>
        <w:textAlignment w:val="baseline"/>
        <w:rPr>
          <w:rFonts w:hint="default" w:ascii="黑体" w:hAnsi="黑体" w:eastAsia="黑体" w:cs="黑体"/>
          <w:b/>
          <w:bCs/>
          <w:snapToGrid w:val="0"/>
          <w:color w:val="000000"/>
          <w:spacing w:val="1"/>
          <w:kern w:val="0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b/>
          <w:bCs/>
          <w:snapToGrid w:val="0"/>
          <w:color w:val="000000"/>
          <w:spacing w:val="1"/>
          <w:kern w:val="0"/>
          <w:sz w:val="31"/>
          <w:szCs w:val="31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napToGrid w:val="0"/>
          <w:color w:val="000000"/>
          <w:spacing w:val="1"/>
          <w:kern w:val="0"/>
          <w:sz w:val="31"/>
          <w:szCs w:val="31"/>
          <w:lang w:val="en-US" w:eastAsia="zh-CN"/>
        </w:rPr>
        <w:t xml:space="preserve"> 2025年无社会保险基金预算支出。</w:t>
      </w:r>
    </w:p>
    <w:p w14:paraId="5B64FD0C">
      <w:pPr>
        <w:widowControl/>
        <w:kinsoku w:val="0"/>
        <w:autoSpaceDE w:val="0"/>
        <w:autoSpaceDN w:val="0"/>
        <w:adjustRightInd w:val="0"/>
        <w:snapToGrid w:val="0"/>
        <w:spacing w:before="227" w:line="221" w:lineRule="auto"/>
        <w:ind w:left="684"/>
        <w:jc w:val="left"/>
        <w:textAlignment w:val="baseline"/>
        <w:rPr>
          <w:rFonts w:ascii="黑体" w:hAnsi="黑体" w:eastAsia="黑体" w:cs="黑体"/>
          <w:snapToGrid w:val="0"/>
          <w:color w:val="000000"/>
          <w:kern w:val="0"/>
          <w:sz w:val="31"/>
          <w:szCs w:val="31"/>
          <w:lang w:eastAsia="en-US"/>
        </w:rPr>
      </w:pPr>
      <w:r>
        <w:rPr>
          <w:rFonts w:ascii="黑体" w:hAnsi="黑体" w:eastAsia="黑体" w:cs="黑体"/>
          <w:b/>
          <w:bCs/>
          <w:snapToGrid w:val="0"/>
          <w:color w:val="000000"/>
          <w:kern w:val="0"/>
          <w:sz w:val="31"/>
          <w:szCs w:val="31"/>
          <w:lang w:eastAsia="en-US"/>
        </w:rPr>
        <w:t>六、部门整体支出绩效情况</w:t>
      </w:r>
    </w:p>
    <w:p w14:paraId="45C529F7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snapToGrid w:val="0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eastAsia="zh-CN"/>
        </w:rPr>
        <w:t>1.全年收支情况。全年总收入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/>
        </w:rPr>
        <w:t>1809.70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eastAsia="zh-CN"/>
        </w:rPr>
        <w:t>万元，总支出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/>
        </w:rPr>
        <w:t>1835.8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eastAsia="zh-CN"/>
        </w:rPr>
        <w:t>万元，执行率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/>
        </w:rPr>
        <w:t>101.44%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eastAsia="zh-CN"/>
        </w:rPr>
        <w:t>。</w:t>
      </w:r>
    </w:p>
    <w:p w14:paraId="5B6BE86A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eastAsia="zh-CN"/>
        </w:rPr>
        <w:t>2.“三公”经费支出情况。202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eastAsia="zh-CN"/>
        </w:rPr>
        <w:t>年“三公”经费预算数为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/>
        </w:rPr>
        <w:t>540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eastAsia="zh-CN"/>
        </w:rPr>
        <w:t>万元，决算数为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/>
        </w:rPr>
        <w:t>330.97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eastAsia="zh-CN"/>
        </w:rPr>
        <w:t>万元，完成预算数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/>
        </w:rPr>
        <w:t>61.29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eastAsia="zh-CN"/>
        </w:rPr>
        <w:t>%，决算数小于预算数的主要原因是支付进度滞后。</w:t>
      </w:r>
    </w:p>
    <w:p w14:paraId="39F761B8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3.资金使用合规性。一切支出严格按照财政有关文件规定和资金拨付审批程序，认真审核每笔业务的合法性、真实性、手续完整性和资料的准确性，确保资金使用无截留、挤占、挪用、虚列开支等情况。</w:t>
      </w:r>
    </w:p>
    <w:p w14:paraId="6E0583A4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ascii="方正黑体_GBK" w:hAnsi="Arial" w:eastAsia="方正黑体_GBK" w:cs="Arial"/>
          <w:snapToGrid w:val="0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4.预决算信息公开性。按照规定的内容、时间在政府网站公开预决算信息，做到基础数据信息和会计资料真实、完整、准确。</w:t>
      </w:r>
    </w:p>
    <w:p w14:paraId="3E3C1228">
      <w:pPr>
        <w:widowControl/>
        <w:kinsoku w:val="0"/>
        <w:autoSpaceDE w:val="0"/>
        <w:autoSpaceDN w:val="0"/>
        <w:adjustRightInd w:val="0"/>
        <w:snapToGrid w:val="0"/>
        <w:spacing w:before="35" w:line="222" w:lineRule="auto"/>
        <w:ind w:left="684"/>
        <w:jc w:val="left"/>
        <w:textAlignment w:val="baseline"/>
        <w:outlineLvl w:val="2"/>
        <w:rPr>
          <w:rFonts w:ascii="黑体" w:hAnsi="黑体" w:eastAsia="黑体" w:cs="黑体"/>
          <w:snapToGrid w:val="0"/>
          <w:color w:val="000000"/>
          <w:kern w:val="0"/>
          <w:sz w:val="31"/>
          <w:szCs w:val="31"/>
          <w:lang w:eastAsia="en-US"/>
        </w:rPr>
      </w:pPr>
      <w:r>
        <w:rPr>
          <w:rFonts w:ascii="黑体" w:hAnsi="黑体" w:eastAsia="黑体" w:cs="黑体"/>
          <w:b/>
          <w:bCs/>
          <w:snapToGrid w:val="0"/>
          <w:color w:val="000000"/>
          <w:spacing w:val="2"/>
          <w:kern w:val="0"/>
          <w:sz w:val="31"/>
          <w:szCs w:val="31"/>
          <w:lang w:eastAsia="en-US"/>
        </w:rPr>
        <w:t>七、存在的问题及原因分析</w:t>
      </w:r>
    </w:p>
    <w:p w14:paraId="1479A81D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1.财务监督管理机制还有待加强。</w:t>
      </w:r>
    </w:p>
    <w:p w14:paraId="1E356670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2.财务工作者的业务能力有待进一步加强。</w:t>
      </w:r>
    </w:p>
    <w:p w14:paraId="3AEF8629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3.对于绩效评价的认识不够深入，把预算绩效简单等同于工作目标、工作考核和业务管理。</w:t>
      </w:r>
    </w:p>
    <w:p w14:paraId="700B5430">
      <w:pPr>
        <w:widowControl/>
        <w:kinsoku w:val="0"/>
        <w:autoSpaceDE w:val="0"/>
        <w:autoSpaceDN w:val="0"/>
        <w:adjustRightInd w:val="0"/>
        <w:snapToGrid w:val="0"/>
        <w:spacing w:before="1" w:line="221" w:lineRule="auto"/>
        <w:ind w:left="684"/>
        <w:jc w:val="left"/>
        <w:textAlignment w:val="baseline"/>
        <w:rPr>
          <w:rFonts w:ascii="黑体" w:hAnsi="黑体" w:eastAsia="黑体" w:cs="黑体"/>
          <w:b/>
          <w:bCs/>
          <w:snapToGrid w:val="0"/>
          <w:color w:val="000000"/>
          <w:spacing w:val="1"/>
          <w:kern w:val="0"/>
          <w:sz w:val="31"/>
          <w:szCs w:val="31"/>
          <w:lang w:eastAsia="en-US"/>
        </w:rPr>
      </w:pPr>
      <w:r>
        <w:rPr>
          <w:rFonts w:ascii="黑体" w:hAnsi="黑体" w:eastAsia="黑体" w:cs="黑体"/>
          <w:b/>
          <w:bCs/>
          <w:snapToGrid w:val="0"/>
          <w:color w:val="000000"/>
          <w:spacing w:val="1"/>
          <w:kern w:val="0"/>
          <w:sz w:val="31"/>
          <w:szCs w:val="31"/>
          <w:lang w:eastAsia="en-US"/>
        </w:rPr>
        <w:t>八、下一步改进措施</w:t>
      </w:r>
    </w:p>
    <w:p w14:paraId="1F15BC39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1.加强对资金支出方面的管理，进一步完善资金管理制度，加强财务监督，严格监管资金的使用，分清业务的不同性质，结合单位的资金能力，按轻重缓急统筹安排资金，保证资金使用的高效率。</w:t>
      </w:r>
    </w:p>
    <w:p w14:paraId="31E125DF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2.加强财务工作人员的业务能力培训，规范账务处理，提高实际工作能力。</w:t>
      </w:r>
    </w:p>
    <w:p w14:paraId="41A479BD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3.向上级组织和部门争取更多的资金，并进一步压缩三公经费开支，贯彻厉行节约制度。</w:t>
      </w:r>
    </w:p>
    <w:p w14:paraId="35BE029A">
      <w:pPr>
        <w:widowControl/>
        <w:kinsoku w:val="0"/>
        <w:autoSpaceDE w:val="0"/>
        <w:autoSpaceDN w:val="0"/>
        <w:adjustRightInd w:val="0"/>
        <w:snapToGrid w:val="0"/>
        <w:spacing w:before="1" w:line="221" w:lineRule="auto"/>
        <w:ind w:left="684"/>
        <w:jc w:val="left"/>
        <w:textAlignment w:val="baseline"/>
        <w:rPr>
          <w:rFonts w:ascii="黑体" w:hAnsi="黑体" w:eastAsia="黑体" w:cs="黑体"/>
          <w:b/>
          <w:bCs/>
          <w:snapToGrid w:val="0"/>
          <w:color w:val="000000"/>
          <w:spacing w:val="1"/>
          <w:kern w:val="0"/>
          <w:sz w:val="31"/>
          <w:szCs w:val="31"/>
          <w:lang w:eastAsia="en-US"/>
        </w:rPr>
      </w:pPr>
    </w:p>
    <w:p w14:paraId="318A10E4">
      <w:pPr>
        <w:widowControl/>
        <w:numPr>
          <w:ilvl w:val="0"/>
          <w:numId w:val="2"/>
        </w:numPr>
        <w:kinsoku w:val="0"/>
        <w:autoSpaceDE w:val="0"/>
        <w:autoSpaceDN w:val="0"/>
        <w:adjustRightInd w:val="0"/>
        <w:snapToGrid w:val="0"/>
        <w:spacing w:before="226" w:line="221" w:lineRule="auto"/>
        <w:ind w:left="684"/>
        <w:jc w:val="left"/>
        <w:textAlignment w:val="baseline"/>
        <w:rPr>
          <w:rFonts w:ascii="黑体" w:hAnsi="黑体" w:eastAsia="黑体" w:cs="黑体"/>
          <w:b/>
          <w:bCs/>
          <w:snapToGrid w:val="0"/>
          <w:color w:val="000000"/>
          <w:spacing w:val="2"/>
          <w:kern w:val="0"/>
          <w:sz w:val="31"/>
          <w:szCs w:val="31"/>
          <w:lang w:eastAsia="en-US"/>
        </w:rPr>
      </w:pPr>
      <w:r>
        <w:rPr>
          <w:rFonts w:ascii="黑体" w:hAnsi="黑体" w:eastAsia="黑体" w:cs="黑体"/>
          <w:b/>
          <w:bCs/>
          <w:snapToGrid w:val="0"/>
          <w:color w:val="000000"/>
          <w:spacing w:val="2"/>
          <w:kern w:val="0"/>
          <w:sz w:val="31"/>
          <w:szCs w:val="31"/>
          <w:lang w:eastAsia="en-US"/>
        </w:rPr>
        <w:t>部门整体支出绩效自评结果拟应用和公开情况</w:t>
      </w:r>
    </w:p>
    <w:p w14:paraId="186DB35D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="640" w:firstLineChars="200"/>
        <w:jc w:val="both"/>
        <w:textAlignment w:val="baseline"/>
        <w:rPr>
          <w:rFonts w:ascii="黑体" w:hAnsi="黑体" w:eastAsia="黑体" w:cs="黑体"/>
          <w:b/>
          <w:bCs/>
          <w:snapToGrid w:val="0"/>
          <w:color w:val="000000"/>
          <w:spacing w:val="2"/>
          <w:kern w:val="0"/>
          <w:sz w:val="31"/>
          <w:szCs w:val="31"/>
          <w:lang w:eastAsia="en-US"/>
        </w:rPr>
      </w:pP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综合以上各项指标，财务管理健全规范，没有发生违法违规现象，机关事务管理中心202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年度部门整体支出绩效自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eastAsia="zh-CN"/>
        </w:rPr>
        <w:t>评9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分，自评结果：优秀。</w:t>
      </w:r>
      <w:r>
        <w:rPr>
          <w:rFonts w:hint="eastAsia" w:ascii="Arial" w:hAnsi="Arial" w:eastAsia="仿宋_GB2312" w:cs="Arial"/>
          <w:snapToGrid w:val="0"/>
          <w:color w:val="000000"/>
          <w:kern w:val="0"/>
          <w:sz w:val="32"/>
          <w:szCs w:val="32"/>
          <w:lang w:eastAsia="zh-CN"/>
        </w:rPr>
        <w:t>我们将在以后的工作中加强预算管理，严格控制各项经费的开支，提高经费的使用效率。本整体支出绩效自评报告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拟与202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napToGrid w:val="0"/>
          <w:color w:val="000000"/>
          <w:kern w:val="0"/>
          <w:sz w:val="32"/>
          <w:szCs w:val="32"/>
          <w:lang w:eastAsia="zh-CN"/>
        </w:rPr>
        <w:t>年度部门决算同步公开。</w:t>
      </w:r>
    </w:p>
    <w:p w14:paraId="65966F84">
      <w:pPr>
        <w:widowControl/>
        <w:kinsoku w:val="0"/>
        <w:autoSpaceDE w:val="0"/>
        <w:autoSpaceDN w:val="0"/>
        <w:adjustRightInd w:val="0"/>
        <w:snapToGrid w:val="0"/>
        <w:spacing w:before="229" w:line="221" w:lineRule="auto"/>
        <w:ind w:left="684"/>
        <w:jc w:val="left"/>
        <w:textAlignment w:val="baseline"/>
        <w:rPr>
          <w:rFonts w:ascii="黑体" w:hAnsi="黑体" w:eastAsia="黑体" w:cs="黑体"/>
          <w:snapToGrid w:val="0"/>
          <w:color w:val="000000"/>
          <w:kern w:val="0"/>
          <w:sz w:val="31"/>
          <w:szCs w:val="31"/>
          <w:lang w:eastAsia="en-US"/>
        </w:rPr>
      </w:pPr>
      <w:r>
        <w:rPr>
          <w:rFonts w:ascii="黑体" w:hAnsi="黑体" w:eastAsia="黑体" w:cs="黑体"/>
          <w:b/>
          <w:bCs/>
          <w:snapToGrid w:val="0"/>
          <w:color w:val="000000"/>
          <w:kern w:val="0"/>
          <w:sz w:val="31"/>
          <w:szCs w:val="31"/>
          <w:lang w:eastAsia="en-US"/>
        </w:rPr>
        <w:t>十、其他需要说明的情况</w:t>
      </w:r>
    </w:p>
    <w:p w14:paraId="7FAABD29">
      <w:pPr>
        <w:widowControl/>
        <w:kinsoku w:val="0"/>
        <w:autoSpaceDE w:val="0"/>
        <w:autoSpaceDN w:val="0"/>
        <w:adjustRightInd w:val="0"/>
        <w:snapToGrid w:val="0"/>
        <w:spacing w:line="221" w:lineRule="auto"/>
        <w:jc w:val="left"/>
        <w:textAlignment w:val="baseline"/>
        <w:rPr>
          <w:rFonts w:ascii="黑体" w:hAnsi="黑体" w:eastAsia="黑体" w:cs="黑体"/>
          <w:snapToGrid w:val="0"/>
          <w:color w:val="000000"/>
          <w:kern w:val="0"/>
          <w:sz w:val="31"/>
          <w:szCs w:val="31"/>
          <w:lang w:eastAsia="en-US"/>
        </w:rPr>
      </w:pPr>
    </w:p>
    <w:p w14:paraId="7764E98F">
      <w:pPr>
        <w:spacing w:line="221" w:lineRule="auto"/>
        <w:rPr>
          <w:rFonts w:hint="eastAsia" w:ascii="仿宋" w:hAnsi="仿宋" w:eastAsia="仿宋" w:cs="仿宋"/>
          <w:sz w:val="31"/>
          <w:szCs w:val="31"/>
          <w:lang w:val="en-US" w:eastAsia="zh-CN"/>
        </w:rPr>
        <w:sectPr>
          <w:headerReference r:id="rId5" w:type="default"/>
          <w:footerReference r:id="rId6" w:type="default"/>
          <w:pgSz w:w="11900" w:h="16830"/>
          <w:pgMar w:top="400" w:right="1344" w:bottom="2046" w:left="1489" w:header="0" w:footer="1644" w:gutter="0"/>
          <w:cols w:space="720" w:num="1"/>
        </w:sectPr>
      </w:pPr>
      <w:r>
        <w:rPr>
          <w:rFonts w:hint="eastAsia" w:ascii="黑体" w:hAnsi="黑体" w:eastAsia="黑体" w:cs="黑体"/>
          <w:snapToGrid w:val="0"/>
          <w:color w:val="000000"/>
          <w:kern w:val="0"/>
          <w:sz w:val="31"/>
          <w:szCs w:val="31"/>
          <w:lang w:val="en-US" w:eastAsia="zh-CN"/>
        </w:rPr>
        <w:t xml:space="preserve">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31"/>
          <w:szCs w:val="31"/>
          <w:lang w:val="en-US" w:eastAsia="zh-CN"/>
        </w:rPr>
        <w:t>无。</w:t>
      </w:r>
    </w:p>
    <w:p w14:paraId="7B229BC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E1A197F9">
    <w:pPr>
      <w:widowControl/>
      <w:kinsoku w:val="0"/>
      <w:autoSpaceDE w:val="0"/>
      <w:autoSpaceDN w:val="0"/>
      <w:adjustRightInd w:val="0"/>
      <w:snapToGrid w:val="0"/>
      <w:spacing w:before="1" w:line="232" w:lineRule="auto"/>
      <w:jc w:val="left"/>
      <w:textAlignment w:val="baseline"/>
      <w:rPr>
        <w:rFonts w:ascii="宋体" w:hAnsi="宋体" w:eastAsia="宋体" w:cs="宋体"/>
        <w:snapToGrid w:val="0"/>
        <w:color w:val="000000"/>
        <w:kern w:val="0"/>
        <w:sz w:val="28"/>
        <w:szCs w:val="28"/>
        <w:lang w:eastAsia="en-US"/>
      </w:rPr>
    </w:pPr>
    <w:r>
      <w:rPr>
        <w:rFonts w:ascii="宋体" w:hAnsi="宋体" w:eastAsia="宋体" w:cs="宋体"/>
        <w:snapToGrid w:val="0"/>
        <w:color w:val="000000"/>
        <w:spacing w:val="-3"/>
        <w:kern w:val="0"/>
        <w:sz w:val="28"/>
        <w:szCs w:val="28"/>
        <w:lang w:eastAsia="en-US"/>
      </w:rPr>
      <w:t>—9—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CF9CC919">
    <w:pPr>
      <w:widowControl/>
      <w:kinsoku w:val="0"/>
      <w:autoSpaceDE w:val="0"/>
      <w:autoSpaceDN w:val="0"/>
      <w:adjustRightInd w:val="0"/>
      <w:snapToGrid w:val="0"/>
      <w:spacing w:line="233" w:lineRule="auto"/>
      <w:jc w:val="left"/>
      <w:textAlignment w:val="baseline"/>
      <w:rPr>
        <w:rFonts w:ascii="宋体" w:hAnsi="宋体" w:eastAsia="宋体" w:cs="宋体"/>
        <w:snapToGrid w:val="0"/>
        <w:color w:val="000000"/>
        <w:kern w:val="0"/>
        <w:sz w:val="31"/>
        <w:szCs w:val="31"/>
        <w:lang w:eastAsia="en-US"/>
      </w:rPr>
    </w:pPr>
    <w:r>
      <w:rPr>
        <w:rFonts w:ascii="宋体" w:hAnsi="宋体" w:eastAsia="宋体" w:cs="宋体"/>
        <w:snapToGrid w:val="0"/>
        <w:color w:val="000000"/>
        <w:spacing w:val="-15"/>
        <w:kern w:val="0"/>
        <w:sz w:val="31"/>
        <w:szCs w:val="31"/>
        <w:lang w:eastAsia="en-US"/>
      </w:rPr>
      <w:t>—10—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9841FB28">
    <w:pPr>
      <w:widowControl/>
      <w:kinsoku w:val="0"/>
      <w:autoSpaceDE w:val="0"/>
      <w:autoSpaceDN w:val="0"/>
      <w:adjustRightInd w:val="0"/>
      <w:snapToGrid w:val="0"/>
      <w:spacing w:before="74" w:line="219" w:lineRule="auto"/>
      <w:ind w:left="599"/>
      <w:jc w:val="left"/>
      <w:textAlignment w:val="baseline"/>
      <w:rPr>
        <w:rFonts w:ascii="宋体" w:hAnsi="宋体" w:eastAsia="宋体" w:cs="宋体"/>
        <w:snapToGrid w:val="0"/>
        <w:color w:val="000000"/>
        <w:kern w:val="0"/>
        <w:sz w:val="28"/>
        <w:szCs w:val="28"/>
        <w:lang w:eastAsia="en-US"/>
      </w:rPr>
    </w:pPr>
    <w:r>
      <w:rPr>
        <w:rFonts w:ascii="宋体" w:hAnsi="宋体" w:eastAsia="宋体" w:cs="宋体"/>
        <w:snapToGrid w:val="0"/>
        <w:color w:val="000000"/>
        <w:spacing w:val="-1"/>
        <w:kern w:val="0"/>
        <w:sz w:val="28"/>
        <w:szCs w:val="28"/>
        <w:lang w:eastAsia="en-US"/>
      </w:rPr>
      <w:t>附件1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C72A8FCE">
    <w:pPr>
      <w:widowControl/>
      <w:kinsoku w:val="0"/>
      <w:autoSpaceDE w:val="0"/>
      <w:autoSpaceDN w:val="0"/>
      <w:adjustRightInd w:val="0"/>
      <w:snapToGrid w:val="0"/>
      <w:spacing w:line="14" w:lineRule="auto"/>
      <w:jc w:val="left"/>
      <w:textAlignment w:val="baseline"/>
      <w:rPr>
        <w:rFonts w:ascii="Arial" w:hAnsi="Arial" w:eastAsia="Arial" w:cs="Arial"/>
        <w:snapToGrid w:val="0"/>
        <w:color w:val="000000"/>
        <w:kern w:val="0"/>
        <w:sz w:val="2"/>
        <w:szCs w:val="21"/>
        <w:lang w:eastAsia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62B6F3"/>
    <w:multiLevelType w:val="singleLevel"/>
    <w:tmpl w:val="8462B6F3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A394127"/>
    <w:multiLevelType w:val="singleLevel"/>
    <w:tmpl w:val="3A39412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4BB4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十三秒</cp:lastModifiedBy>
  <cp:lastPrinted>2026-09-28T08:46:08Z</cp:lastPrinted>
  <dcterms:modified xsi:type="dcterms:W3CDTF">2026-09-28T08:46:19Z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eyJoZGlkIjoiN2JkMzA2OTA0YWYyODM5YTNmOWNkN2U1NDU0OTMxMGIiLCJ1c2VySWQiOiI0MzY0NTgyMjUifQ==</vt:lpwstr>
  </property>
  <property fmtid="{D5CDD505-2E9C-101B-9397-08002B2CF9AE}" pid="4" name="ICV">
    <vt:lpwstr>CE72FEA234B2493082368B573F58C6A1_12</vt:lpwstr>
  </property>
</Properties>
</file>